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rawings/drawing5.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drawings/drawing6.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7.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drawings/drawing8.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drawings/drawing9.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0.xml" ContentType="application/vnd.openxmlformats-officedocument.drawingml.chartshapes+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7.xml" ContentType="application/vnd.openxmlformats-officedocument.themeOverride+xml"/>
  <Override PartName="/word/drawings/drawing11.xml" ContentType="application/vnd.openxmlformats-officedocument.drawingml.chartshapes+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37117118" w:displacedByCustomXml="next"/>
    <w:bookmarkStart w:id="1" w:name="_Toc444605532" w:displacedByCustomXml="next"/>
    <w:sdt>
      <w:sdtPr>
        <w:rPr>
          <w:rFonts w:ascii="Times New Roman" w:eastAsiaTheme="minorHAnsi" w:hAnsi="Times New Roman" w:cstheme="minorBidi"/>
          <w:color w:val="auto"/>
          <w:sz w:val="24"/>
          <w:szCs w:val="22"/>
          <w:lang w:eastAsia="en-US"/>
        </w:rPr>
        <w:id w:val="761567170"/>
        <w:docPartObj>
          <w:docPartGallery w:val="Table of Contents"/>
          <w:docPartUnique/>
        </w:docPartObj>
      </w:sdtPr>
      <w:sdtEndPr>
        <w:rPr>
          <w:b/>
          <w:bCs/>
          <w:noProof/>
        </w:rPr>
      </w:sdtEndPr>
      <w:sdtContent>
        <w:p w14:paraId="79813D6E" w14:textId="531D15CB" w:rsidR="00A54123" w:rsidRDefault="00A54123" w:rsidP="00A54123">
          <w:pPr>
            <w:pStyle w:val="TOCHeading"/>
            <w:spacing w:after="320"/>
            <w:jc w:val="center"/>
            <w:rPr>
              <w:b/>
              <w:bCs/>
              <w:noProof/>
            </w:rPr>
          </w:pPr>
        </w:p>
        <w:p w14:paraId="67BBACEA" w14:textId="25D08EAD" w:rsidR="000E7A27" w:rsidRDefault="000E7A27" w:rsidP="000E7A27">
          <w:pPr>
            <w:rPr>
              <w:b/>
              <w:bCs/>
              <w:noProof/>
            </w:rPr>
          </w:pPr>
        </w:p>
        <w:p w14:paraId="6F0707E3" w14:textId="77777777" w:rsidR="000C1D88" w:rsidRDefault="000C1D88" w:rsidP="000255B9">
          <w:pPr>
            <w:pStyle w:val="TOCHeading"/>
            <w:spacing w:after="320"/>
            <w:jc w:val="center"/>
            <w:rPr>
              <w:rFonts w:ascii="Times New Roman" w:eastAsiaTheme="minorHAnsi" w:hAnsi="Times New Roman" w:cstheme="minorBidi"/>
              <w:color w:val="auto"/>
              <w:sz w:val="24"/>
              <w:szCs w:val="22"/>
              <w:lang w:eastAsia="en-US"/>
            </w:rPr>
          </w:pPr>
        </w:p>
        <w:p w14:paraId="27346D65" w14:textId="77777777" w:rsidR="005B6328" w:rsidRDefault="005B6328" w:rsidP="005B6328">
          <w:pPr>
            <w:rPr>
              <w:lang w:val="sr-Cyrl-RS" w:eastAsia="ja-JP"/>
            </w:rPr>
          </w:pPr>
        </w:p>
        <w:p w14:paraId="21558160" w14:textId="77777777" w:rsidR="005B6328" w:rsidRPr="005B6328" w:rsidRDefault="005B6328" w:rsidP="005B6328">
          <w:pPr>
            <w:rPr>
              <w:lang w:val="sr-Cyrl-RS" w:eastAsia="ja-JP"/>
            </w:rPr>
          </w:pPr>
        </w:p>
        <w:p w14:paraId="6045CED1" w14:textId="5FE9A5BC" w:rsidR="005C499C" w:rsidRDefault="001B3328">
          <w:pPr>
            <w:pStyle w:val="TOC1"/>
            <w:rPr>
              <w:rFonts w:asciiTheme="minorHAnsi" w:eastAsiaTheme="minorEastAsia" w:hAnsiTheme="minorHAnsi"/>
              <w:kern w:val="0"/>
              <w:sz w:val="22"/>
              <w:szCs w:val="22"/>
              <w:lang w:eastAsia="en-US"/>
            </w:rPr>
          </w:pPr>
          <w:r>
            <w:fldChar w:fldCharType="begin"/>
          </w:r>
          <w:r>
            <w:instrText xml:space="preserve"> TOC \o "1-3" \h \z \u </w:instrText>
          </w:r>
          <w:r>
            <w:fldChar w:fldCharType="separate"/>
          </w:r>
        </w:p>
        <w:p w14:paraId="711BFF5D" w14:textId="4C556B16" w:rsidR="001B3328" w:rsidRDefault="001B3328">
          <w:r>
            <w:rPr>
              <w:b/>
              <w:bCs/>
              <w:noProof/>
            </w:rPr>
            <w:fldChar w:fldCharType="end"/>
          </w:r>
        </w:p>
      </w:sdtContent>
    </w:sdt>
    <w:p w14:paraId="5A209203" w14:textId="77777777" w:rsidR="001B3328" w:rsidRDefault="001B3328" w:rsidP="001B3328">
      <w:pPr>
        <w:rPr>
          <w:lang w:val="sr-Latn-RS"/>
        </w:rPr>
      </w:pPr>
    </w:p>
    <w:p w14:paraId="704D6854" w14:textId="77777777" w:rsidR="00A54123" w:rsidRDefault="00A54123" w:rsidP="000C1D88">
      <w:pPr>
        <w:spacing w:after="160" w:line="360" w:lineRule="auto"/>
        <w:jc w:val="center"/>
        <w:rPr>
          <w:rFonts w:eastAsia="MS PGothic"/>
          <w:b/>
          <w:w w:val="110"/>
          <w:sz w:val="44"/>
          <w:szCs w:val="44"/>
          <w:lang w:val="sr-Cyrl-RS" w:eastAsia="ja-JP"/>
        </w:rPr>
      </w:pPr>
      <w:bookmarkStart w:id="2" w:name="_Toc185342325"/>
    </w:p>
    <w:p w14:paraId="65FA226F" w14:textId="15BC3517" w:rsidR="000C1D88" w:rsidRPr="00A6164C" w:rsidRDefault="000C1D88" w:rsidP="000C1D88">
      <w:pPr>
        <w:spacing w:after="160" w:line="360" w:lineRule="auto"/>
        <w:jc w:val="center"/>
        <w:rPr>
          <w:rFonts w:eastAsia="MS PGothic"/>
          <w:b/>
          <w:w w:val="110"/>
          <w:sz w:val="44"/>
          <w:szCs w:val="44"/>
          <w:lang w:val="sr-Cyrl-RS" w:eastAsia="ja-JP"/>
        </w:rPr>
      </w:pPr>
      <w:r w:rsidRPr="00A6164C">
        <w:rPr>
          <w:rFonts w:eastAsia="MS PGothic"/>
          <w:b/>
          <w:w w:val="110"/>
          <w:sz w:val="44"/>
          <w:szCs w:val="44"/>
          <w:lang w:val="sr-Cyrl-RS" w:eastAsia="ja-JP"/>
        </w:rPr>
        <w:t>ПРОГРАМ ЕКОНОМСКИХ РЕФОРМИ ЗА ПЕРИОД ОД 202</w:t>
      </w:r>
      <w:r>
        <w:rPr>
          <w:rFonts w:eastAsia="MS PGothic"/>
          <w:b/>
          <w:w w:val="110"/>
          <w:sz w:val="44"/>
          <w:szCs w:val="44"/>
          <w:lang w:val="sr-Cyrl-RS" w:eastAsia="ja-JP"/>
        </w:rPr>
        <w:t>5</w:t>
      </w:r>
      <w:r w:rsidRPr="00A6164C">
        <w:rPr>
          <w:rFonts w:eastAsia="MS PGothic"/>
          <w:b/>
          <w:w w:val="110"/>
          <w:sz w:val="44"/>
          <w:szCs w:val="44"/>
          <w:lang w:val="sr-Cyrl-RS" w:eastAsia="ja-JP"/>
        </w:rPr>
        <w:t>. ДО 202</w:t>
      </w:r>
      <w:r>
        <w:rPr>
          <w:rFonts w:eastAsia="MS PGothic"/>
          <w:b/>
          <w:w w:val="110"/>
          <w:sz w:val="44"/>
          <w:szCs w:val="44"/>
          <w:lang w:val="sr-Cyrl-RS" w:eastAsia="ja-JP"/>
        </w:rPr>
        <w:t>7</w:t>
      </w:r>
      <w:r w:rsidRPr="00A6164C">
        <w:rPr>
          <w:rFonts w:eastAsia="MS PGothic"/>
          <w:b/>
          <w:w w:val="110"/>
          <w:sz w:val="44"/>
          <w:szCs w:val="44"/>
          <w:lang w:val="sr-Cyrl-RS" w:eastAsia="ja-JP"/>
        </w:rPr>
        <w:t>. ГОДИНЕ</w:t>
      </w:r>
    </w:p>
    <w:p w14:paraId="4807DF4E" w14:textId="77777777" w:rsidR="000C1D88" w:rsidRPr="00A6164C" w:rsidRDefault="000C1D88" w:rsidP="000C1D88">
      <w:pPr>
        <w:spacing w:after="160" w:line="259" w:lineRule="auto"/>
        <w:rPr>
          <w:rFonts w:eastAsia="MS PGothic"/>
          <w:b/>
          <w:w w:val="110"/>
          <w:sz w:val="26"/>
          <w:szCs w:val="26"/>
          <w:lang w:val="sr-Cyrl-RS" w:eastAsia="ja-JP"/>
        </w:rPr>
      </w:pPr>
    </w:p>
    <w:p w14:paraId="710E8B26" w14:textId="77777777" w:rsidR="000C1D88" w:rsidRDefault="000C1D88" w:rsidP="000C1D88">
      <w:pPr>
        <w:spacing w:after="160" w:line="259" w:lineRule="auto"/>
        <w:rPr>
          <w:rFonts w:eastAsia="MS PGothic"/>
          <w:b/>
          <w:w w:val="110"/>
          <w:sz w:val="26"/>
          <w:szCs w:val="26"/>
          <w:lang w:val="sr-Cyrl-RS" w:eastAsia="ja-JP"/>
        </w:rPr>
      </w:pPr>
    </w:p>
    <w:p w14:paraId="55FD2C83" w14:textId="77777777" w:rsidR="000C1D88" w:rsidRDefault="000C1D88" w:rsidP="000C1D88">
      <w:pPr>
        <w:spacing w:after="160" w:line="259" w:lineRule="auto"/>
        <w:rPr>
          <w:rFonts w:eastAsia="MS PGothic"/>
          <w:b/>
          <w:w w:val="110"/>
          <w:sz w:val="26"/>
          <w:szCs w:val="26"/>
          <w:lang w:val="sr-Cyrl-RS" w:eastAsia="ja-JP"/>
        </w:rPr>
      </w:pPr>
    </w:p>
    <w:p w14:paraId="2551C8C6" w14:textId="4813E90D" w:rsidR="000C1D88" w:rsidRDefault="000C1D88" w:rsidP="000C1D88">
      <w:pPr>
        <w:spacing w:after="160" w:line="259" w:lineRule="auto"/>
        <w:rPr>
          <w:rFonts w:eastAsia="MS PGothic"/>
          <w:b/>
          <w:w w:val="110"/>
          <w:sz w:val="26"/>
          <w:szCs w:val="26"/>
          <w:lang w:val="sr-Cyrl-RS" w:eastAsia="ja-JP"/>
        </w:rPr>
      </w:pPr>
    </w:p>
    <w:p w14:paraId="4E4935B4" w14:textId="06CED878" w:rsidR="009562D9" w:rsidRDefault="009562D9" w:rsidP="000C1D88">
      <w:pPr>
        <w:spacing w:after="160" w:line="259" w:lineRule="auto"/>
        <w:rPr>
          <w:rFonts w:eastAsia="MS PGothic"/>
          <w:b/>
          <w:w w:val="110"/>
          <w:sz w:val="26"/>
          <w:szCs w:val="26"/>
          <w:lang w:val="sr-Cyrl-RS" w:eastAsia="ja-JP"/>
        </w:rPr>
      </w:pPr>
    </w:p>
    <w:p w14:paraId="4D900B4D" w14:textId="1B1C7F74" w:rsidR="000C1D88" w:rsidRDefault="000C1D88" w:rsidP="000C1D88">
      <w:pPr>
        <w:spacing w:after="160" w:line="259" w:lineRule="auto"/>
        <w:rPr>
          <w:rFonts w:eastAsia="MS PGothic"/>
          <w:b/>
          <w:w w:val="110"/>
          <w:sz w:val="26"/>
          <w:szCs w:val="26"/>
          <w:lang w:val="sr-Cyrl-RS" w:eastAsia="ja-JP"/>
        </w:rPr>
      </w:pPr>
    </w:p>
    <w:p w14:paraId="2A0E6BBB" w14:textId="16ADDF36" w:rsidR="000C1D88" w:rsidRDefault="000C1D88" w:rsidP="000C1D88">
      <w:pPr>
        <w:spacing w:after="160" w:line="259" w:lineRule="auto"/>
        <w:rPr>
          <w:rFonts w:eastAsia="MS PGothic"/>
          <w:b/>
          <w:w w:val="110"/>
          <w:sz w:val="26"/>
          <w:szCs w:val="26"/>
          <w:lang w:val="sr-Cyrl-RS" w:eastAsia="ja-JP"/>
        </w:rPr>
      </w:pPr>
    </w:p>
    <w:p w14:paraId="2758E253" w14:textId="5193139C" w:rsidR="00A54123" w:rsidRDefault="00A54123" w:rsidP="000C1D88">
      <w:pPr>
        <w:spacing w:after="160" w:line="259" w:lineRule="auto"/>
        <w:rPr>
          <w:rFonts w:eastAsia="MS PGothic"/>
          <w:b/>
          <w:w w:val="110"/>
          <w:sz w:val="26"/>
          <w:szCs w:val="26"/>
          <w:lang w:val="sr-Cyrl-RS" w:eastAsia="ja-JP"/>
        </w:rPr>
      </w:pPr>
    </w:p>
    <w:p w14:paraId="12641AEC" w14:textId="77777777" w:rsidR="00A54123" w:rsidRDefault="00A54123" w:rsidP="000C1D88">
      <w:pPr>
        <w:spacing w:after="160" w:line="259" w:lineRule="auto"/>
        <w:rPr>
          <w:rFonts w:eastAsia="MS PGothic"/>
          <w:b/>
          <w:w w:val="110"/>
          <w:sz w:val="26"/>
          <w:szCs w:val="26"/>
          <w:lang w:val="sr-Cyrl-RS" w:eastAsia="ja-JP"/>
        </w:rPr>
      </w:pPr>
    </w:p>
    <w:p w14:paraId="115E2F69" w14:textId="0272845B" w:rsidR="00A54123" w:rsidRDefault="00A54123" w:rsidP="000C1D88">
      <w:pPr>
        <w:spacing w:after="160" w:line="259" w:lineRule="auto"/>
        <w:rPr>
          <w:rFonts w:eastAsia="MS PGothic"/>
          <w:b/>
          <w:w w:val="110"/>
          <w:sz w:val="26"/>
          <w:szCs w:val="26"/>
          <w:lang w:val="sr-Cyrl-RS" w:eastAsia="ja-JP"/>
        </w:rPr>
      </w:pPr>
    </w:p>
    <w:p w14:paraId="7E4C5878" w14:textId="77777777" w:rsidR="00A54123" w:rsidRDefault="00A54123" w:rsidP="000C1D88">
      <w:pPr>
        <w:spacing w:after="160" w:line="259" w:lineRule="auto"/>
        <w:rPr>
          <w:rFonts w:eastAsia="MS PGothic"/>
          <w:b/>
          <w:w w:val="110"/>
          <w:sz w:val="26"/>
          <w:szCs w:val="26"/>
          <w:lang w:val="sr-Cyrl-RS" w:eastAsia="ja-JP"/>
        </w:rPr>
      </w:pPr>
    </w:p>
    <w:p w14:paraId="0647A7D9" w14:textId="77777777" w:rsidR="000C1D88" w:rsidRDefault="000C1D88" w:rsidP="000C1D88">
      <w:pPr>
        <w:spacing w:after="160" w:line="259" w:lineRule="auto"/>
        <w:rPr>
          <w:rFonts w:eastAsia="MS PGothic"/>
          <w:b/>
          <w:w w:val="110"/>
          <w:sz w:val="26"/>
          <w:szCs w:val="26"/>
          <w:lang w:val="sr-Cyrl-RS" w:eastAsia="ja-JP"/>
        </w:rPr>
      </w:pPr>
    </w:p>
    <w:p w14:paraId="05FEEB2E" w14:textId="270B15EA" w:rsidR="000C1D88" w:rsidRPr="00575A40" w:rsidRDefault="000C1D88" w:rsidP="000C1D88">
      <w:pPr>
        <w:spacing w:after="160" w:line="259" w:lineRule="auto"/>
        <w:jc w:val="center"/>
        <w:rPr>
          <w:rFonts w:eastAsia="MS PGothic"/>
          <w:b/>
          <w:w w:val="110"/>
          <w:lang w:val="sr-Cyrl-RS" w:eastAsia="ja-JP"/>
        </w:rPr>
      </w:pPr>
      <w:r>
        <w:rPr>
          <w:rFonts w:eastAsia="MS PGothic"/>
          <w:b/>
          <w:w w:val="110"/>
          <w:lang w:val="sr-Cyrl-RS" w:eastAsia="ja-JP"/>
        </w:rPr>
        <w:t>Београд, децембра 2024. године</w:t>
      </w:r>
    </w:p>
    <w:sdt>
      <w:sdtPr>
        <w:rPr>
          <w:rFonts w:ascii="Times New Roman" w:eastAsiaTheme="minorHAnsi" w:hAnsi="Times New Roman" w:cstheme="minorBidi"/>
          <w:color w:val="auto"/>
          <w:sz w:val="24"/>
          <w:szCs w:val="22"/>
          <w:lang w:eastAsia="en-US"/>
        </w:rPr>
        <w:id w:val="-553690983"/>
        <w:docPartObj>
          <w:docPartGallery w:val="Table of Contents"/>
          <w:docPartUnique/>
        </w:docPartObj>
      </w:sdtPr>
      <w:sdtEndPr>
        <w:rPr>
          <w:b/>
          <w:bCs/>
          <w:noProof/>
        </w:rPr>
      </w:sdtEndPr>
      <w:sdtContent>
        <w:p w14:paraId="10A4F389" w14:textId="77777777" w:rsidR="00A54123" w:rsidRDefault="00A54123" w:rsidP="00A54123">
          <w:pPr>
            <w:pStyle w:val="TOCHeading"/>
            <w:spacing w:after="320"/>
            <w:jc w:val="center"/>
            <w:rPr>
              <w:rFonts w:ascii="Times New Roman" w:hAnsi="Times New Roman" w:cs="Times New Roman"/>
              <w:color w:val="auto"/>
              <w:sz w:val="28"/>
              <w:szCs w:val="28"/>
              <w:lang w:val="sr-Cyrl-RS"/>
            </w:rPr>
          </w:pPr>
          <w:r w:rsidRPr="000255B9">
            <w:rPr>
              <w:rFonts w:ascii="Times New Roman" w:hAnsi="Times New Roman" w:cs="Times New Roman"/>
              <w:color w:val="auto"/>
              <w:sz w:val="28"/>
              <w:szCs w:val="28"/>
              <w:lang w:val="sr-Cyrl-RS"/>
            </w:rPr>
            <w:t>Садржај</w:t>
          </w:r>
        </w:p>
        <w:p w14:paraId="231F8C96" w14:textId="77777777" w:rsidR="00A54123" w:rsidRDefault="00A54123" w:rsidP="00A54123">
          <w:pPr>
            <w:rPr>
              <w:lang w:val="sr-Cyrl-RS" w:eastAsia="ja-JP"/>
            </w:rPr>
          </w:pPr>
        </w:p>
        <w:p w14:paraId="0C612AB7" w14:textId="77777777" w:rsidR="00A54123" w:rsidRPr="005B6328" w:rsidRDefault="00A54123" w:rsidP="00A54123">
          <w:pPr>
            <w:rPr>
              <w:lang w:val="sr-Cyrl-RS" w:eastAsia="ja-JP"/>
            </w:rPr>
          </w:pPr>
        </w:p>
        <w:p w14:paraId="06B06841" w14:textId="0E2FAFF1" w:rsidR="00A54123" w:rsidRDefault="00A54123" w:rsidP="00A54123">
          <w:pPr>
            <w:pStyle w:val="TOC1"/>
            <w:rPr>
              <w:rFonts w:asciiTheme="minorHAnsi" w:eastAsiaTheme="minorEastAsia" w:hAnsiTheme="minorHAnsi"/>
              <w:kern w:val="0"/>
              <w:sz w:val="22"/>
              <w:szCs w:val="22"/>
              <w:lang w:eastAsia="en-US"/>
            </w:rPr>
          </w:pPr>
          <w:r>
            <w:fldChar w:fldCharType="begin"/>
          </w:r>
          <w:r>
            <w:instrText xml:space="preserve"> TOC \o "1-3" \h \z \u </w:instrText>
          </w:r>
          <w:r>
            <w:fldChar w:fldCharType="separate"/>
          </w:r>
          <w:hyperlink w:anchor="_Toc185342325" w:history="1">
            <w:r w:rsidRPr="0029669B">
              <w:rPr>
                <w:rStyle w:val="Hyperlink"/>
                <w:rFonts w:eastAsiaTheme="minorHAnsi" w:cs="Times New Roman"/>
                <w:b/>
                <w:lang w:val="sr-Latn-RS"/>
              </w:rPr>
              <w:t>1. ОПШТИ ОКВИР И ГЛАВНИ ЦИЉЕВИ И СМЕРНИЦЕ ЕКОНОМСКЕ ПОЛИТИКЕ</w:t>
            </w:r>
            <w:r>
              <w:rPr>
                <w:webHidden/>
              </w:rPr>
              <w:tab/>
            </w:r>
            <w:r>
              <w:rPr>
                <w:webHidden/>
              </w:rPr>
              <w:fldChar w:fldCharType="begin"/>
            </w:r>
            <w:r>
              <w:rPr>
                <w:webHidden/>
              </w:rPr>
              <w:instrText xml:space="preserve"> PAGEREF _Toc185342325 \h </w:instrText>
            </w:r>
            <w:r>
              <w:rPr>
                <w:webHidden/>
              </w:rPr>
            </w:r>
            <w:r>
              <w:rPr>
                <w:webHidden/>
              </w:rPr>
              <w:fldChar w:fldCharType="separate"/>
            </w:r>
            <w:r w:rsidR="00F03833">
              <w:rPr>
                <w:webHidden/>
              </w:rPr>
              <w:t>1</w:t>
            </w:r>
            <w:r>
              <w:rPr>
                <w:webHidden/>
              </w:rPr>
              <w:fldChar w:fldCharType="end"/>
            </w:r>
          </w:hyperlink>
        </w:p>
        <w:p w14:paraId="389C3AD0" w14:textId="26A66D5C" w:rsidR="00A54123" w:rsidRDefault="00F03833" w:rsidP="00A54123">
          <w:pPr>
            <w:pStyle w:val="TOC1"/>
            <w:rPr>
              <w:rFonts w:asciiTheme="minorHAnsi" w:eastAsiaTheme="minorEastAsia" w:hAnsiTheme="minorHAnsi"/>
              <w:kern w:val="0"/>
              <w:sz w:val="22"/>
              <w:szCs w:val="22"/>
              <w:lang w:eastAsia="en-US"/>
            </w:rPr>
          </w:pPr>
          <w:hyperlink w:anchor="_Toc185342326" w:history="1">
            <w:r w:rsidR="00A54123" w:rsidRPr="0029669B">
              <w:rPr>
                <w:rStyle w:val="Hyperlink"/>
                <w:rFonts w:eastAsiaTheme="minorHAnsi" w:cs="Times New Roman"/>
                <w:b/>
                <w:lang w:val="sr-Latn-RS"/>
              </w:rPr>
              <w:t>2. СПРОВОЂЕЊЕ ПРЕПОРУКА</w:t>
            </w:r>
            <w:r w:rsidR="00A54123">
              <w:rPr>
                <w:webHidden/>
              </w:rPr>
              <w:tab/>
            </w:r>
            <w:r w:rsidR="00A54123">
              <w:rPr>
                <w:webHidden/>
              </w:rPr>
              <w:fldChar w:fldCharType="begin"/>
            </w:r>
            <w:r w:rsidR="00A54123">
              <w:rPr>
                <w:webHidden/>
              </w:rPr>
              <w:instrText xml:space="preserve"> PAGEREF _Toc185342326 \h </w:instrText>
            </w:r>
            <w:r w:rsidR="00A54123">
              <w:rPr>
                <w:webHidden/>
              </w:rPr>
            </w:r>
            <w:r w:rsidR="00A54123">
              <w:rPr>
                <w:webHidden/>
              </w:rPr>
              <w:fldChar w:fldCharType="separate"/>
            </w:r>
            <w:r>
              <w:rPr>
                <w:webHidden/>
              </w:rPr>
              <w:t>3</w:t>
            </w:r>
            <w:r w:rsidR="00A54123">
              <w:rPr>
                <w:webHidden/>
              </w:rPr>
              <w:fldChar w:fldCharType="end"/>
            </w:r>
          </w:hyperlink>
        </w:p>
        <w:p w14:paraId="5C89160D" w14:textId="6E7FF186" w:rsidR="00A54123" w:rsidRDefault="00F03833" w:rsidP="00A54123">
          <w:pPr>
            <w:pStyle w:val="TOC1"/>
            <w:rPr>
              <w:rFonts w:asciiTheme="minorHAnsi" w:eastAsiaTheme="minorEastAsia" w:hAnsiTheme="minorHAnsi"/>
              <w:kern w:val="0"/>
              <w:sz w:val="22"/>
              <w:szCs w:val="22"/>
              <w:lang w:eastAsia="en-US"/>
            </w:rPr>
          </w:pPr>
          <w:hyperlink w:anchor="_Toc185342327" w:history="1">
            <w:r w:rsidR="00A54123" w:rsidRPr="0029669B">
              <w:rPr>
                <w:rStyle w:val="Hyperlink"/>
                <w:rFonts w:eastAsiaTheme="minorHAnsi" w:cs="Times New Roman"/>
                <w:b/>
                <w:lang w:val="sr-Latn-RS"/>
              </w:rPr>
              <w:t>3. СРЕДЊОРОЧНИ МАКРОЕКОНОМСКИ ОКВИР</w:t>
            </w:r>
            <w:r w:rsidR="00A54123">
              <w:rPr>
                <w:webHidden/>
              </w:rPr>
              <w:tab/>
            </w:r>
            <w:r w:rsidR="00A54123">
              <w:rPr>
                <w:webHidden/>
              </w:rPr>
              <w:fldChar w:fldCharType="begin"/>
            </w:r>
            <w:r w:rsidR="00A54123">
              <w:rPr>
                <w:webHidden/>
              </w:rPr>
              <w:instrText xml:space="preserve"> PAGEREF _Toc185342327 \h </w:instrText>
            </w:r>
            <w:r w:rsidR="00A54123">
              <w:rPr>
                <w:webHidden/>
              </w:rPr>
            </w:r>
            <w:r w:rsidR="00A54123">
              <w:rPr>
                <w:webHidden/>
              </w:rPr>
              <w:fldChar w:fldCharType="separate"/>
            </w:r>
            <w:r>
              <w:rPr>
                <w:webHidden/>
              </w:rPr>
              <w:t>7</w:t>
            </w:r>
            <w:r w:rsidR="00A54123">
              <w:rPr>
                <w:webHidden/>
              </w:rPr>
              <w:fldChar w:fldCharType="end"/>
            </w:r>
          </w:hyperlink>
        </w:p>
        <w:p w14:paraId="121FDE6C" w14:textId="62812FD2" w:rsidR="00A54123" w:rsidRPr="005C499C" w:rsidRDefault="00A54123" w:rsidP="00A54123">
          <w:pPr>
            <w:pStyle w:val="TOC1"/>
            <w:rPr>
              <w:rFonts w:asciiTheme="minorHAnsi" w:eastAsiaTheme="minorEastAsia" w:hAnsiTheme="minorHAnsi"/>
              <w:kern w:val="0"/>
              <w:sz w:val="22"/>
              <w:szCs w:val="22"/>
              <w:lang w:eastAsia="en-US"/>
            </w:rPr>
          </w:pPr>
          <w:r w:rsidRPr="005C499C">
            <w:rPr>
              <w:rStyle w:val="Hyperlink"/>
              <w:u w:val="none"/>
            </w:rPr>
            <w:tab/>
          </w:r>
          <w:hyperlink w:anchor="_Toc185342328" w:history="1">
            <w:r w:rsidRPr="005C499C">
              <w:rPr>
                <w:rStyle w:val="Hyperlink"/>
                <w:rFonts w:cs="Times New Roman"/>
                <w:u w:val="none"/>
                <w:lang w:val="sr-Latn-RS"/>
              </w:rPr>
              <w:t>3.1. ПРОЦЕНЕ МЕЂУНАРОДНОГ ЕКОНОМСКОГ ОКРУЖЕЊА</w:t>
            </w:r>
            <w:r w:rsidRPr="005C499C">
              <w:rPr>
                <w:webHidden/>
              </w:rPr>
              <w:tab/>
            </w:r>
            <w:r w:rsidRPr="005C499C">
              <w:rPr>
                <w:webHidden/>
              </w:rPr>
              <w:fldChar w:fldCharType="begin"/>
            </w:r>
            <w:r w:rsidRPr="005C499C">
              <w:rPr>
                <w:webHidden/>
              </w:rPr>
              <w:instrText xml:space="preserve"> PAGEREF _Toc185342328 \h </w:instrText>
            </w:r>
            <w:r w:rsidRPr="005C499C">
              <w:rPr>
                <w:webHidden/>
              </w:rPr>
            </w:r>
            <w:r w:rsidRPr="005C499C">
              <w:rPr>
                <w:webHidden/>
              </w:rPr>
              <w:fldChar w:fldCharType="separate"/>
            </w:r>
            <w:r w:rsidR="00F03833">
              <w:rPr>
                <w:webHidden/>
              </w:rPr>
              <w:t>7</w:t>
            </w:r>
            <w:r w:rsidRPr="005C499C">
              <w:rPr>
                <w:webHidden/>
              </w:rPr>
              <w:fldChar w:fldCharType="end"/>
            </w:r>
          </w:hyperlink>
        </w:p>
        <w:p w14:paraId="6BA485B6" w14:textId="570B0E10" w:rsidR="00A54123" w:rsidRPr="005C499C" w:rsidRDefault="00A54123" w:rsidP="00A54123">
          <w:pPr>
            <w:pStyle w:val="TOC1"/>
            <w:rPr>
              <w:rFonts w:asciiTheme="minorHAnsi" w:eastAsiaTheme="minorEastAsia" w:hAnsiTheme="minorHAnsi"/>
              <w:kern w:val="0"/>
              <w:sz w:val="22"/>
              <w:szCs w:val="22"/>
              <w:lang w:eastAsia="en-US"/>
            </w:rPr>
          </w:pPr>
          <w:r w:rsidRPr="005C499C">
            <w:rPr>
              <w:rStyle w:val="Hyperlink"/>
              <w:u w:val="none"/>
            </w:rPr>
            <w:tab/>
          </w:r>
          <w:hyperlink w:anchor="_Toc185342329" w:history="1">
            <w:r w:rsidRPr="005C499C">
              <w:rPr>
                <w:rStyle w:val="Hyperlink"/>
                <w:rFonts w:cs="Times New Roman"/>
                <w:u w:val="none"/>
                <w:lang w:val="sr-Latn-RS"/>
              </w:rPr>
              <w:t>3.2. ТЕКУЋА ЕКО</w:t>
            </w:r>
            <w:r>
              <w:rPr>
                <w:rStyle w:val="Hyperlink"/>
                <w:rFonts w:cs="Times New Roman"/>
                <w:u w:val="none"/>
                <w:lang w:val="sr-Latn-RS"/>
              </w:rPr>
              <w:t>Н</w:t>
            </w:r>
            <w:r w:rsidRPr="005C499C">
              <w:rPr>
                <w:rStyle w:val="Hyperlink"/>
                <w:rFonts w:cs="Times New Roman"/>
                <w:u w:val="none"/>
                <w:lang w:val="sr-Latn-RS"/>
              </w:rPr>
              <w:t>МСКА КРЕТАЊА И ИЗГЛЕДИ ЗА 2024. ГОДИНУ</w:t>
            </w:r>
            <w:r w:rsidRPr="005C499C">
              <w:rPr>
                <w:webHidden/>
              </w:rPr>
              <w:tab/>
            </w:r>
            <w:r w:rsidRPr="005C499C">
              <w:rPr>
                <w:webHidden/>
              </w:rPr>
              <w:fldChar w:fldCharType="begin"/>
            </w:r>
            <w:r w:rsidRPr="005C499C">
              <w:rPr>
                <w:webHidden/>
              </w:rPr>
              <w:instrText xml:space="preserve"> PAGEREF _Toc185342329 \h </w:instrText>
            </w:r>
            <w:r w:rsidRPr="005C499C">
              <w:rPr>
                <w:webHidden/>
              </w:rPr>
            </w:r>
            <w:r w:rsidRPr="005C499C">
              <w:rPr>
                <w:webHidden/>
              </w:rPr>
              <w:fldChar w:fldCharType="separate"/>
            </w:r>
            <w:r w:rsidR="00F03833">
              <w:rPr>
                <w:webHidden/>
              </w:rPr>
              <w:t>9</w:t>
            </w:r>
            <w:r w:rsidRPr="005C499C">
              <w:rPr>
                <w:webHidden/>
              </w:rPr>
              <w:fldChar w:fldCharType="end"/>
            </w:r>
          </w:hyperlink>
        </w:p>
        <w:p w14:paraId="21AA84F7" w14:textId="28FBF796" w:rsidR="00A54123" w:rsidRPr="005C499C" w:rsidRDefault="00A54123" w:rsidP="00A54123">
          <w:pPr>
            <w:pStyle w:val="TOC1"/>
            <w:rPr>
              <w:rFonts w:asciiTheme="minorHAnsi" w:eastAsiaTheme="minorEastAsia" w:hAnsiTheme="minorHAnsi"/>
              <w:kern w:val="0"/>
              <w:sz w:val="22"/>
              <w:szCs w:val="22"/>
              <w:lang w:eastAsia="en-US"/>
            </w:rPr>
          </w:pPr>
          <w:r w:rsidRPr="005C499C">
            <w:rPr>
              <w:rStyle w:val="Hyperlink"/>
              <w:u w:val="none"/>
            </w:rPr>
            <w:tab/>
          </w:r>
          <w:hyperlink w:anchor="_Toc185342330" w:history="1">
            <w:r w:rsidRPr="005C499C">
              <w:rPr>
                <w:rStyle w:val="Hyperlink"/>
                <w:rFonts w:cs="Times New Roman"/>
                <w:u w:val="none"/>
                <w:lang w:val="sr-Latn-RS"/>
              </w:rPr>
              <w:t>3.3. СРЕДЊОРОЧНИ МАКРОЕКОНОМСКИ СЦЕНАРИО</w:t>
            </w:r>
            <w:r w:rsidRPr="005C499C">
              <w:rPr>
                <w:webHidden/>
              </w:rPr>
              <w:tab/>
            </w:r>
            <w:r w:rsidRPr="005C499C">
              <w:rPr>
                <w:webHidden/>
              </w:rPr>
              <w:fldChar w:fldCharType="begin"/>
            </w:r>
            <w:r w:rsidRPr="005C499C">
              <w:rPr>
                <w:webHidden/>
              </w:rPr>
              <w:instrText xml:space="preserve"> PAGEREF _Toc185342330 \h </w:instrText>
            </w:r>
            <w:r w:rsidRPr="005C499C">
              <w:rPr>
                <w:webHidden/>
              </w:rPr>
            </w:r>
            <w:r w:rsidRPr="005C499C">
              <w:rPr>
                <w:webHidden/>
              </w:rPr>
              <w:fldChar w:fldCharType="separate"/>
            </w:r>
            <w:r w:rsidR="00F03833">
              <w:rPr>
                <w:webHidden/>
              </w:rPr>
              <w:t>19</w:t>
            </w:r>
            <w:r w:rsidRPr="005C499C">
              <w:rPr>
                <w:webHidden/>
              </w:rPr>
              <w:fldChar w:fldCharType="end"/>
            </w:r>
          </w:hyperlink>
        </w:p>
        <w:p w14:paraId="25BBB64C" w14:textId="314F24C9" w:rsidR="00A54123" w:rsidRPr="005C499C" w:rsidRDefault="00A54123" w:rsidP="00A54123">
          <w:pPr>
            <w:pStyle w:val="TOC1"/>
            <w:rPr>
              <w:rFonts w:asciiTheme="minorHAnsi" w:eastAsiaTheme="minorEastAsia" w:hAnsiTheme="minorHAnsi"/>
              <w:kern w:val="0"/>
              <w:sz w:val="22"/>
              <w:szCs w:val="22"/>
              <w:lang w:eastAsia="en-US"/>
            </w:rPr>
          </w:pPr>
          <w:r w:rsidRPr="005C499C">
            <w:rPr>
              <w:rStyle w:val="Hyperlink"/>
              <w:u w:val="none"/>
            </w:rPr>
            <w:tab/>
          </w:r>
          <w:hyperlink w:anchor="_Toc185342331" w:history="1">
            <w:r w:rsidRPr="005C499C">
              <w:rPr>
                <w:rStyle w:val="Hyperlink"/>
                <w:rFonts w:cs="Times New Roman"/>
                <w:u w:val="none"/>
                <w:lang w:val="sr-Latn-RS"/>
              </w:rPr>
              <w:t>3.4. АЛТЕРНАТИВНИ СЦЕНАРИО И РИЗИЦИ</w:t>
            </w:r>
            <w:r w:rsidRPr="005C499C">
              <w:rPr>
                <w:webHidden/>
              </w:rPr>
              <w:tab/>
            </w:r>
            <w:r w:rsidRPr="005C499C">
              <w:rPr>
                <w:webHidden/>
              </w:rPr>
              <w:fldChar w:fldCharType="begin"/>
            </w:r>
            <w:r w:rsidRPr="005C499C">
              <w:rPr>
                <w:webHidden/>
              </w:rPr>
              <w:instrText xml:space="preserve"> PAGEREF _Toc185342331 \h </w:instrText>
            </w:r>
            <w:r w:rsidRPr="005C499C">
              <w:rPr>
                <w:webHidden/>
              </w:rPr>
            </w:r>
            <w:r w:rsidRPr="005C499C">
              <w:rPr>
                <w:webHidden/>
              </w:rPr>
              <w:fldChar w:fldCharType="separate"/>
            </w:r>
            <w:r w:rsidR="00F03833">
              <w:rPr>
                <w:webHidden/>
              </w:rPr>
              <w:t>25</w:t>
            </w:r>
            <w:r w:rsidRPr="005C499C">
              <w:rPr>
                <w:webHidden/>
              </w:rPr>
              <w:fldChar w:fldCharType="end"/>
            </w:r>
          </w:hyperlink>
        </w:p>
        <w:p w14:paraId="2D4D4EC9" w14:textId="59711B31" w:rsidR="00A54123" w:rsidRDefault="00F03833" w:rsidP="00A54123">
          <w:pPr>
            <w:pStyle w:val="TOC1"/>
            <w:rPr>
              <w:rFonts w:asciiTheme="minorHAnsi" w:eastAsiaTheme="minorEastAsia" w:hAnsiTheme="minorHAnsi"/>
              <w:kern w:val="0"/>
              <w:sz w:val="22"/>
              <w:szCs w:val="22"/>
              <w:lang w:eastAsia="en-US"/>
            </w:rPr>
          </w:pPr>
          <w:hyperlink w:anchor="_Toc185342332" w:history="1">
            <w:r w:rsidR="00A54123" w:rsidRPr="0029669B">
              <w:rPr>
                <w:rStyle w:val="Hyperlink"/>
                <w:rFonts w:eastAsiaTheme="minorHAnsi" w:cs="Times New Roman"/>
                <w:b/>
                <w:lang w:val="sr-Latn-RS"/>
              </w:rPr>
              <w:t>4. Ф</w:t>
            </w:r>
            <w:r w:rsidR="00A54123" w:rsidRPr="0029669B">
              <w:rPr>
                <w:rStyle w:val="Hyperlink"/>
                <w:rFonts w:eastAsiaTheme="minorHAnsi" w:cs="Times New Roman"/>
                <w:b/>
                <w:lang w:val="sr-Latn-RS"/>
              </w:rPr>
              <w:t>И</w:t>
            </w:r>
            <w:r w:rsidR="00A54123" w:rsidRPr="0029669B">
              <w:rPr>
                <w:rStyle w:val="Hyperlink"/>
                <w:rFonts w:eastAsiaTheme="minorHAnsi" w:cs="Times New Roman"/>
                <w:b/>
                <w:lang w:val="sr-Latn-RS"/>
              </w:rPr>
              <w:t>СКАЛНИ ОКВИР ЗА ПЕРИОД ОД 2025. ДО 2027. ГОДИНЕ</w:t>
            </w:r>
            <w:r w:rsidR="00A54123">
              <w:rPr>
                <w:webHidden/>
              </w:rPr>
              <w:tab/>
            </w:r>
            <w:r w:rsidR="00A54123">
              <w:rPr>
                <w:webHidden/>
              </w:rPr>
              <w:fldChar w:fldCharType="begin"/>
            </w:r>
            <w:r w:rsidR="00A54123">
              <w:rPr>
                <w:webHidden/>
              </w:rPr>
              <w:instrText xml:space="preserve"> PAGEREF _Toc185342332 \h </w:instrText>
            </w:r>
            <w:r w:rsidR="00A54123">
              <w:rPr>
                <w:webHidden/>
              </w:rPr>
            </w:r>
            <w:r w:rsidR="00A54123">
              <w:rPr>
                <w:webHidden/>
              </w:rPr>
              <w:fldChar w:fldCharType="separate"/>
            </w:r>
            <w:r>
              <w:rPr>
                <w:webHidden/>
              </w:rPr>
              <w:t>26</w:t>
            </w:r>
            <w:r w:rsidR="00A54123">
              <w:rPr>
                <w:webHidden/>
              </w:rPr>
              <w:fldChar w:fldCharType="end"/>
            </w:r>
          </w:hyperlink>
        </w:p>
        <w:p w14:paraId="09D4524F" w14:textId="50140A09" w:rsidR="00A54123" w:rsidRPr="005C499C" w:rsidRDefault="00A54123" w:rsidP="00A54123">
          <w:pPr>
            <w:pStyle w:val="TOC1"/>
            <w:rPr>
              <w:rFonts w:asciiTheme="minorHAnsi" w:eastAsiaTheme="minorEastAsia" w:hAnsiTheme="minorHAnsi"/>
              <w:kern w:val="0"/>
              <w:sz w:val="22"/>
              <w:szCs w:val="22"/>
              <w:lang w:eastAsia="en-US"/>
            </w:rPr>
          </w:pPr>
          <w:r w:rsidRPr="005C499C">
            <w:rPr>
              <w:rStyle w:val="Hyperlink"/>
              <w:u w:val="none"/>
            </w:rPr>
            <w:tab/>
          </w:r>
          <w:hyperlink w:anchor="_Toc185342333" w:history="1">
            <w:r w:rsidRPr="005C499C">
              <w:rPr>
                <w:rStyle w:val="Hyperlink"/>
                <w:rFonts w:cs="Times New Roman"/>
                <w:u w:val="none"/>
                <w:lang w:val="sr-Latn-RS"/>
              </w:rPr>
              <w:t>4.1. СТРАТЕГИЈА ЈАВНЕ ПОЛИТИКЕ И СРЕДЊОРОЧНИ ЦИЉЕВИ</w:t>
            </w:r>
            <w:r w:rsidRPr="005C499C">
              <w:rPr>
                <w:webHidden/>
              </w:rPr>
              <w:tab/>
            </w:r>
            <w:r w:rsidRPr="005C499C">
              <w:rPr>
                <w:webHidden/>
              </w:rPr>
              <w:fldChar w:fldCharType="begin"/>
            </w:r>
            <w:r w:rsidRPr="005C499C">
              <w:rPr>
                <w:webHidden/>
              </w:rPr>
              <w:instrText xml:space="preserve"> PAGEREF _Toc185342333 \h </w:instrText>
            </w:r>
            <w:r w:rsidRPr="005C499C">
              <w:rPr>
                <w:webHidden/>
              </w:rPr>
            </w:r>
            <w:r w:rsidRPr="005C499C">
              <w:rPr>
                <w:webHidden/>
              </w:rPr>
              <w:fldChar w:fldCharType="separate"/>
            </w:r>
            <w:r w:rsidR="00F03833">
              <w:rPr>
                <w:webHidden/>
              </w:rPr>
              <w:t>26</w:t>
            </w:r>
            <w:r w:rsidRPr="005C499C">
              <w:rPr>
                <w:webHidden/>
              </w:rPr>
              <w:fldChar w:fldCharType="end"/>
            </w:r>
          </w:hyperlink>
        </w:p>
        <w:p w14:paraId="316659A5" w14:textId="2BB2C74D" w:rsidR="00A54123" w:rsidRPr="005C499C" w:rsidRDefault="00A54123" w:rsidP="00A54123">
          <w:pPr>
            <w:pStyle w:val="TOC1"/>
            <w:rPr>
              <w:rFonts w:asciiTheme="minorHAnsi" w:eastAsiaTheme="minorEastAsia" w:hAnsiTheme="minorHAnsi"/>
              <w:kern w:val="0"/>
              <w:sz w:val="22"/>
              <w:szCs w:val="22"/>
              <w:lang w:eastAsia="en-US"/>
            </w:rPr>
          </w:pPr>
          <w:r w:rsidRPr="005C499C">
            <w:rPr>
              <w:rStyle w:val="Hyperlink"/>
              <w:u w:val="none"/>
            </w:rPr>
            <w:tab/>
          </w:r>
          <w:hyperlink w:anchor="_Toc185342334" w:history="1">
            <w:r w:rsidRPr="005C499C">
              <w:rPr>
                <w:rStyle w:val="Hyperlink"/>
                <w:rFonts w:cs="Times New Roman"/>
                <w:u w:val="none"/>
                <w:lang w:val="sr-Latn-RS"/>
              </w:rPr>
              <w:t>4.2. ИЗВРШЕЊЕ БУЏЕТА У 2024. ГОДИНИ</w:t>
            </w:r>
            <w:r w:rsidRPr="005C499C">
              <w:rPr>
                <w:webHidden/>
              </w:rPr>
              <w:tab/>
            </w:r>
            <w:r w:rsidRPr="005C499C">
              <w:rPr>
                <w:webHidden/>
              </w:rPr>
              <w:fldChar w:fldCharType="begin"/>
            </w:r>
            <w:r w:rsidRPr="005C499C">
              <w:rPr>
                <w:webHidden/>
              </w:rPr>
              <w:instrText xml:space="preserve"> PAGEREF _Toc185342334 \h </w:instrText>
            </w:r>
            <w:r w:rsidRPr="005C499C">
              <w:rPr>
                <w:webHidden/>
              </w:rPr>
            </w:r>
            <w:r w:rsidRPr="005C499C">
              <w:rPr>
                <w:webHidden/>
              </w:rPr>
              <w:fldChar w:fldCharType="separate"/>
            </w:r>
            <w:r w:rsidR="00F03833">
              <w:rPr>
                <w:webHidden/>
              </w:rPr>
              <w:t>27</w:t>
            </w:r>
            <w:r w:rsidRPr="005C499C">
              <w:rPr>
                <w:webHidden/>
              </w:rPr>
              <w:fldChar w:fldCharType="end"/>
            </w:r>
          </w:hyperlink>
        </w:p>
        <w:p w14:paraId="3E89EA94" w14:textId="572E514B" w:rsidR="00A54123" w:rsidRPr="005C499C" w:rsidRDefault="00A54123" w:rsidP="00A54123">
          <w:pPr>
            <w:pStyle w:val="TOC1"/>
            <w:rPr>
              <w:rFonts w:asciiTheme="minorHAnsi" w:eastAsiaTheme="minorEastAsia" w:hAnsiTheme="minorHAnsi"/>
              <w:kern w:val="0"/>
              <w:sz w:val="22"/>
              <w:szCs w:val="22"/>
              <w:lang w:eastAsia="en-US"/>
            </w:rPr>
          </w:pPr>
          <w:r w:rsidRPr="005C499C">
            <w:rPr>
              <w:rStyle w:val="Hyperlink"/>
              <w:u w:val="none"/>
            </w:rPr>
            <w:tab/>
          </w:r>
          <w:hyperlink w:anchor="_Toc185342335" w:history="1">
            <w:r w:rsidRPr="005C499C">
              <w:rPr>
                <w:rStyle w:val="Hyperlink"/>
                <w:rFonts w:cs="Times New Roman"/>
                <w:u w:val="none"/>
                <w:lang w:val="sr-Latn-RS"/>
              </w:rPr>
              <w:t>4.3. ФИСКАЛНЕ ПРОЈЕКЦИЈЕ У ПЕРИОДУ 2025–2027. ГОДИНЕ</w:t>
            </w:r>
            <w:r w:rsidRPr="005C499C">
              <w:rPr>
                <w:webHidden/>
              </w:rPr>
              <w:tab/>
            </w:r>
            <w:r w:rsidRPr="005C499C">
              <w:rPr>
                <w:webHidden/>
              </w:rPr>
              <w:fldChar w:fldCharType="begin"/>
            </w:r>
            <w:r w:rsidRPr="005C499C">
              <w:rPr>
                <w:webHidden/>
              </w:rPr>
              <w:instrText xml:space="preserve"> PAGEREF _Toc185342335 \h </w:instrText>
            </w:r>
            <w:r w:rsidRPr="005C499C">
              <w:rPr>
                <w:webHidden/>
              </w:rPr>
            </w:r>
            <w:r w:rsidRPr="005C499C">
              <w:rPr>
                <w:webHidden/>
              </w:rPr>
              <w:fldChar w:fldCharType="separate"/>
            </w:r>
            <w:r w:rsidR="00F03833">
              <w:rPr>
                <w:webHidden/>
              </w:rPr>
              <w:t>37</w:t>
            </w:r>
            <w:r w:rsidRPr="005C499C">
              <w:rPr>
                <w:webHidden/>
              </w:rPr>
              <w:fldChar w:fldCharType="end"/>
            </w:r>
          </w:hyperlink>
        </w:p>
        <w:p w14:paraId="4BF90F39" w14:textId="1C8FD8B5" w:rsidR="00A54123" w:rsidRPr="005C499C" w:rsidRDefault="00A54123" w:rsidP="00A54123">
          <w:pPr>
            <w:pStyle w:val="TOC1"/>
            <w:rPr>
              <w:rFonts w:asciiTheme="minorHAnsi" w:eastAsiaTheme="minorEastAsia" w:hAnsiTheme="minorHAnsi"/>
              <w:kern w:val="0"/>
              <w:sz w:val="22"/>
              <w:szCs w:val="22"/>
              <w:lang w:eastAsia="en-US"/>
            </w:rPr>
          </w:pPr>
          <w:r w:rsidRPr="005C499C">
            <w:rPr>
              <w:rStyle w:val="Hyperlink"/>
              <w:u w:val="none"/>
            </w:rPr>
            <w:tab/>
          </w:r>
          <w:hyperlink w:anchor="_Toc185342336" w:history="1">
            <w:r w:rsidRPr="005C499C">
              <w:rPr>
                <w:rStyle w:val="Hyperlink"/>
                <w:rFonts w:cs="Times New Roman"/>
                <w:u w:val="none"/>
                <w:lang w:val="sr-Latn-RS"/>
              </w:rPr>
              <w:t>4.4. ЦИКЛИЧНО ПРИЛАГОЂЕНИ ФИСКАЛНИ БИЛАНС</w:t>
            </w:r>
            <w:r w:rsidRPr="005C499C">
              <w:rPr>
                <w:webHidden/>
              </w:rPr>
              <w:tab/>
            </w:r>
            <w:r w:rsidRPr="005C499C">
              <w:rPr>
                <w:webHidden/>
              </w:rPr>
              <w:fldChar w:fldCharType="begin"/>
            </w:r>
            <w:r w:rsidRPr="005C499C">
              <w:rPr>
                <w:webHidden/>
              </w:rPr>
              <w:instrText xml:space="preserve"> PAGEREF _Toc185342336 \h </w:instrText>
            </w:r>
            <w:r w:rsidRPr="005C499C">
              <w:rPr>
                <w:webHidden/>
              </w:rPr>
            </w:r>
            <w:r w:rsidRPr="005C499C">
              <w:rPr>
                <w:webHidden/>
              </w:rPr>
              <w:fldChar w:fldCharType="separate"/>
            </w:r>
            <w:r w:rsidR="00F03833">
              <w:rPr>
                <w:webHidden/>
              </w:rPr>
              <w:t>43</w:t>
            </w:r>
            <w:r w:rsidRPr="005C499C">
              <w:rPr>
                <w:webHidden/>
              </w:rPr>
              <w:fldChar w:fldCharType="end"/>
            </w:r>
          </w:hyperlink>
        </w:p>
        <w:p w14:paraId="2CC9E748" w14:textId="2AC0772A" w:rsidR="00A54123" w:rsidRPr="005C499C" w:rsidRDefault="00A54123" w:rsidP="00A54123">
          <w:pPr>
            <w:pStyle w:val="TOC1"/>
            <w:rPr>
              <w:rFonts w:asciiTheme="minorHAnsi" w:eastAsiaTheme="minorEastAsia" w:hAnsiTheme="minorHAnsi"/>
              <w:kern w:val="0"/>
              <w:sz w:val="22"/>
              <w:szCs w:val="22"/>
              <w:lang w:eastAsia="en-US"/>
            </w:rPr>
          </w:pPr>
          <w:r w:rsidRPr="005C499C">
            <w:rPr>
              <w:rStyle w:val="Hyperlink"/>
              <w:u w:val="none"/>
            </w:rPr>
            <w:tab/>
          </w:r>
          <w:hyperlink w:anchor="_Toc185342337" w:history="1">
            <w:r w:rsidRPr="005C499C">
              <w:rPr>
                <w:rStyle w:val="Hyperlink"/>
                <w:rFonts w:cs="Times New Roman"/>
                <w:u w:val="none"/>
                <w:lang w:val="sr-Latn-RS"/>
              </w:rPr>
              <w:t>4.5. УПРАВЉАЊЕ ЈАВНИМ ДУГОМ</w:t>
            </w:r>
            <w:r w:rsidRPr="005C499C">
              <w:rPr>
                <w:webHidden/>
              </w:rPr>
              <w:tab/>
            </w:r>
            <w:r w:rsidRPr="005C499C">
              <w:rPr>
                <w:webHidden/>
              </w:rPr>
              <w:fldChar w:fldCharType="begin"/>
            </w:r>
            <w:r w:rsidRPr="005C499C">
              <w:rPr>
                <w:webHidden/>
              </w:rPr>
              <w:instrText xml:space="preserve"> PAGEREF _Toc185342337 \h </w:instrText>
            </w:r>
            <w:r w:rsidRPr="005C499C">
              <w:rPr>
                <w:webHidden/>
              </w:rPr>
            </w:r>
            <w:r w:rsidRPr="005C499C">
              <w:rPr>
                <w:webHidden/>
              </w:rPr>
              <w:fldChar w:fldCharType="separate"/>
            </w:r>
            <w:r w:rsidR="00F03833">
              <w:rPr>
                <w:webHidden/>
              </w:rPr>
              <w:t>47</w:t>
            </w:r>
            <w:r w:rsidRPr="005C499C">
              <w:rPr>
                <w:webHidden/>
              </w:rPr>
              <w:fldChar w:fldCharType="end"/>
            </w:r>
          </w:hyperlink>
        </w:p>
        <w:p w14:paraId="58BA8C5F" w14:textId="39FFD651" w:rsidR="00A54123" w:rsidRPr="005C499C" w:rsidRDefault="00A54123" w:rsidP="00A54123">
          <w:pPr>
            <w:pStyle w:val="TOC1"/>
            <w:rPr>
              <w:rFonts w:asciiTheme="minorHAnsi" w:eastAsiaTheme="minorEastAsia" w:hAnsiTheme="minorHAnsi"/>
              <w:kern w:val="0"/>
              <w:sz w:val="22"/>
              <w:szCs w:val="22"/>
              <w:lang w:eastAsia="en-US"/>
            </w:rPr>
          </w:pPr>
          <w:r w:rsidRPr="005C499C">
            <w:rPr>
              <w:rStyle w:val="Hyperlink"/>
              <w:u w:val="none"/>
            </w:rPr>
            <w:tab/>
          </w:r>
          <w:hyperlink w:anchor="_Toc185342338" w:history="1">
            <w:r w:rsidRPr="005C499C">
              <w:rPr>
                <w:rStyle w:val="Hyperlink"/>
                <w:rFonts w:cs="Times New Roman"/>
                <w:u w:val="none"/>
                <w:lang w:val="sr-Latn-RS"/>
              </w:rPr>
              <w:t>4.6. АНАЛИЗА ОСЕТЉИВОСТИ И ПОРЕЂЕЊЕ СА ПРЕТХОДНИМ ПРОГРАМОМ</w:t>
            </w:r>
            <w:r w:rsidRPr="005C499C">
              <w:rPr>
                <w:webHidden/>
              </w:rPr>
              <w:tab/>
            </w:r>
            <w:r w:rsidRPr="005C499C">
              <w:rPr>
                <w:webHidden/>
              </w:rPr>
              <w:fldChar w:fldCharType="begin"/>
            </w:r>
            <w:r w:rsidRPr="005C499C">
              <w:rPr>
                <w:webHidden/>
              </w:rPr>
              <w:instrText xml:space="preserve"> PAGEREF _Toc185342338 \h </w:instrText>
            </w:r>
            <w:r w:rsidRPr="005C499C">
              <w:rPr>
                <w:webHidden/>
              </w:rPr>
            </w:r>
            <w:r w:rsidRPr="005C499C">
              <w:rPr>
                <w:webHidden/>
              </w:rPr>
              <w:fldChar w:fldCharType="separate"/>
            </w:r>
            <w:r w:rsidR="00F03833">
              <w:rPr>
                <w:webHidden/>
              </w:rPr>
              <w:t>49</w:t>
            </w:r>
            <w:r w:rsidRPr="005C499C">
              <w:rPr>
                <w:webHidden/>
              </w:rPr>
              <w:fldChar w:fldCharType="end"/>
            </w:r>
          </w:hyperlink>
        </w:p>
        <w:p w14:paraId="07A802D7" w14:textId="3B542B5F" w:rsidR="00A54123" w:rsidRPr="005C499C" w:rsidRDefault="00A54123" w:rsidP="00A54123">
          <w:pPr>
            <w:pStyle w:val="TOC1"/>
            <w:rPr>
              <w:rFonts w:asciiTheme="minorHAnsi" w:eastAsiaTheme="minorEastAsia" w:hAnsiTheme="minorHAnsi"/>
              <w:kern w:val="0"/>
              <w:sz w:val="22"/>
              <w:szCs w:val="22"/>
              <w:lang w:eastAsia="en-US"/>
            </w:rPr>
          </w:pPr>
          <w:r w:rsidRPr="005C499C">
            <w:rPr>
              <w:rStyle w:val="Hyperlink"/>
              <w:u w:val="none"/>
            </w:rPr>
            <w:tab/>
          </w:r>
          <w:hyperlink w:anchor="_Toc185342339" w:history="1">
            <w:r w:rsidRPr="005C499C">
              <w:rPr>
                <w:rStyle w:val="Hyperlink"/>
                <w:rFonts w:cs="Times New Roman"/>
                <w:u w:val="none"/>
                <w:lang w:val="sr-Latn-RS"/>
              </w:rPr>
              <w:t>4.7. КВАЛИТЕТ ЈАВНИХ ФИНАНСИЈА</w:t>
            </w:r>
            <w:r w:rsidRPr="005C499C">
              <w:rPr>
                <w:webHidden/>
              </w:rPr>
              <w:tab/>
            </w:r>
            <w:r w:rsidRPr="005C499C">
              <w:rPr>
                <w:webHidden/>
              </w:rPr>
              <w:fldChar w:fldCharType="begin"/>
            </w:r>
            <w:r w:rsidRPr="005C499C">
              <w:rPr>
                <w:webHidden/>
              </w:rPr>
              <w:instrText xml:space="preserve"> PAGEREF _Toc185342339 \h </w:instrText>
            </w:r>
            <w:r w:rsidRPr="005C499C">
              <w:rPr>
                <w:webHidden/>
              </w:rPr>
            </w:r>
            <w:r w:rsidRPr="005C499C">
              <w:rPr>
                <w:webHidden/>
              </w:rPr>
              <w:fldChar w:fldCharType="separate"/>
            </w:r>
            <w:r w:rsidR="00F03833">
              <w:rPr>
                <w:webHidden/>
              </w:rPr>
              <w:t>62</w:t>
            </w:r>
            <w:r w:rsidRPr="005C499C">
              <w:rPr>
                <w:webHidden/>
              </w:rPr>
              <w:fldChar w:fldCharType="end"/>
            </w:r>
          </w:hyperlink>
        </w:p>
        <w:p w14:paraId="53819BEA" w14:textId="44A00B2C" w:rsidR="00A54123" w:rsidRPr="005C499C" w:rsidRDefault="00A54123" w:rsidP="00A54123">
          <w:pPr>
            <w:pStyle w:val="TOC1"/>
            <w:rPr>
              <w:rFonts w:asciiTheme="minorHAnsi" w:eastAsiaTheme="minorEastAsia" w:hAnsiTheme="minorHAnsi"/>
              <w:kern w:val="0"/>
              <w:sz w:val="22"/>
              <w:szCs w:val="22"/>
              <w:lang w:eastAsia="en-US"/>
            </w:rPr>
          </w:pPr>
          <w:r w:rsidRPr="005C499C">
            <w:rPr>
              <w:rStyle w:val="Hyperlink"/>
              <w:u w:val="none"/>
            </w:rPr>
            <w:tab/>
          </w:r>
          <w:hyperlink w:anchor="_Toc185342340" w:history="1">
            <w:r w:rsidRPr="005C499C">
              <w:rPr>
                <w:rStyle w:val="Hyperlink"/>
                <w:rFonts w:cs="Times New Roman"/>
                <w:u w:val="none"/>
                <w:lang w:val="sr-Latn-RS"/>
              </w:rPr>
              <w:t>4.8. ФИСКАЛНО УПРАВЉАЊЕ И БУЏЕТСКИ ОКВИРИ</w:t>
            </w:r>
            <w:r w:rsidRPr="005C499C">
              <w:rPr>
                <w:webHidden/>
              </w:rPr>
              <w:tab/>
            </w:r>
            <w:r w:rsidRPr="005C499C">
              <w:rPr>
                <w:webHidden/>
              </w:rPr>
              <w:fldChar w:fldCharType="begin"/>
            </w:r>
            <w:r w:rsidRPr="005C499C">
              <w:rPr>
                <w:webHidden/>
              </w:rPr>
              <w:instrText xml:space="preserve"> PAGEREF _Toc185342340 \h </w:instrText>
            </w:r>
            <w:r w:rsidRPr="005C499C">
              <w:rPr>
                <w:webHidden/>
              </w:rPr>
            </w:r>
            <w:r w:rsidRPr="005C499C">
              <w:rPr>
                <w:webHidden/>
              </w:rPr>
              <w:fldChar w:fldCharType="separate"/>
            </w:r>
            <w:r w:rsidR="00F03833">
              <w:rPr>
                <w:webHidden/>
              </w:rPr>
              <w:t>66</w:t>
            </w:r>
            <w:r w:rsidRPr="005C499C">
              <w:rPr>
                <w:webHidden/>
              </w:rPr>
              <w:fldChar w:fldCharType="end"/>
            </w:r>
          </w:hyperlink>
        </w:p>
        <w:p w14:paraId="2E47477C" w14:textId="1345BAC4" w:rsidR="00A54123" w:rsidRDefault="00F03833" w:rsidP="00A54123">
          <w:pPr>
            <w:pStyle w:val="TOC1"/>
            <w:rPr>
              <w:rFonts w:asciiTheme="minorHAnsi" w:eastAsiaTheme="minorEastAsia" w:hAnsiTheme="minorHAnsi"/>
              <w:kern w:val="0"/>
              <w:sz w:val="22"/>
              <w:szCs w:val="22"/>
              <w:lang w:eastAsia="en-US"/>
            </w:rPr>
          </w:pPr>
          <w:hyperlink w:anchor="_Toc185342341" w:history="1">
            <w:r w:rsidR="00A54123" w:rsidRPr="0029669B">
              <w:rPr>
                <w:rStyle w:val="Hyperlink"/>
                <w:rFonts w:eastAsiaTheme="minorHAnsi" w:cs="Times New Roman"/>
                <w:b/>
                <w:lang w:val="sr-Latn-RS"/>
              </w:rPr>
              <w:t>5A. УС</w:t>
            </w:r>
            <w:r w:rsidR="00A54123" w:rsidRPr="0029669B">
              <w:rPr>
                <w:rStyle w:val="Hyperlink"/>
                <w:rFonts w:eastAsiaTheme="minorHAnsi" w:cs="Times New Roman"/>
                <w:b/>
                <w:lang w:val="sr-Latn-RS"/>
              </w:rPr>
              <w:t>К</w:t>
            </w:r>
            <w:r w:rsidR="00A54123" w:rsidRPr="0029669B">
              <w:rPr>
                <w:rStyle w:val="Hyperlink"/>
                <w:rFonts w:eastAsiaTheme="minorHAnsi" w:cs="Times New Roman"/>
                <w:b/>
                <w:lang w:val="sr-Latn-RS"/>
              </w:rPr>
              <w:t>ЛАЂЕНОСТ РЕФОРМСКЕ АГЕНДЕ СА МАКРОФИСКАЛНИМ ОКВИРОМ ЕРП-А</w:t>
            </w:r>
            <w:r w:rsidR="00A54123">
              <w:rPr>
                <w:webHidden/>
              </w:rPr>
              <w:tab/>
            </w:r>
            <w:r w:rsidR="00A54123">
              <w:rPr>
                <w:webHidden/>
              </w:rPr>
              <w:fldChar w:fldCharType="begin"/>
            </w:r>
            <w:r w:rsidR="00A54123">
              <w:rPr>
                <w:webHidden/>
              </w:rPr>
              <w:instrText xml:space="preserve"> PAGEREF _Toc185342341 \h </w:instrText>
            </w:r>
            <w:r w:rsidR="00A54123">
              <w:rPr>
                <w:webHidden/>
              </w:rPr>
            </w:r>
            <w:r w:rsidR="00A54123">
              <w:rPr>
                <w:webHidden/>
              </w:rPr>
              <w:fldChar w:fldCharType="separate"/>
            </w:r>
            <w:r>
              <w:rPr>
                <w:webHidden/>
              </w:rPr>
              <w:t>68</w:t>
            </w:r>
            <w:r w:rsidR="00A54123">
              <w:rPr>
                <w:webHidden/>
              </w:rPr>
              <w:fldChar w:fldCharType="end"/>
            </w:r>
          </w:hyperlink>
        </w:p>
        <w:p w14:paraId="7F8E33F7" w14:textId="1C4BC071" w:rsidR="00A54123" w:rsidRDefault="00F03833" w:rsidP="00A54123">
          <w:pPr>
            <w:pStyle w:val="TOC1"/>
            <w:rPr>
              <w:rFonts w:asciiTheme="minorHAnsi" w:eastAsiaTheme="minorEastAsia" w:hAnsiTheme="minorHAnsi"/>
              <w:kern w:val="0"/>
              <w:sz w:val="22"/>
              <w:szCs w:val="22"/>
              <w:lang w:eastAsia="en-US"/>
            </w:rPr>
          </w:pPr>
          <w:hyperlink w:anchor="_Toc185342342" w:history="1">
            <w:r w:rsidR="00A54123" w:rsidRPr="0029669B">
              <w:rPr>
                <w:rStyle w:val="Hyperlink"/>
                <w:rFonts w:eastAsiaTheme="minorHAnsi" w:cs="Times New Roman"/>
                <w:b/>
                <w:lang w:val="sr-Latn-RS"/>
              </w:rPr>
              <w:t>6. ИНСТИТУЦИОНАЛНА ПИТАЊА И УКЉУЧИВАЊЕ ЗАИНТЕРЕСОВАНИХ СТРАНА</w:t>
            </w:r>
            <w:r w:rsidR="00A54123">
              <w:rPr>
                <w:webHidden/>
              </w:rPr>
              <w:tab/>
            </w:r>
            <w:r w:rsidR="00A54123">
              <w:rPr>
                <w:webHidden/>
              </w:rPr>
              <w:fldChar w:fldCharType="begin"/>
            </w:r>
            <w:r w:rsidR="00A54123">
              <w:rPr>
                <w:webHidden/>
              </w:rPr>
              <w:instrText xml:space="preserve"> PAGEREF _Toc185342342 \h </w:instrText>
            </w:r>
            <w:r w:rsidR="00A54123">
              <w:rPr>
                <w:webHidden/>
              </w:rPr>
            </w:r>
            <w:r w:rsidR="00A54123">
              <w:rPr>
                <w:webHidden/>
              </w:rPr>
              <w:fldChar w:fldCharType="separate"/>
            </w:r>
            <w:r>
              <w:rPr>
                <w:webHidden/>
              </w:rPr>
              <w:t>74</w:t>
            </w:r>
            <w:r w:rsidR="00A54123">
              <w:rPr>
                <w:webHidden/>
              </w:rPr>
              <w:fldChar w:fldCharType="end"/>
            </w:r>
          </w:hyperlink>
          <w:r w:rsidR="00A54123">
            <w:t>4</w:t>
          </w:r>
        </w:p>
        <w:p w14:paraId="0D6C755B" w14:textId="431E7931" w:rsidR="00A54123" w:rsidRDefault="00F03833" w:rsidP="00A54123">
          <w:pPr>
            <w:pStyle w:val="TOC1"/>
            <w:rPr>
              <w:rFonts w:asciiTheme="minorHAnsi" w:eastAsiaTheme="minorEastAsia" w:hAnsiTheme="minorHAnsi"/>
              <w:kern w:val="0"/>
              <w:sz w:val="22"/>
              <w:szCs w:val="22"/>
              <w:lang w:eastAsia="en-US"/>
            </w:rPr>
          </w:pPr>
          <w:hyperlink w:anchor="_Toc185342343" w:history="1">
            <w:r w:rsidR="00A54123" w:rsidRPr="0029669B">
              <w:rPr>
                <w:rStyle w:val="Hyperlink"/>
                <w:rFonts w:eastAsiaTheme="minorHAnsi" w:cs="Times New Roman"/>
                <w:b/>
                <w:lang w:val="sr-Latn-RS"/>
              </w:rPr>
              <w:t>АНЕКС 1: Табеле 1 – 8</w:t>
            </w:r>
            <w:r w:rsidR="00A54123">
              <w:rPr>
                <w:webHidden/>
              </w:rPr>
              <w:tab/>
            </w:r>
            <w:r w:rsidR="00A54123">
              <w:rPr>
                <w:webHidden/>
              </w:rPr>
              <w:fldChar w:fldCharType="begin"/>
            </w:r>
            <w:r w:rsidR="00A54123">
              <w:rPr>
                <w:webHidden/>
              </w:rPr>
              <w:instrText xml:space="preserve"> PAGEREF _Toc185342343 \h </w:instrText>
            </w:r>
            <w:r w:rsidR="00A54123">
              <w:rPr>
                <w:webHidden/>
              </w:rPr>
            </w:r>
            <w:r w:rsidR="00A54123">
              <w:rPr>
                <w:webHidden/>
              </w:rPr>
              <w:fldChar w:fldCharType="separate"/>
            </w:r>
            <w:r>
              <w:rPr>
                <w:webHidden/>
              </w:rPr>
              <w:t>75</w:t>
            </w:r>
            <w:r w:rsidR="00A54123">
              <w:rPr>
                <w:webHidden/>
              </w:rPr>
              <w:fldChar w:fldCharType="end"/>
            </w:r>
          </w:hyperlink>
        </w:p>
        <w:p w14:paraId="14DEE9D2" w14:textId="6B05E79C" w:rsidR="00A54123" w:rsidRDefault="00F03833" w:rsidP="00A54123">
          <w:pPr>
            <w:pStyle w:val="TOC1"/>
            <w:rPr>
              <w:rFonts w:asciiTheme="minorHAnsi" w:eastAsiaTheme="minorEastAsia" w:hAnsiTheme="minorHAnsi"/>
              <w:kern w:val="0"/>
              <w:sz w:val="22"/>
              <w:szCs w:val="22"/>
              <w:lang w:eastAsia="en-US"/>
            </w:rPr>
          </w:pPr>
          <w:hyperlink w:anchor="_Toc185342430" w:history="1">
            <w:r w:rsidR="00A54123" w:rsidRPr="0029669B">
              <w:rPr>
                <w:rStyle w:val="Hyperlink"/>
                <w:rFonts w:eastAsiaTheme="minorHAnsi" w:cs="Times New Roman"/>
                <w:b/>
                <w:lang w:val="sr-Latn-RS"/>
              </w:rPr>
              <w:t>АКС 2: СПОЉН</w:t>
            </w:r>
            <w:r w:rsidR="00A54123" w:rsidRPr="0029669B">
              <w:rPr>
                <w:rStyle w:val="Hyperlink"/>
                <w:rFonts w:eastAsiaTheme="minorHAnsi" w:cs="Times New Roman"/>
                <w:b/>
                <w:lang w:val="sr-Latn-RS"/>
              </w:rPr>
              <w:t>И</w:t>
            </w:r>
            <w:r w:rsidR="00A54123" w:rsidRPr="0029669B">
              <w:rPr>
                <w:rStyle w:val="Hyperlink"/>
                <w:rFonts w:eastAsiaTheme="minorHAnsi" w:cs="Times New Roman"/>
                <w:b/>
                <w:lang w:val="sr-Latn-RS"/>
              </w:rPr>
              <w:t xml:space="preserve"> ДОПРИНОС ЕРП 2025-2027</w:t>
            </w:r>
            <w:r w:rsidR="00A54123">
              <w:rPr>
                <w:webHidden/>
              </w:rPr>
              <w:tab/>
            </w:r>
            <w:r w:rsidR="00A54123">
              <w:rPr>
                <w:webHidden/>
              </w:rPr>
              <w:fldChar w:fldCharType="begin"/>
            </w:r>
            <w:r w:rsidR="00A54123">
              <w:rPr>
                <w:webHidden/>
              </w:rPr>
              <w:instrText xml:space="preserve"> PAGEREF _Toc185342430 \h </w:instrText>
            </w:r>
            <w:r w:rsidR="00A54123">
              <w:rPr>
                <w:webHidden/>
              </w:rPr>
            </w:r>
            <w:r w:rsidR="00A54123">
              <w:rPr>
                <w:webHidden/>
              </w:rPr>
              <w:fldChar w:fldCharType="separate"/>
            </w:r>
            <w:r>
              <w:rPr>
                <w:webHidden/>
              </w:rPr>
              <w:t>103</w:t>
            </w:r>
            <w:r w:rsidR="00A54123">
              <w:rPr>
                <w:webHidden/>
              </w:rPr>
              <w:fldChar w:fldCharType="end"/>
            </w:r>
          </w:hyperlink>
        </w:p>
        <w:p w14:paraId="46BCD4E3" w14:textId="77777777" w:rsidR="00A54123" w:rsidRDefault="00A54123" w:rsidP="00A54123">
          <w:pPr>
            <w:rPr>
              <w:b/>
              <w:bCs/>
              <w:noProof/>
            </w:rPr>
          </w:pPr>
          <w:r>
            <w:rPr>
              <w:b/>
              <w:bCs/>
              <w:noProof/>
            </w:rPr>
            <w:fldChar w:fldCharType="end"/>
          </w:r>
        </w:p>
      </w:sdtContent>
    </w:sdt>
    <w:p w14:paraId="0302CC6C" w14:textId="7FE5724C" w:rsidR="00A54123" w:rsidRDefault="00A54123" w:rsidP="00E25CAC">
      <w:pPr>
        <w:pStyle w:val="Heading1"/>
        <w:spacing w:before="0" w:after="240"/>
        <w:rPr>
          <w:rFonts w:ascii="Times New Roman" w:eastAsiaTheme="minorHAnsi" w:hAnsi="Times New Roman" w:cs="Times New Roman"/>
          <w:b/>
          <w:color w:val="auto"/>
          <w:sz w:val="24"/>
          <w:szCs w:val="24"/>
          <w:lang w:val="sr-Latn-RS"/>
        </w:rPr>
      </w:pPr>
    </w:p>
    <w:p w14:paraId="205EBF94" w14:textId="2666A789" w:rsidR="00A54123" w:rsidRDefault="00A54123" w:rsidP="00A54123">
      <w:pPr>
        <w:rPr>
          <w:lang w:val="sr-Latn-RS"/>
        </w:rPr>
      </w:pPr>
    </w:p>
    <w:p w14:paraId="4B36099C" w14:textId="77777777" w:rsidR="00A54123" w:rsidRPr="00A54123" w:rsidRDefault="00A54123" w:rsidP="00A54123">
      <w:pPr>
        <w:rPr>
          <w:lang w:val="sr-Latn-RS"/>
        </w:rPr>
      </w:pPr>
    </w:p>
    <w:p w14:paraId="7A0F1CB3" w14:textId="77777777" w:rsidR="00A54123" w:rsidRDefault="00A54123" w:rsidP="00E25CAC">
      <w:pPr>
        <w:pStyle w:val="Heading1"/>
        <w:spacing w:before="0" w:after="240"/>
        <w:rPr>
          <w:rFonts w:ascii="Times New Roman" w:eastAsiaTheme="minorHAnsi" w:hAnsi="Times New Roman" w:cs="Times New Roman"/>
          <w:b/>
          <w:color w:val="auto"/>
          <w:sz w:val="24"/>
          <w:szCs w:val="24"/>
          <w:lang w:val="sr-Latn-RS"/>
        </w:rPr>
      </w:pPr>
    </w:p>
    <w:p w14:paraId="1B6B667B" w14:textId="77777777" w:rsidR="00A54123" w:rsidRDefault="00A54123" w:rsidP="00E25CAC">
      <w:pPr>
        <w:pStyle w:val="Heading1"/>
        <w:spacing w:before="0" w:after="240"/>
        <w:rPr>
          <w:rFonts w:ascii="Times New Roman" w:eastAsiaTheme="minorHAnsi" w:hAnsi="Times New Roman" w:cs="Times New Roman"/>
          <w:b/>
          <w:color w:val="auto"/>
          <w:sz w:val="24"/>
          <w:szCs w:val="24"/>
          <w:lang w:val="sr-Latn-RS"/>
        </w:rPr>
      </w:pPr>
    </w:p>
    <w:p w14:paraId="3A1BF9BB" w14:textId="3E56A9AF" w:rsidR="00A54123" w:rsidRDefault="00A54123" w:rsidP="00E25CAC">
      <w:pPr>
        <w:pStyle w:val="Heading1"/>
        <w:spacing w:before="0" w:after="240"/>
        <w:rPr>
          <w:rFonts w:ascii="Times New Roman" w:eastAsiaTheme="minorHAnsi" w:hAnsi="Times New Roman" w:cs="Times New Roman"/>
          <w:b/>
          <w:color w:val="auto"/>
          <w:sz w:val="24"/>
          <w:szCs w:val="24"/>
          <w:lang w:val="sr-Latn-RS"/>
        </w:rPr>
      </w:pPr>
    </w:p>
    <w:p w14:paraId="1DB88022" w14:textId="178310EC" w:rsidR="00A54123" w:rsidRDefault="00A54123" w:rsidP="00A54123">
      <w:pPr>
        <w:rPr>
          <w:lang w:val="sr-Latn-RS"/>
        </w:rPr>
      </w:pPr>
    </w:p>
    <w:p w14:paraId="1A2CF538" w14:textId="77777777" w:rsidR="00A54123" w:rsidRPr="00A54123" w:rsidRDefault="00A54123" w:rsidP="00A54123">
      <w:pPr>
        <w:rPr>
          <w:lang w:val="sr-Latn-RS"/>
        </w:rPr>
      </w:pPr>
    </w:p>
    <w:p w14:paraId="650CB9E3" w14:textId="77777777" w:rsidR="009F2623" w:rsidRDefault="009F2623" w:rsidP="00E25CAC">
      <w:pPr>
        <w:pStyle w:val="Heading1"/>
        <w:spacing w:before="0" w:after="240"/>
        <w:rPr>
          <w:rFonts w:ascii="Times New Roman" w:eastAsiaTheme="minorHAnsi" w:hAnsi="Times New Roman" w:cs="Times New Roman"/>
          <w:b/>
          <w:color w:val="auto"/>
          <w:sz w:val="24"/>
          <w:szCs w:val="24"/>
          <w:lang w:val="sr-Latn-RS"/>
        </w:rPr>
        <w:sectPr w:rsidR="009F2623" w:rsidSect="009F2623">
          <w:footerReference w:type="default" r:id="rId8"/>
          <w:footerReference w:type="first" r:id="rId9"/>
          <w:pgSz w:w="11906" w:h="16838" w:code="9"/>
          <w:pgMar w:top="1440" w:right="1440" w:bottom="1440" w:left="1440" w:header="720" w:footer="720" w:gutter="0"/>
          <w:cols w:space="720"/>
          <w:titlePg/>
          <w:docGrid w:linePitch="360"/>
        </w:sectPr>
      </w:pPr>
    </w:p>
    <w:p w14:paraId="28221DAF" w14:textId="0BB62095" w:rsidR="00AD7E7D" w:rsidRPr="00E25CAC" w:rsidRDefault="00A8098E" w:rsidP="00E25CAC">
      <w:pPr>
        <w:pStyle w:val="Heading1"/>
        <w:spacing w:before="0" w:after="240"/>
        <w:rPr>
          <w:rFonts w:ascii="Times New Roman" w:eastAsiaTheme="minorHAnsi" w:hAnsi="Times New Roman" w:cs="Times New Roman"/>
          <w:b/>
          <w:color w:val="auto"/>
          <w:sz w:val="24"/>
          <w:szCs w:val="24"/>
          <w:lang w:val="sr-Latn-RS"/>
        </w:rPr>
      </w:pPr>
      <w:r w:rsidRPr="00E25CAC">
        <w:rPr>
          <w:rFonts w:ascii="Times New Roman" w:eastAsiaTheme="minorHAnsi" w:hAnsi="Times New Roman" w:cs="Times New Roman"/>
          <w:b/>
          <w:color w:val="auto"/>
          <w:sz w:val="24"/>
          <w:szCs w:val="24"/>
          <w:lang w:val="sr-Latn-RS"/>
        </w:rPr>
        <w:lastRenderedPageBreak/>
        <w:t>1</w:t>
      </w:r>
      <w:r w:rsidR="00AA1BAE" w:rsidRPr="00E25CAC">
        <w:rPr>
          <w:rFonts w:ascii="Times New Roman" w:eastAsiaTheme="minorHAnsi" w:hAnsi="Times New Roman" w:cs="Times New Roman"/>
          <w:b/>
          <w:color w:val="auto"/>
          <w:sz w:val="24"/>
          <w:szCs w:val="24"/>
          <w:lang w:val="sr-Latn-RS"/>
        </w:rPr>
        <w:t xml:space="preserve">. </w:t>
      </w:r>
      <w:r w:rsidR="00AD7E7D" w:rsidRPr="00E25CAC">
        <w:rPr>
          <w:rFonts w:ascii="Times New Roman" w:eastAsiaTheme="minorHAnsi" w:hAnsi="Times New Roman" w:cs="Times New Roman"/>
          <w:b/>
          <w:color w:val="auto"/>
          <w:sz w:val="24"/>
          <w:szCs w:val="24"/>
          <w:lang w:val="sr-Latn-RS"/>
        </w:rPr>
        <w:t>ОПШТИ ОКВИР И ГЛАВНИ ЦИЉЕВИ И СМЕРНИЦЕ ЕКОНОМСКЕ ПОЛИТИКЕ</w:t>
      </w:r>
      <w:bookmarkEnd w:id="2"/>
      <w:r w:rsidR="00AD7E7D" w:rsidRPr="00E25CAC">
        <w:rPr>
          <w:rFonts w:ascii="Times New Roman" w:eastAsiaTheme="minorHAnsi" w:hAnsi="Times New Roman" w:cs="Times New Roman"/>
          <w:b/>
          <w:color w:val="auto"/>
          <w:sz w:val="24"/>
          <w:szCs w:val="24"/>
          <w:lang w:val="sr-Latn-RS"/>
        </w:rPr>
        <w:t xml:space="preserve"> </w:t>
      </w:r>
    </w:p>
    <w:p w14:paraId="3FD983B0" w14:textId="77777777" w:rsidR="00E45F6A" w:rsidRPr="00AD7E7D" w:rsidRDefault="00E45F6A" w:rsidP="00E45F6A">
      <w:pPr>
        <w:rPr>
          <w:rFonts w:cs="Times New Roman"/>
          <w:szCs w:val="24"/>
          <w:lang w:val="sr-Cyrl-RS"/>
        </w:rPr>
      </w:pPr>
      <w:r w:rsidRPr="00AD7E7D">
        <w:rPr>
          <w:rFonts w:cs="Times New Roman"/>
          <w:szCs w:val="24"/>
          <w:lang w:val="sr-Cyrl-RS"/>
        </w:rPr>
        <w:t xml:space="preserve">Привредна активност у Србији показала је довољну отпорност и поред изазовног глобалног и регионалног окружења. Кумулативни раст бруто домаћег производа (у даљем тексту: БДП) од 18,3% у периоду од 2020. до 2024. године у великој мери је подржан домаћом тражњом, инвестицијама у кључне инфраструктурне секторе и стабилизацијом инфлације, која се сада налази у оквиру циљаног опсега Народне банке Србије. Макроекономска кретања у 2024. години у складу су са </w:t>
      </w:r>
      <w:r w:rsidR="004D230C" w:rsidRPr="00AD7E7D">
        <w:rPr>
          <w:rFonts w:cs="Times New Roman"/>
          <w:szCs w:val="24"/>
          <w:lang w:val="sr-Cyrl-RS"/>
        </w:rPr>
        <w:t>претходним очекивањима</w:t>
      </w:r>
      <w:r w:rsidRPr="00AD7E7D">
        <w:rPr>
          <w:rFonts w:cs="Times New Roman"/>
          <w:szCs w:val="24"/>
          <w:lang w:val="sr-Cyrl-RS"/>
        </w:rPr>
        <w:t>. Према прелиминарним проценама, привредни раст у 2024. години износиће 3,8%, тржиште рада је стабилно, а инф</w:t>
      </w:r>
      <w:r w:rsidR="007C7833" w:rsidRPr="00AD7E7D">
        <w:rPr>
          <w:rFonts w:cs="Times New Roman"/>
          <w:szCs w:val="24"/>
          <w:lang w:val="sr-Cyrl-RS"/>
        </w:rPr>
        <w:t>лација је на опадајућој путањи.</w:t>
      </w:r>
    </w:p>
    <w:p w14:paraId="169DCADC" w14:textId="77777777" w:rsidR="00E45F6A" w:rsidRPr="00AD7E7D" w:rsidRDefault="00E45F6A" w:rsidP="00E45F6A">
      <w:pPr>
        <w:rPr>
          <w:rFonts w:cs="Times New Roman"/>
          <w:szCs w:val="24"/>
          <w:lang w:val="sr-Cyrl-RS"/>
        </w:rPr>
      </w:pPr>
      <w:r w:rsidRPr="00AD7E7D">
        <w:rPr>
          <w:rFonts w:cs="Times New Roman"/>
          <w:szCs w:val="24"/>
          <w:lang w:val="sr-Cyrl-RS"/>
        </w:rPr>
        <w:t>Главни приоритет Владе Републике Србије остаје одржавање макроекономске стабилности, уз стварање услова за динамичнији економски развој у будућности. Овај циљ се остварује кроз стратешка јавна улагања у инфраструктуру, модернизацију индустрије и транзицију ка зеленој економији. Упркос изазовима и израженој глобалној фрагментацији, Србија је успела да очува макроекономску стабилност захваљујући диверсификацији производње и извоза и значајном приливу страних директних инвестиција (у даљем тексту: СДИ). Финансијски систем Србије је сигуран, са инвестиционим кредитним рејтингом, уз значајне заштитне механизме, укључујући високе девизне резерве, депозите јавног сектора и низак јавни дуг у поређењу са европским просеком.</w:t>
      </w:r>
    </w:p>
    <w:p w14:paraId="3E7C1E2F" w14:textId="77777777" w:rsidR="00E45F6A" w:rsidRPr="00AD7E7D" w:rsidRDefault="00E45F6A" w:rsidP="00E45F6A">
      <w:pPr>
        <w:rPr>
          <w:rFonts w:cs="Times New Roman"/>
          <w:szCs w:val="24"/>
          <w:lang w:val="sr-Cyrl-RS"/>
        </w:rPr>
      </w:pPr>
      <w:r w:rsidRPr="00AD7E7D">
        <w:rPr>
          <w:rFonts w:cs="Times New Roman"/>
          <w:szCs w:val="24"/>
          <w:lang w:val="sr-Cyrl-RS"/>
        </w:rPr>
        <w:t>У средњем року очекујемо убрзање раста. Основни сценарио макроекономских кретања предвиђа просечни годишњи раст привреде од 4,4%. Према средњорочној макроекономској пројекцији кумулативна стопа раста у периоду од 2025. до 2027. године износиће 13,7%. Раст ће бити вођен домаћом тражњом. Даљи раст запослености и зарада подржаће приватну потрошњу, док ће инвестициони раст бити подстакнут реализацијом пројеката у секторима транспорта, енергетике и комуналне инфраструктуре. Значајне јавне инвестиције предвиђене су програмом „Скок у будућност – Србија 2027” посебно уочи домаћинства Специјализованој светској изложби 2027. године са темом „Игра за човечанство: спорт и музика за све”.</w:t>
      </w:r>
    </w:p>
    <w:p w14:paraId="3A9EB6C2" w14:textId="2316CEAA" w:rsidR="00E45F6A" w:rsidRPr="00AD7E7D" w:rsidRDefault="00E45F6A" w:rsidP="00E45F6A">
      <w:pPr>
        <w:rPr>
          <w:rFonts w:cs="Times New Roman"/>
          <w:szCs w:val="24"/>
          <w:lang w:val="sr-Cyrl-RS"/>
        </w:rPr>
      </w:pPr>
      <w:r w:rsidRPr="00AD7E7D">
        <w:rPr>
          <w:rFonts w:cs="Times New Roman"/>
          <w:szCs w:val="24"/>
          <w:lang w:val="sr-Cyrl-RS"/>
        </w:rPr>
        <w:t xml:space="preserve">Влада Републике Србије посвећена је одржању фискалне дисциплине у средњем року. Циљани фискални дефицити у наредним годинама обезбеђују опадајућу путању јавног дуга. Предвиђени фискални дефицит у наредном средњорочном периоду, износи 3,0 одсто БДП, отварајући простор за финансирање важних инвестиционих пројеката у оквиру развојног плана „Скок у будућност – Србија 2027”, као и финансирање јачања националне безбедности. Програм „Скок у будућност – Србија 2027” представља централни оквир за убрзану модернизацију инфраструктуре, са циљем да Србија постане кључна дестинација за инвестиције у областима као што су енергетика, транспорт и дигитализација. </w:t>
      </w:r>
      <w:r w:rsidR="0022336F">
        <w:rPr>
          <w:rFonts w:cs="Times New Roman"/>
          <w:szCs w:val="24"/>
          <w:lang w:val="sr-Cyrl-RS"/>
        </w:rPr>
        <w:t>Д</w:t>
      </w:r>
      <w:r w:rsidRPr="00AD7E7D">
        <w:rPr>
          <w:rFonts w:cs="Times New Roman"/>
          <w:szCs w:val="24"/>
          <w:lang w:val="sr-Cyrl-RS"/>
        </w:rPr>
        <w:t>уг сектора државе на крају средњорочног периода износиће 46,5% БДП. Како би се у потпуности реализовао инвестициони циклус примена компоненте ограничења фискалног дефицита у оквиру фискалног правила одлаже се до 2029. године.</w:t>
      </w:r>
    </w:p>
    <w:p w14:paraId="75D60777" w14:textId="77777777" w:rsidR="00E45F6A" w:rsidRPr="00AD7E7D" w:rsidRDefault="00E45F6A" w:rsidP="00E45F6A">
      <w:pPr>
        <w:rPr>
          <w:rFonts w:cs="Times New Roman"/>
          <w:szCs w:val="24"/>
          <w:lang w:val="sr-Cyrl-RS"/>
        </w:rPr>
      </w:pPr>
      <w:r w:rsidRPr="00AD7E7D">
        <w:rPr>
          <w:rFonts w:cs="Times New Roman"/>
          <w:szCs w:val="24"/>
          <w:lang w:val="sr-Cyrl-RS"/>
        </w:rPr>
        <w:t>Привреда Србије, као и економије других земаља у региону са сличним нивоом развоја, суочава се са бројним неизвесн</w:t>
      </w:r>
      <w:r w:rsidR="008430DE" w:rsidRPr="00AD7E7D">
        <w:rPr>
          <w:rFonts w:cs="Times New Roman"/>
          <w:szCs w:val="24"/>
          <w:lang w:val="sr-Cyrl-RS"/>
        </w:rPr>
        <w:t xml:space="preserve">остима. Ипак, ризици пројекцијe </w:t>
      </w:r>
      <w:r w:rsidRPr="00AD7E7D">
        <w:rPr>
          <w:rFonts w:cs="Times New Roman"/>
          <w:szCs w:val="24"/>
          <w:lang w:val="sr-Cyrl-RS"/>
        </w:rPr>
        <w:t xml:space="preserve">оцењени су као уравнотежени. Главни ризици на међународном плану укључују неизвесност глобалног раста, продужено присуство базне инфлације и даље рестриктивне мере монетарне политике водећих централних банака. Додатни фактори ризика су геополитичке тензије и цене енергената и сировина. У ширем контексту, геополитичка фрагментација и зелена транзиција представљају и изазове и могућности за дубљу интеграцију Србије у </w:t>
      </w:r>
      <w:r w:rsidRPr="00AD7E7D">
        <w:rPr>
          <w:rFonts w:cs="Times New Roman"/>
          <w:szCs w:val="24"/>
          <w:lang w:val="sr-Cyrl-RS"/>
        </w:rPr>
        <w:lastRenderedPageBreak/>
        <w:t xml:space="preserve">европске и глобалне економске токове. Србија ће наставити да јача своје трговинске и инвестиционе односе са Европском унијом и другим значајним партнерима, унапређујући продуктивност у кључним секторима попут производње, ИКТ и енергетике. </w:t>
      </w:r>
    </w:p>
    <w:p w14:paraId="2EE95C03" w14:textId="77777777" w:rsidR="00056C94" w:rsidRDefault="00E45F6A" w:rsidP="00AD7E7D">
      <w:pPr>
        <w:spacing w:after="240"/>
        <w:rPr>
          <w:rFonts w:cs="Times New Roman"/>
          <w:szCs w:val="24"/>
          <w:lang w:val="sr-Cyrl-RS"/>
        </w:rPr>
      </w:pPr>
      <w:r w:rsidRPr="00AD7E7D">
        <w:rPr>
          <w:rFonts w:cs="Times New Roman"/>
          <w:szCs w:val="24"/>
          <w:lang w:val="sr-Cyrl-RS"/>
        </w:rPr>
        <w:t>Србија има значајне резерве за заштиту од неизвесности. Високе девизне резерве и депозити јавног сектора, релативно низак јавни дуг, одрживе динамике спољног и јавног дуга, као и добро капитализован и ликвидан банкарски систем представљају добру резерву у случају реализације појединих негативних ризика. Такође, Србија је атрактивна дестинација за СДИ, што одражава њену снажну макроекономску позицију. Аранжман из предострожности са Међународним монетарним фондом пружа додатну сигурност кроз дефинисање адекватних економских политика и структурних реформи у циљу бржег привредног раста и јачања отпорности привреде. По окончању тренутног аранжмана, договорен је наставак сарадње кроз Инструмент за координацију политика (PCI) који ће бити нефинансијског карактера и који ће трајати наредне три године. Нови аранжман је јасан сигнал да је економска политика у средњем року усмерена ка убрзаном расту, развоју и модернизацији, уз очување макроекономске стабилности.</w:t>
      </w:r>
      <w:r w:rsidR="00056C94">
        <w:rPr>
          <w:rFonts w:cs="Times New Roman"/>
          <w:szCs w:val="24"/>
          <w:lang w:val="sr-Cyrl-RS"/>
        </w:rPr>
        <w:br w:type="page"/>
      </w:r>
    </w:p>
    <w:p w14:paraId="497BBBA0" w14:textId="77777777" w:rsidR="00A8098E" w:rsidRPr="00E25CAC" w:rsidRDefault="00AD7E7D" w:rsidP="00E25CAC">
      <w:pPr>
        <w:pStyle w:val="Heading1"/>
        <w:spacing w:after="240"/>
        <w:rPr>
          <w:rFonts w:ascii="Times New Roman" w:eastAsiaTheme="minorHAnsi" w:hAnsi="Times New Roman" w:cs="Times New Roman"/>
          <w:b/>
          <w:color w:val="auto"/>
          <w:sz w:val="24"/>
          <w:szCs w:val="24"/>
          <w:lang w:val="sr-Latn-RS"/>
        </w:rPr>
      </w:pPr>
      <w:bookmarkStart w:id="3" w:name="_Toc185342326"/>
      <w:r w:rsidRPr="00E25CAC">
        <w:rPr>
          <w:rFonts w:ascii="Times New Roman" w:eastAsiaTheme="minorHAnsi" w:hAnsi="Times New Roman" w:cs="Times New Roman"/>
          <w:b/>
          <w:color w:val="auto"/>
          <w:sz w:val="24"/>
          <w:szCs w:val="24"/>
          <w:lang w:val="sr-Latn-RS"/>
        </w:rPr>
        <w:lastRenderedPageBreak/>
        <w:t>2</w:t>
      </w:r>
      <w:r w:rsidR="00A8098E" w:rsidRPr="00E25CAC">
        <w:rPr>
          <w:rFonts w:ascii="Times New Roman" w:eastAsiaTheme="minorHAnsi" w:hAnsi="Times New Roman" w:cs="Times New Roman"/>
          <w:b/>
          <w:color w:val="auto"/>
          <w:sz w:val="24"/>
          <w:szCs w:val="24"/>
          <w:lang w:val="sr-Latn-RS"/>
        </w:rPr>
        <w:t>. СПРОВОЂЕЊЕ ПРЕПОРУКА</w:t>
      </w:r>
      <w:bookmarkEnd w:id="3"/>
    </w:p>
    <w:p w14:paraId="2AD9CF7B" w14:textId="77777777" w:rsidR="00A8098E" w:rsidRPr="00AD7E7D" w:rsidRDefault="00A8098E" w:rsidP="00AD7E7D">
      <w:pPr>
        <w:spacing w:after="180"/>
        <w:rPr>
          <w:rFonts w:eastAsia="Calibri" w:cs="Times New Roman"/>
          <w:szCs w:val="24"/>
          <w:lang w:val="sr-Cyrl-RS"/>
        </w:rPr>
      </w:pPr>
      <w:r w:rsidRPr="00AD7E7D">
        <w:rPr>
          <w:rFonts w:eastAsia="Calibri" w:cs="Times New Roman"/>
          <w:szCs w:val="24"/>
          <w:lang w:val="sr-Cyrl-RS"/>
        </w:rPr>
        <w:t>Испуњење Препорука (Policy Guidance – PG) за појединачне политике као део Заједничких закључака, у вези са Програмом економских реформи (ЕРП) 2025-2027, који су усвојени на састанку Савета Европске уније за економска и финансијска питања (ECOFIN Савет), одржаном у јуну 2024. године у Бриселу, у оквиру „Економског и финансијског дијалога између Европске уније и Западног Балкана и Турске”, рефлектују се у бројним реформск</w:t>
      </w:r>
      <w:r w:rsidR="00AD7E7D" w:rsidRPr="00AD7E7D">
        <w:rPr>
          <w:rFonts w:eastAsia="Calibri" w:cs="Times New Roman"/>
          <w:szCs w:val="24"/>
          <w:lang w:val="sr-Cyrl-RS"/>
        </w:rPr>
        <w:t>им мерама и активностима Владе.</w:t>
      </w:r>
    </w:p>
    <w:p w14:paraId="00F959CF" w14:textId="77777777" w:rsidR="00A8098E" w:rsidRPr="00AD7E7D" w:rsidRDefault="00A8098E" w:rsidP="00AD7E7D">
      <w:pPr>
        <w:spacing w:after="180"/>
        <w:rPr>
          <w:rFonts w:eastAsia="Calibri" w:cs="Times New Roman"/>
          <w:b/>
          <w:szCs w:val="24"/>
          <w:lang w:val="sr-Cyrl-RS"/>
        </w:rPr>
      </w:pPr>
      <w:r w:rsidRPr="00AD7E7D">
        <w:rPr>
          <w:rFonts w:eastAsia="Calibri" w:cs="Times New Roman"/>
          <w:b/>
          <w:szCs w:val="24"/>
          <w:lang w:val="sr-Cyrl-RS"/>
        </w:rPr>
        <w:t>Испуњење Препорука ЕКОФИН Савета из</w:t>
      </w:r>
      <w:r w:rsidR="00AD7E7D" w:rsidRPr="00AD7E7D">
        <w:rPr>
          <w:rFonts w:eastAsia="Calibri" w:cs="Times New Roman"/>
          <w:b/>
          <w:szCs w:val="24"/>
          <w:lang w:val="sr-Cyrl-RS"/>
        </w:rPr>
        <w:t xml:space="preserve"> јуна 2024. за Републику Србију</w:t>
      </w:r>
    </w:p>
    <w:p w14:paraId="78F70F8C" w14:textId="77777777" w:rsidR="00A8098E" w:rsidRPr="00AD7E7D" w:rsidRDefault="00A8098E" w:rsidP="00AD7E7D">
      <w:pPr>
        <w:rPr>
          <w:rFonts w:eastAsia="Calibri" w:cs="Times New Roman"/>
          <w:i/>
          <w:szCs w:val="24"/>
        </w:rPr>
      </w:pPr>
      <w:r w:rsidRPr="00AD7E7D">
        <w:rPr>
          <w:rFonts w:eastAsia="Calibri" w:cs="Times New Roman"/>
          <w:i/>
          <w:szCs w:val="24"/>
        </w:rPr>
        <w:t>- Задрж</w:t>
      </w:r>
      <w:r w:rsidRPr="00AD7E7D">
        <w:rPr>
          <w:rFonts w:eastAsia="Calibri" w:cs="Times New Roman"/>
          <w:i/>
          <w:szCs w:val="24"/>
          <w:lang w:val="sr-Cyrl-RS"/>
        </w:rPr>
        <w:t xml:space="preserve">ати </w:t>
      </w:r>
      <w:r w:rsidRPr="00AD7E7D">
        <w:rPr>
          <w:rFonts w:eastAsia="Calibri" w:cs="Times New Roman"/>
          <w:i/>
          <w:szCs w:val="24"/>
        </w:rPr>
        <w:t>чврст фискални став у 2024. како би се помогла дезинфлација и стриктно се придржавати нових фискалних правила како би се побољшао њихов кредибилитет.</w:t>
      </w:r>
    </w:p>
    <w:p w14:paraId="391C544A" w14:textId="77777777" w:rsidR="00A8098E" w:rsidRPr="00AD7E7D" w:rsidRDefault="00A8098E" w:rsidP="00AD7E7D">
      <w:pPr>
        <w:rPr>
          <w:rFonts w:eastAsia="Calibri" w:cs="Times New Roman"/>
          <w:szCs w:val="24"/>
        </w:rPr>
      </w:pPr>
      <w:r w:rsidRPr="00AD7E7D">
        <w:rPr>
          <w:rFonts w:eastAsia="Calibri" w:cs="Times New Roman"/>
          <w:szCs w:val="24"/>
        </w:rPr>
        <w:t xml:space="preserve">Влада Републике Србије је посвећена одржавању фискалне дисциплине у средњем року. Циљани фискални дефицити у наредним годинама осигуравају опадајућу путању јавног дуга. Предвиђени фискални дефицит за период 2025–2027 остаје на нивоу од 3% БДП, чиме се отвара простор за финансирање важних инвестиционих пројеката у оквиру развојног плана „Скок у будућност – Србија 2027“, као и за финансирање јачања националне безбедности. </w:t>
      </w:r>
    </w:p>
    <w:p w14:paraId="0EDA6597" w14:textId="570D838C" w:rsidR="00A8098E" w:rsidRPr="00AD7E7D" w:rsidRDefault="00A8098E" w:rsidP="00AD7E7D">
      <w:pPr>
        <w:spacing w:after="240"/>
        <w:rPr>
          <w:rFonts w:eastAsia="Calibri" w:cs="Times New Roman"/>
          <w:szCs w:val="24"/>
        </w:rPr>
      </w:pPr>
      <w:r w:rsidRPr="00AD7E7D">
        <w:rPr>
          <w:rFonts w:eastAsia="Calibri" w:cs="Times New Roman"/>
          <w:szCs w:val="24"/>
        </w:rPr>
        <w:t>У циљу потпуног спровођења инвестиционог циклуса, примена компоненте ограничења фискалног дефицита у оквиру фискалног правила ће бити одложена, с обзиром на опадајућу путању јавног дуга. Процењује се да ће дуг државе на крају средњорочног периода износити 4</w:t>
      </w:r>
      <w:r w:rsidR="0022336F">
        <w:rPr>
          <w:rFonts w:eastAsia="Calibri" w:cs="Times New Roman"/>
          <w:szCs w:val="24"/>
          <w:lang w:val="sr-Cyrl-RS"/>
        </w:rPr>
        <w:t>6</w:t>
      </w:r>
      <w:r w:rsidRPr="00AD7E7D">
        <w:rPr>
          <w:rFonts w:eastAsia="Calibri" w:cs="Times New Roman"/>
          <w:szCs w:val="24"/>
        </w:rPr>
        <w:t>,</w:t>
      </w:r>
      <w:r w:rsidR="0022336F">
        <w:rPr>
          <w:rFonts w:eastAsia="Calibri" w:cs="Times New Roman"/>
          <w:szCs w:val="24"/>
          <w:lang w:val="sr-Cyrl-RS"/>
        </w:rPr>
        <w:t>5</w:t>
      </w:r>
      <w:r w:rsidRPr="00AD7E7D">
        <w:rPr>
          <w:rFonts w:eastAsia="Calibri" w:cs="Times New Roman"/>
          <w:szCs w:val="24"/>
        </w:rPr>
        <w:t>% БДП.</w:t>
      </w:r>
      <w:r w:rsidRPr="00AD7E7D">
        <w:rPr>
          <w:rFonts w:eastAsia="Calibri" w:cs="Times New Roman"/>
          <w:szCs w:val="24"/>
          <w:lang w:val="sr-Cyrl-RS"/>
        </w:rPr>
        <w:t xml:space="preserve"> </w:t>
      </w:r>
      <w:r w:rsidRPr="00AD7E7D">
        <w:rPr>
          <w:rFonts w:eastAsia="Calibri" w:cs="Times New Roman"/>
          <w:szCs w:val="24"/>
        </w:rPr>
        <w:t xml:space="preserve">Изменом Закона о буџетском систему, </w:t>
      </w:r>
      <w:r w:rsidRPr="00AD7E7D">
        <w:rPr>
          <w:rFonts w:eastAsia="Calibri" w:cs="Times New Roman"/>
          <w:szCs w:val="24"/>
          <w:lang w:val="sr-Cyrl-RS"/>
        </w:rPr>
        <w:t xml:space="preserve">који је усвојен у новембру </w:t>
      </w:r>
      <w:r w:rsidRPr="00AD7E7D">
        <w:rPr>
          <w:rFonts w:eastAsia="Calibri" w:cs="Times New Roman"/>
          <w:szCs w:val="24"/>
        </w:rPr>
        <w:t>2024. године</w:t>
      </w:r>
      <w:r w:rsidRPr="00AD7E7D">
        <w:rPr>
          <w:rFonts w:eastAsia="Calibri" w:cs="Times New Roman"/>
          <w:szCs w:val="24"/>
          <w:lang w:val="sr-Cyrl-RS"/>
        </w:rPr>
        <w:t xml:space="preserve"> („Сл. гласник РС“, број 94/2024)</w:t>
      </w:r>
      <w:r w:rsidRPr="00AD7E7D">
        <w:rPr>
          <w:rFonts w:eastAsia="Calibri" w:cs="Times New Roman"/>
          <w:szCs w:val="24"/>
        </w:rPr>
        <w:t>, компонента фискалног дефицита фискалног правила</w:t>
      </w:r>
      <w:r w:rsidR="00AD7E7D">
        <w:rPr>
          <w:rFonts w:eastAsia="Calibri" w:cs="Times New Roman"/>
          <w:szCs w:val="24"/>
        </w:rPr>
        <w:t xml:space="preserve"> биће одложена до 2029. године.</w:t>
      </w:r>
    </w:p>
    <w:p w14:paraId="6B780900" w14:textId="77777777" w:rsidR="00A8098E" w:rsidRPr="00AD7E7D" w:rsidRDefault="00A8098E" w:rsidP="00AD7E7D">
      <w:pPr>
        <w:rPr>
          <w:rFonts w:eastAsia="Calibri" w:cs="Times New Roman"/>
          <w:i/>
          <w:szCs w:val="24"/>
        </w:rPr>
      </w:pPr>
      <w:r w:rsidRPr="00AD7E7D">
        <w:rPr>
          <w:rFonts w:eastAsia="Calibri" w:cs="Times New Roman"/>
          <w:i/>
          <w:szCs w:val="24"/>
        </w:rPr>
        <w:t>- Имплементирати Aкциони план за 2023-2026 за јачање средњорочног буџетирања, између осталог развијањем алата и методологије за стабилно стратешко фискално планирање.</w:t>
      </w:r>
    </w:p>
    <w:p w14:paraId="76FE3936" w14:textId="77777777" w:rsidR="00A8098E" w:rsidRPr="00AD7E7D" w:rsidRDefault="00A8098E" w:rsidP="00AD7E7D">
      <w:pPr>
        <w:spacing w:after="240"/>
        <w:rPr>
          <w:rFonts w:eastAsia="Calibri" w:cs="Times New Roman"/>
          <w:szCs w:val="24"/>
        </w:rPr>
      </w:pPr>
      <w:r w:rsidRPr="00AD7E7D">
        <w:rPr>
          <w:rFonts w:eastAsia="Calibri" w:cs="Times New Roman"/>
          <w:szCs w:val="24"/>
        </w:rPr>
        <w:t>Акциони план за унапређење средњорочног буџетског оквира усвојен је у септембру 2023. године</w:t>
      </w:r>
      <w:r w:rsidRPr="00AD7E7D">
        <w:rPr>
          <w:rFonts w:eastAsia="Calibri" w:cs="Times New Roman"/>
          <w:szCs w:val="24"/>
          <w:lang w:val="sr-Cyrl-RS"/>
        </w:rPr>
        <w:t>,</w:t>
      </w:r>
      <w:r w:rsidRPr="00AD7E7D">
        <w:rPr>
          <w:rFonts w:eastAsia="Calibri" w:cs="Times New Roman"/>
          <w:szCs w:val="24"/>
        </w:rPr>
        <w:t xml:space="preserve"> у складу са препорукама ММФ. </w:t>
      </w:r>
      <w:r w:rsidRPr="00AD7E7D">
        <w:rPr>
          <w:rFonts w:eastAsia="Calibri" w:cs="Times New Roman"/>
          <w:szCs w:val="24"/>
          <w:lang w:val="sr-Cyrl-RS"/>
        </w:rPr>
        <w:t>Ц</w:t>
      </w:r>
      <w:r w:rsidRPr="00AD7E7D">
        <w:rPr>
          <w:rFonts w:eastAsia="Calibri" w:cs="Times New Roman"/>
          <w:szCs w:val="24"/>
        </w:rPr>
        <w:t xml:space="preserve">иљ је да </w:t>
      </w:r>
      <w:r w:rsidRPr="00AD7E7D">
        <w:rPr>
          <w:rFonts w:eastAsia="Calibri" w:cs="Times New Roman"/>
          <w:szCs w:val="24"/>
          <w:lang w:val="sr-Cyrl-RS"/>
        </w:rPr>
        <w:t xml:space="preserve">се </w:t>
      </w:r>
      <w:r w:rsidRPr="00AD7E7D">
        <w:rPr>
          <w:rFonts w:eastAsia="Calibri" w:cs="Times New Roman"/>
          <w:szCs w:val="24"/>
        </w:rPr>
        <w:t xml:space="preserve">средњорочно буџетирање учини ефикаснијим и обавезујућим. </w:t>
      </w:r>
      <w:r w:rsidRPr="00AD7E7D">
        <w:rPr>
          <w:rFonts w:eastAsia="Calibri" w:cs="Times New Roman"/>
          <w:szCs w:val="24"/>
          <w:lang w:val="sr-Cyrl-RS"/>
        </w:rPr>
        <w:t>Током припреме</w:t>
      </w:r>
      <w:r w:rsidRPr="00AD7E7D">
        <w:rPr>
          <w:rFonts w:eastAsia="Calibri" w:cs="Times New Roman"/>
          <w:szCs w:val="24"/>
        </w:rPr>
        <w:t xml:space="preserve"> буџет</w:t>
      </w:r>
      <w:r w:rsidRPr="00AD7E7D">
        <w:rPr>
          <w:rFonts w:eastAsia="Calibri" w:cs="Times New Roman"/>
          <w:szCs w:val="24"/>
          <w:lang w:val="sr-Cyrl-RS"/>
        </w:rPr>
        <w:t>а</w:t>
      </w:r>
      <w:r w:rsidRPr="00AD7E7D">
        <w:rPr>
          <w:rFonts w:eastAsia="Calibri" w:cs="Times New Roman"/>
          <w:szCs w:val="24"/>
        </w:rPr>
        <w:t xml:space="preserve"> за 2025. индикативн</w:t>
      </w:r>
      <w:r w:rsidRPr="00AD7E7D">
        <w:rPr>
          <w:rFonts w:eastAsia="Calibri" w:cs="Times New Roman"/>
          <w:szCs w:val="24"/>
          <w:lang w:val="sr-Cyrl-RS"/>
        </w:rPr>
        <w:t>а</w:t>
      </w:r>
      <w:r w:rsidRPr="00AD7E7D">
        <w:rPr>
          <w:rFonts w:eastAsia="Calibri" w:cs="Times New Roman"/>
          <w:szCs w:val="24"/>
        </w:rPr>
        <w:t xml:space="preserve"> ограничења за последње две године</w:t>
      </w:r>
      <w:r w:rsidRPr="00AD7E7D">
        <w:rPr>
          <w:rFonts w:eastAsia="Calibri" w:cs="Times New Roman"/>
          <w:szCs w:val="24"/>
          <w:lang w:val="sr-Cyrl-RS"/>
        </w:rPr>
        <w:t xml:space="preserve">, која су уведена </w:t>
      </w:r>
      <w:r w:rsidRPr="00AD7E7D">
        <w:rPr>
          <w:rFonts w:eastAsia="Calibri" w:cs="Times New Roman"/>
          <w:szCs w:val="24"/>
        </w:rPr>
        <w:t>буџетом за 2024. као полазн</w:t>
      </w:r>
      <w:r w:rsidRPr="00AD7E7D">
        <w:rPr>
          <w:rFonts w:eastAsia="Calibri" w:cs="Times New Roman"/>
          <w:szCs w:val="24"/>
          <w:lang w:val="sr-Cyrl-RS"/>
        </w:rPr>
        <w:t>а</w:t>
      </w:r>
      <w:r w:rsidRPr="00AD7E7D">
        <w:rPr>
          <w:rFonts w:eastAsia="Calibri" w:cs="Times New Roman"/>
          <w:szCs w:val="24"/>
        </w:rPr>
        <w:t xml:space="preserve"> тачк</w:t>
      </w:r>
      <w:r w:rsidRPr="00AD7E7D">
        <w:rPr>
          <w:rFonts w:eastAsia="Calibri" w:cs="Times New Roman"/>
          <w:szCs w:val="24"/>
          <w:lang w:val="sr-Cyrl-RS"/>
        </w:rPr>
        <w:t>а</w:t>
      </w:r>
      <w:r w:rsidRPr="00AD7E7D">
        <w:rPr>
          <w:rFonts w:eastAsia="Calibri" w:cs="Times New Roman"/>
          <w:szCs w:val="24"/>
        </w:rPr>
        <w:t xml:space="preserve"> за разговоре о буџету са ресорним министарствима</w:t>
      </w:r>
      <w:r w:rsidRPr="00AD7E7D">
        <w:rPr>
          <w:rFonts w:eastAsia="Calibri" w:cs="Times New Roman"/>
          <w:szCs w:val="24"/>
          <w:lang w:val="sr-Cyrl-RS"/>
        </w:rPr>
        <w:t>, показала су се корисна</w:t>
      </w:r>
      <w:r w:rsidRPr="00AD7E7D">
        <w:rPr>
          <w:rFonts w:eastAsia="Calibri" w:cs="Times New Roman"/>
          <w:szCs w:val="24"/>
        </w:rPr>
        <w:t>. Како ресорна министарства стичу искуства са овим ограничењима, приме</w:t>
      </w:r>
      <w:r w:rsidRPr="00AD7E7D">
        <w:rPr>
          <w:rFonts w:eastAsia="Calibri" w:cs="Times New Roman"/>
          <w:szCs w:val="24"/>
          <w:lang w:val="sr-Cyrl-RS"/>
        </w:rPr>
        <w:t>тна је доследнија</w:t>
      </w:r>
      <w:r w:rsidRPr="00AD7E7D">
        <w:rPr>
          <w:rFonts w:eastAsia="Calibri" w:cs="Times New Roman"/>
          <w:szCs w:val="24"/>
        </w:rPr>
        <w:t xml:space="preserve"> процен</w:t>
      </w:r>
      <w:r w:rsidRPr="00AD7E7D">
        <w:rPr>
          <w:rFonts w:eastAsia="Calibri" w:cs="Times New Roman"/>
          <w:szCs w:val="24"/>
          <w:lang w:val="sr-Cyrl-RS"/>
        </w:rPr>
        <w:t>а</w:t>
      </w:r>
      <w:r w:rsidRPr="00AD7E7D">
        <w:rPr>
          <w:rFonts w:eastAsia="Calibri" w:cs="Times New Roman"/>
          <w:szCs w:val="24"/>
        </w:rPr>
        <w:t xml:space="preserve"> њихових средњорочних финансијских захтева. Такође ради</w:t>
      </w:r>
      <w:r w:rsidRPr="00AD7E7D">
        <w:rPr>
          <w:rFonts w:eastAsia="Calibri" w:cs="Times New Roman"/>
          <w:szCs w:val="24"/>
          <w:lang w:val="sr-Cyrl-RS"/>
        </w:rPr>
        <w:t xml:space="preserve"> се</w:t>
      </w:r>
      <w:r w:rsidRPr="00AD7E7D">
        <w:rPr>
          <w:rFonts w:eastAsia="Calibri" w:cs="Times New Roman"/>
          <w:szCs w:val="24"/>
        </w:rPr>
        <w:t xml:space="preserve"> на јачању методологије за процену основног буџета уз техничку помоћ ММФ. Циљ је припрем</w:t>
      </w:r>
      <w:r w:rsidRPr="00AD7E7D">
        <w:rPr>
          <w:rFonts w:eastAsia="Calibri" w:cs="Times New Roman"/>
          <w:szCs w:val="24"/>
          <w:lang w:val="sr-Cyrl-RS"/>
        </w:rPr>
        <w:t>а</w:t>
      </w:r>
      <w:r w:rsidRPr="00AD7E7D">
        <w:rPr>
          <w:rFonts w:eastAsia="Calibri" w:cs="Times New Roman"/>
          <w:szCs w:val="24"/>
        </w:rPr>
        <w:t xml:space="preserve"> побољшан</w:t>
      </w:r>
      <w:r w:rsidRPr="00AD7E7D">
        <w:rPr>
          <w:rFonts w:eastAsia="Calibri" w:cs="Times New Roman"/>
          <w:szCs w:val="24"/>
          <w:lang w:val="sr-Cyrl-RS"/>
        </w:rPr>
        <w:t>е</w:t>
      </w:r>
      <w:r w:rsidRPr="00AD7E7D">
        <w:rPr>
          <w:rFonts w:eastAsia="Calibri" w:cs="Times New Roman"/>
          <w:szCs w:val="24"/>
        </w:rPr>
        <w:t xml:space="preserve"> методологиј</w:t>
      </w:r>
      <w:r w:rsidRPr="00AD7E7D">
        <w:rPr>
          <w:rFonts w:eastAsia="Calibri" w:cs="Times New Roman"/>
          <w:szCs w:val="24"/>
          <w:lang w:val="sr-Cyrl-RS"/>
        </w:rPr>
        <w:t>е</w:t>
      </w:r>
      <w:r w:rsidRPr="00AD7E7D">
        <w:rPr>
          <w:rFonts w:eastAsia="Calibri" w:cs="Times New Roman"/>
          <w:szCs w:val="24"/>
        </w:rPr>
        <w:t xml:space="preserve"> у првом кварталу 2025. за употребу у буџетском циклусу за 2026. годину. Такође </w:t>
      </w:r>
      <w:r w:rsidRPr="00AD7E7D">
        <w:rPr>
          <w:rFonts w:eastAsia="Calibri" w:cs="Times New Roman"/>
          <w:szCs w:val="24"/>
          <w:lang w:val="sr-Cyrl-RS"/>
        </w:rPr>
        <w:t>је развијен</w:t>
      </w:r>
      <w:r w:rsidRPr="00AD7E7D">
        <w:rPr>
          <w:rFonts w:eastAsia="Calibri" w:cs="Times New Roman"/>
          <w:szCs w:val="24"/>
        </w:rPr>
        <w:t xml:space="preserve"> алат за машинско учење </w:t>
      </w:r>
      <w:r w:rsidRPr="00AD7E7D">
        <w:rPr>
          <w:rFonts w:eastAsia="Calibri" w:cs="Times New Roman"/>
          <w:szCs w:val="24"/>
          <w:lang w:val="sr-Cyrl-RS"/>
        </w:rPr>
        <w:t>како би се</w:t>
      </w:r>
      <w:r w:rsidRPr="00AD7E7D">
        <w:rPr>
          <w:rFonts w:eastAsia="Calibri" w:cs="Times New Roman"/>
          <w:szCs w:val="24"/>
        </w:rPr>
        <w:t xml:space="preserve"> подрж</w:t>
      </w:r>
      <w:r w:rsidRPr="00AD7E7D">
        <w:rPr>
          <w:rFonts w:eastAsia="Calibri" w:cs="Times New Roman"/>
          <w:szCs w:val="24"/>
          <w:lang w:val="sr-Cyrl-RS"/>
        </w:rPr>
        <w:t>ало</w:t>
      </w:r>
      <w:r w:rsidRPr="00AD7E7D">
        <w:rPr>
          <w:rFonts w:eastAsia="Calibri" w:cs="Times New Roman"/>
          <w:szCs w:val="24"/>
        </w:rPr>
        <w:t xml:space="preserve"> </w:t>
      </w:r>
      <w:r w:rsidR="00AD7E7D">
        <w:rPr>
          <w:rFonts w:eastAsia="Calibri" w:cs="Times New Roman"/>
          <w:szCs w:val="24"/>
        </w:rPr>
        <w:t>пројектовање буџетских расхода.</w:t>
      </w:r>
    </w:p>
    <w:p w14:paraId="11E5C255" w14:textId="77777777" w:rsidR="00A8098E" w:rsidRPr="00AD7E7D" w:rsidRDefault="00A8098E" w:rsidP="00AD7E7D">
      <w:pPr>
        <w:rPr>
          <w:rFonts w:eastAsia="Calibri" w:cs="Times New Roman"/>
          <w:szCs w:val="24"/>
        </w:rPr>
      </w:pPr>
      <w:r w:rsidRPr="00AD7E7D">
        <w:rPr>
          <w:rFonts w:eastAsia="Calibri" w:cs="Times New Roman"/>
          <w:szCs w:val="24"/>
        </w:rPr>
        <w:t>-</w:t>
      </w:r>
      <w:r w:rsidRPr="00AD7E7D">
        <w:rPr>
          <w:rFonts w:eastAsia="Calibri" w:cs="Times New Roman"/>
          <w:i/>
          <w:szCs w:val="24"/>
        </w:rPr>
        <w:t>Именовање чланова Фискалног савета након недавног истека њихових мандата.</w:t>
      </w:r>
    </w:p>
    <w:p w14:paraId="365CF824" w14:textId="77777777" w:rsidR="00A8098E" w:rsidRPr="00AD7E7D" w:rsidRDefault="00A8098E" w:rsidP="00A8098E">
      <w:pPr>
        <w:rPr>
          <w:rFonts w:eastAsia="Calibri" w:cs="Times New Roman"/>
          <w:szCs w:val="24"/>
        </w:rPr>
      </w:pPr>
      <w:r w:rsidRPr="00AD7E7D">
        <w:rPr>
          <w:rFonts w:eastAsia="Calibri" w:cs="Times New Roman"/>
          <w:szCs w:val="24"/>
        </w:rPr>
        <w:t>Према одредбама Закона о буџетском систему, којим је формиран Фискални савет, Фискални савет се састоји од три члана које бира Народна скупштина. Стручне услуге Фискалног савета врше стручне и административне службе (члан 92а).</w:t>
      </w:r>
    </w:p>
    <w:p w14:paraId="27A85EF0" w14:textId="77777777" w:rsidR="00A8098E" w:rsidRPr="00AD7E7D" w:rsidRDefault="00A8098E" w:rsidP="00A8098E">
      <w:pPr>
        <w:rPr>
          <w:rFonts w:eastAsia="Calibri" w:cs="Times New Roman"/>
          <w:szCs w:val="24"/>
        </w:rPr>
      </w:pPr>
      <w:r w:rsidRPr="00AD7E7D">
        <w:rPr>
          <w:rFonts w:eastAsia="Calibri" w:cs="Times New Roman"/>
          <w:szCs w:val="24"/>
        </w:rPr>
        <w:t>Чланове Фискалног савета предлаже: 1) председник Републике предлаже председника Фискалног савета; 2) министар финансија предлаже једног члана; 3) гувернер Народне банке Србије предлаже једног члана (члан 92б).</w:t>
      </w:r>
    </w:p>
    <w:p w14:paraId="014ED936" w14:textId="77777777" w:rsidR="00A8098E" w:rsidRPr="00AD7E7D" w:rsidRDefault="00A8098E" w:rsidP="00AD7E7D">
      <w:pPr>
        <w:spacing w:after="240"/>
        <w:rPr>
          <w:rFonts w:eastAsia="Calibri" w:cs="Times New Roman"/>
          <w:szCs w:val="24"/>
        </w:rPr>
      </w:pPr>
      <w:r w:rsidRPr="00AD7E7D">
        <w:rPr>
          <w:rFonts w:eastAsia="Calibri" w:cs="Times New Roman"/>
          <w:szCs w:val="24"/>
        </w:rPr>
        <w:lastRenderedPageBreak/>
        <w:t xml:space="preserve">Досадашњем председнику Фискалног савета истекао је мандат, па је Народна скупштина, у складу са процедурама, 31. јула 2024. године изабрала новог председника Фискалног савета. Једном члану Савета је истекао и мандат, а на предлог Министарства финансија обновљен је мандат/поновно </w:t>
      </w:r>
      <w:r w:rsidRPr="00AD7E7D">
        <w:rPr>
          <w:rFonts w:eastAsia="Calibri" w:cs="Times New Roman"/>
          <w:szCs w:val="24"/>
          <w:lang w:val="sr-Cyrl-RS"/>
        </w:rPr>
        <w:t xml:space="preserve">је </w:t>
      </w:r>
      <w:r w:rsidRPr="00AD7E7D">
        <w:rPr>
          <w:rFonts w:eastAsia="Calibri" w:cs="Times New Roman"/>
          <w:szCs w:val="24"/>
        </w:rPr>
        <w:t>именован постојећи члан.</w:t>
      </w:r>
    </w:p>
    <w:p w14:paraId="48EF8CB0" w14:textId="77777777" w:rsidR="00A8098E" w:rsidRPr="00AD7E7D" w:rsidRDefault="00A8098E" w:rsidP="00A8098E">
      <w:pPr>
        <w:rPr>
          <w:rFonts w:eastAsia="Calibri" w:cs="Times New Roman"/>
          <w:i/>
          <w:szCs w:val="24"/>
        </w:rPr>
      </w:pPr>
      <w:r w:rsidRPr="00AD7E7D">
        <w:rPr>
          <w:rFonts w:eastAsia="Calibri" w:cs="Times New Roman"/>
          <w:i/>
          <w:szCs w:val="24"/>
          <w:lang w:val="sr-Cyrl-RS"/>
        </w:rPr>
        <w:t xml:space="preserve">- </w:t>
      </w:r>
      <w:r w:rsidRPr="00AD7E7D">
        <w:rPr>
          <w:rFonts w:eastAsia="Calibri" w:cs="Times New Roman"/>
          <w:i/>
          <w:szCs w:val="24"/>
        </w:rPr>
        <w:t>Усвојити неопходне подзаконске акте за пуну имплементацију новог закона о државним предузећима и ојачати управљање државним предузећима, смањујући повезане фискалне ризике.</w:t>
      </w:r>
    </w:p>
    <w:p w14:paraId="28F50BE4" w14:textId="7735080F" w:rsidR="00A8098E" w:rsidRPr="00AD7E7D" w:rsidRDefault="00A8098E" w:rsidP="00A8098E">
      <w:pPr>
        <w:rPr>
          <w:rFonts w:eastAsia="Calibri" w:cs="Times New Roman"/>
          <w:szCs w:val="24"/>
        </w:rPr>
      </w:pPr>
      <w:r w:rsidRPr="00AD7E7D">
        <w:rPr>
          <w:rFonts w:eastAsia="Calibri" w:cs="Times New Roman"/>
          <w:szCs w:val="24"/>
        </w:rPr>
        <w:t xml:space="preserve">Неопходни подзаконски акти, у вези са потпуном применом новог </w:t>
      </w:r>
      <w:r w:rsidRPr="00AD7E7D">
        <w:rPr>
          <w:rFonts w:eastAsia="Calibri" w:cs="Times New Roman"/>
          <w:szCs w:val="24"/>
          <w:lang w:val="sr-Cyrl-RS"/>
        </w:rPr>
        <w:t>З</w:t>
      </w:r>
      <w:r w:rsidRPr="00AD7E7D">
        <w:rPr>
          <w:rFonts w:eastAsia="Calibri" w:cs="Times New Roman"/>
          <w:szCs w:val="24"/>
        </w:rPr>
        <w:t xml:space="preserve">акона </w:t>
      </w:r>
      <w:r w:rsidRPr="00AD7E7D">
        <w:rPr>
          <w:rFonts w:eastAsia="Calibri" w:cs="Times New Roman"/>
          <w:szCs w:val="24"/>
          <w:lang w:val="sr-Cyrl-RS"/>
        </w:rPr>
        <w:t>о управљању привредним друштвима која су у власништву Републике Србије</w:t>
      </w:r>
      <w:r w:rsidRPr="00AD7E7D">
        <w:rPr>
          <w:rFonts w:eastAsia="Calibri" w:cs="Times New Roman"/>
          <w:szCs w:val="24"/>
        </w:rPr>
        <w:t xml:space="preserve">, су усвојени и објављени у </w:t>
      </w:r>
      <w:r w:rsidR="00652E8C">
        <w:rPr>
          <w:rFonts w:eastAsia="Calibri" w:cs="Times New Roman"/>
          <w:szCs w:val="24"/>
          <w:lang w:val="sr-Cyrl-RS"/>
        </w:rPr>
        <w:t>„</w:t>
      </w:r>
      <w:r w:rsidRPr="00AD7E7D">
        <w:rPr>
          <w:rFonts w:eastAsia="Calibri" w:cs="Times New Roman"/>
          <w:szCs w:val="24"/>
        </w:rPr>
        <w:t xml:space="preserve">Службеном </w:t>
      </w:r>
      <w:r w:rsidRPr="00AD7E7D">
        <w:rPr>
          <w:rFonts w:eastAsia="Calibri" w:cs="Times New Roman"/>
          <w:szCs w:val="24"/>
          <w:lang w:val="sr-Cyrl-RS"/>
        </w:rPr>
        <w:t>гласнику</w:t>
      </w:r>
      <w:r w:rsidR="00652E8C">
        <w:rPr>
          <w:rFonts w:eastAsia="Calibri" w:cs="Times New Roman"/>
          <w:szCs w:val="24"/>
          <w:lang w:val="sr-Cyrl-RS"/>
        </w:rPr>
        <w:t xml:space="preserve"> РС“</w:t>
      </w:r>
      <w:r w:rsidRPr="00AD7E7D">
        <w:rPr>
          <w:rFonts w:eastAsia="Calibri" w:cs="Times New Roman"/>
          <w:szCs w:val="24"/>
        </w:rPr>
        <w:t>, бр. 77/24:</w:t>
      </w:r>
    </w:p>
    <w:p w14:paraId="5BD5E180" w14:textId="77777777" w:rsidR="00A8098E" w:rsidRPr="00AD7E7D" w:rsidRDefault="00A8098E" w:rsidP="00A8098E">
      <w:pPr>
        <w:rPr>
          <w:rFonts w:eastAsia="Calibri" w:cs="Times New Roman"/>
          <w:szCs w:val="24"/>
          <w:lang w:val="sr-Cyrl-RS"/>
        </w:rPr>
      </w:pPr>
      <w:r w:rsidRPr="00AD7E7D">
        <w:rPr>
          <w:rFonts w:eastAsia="Calibri" w:cs="Times New Roman"/>
          <w:szCs w:val="24"/>
        </w:rPr>
        <w:t xml:space="preserve">1. Уредба о утврђивању листе </w:t>
      </w:r>
      <w:r w:rsidRPr="00AD7E7D">
        <w:rPr>
          <w:rFonts w:eastAsia="Calibri" w:cs="Times New Roman"/>
          <w:szCs w:val="24"/>
          <w:lang w:val="sr-Cyrl-RS"/>
        </w:rPr>
        <w:t>друштава капитала</w:t>
      </w:r>
      <w:r w:rsidRPr="00AD7E7D">
        <w:rPr>
          <w:rFonts w:eastAsia="Calibri" w:cs="Times New Roman"/>
          <w:szCs w:val="24"/>
        </w:rPr>
        <w:t xml:space="preserve"> и мањинских друштава капитала</w:t>
      </w:r>
      <w:r w:rsidRPr="00AD7E7D">
        <w:rPr>
          <w:rFonts w:eastAsia="Calibri" w:cs="Times New Roman"/>
          <w:szCs w:val="24"/>
          <w:lang w:val="sr-Cyrl-RS"/>
        </w:rPr>
        <w:t>;</w:t>
      </w:r>
    </w:p>
    <w:p w14:paraId="3738C3C4" w14:textId="77777777" w:rsidR="00A8098E" w:rsidRPr="00AD7E7D" w:rsidRDefault="00A8098E" w:rsidP="00A8098E">
      <w:pPr>
        <w:rPr>
          <w:rFonts w:eastAsia="Calibri" w:cs="Times New Roman"/>
          <w:szCs w:val="24"/>
          <w:lang w:val="sr-Cyrl-RS"/>
        </w:rPr>
      </w:pPr>
      <w:r w:rsidRPr="00AD7E7D">
        <w:rPr>
          <w:rFonts w:eastAsia="Calibri" w:cs="Times New Roman"/>
          <w:szCs w:val="24"/>
        </w:rPr>
        <w:t>2. Уредба о критеријумима за избор правне форме друштва капитала</w:t>
      </w:r>
      <w:r w:rsidRPr="00AD7E7D">
        <w:rPr>
          <w:rFonts w:eastAsia="Calibri" w:cs="Times New Roman"/>
          <w:szCs w:val="24"/>
          <w:lang w:val="sr-Cyrl-RS"/>
        </w:rPr>
        <w:t>;</w:t>
      </w:r>
    </w:p>
    <w:p w14:paraId="0C36CD86" w14:textId="51A90772" w:rsidR="00652E8C" w:rsidRPr="00AD7E7D" w:rsidRDefault="00A8098E" w:rsidP="00A8098E">
      <w:pPr>
        <w:rPr>
          <w:rFonts w:eastAsia="Calibri" w:cs="Times New Roman"/>
          <w:szCs w:val="24"/>
          <w:lang w:val="sr-Cyrl-RS"/>
        </w:rPr>
      </w:pPr>
      <w:r w:rsidRPr="00AD7E7D">
        <w:rPr>
          <w:rFonts w:eastAsia="Calibri" w:cs="Times New Roman"/>
          <w:szCs w:val="24"/>
        </w:rPr>
        <w:t xml:space="preserve">3. </w:t>
      </w:r>
      <w:r w:rsidRPr="00AD7E7D">
        <w:rPr>
          <w:rFonts w:eastAsia="Calibri" w:cs="Times New Roman"/>
          <w:szCs w:val="24"/>
          <w:lang w:val="sr-Cyrl-RS"/>
        </w:rPr>
        <w:t>У</w:t>
      </w:r>
      <w:r w:rsidRPr="00AD7E7D">
        <w:rPr>
          <w:rFonts w:eastAsia="Calibri" w:cs="Times New Roman"/>
          <w:szCs w:val="24"/>
        </w:rPr>
        <w:t>редба о додатним условима за именовање и поступку именовања органа друштва капитала, као и поступку о спровођењу јавног конкурса за директора</w:t>
      </w:r>
      <w:r w:rsidRPr="00AD7E7D">
        <w:rPr>
          <w:rFonts w:eastAsia="Calibri" w:cs="Times New Roman"/>
          <w:szCs w:val="24"/>
          <w:lang w:val="sr-Cyrl-RS"/>
        </w:rPr>
        <w:t>;</w:t>
      </w:r>
    </w:p>
    <w:p w14:paraId="2627E0B7" w14:textId="253A2C30" w:rsidR="00652E8C" w:rsidRDefault="00A8098E" w:rsidP="00652E8C">
      <w:pPr>
        <w:spacing w:after="240"/>
        <w:rPr>
          <w:rFonts w:eastAsia="Calibri" w:cs="Times New Roman"/>
          <w:szCs w:val="24"/>
          <w:lang w:val="sr-Cyrl-RS"/>
        </w:rPr>
      </w:pPr>
      <w:r w:rsidRPr="00AD7E7D">
        <w:rPr>
          <w:rFonts w:eastAsia="Calibri" w:cs="Times New Roman"/>
          <w:szCs w:val="24"/>
        </w:rPr>
        <w:t>4. Одлука о Кодексу корпоративн</w:t>
      </w:r>
      <w:r w:rsidR="00AD7E7D">
        <w:rPr>
          <w:rFonts w:eastAsia="Calibri" w:cs="Times New Roman"/>
          <w:szCs w:val="24"/>
        </w:rPr>
        <w:t>ог управљања друштава капитала.</w:t>
      </w:r>
    </w:p>
    <w:p w14:paraId="2C39CC5D" w14:textId="0CFBADC2" w:rsidR="00652E8C" w:rsidRPr="00AD7E7D" w:rsidRDefault="00652E8C" w:rsidP="00652E8C">
      <w:pPr>
        <w:rPr>
          <w:rFonts w:eastAsia="Calibri" w:cs="Times New Roman"/>
          <w:szCs w:val="24"/>
        </w:rPr>
      </w:pPr>
      <w:r>
        <w:rPr>
          <w:rFonts w:eastAsia="Calibri" w:cs="Times New Roman"/>
          <w:szCs w:val="24"/>
          <w:lang w:val="sr-Cyrl-RS"/>
        </w:rPr>
        <w:t>Напомињемо да је Правилник о Програму стручног усавршавања из области корпоративног управљања такође усвојен и објављен у „</w:t>
      </w:r>
      <w:r w:rsidRPr="00AD7E7D">
        <w:rPr>
          <w:rFonts w:eastAsia="Calibri" w:cs="Times New Roman"/>
          <w:szCs w:val="24"/>
        </w:rPr>
        <w:t>Сл</w:t>
      </w:r>
      <w:r w:rsidR="00CC38DE">
        <w:rPr>
          <w:rFonts w:eastAsia="Calibri" w:cs="Times New Roman"/>
          <w:szCs w:val="24"/>
          <w:lang w:val="sr-Cyrl-RS"/>
        </w:rPr>
        <w:t>.</w:t>
      </w:r>
      <w:r w:rsidRPr="00AD7E7D">
        <w:rPr>
          <w:rFonts w:eastAsia="Calibri" w:cs="Times New Roman"/>
          <w:szCs w:val="24"/>
        </w:rPr>
        <w:t xml:space="preserve"> </w:t>
      </w:r>
      <w:r w:rsidRPr="00AD7E7D">
        <w:rPr>
          <w:rFonts w:eastAsia="Calibri" w:cs="Times New Roman"/>
          <w:szCs w:val="24"/>
          <w:lang w:val="sr-Cyrl-RS"/>
        </w:rPr>
        <w:t>гласнику</w:t>
      </w:r>
      <w:r>
        <w:rPr>
          <w:rFonts w:eastAsia="Calibri" w:cs="Times New Roman"/>
          <w:szCs w:val="24"/>
          <w:lang w:val="sr-Cyrl-RS"/>
        </w:rPr>
        <w:t xml:space="preserve"> РС“</w:t>
      </w:r>
      <w:r>
        <w:rPr>
          <w:rFonts w:eastAsia="Calibri" w:cs="Times New Roman"/>
          <w:szCs w:val="24"/>
        </w:rPr>
        <w:t>, бр. 85</w:t>
      </w:r>
      <w:r w:rsidRPr="00AD7E7D">
        <w:rPr>
          <w:rFonts w:eastAsia="Calibri" w:cs="Times New Roman"/>
          <w:szCs w:val="24"/>
        </w:rPr>
        <w:t>/24</w:t>
      </w:r>
      <w:r>
        <w:rPr>
          <w:rFonts w:eastAsia="Calibri" w:cs="Times New Roman"/>
          <w:szCs w:val="24"/>
        </w:rPr>
        <w:t>.</w:t>
      </w:r>
    </w:p>
    <w:p w14:paraId="39E77A0B" w14:textId="77777777" w:rsidR="00A8098E" w:rsidRPr="00AD7E7D" w:rsidRDefault="00A8098E" w:rsidP="00A8098E">
      <w:pPr>
        <w:rPr>
          <w:rFonts w:eastAsia="Calibri" w:cs="Times New Roman"/>
          <w:i/>
          <w:szCs w:val="24"/>
        </w:rPr>
      </w:pPr>
      <w:r w:rsidRPr="00AD7E7D">
        <w:rPr>
          <w:rFonts w:eastAsia="Calibri" w:cs="Times New Roman"/>
          <w:i/>
          <w:szCs w:val="24"/>
        </w:rPr>
        <w:t>- Ојачати анализу фискалног ризика и капацитет управљања, у потпуности применити методологију ризика и објавити свеобухватне извештаје о фискалном ризику.</w:t>
      </w:r>
    </w:p>
    <w:p w14:paraId="0041C10E" w14:textId="77777777" w:rsidR="00A8098E" w:rsidRPr="00AD7E7D" w:rsidRDefault="00A8098E" w:rsidP="00AD7E7D">
      <w:pPr>
        <w:spacing w:after="240"/>
        <w:rPr>
          <w:rFonts w:eastAsia="Calibri" w:cs="Times New Roman"/>
          <w:szCs w:val="24"/>
        </w:rPr>
      </w:pPr>
      <w:r w:rsidRPr="00AD7E7D">
        <w:rPr>
          <w:rFonts w:eastAsia="Calibri" w:cs="Times New Roman"/>
          <w:szCs w:val="24"/>
        </w:rPr>
        <w:t>Министарств</w:t>
      </w:r>
      <w:r w:rsidRPr="00AD7E7D">
        <w:rPr>
          <w:rFonts w:eastAsia="Calibri" w:cs="Times New Roman"/>
          <w:szCs w:val="24"/>
          <w:lang w:val="sr-Cyrl-RS"/>
        </w:rPr>
        <w:t>о</w:t>
      </w:r>
      <w:r w:rsidRPr="00AD7E7D">
        <w:rPr>
          <w:rFonts w:eastAsia="Calibri" w:cs="Times New Roman"/>
          <w:szCs w:val="24"/>
        </w:rPr>
        <w:t xml:space="preserve"> финансија настави</w:t>
      </w:r>
      <w:r w:rsidRPr="00AD7E7D">
        <w:rPr>
          <w:rFonts w:eastAsia="Calibri" w:cs="Times New Roman"/>
          <w:szCs w:val="24"/>
          <w:lang w:val="sr-Cyrl-RS"/>
        </w:rPr>
        <w:t>л</w:t>
      </w:r>
      <w:r w:rsidRPr="00AD7E7D">
        <w:rPr>
          <w:rFonts w:eastAsia="Calibri" w:cs="Times New Roman"/>
          <w:szCs w:val="24"/>
        </w:rPr>
        <w:t>о је рад на имплементацији модела предвиђених одговарајућом Методологијом. Прошир</w:t>
      </w:r>
      <w:r w:rsidRPr="00AD7E7D">
        <w:rPr>
          <w:rFonts w:eastAsia="Calibri" w:cs="Times New Roman"/>
          <w:szCs w:val="24"/>
          <w:lang w:val="sr-Cyrl-RS"/>
        </w:rPr>
        <w:t xml:space="preserve">ено је </w:t>
      </w:r>
      <w:r w:rsidRPr="00AD7E7D">
        <w:rPr>
          <w:rFonts w:eastAsia="Calibri" w:cs="Times New Roman"/>
          <w:szCs w:val="24"/>
        </w:rPr>
        <w:t xml:space="preserve">извештавање у </w:t>
      </w:r>
      <w:r w:rsidRPr="00AD7E7D">
        <w:rPr>
          <w:rFonts w:eastAsia="Calibri" w:cs="Times New Roman"/>
          <w:szCs w:val="24"/>
          <w:lang w:val="sr-Cyrl-RS"/>
        </w:rPr>
        <w:t>делу</w:t>
      </w:r>
      <w:r w:rsidRPr="00AD7E7D">
        <w:rPr>
          <w:rFonts w:eastAsia="Calibri" w:cs="Times New Roman"/>
          <w:szCs w:val="24"/>
        </w:rPr>
        <w:t xml:space="preserve"> о фискалном ризику Фискалне стратегије за период 2025-27, објављено</w:t>
      </w:r>
      <w:r w:rsidRPr="00AD7E7D">
        <w:rPr>
          <w:rFonts w:eastAsia="Calibri" w:cs="Times New Roman"/>
          <w:szCs w:val="24"/>
          <w:lang w:val="sr-Cyrl-RS"/>
        </w:rPr>
        <w:t>ј</w:t>
      </w:r>
      <w:r w:rsidRPr="00AD7E7D">
        <w:rPr>
          <w:rFonts w:eastAsia="Calibri" w:cs="Times New Roman"/>
          <w:szCs w:val="24"/>
        </w:rPr>
        <w:t xml:space="preserve"> у јуну 2024. Наставља</w:t>
      </w:r>
      <w:r w:rsidRPr="00AD7E7D">
        <w:rPr>
          <w:rFonts w:eastAsia="Calibri" w:cs="Times New Roman"/>
          <w:szCs w:val="24"/>
          <w:lang w:val="sr-Cyrl-RS"/>
        </w:rPr>
        <w:t xml:space="preserve"> се рад</w:t>
      </w:r>
      <w:r w:rsidRPr="00AD7E7D">
        <w:rPr>
          <w:rFonts w:eastAsia="Calibri" w:cs="Times New Roman"/>
          <w:szCs w:val="24"/>
        </w:rPr>
        <w:t xml:space="preserve"> на стандардизацији и побољшању обима покривености фискалног ризика у Ревидираној фискалној стратегији за 2025-2027</w:t>
      </w:r>
      <w:r w:rsidRPr="00AD7E7D">
        <w:rPr>
          <w:rFonts w:eastAsia="Calibri" w:cs="Times New Roman"/>
          <w:szCs w:val="24"/>
          <w:lang w:val="sr-Cyrl-RS"/>
        </w:rPr>
        <w:t xml:space="preserve">. </w:t>
      </w:r>
    </w:p>
    <w:p w14:paraId="7597ED61" w14:textId="77777777" w:rsidR="00A8098E" w:rsidRPr="00AD7E7D" w:rsidRDefault="00A8098E" w:rsidP="00A8098E">
      <w:pPr>
        <w:rPr>
          <w:rFonts w:eastAsia="Calibri" w:cs="Times New Roman"/>
          <w:i/>
          <w:szCs w:val="24"/>
        </w:rPr>
      </w:pPr>
      <w:r w:rsidRPr="00AD7E7D">
        <w:rPr>
          <w:rFonts w:eastAsia="Calibri" w:cs="Times New Roman"/>
          <w:i/>
          <w:szCs w:val="24"/>
        </w:rPr>
        <w:t>- Надовезујући се на напредак у електронском јавном регистру плата и запослених, спровести припремне кораке ка адекватно осмишљеној реформи система плата у јавном сектору.</w:t>
      </w:r>
    </w:p>
    <w:p w14:paraId="607AA463" w14:textId="77777777" w:rsidR="00A8098E" w:rsidRPr="00AD7E7D" w:rsidRDefault="00A8098E" w:rsidP="00A8098E">
      <w:pPr>
        <w:rPr>
          <w:rFonts w:eastAsia="Calibri" w:cs="Times New Roman"/>
          <w:szCs w:val="24"/>
        </w:rPr>
      </w:pPr>
      <w:r w:rsidRPr="00AD7E7D">
        <w:rPr>
          <w:rFonts w:eastAsia="Calibri" w:cs="Times New Roman"/>
          <w:szCs w:val="24"/>
        </w:rPr>
        <w:t>Постепено успостављање централног електронског јавног регистра плата и запослених И</w:t>
      </w:r>
      <w:r w:rsidRPr="00AD7E7D">
        <w:rPr>
          <w:rFonts w:eastAsia="Calibri" w:cs="Times New Roman"/>
          <w:szCs w:val="24"/>
          <w:lang w:val="sr-Cyrl-RS"/>
        </w:rPr>
        <w:t>СКРА</w:t>
      </w:r>
      <w:r w:rsidRPr="00AD7E7D">
        <w:rPr>
          <w:rFonts w:eastAsia="Calibri" w:cs="Times New Roman"/>
          <w:szCs w:val="24"/>
        </w:rPr>
        <w:t xml:space="preserve"> је </w:t>
      </w:r>
      <w:r w:rsidRPr="00AD7E7D">
        <w:rPr>
          <w:rFonts w:eastAsia="Calibri" w:cs="Times New Roman"/>
          <w:szCs w:val="24"/>
          <w:lang w:val="sr-Cyrl-RS"/>
        </w:rPr>
        <w:t>напредовало</w:t>
      </w:r>
      <w:r w:rsidRPr="00AD7E7D">
        <w:rPr>
          <w:rFonts w:eastAsia="Calibri" w:cs="Times New Roman"/>
          <w:szCs w:val="24"/>
        </w:rPr>
        <w:t>. Овај регистар омогућава боље планирање, извршење и контролу потрошње на плате. Систем обухвата: директне буџетске кориснике и индиректне буџетске кориснике на нивоу Републике од којих су најзначајнији сектор правосуђа, сектор културе, сектор запошљавања и социјалних питања, сектор образовања поред високошколских установа и здравствени сектор. И</w:t>
      </w:r>
      <w:r w:rsidRPr="00AD7E7D">
        <w:rPr>
          <w:rFonts w:eastAsia="Calibri" w:cs="Times New Roman"/>
          <w:szCs w:val="24"/>
          <w:lang w:val="sr-Cyrl-RS"/>
        </w:rPr>
        <w:t>СКРА</w:t>
      </w:r>
      <w:r w:rsidRPr="00AD7E7D">
        <w:rPr>
          <w:rFonts w:eastAsia="Calibri" w:cs="Times New Roman"/>
          <w:szCs w:val="24"/>
        </w:rPr>
        <w:t xml:space="preserve"> ће од јануара 2025. покривати и јединице локалне самоуправе са индиректним корисницима (предшколске установе, установе културе, установе социјалне заштите). Покривање преосталих јавних службеника (Министарство одбране, Министарство унутрашњих послова, Безбедносно информативна агенција БИА и високошколске установе) биће завршено до 2027. године.</w:t>
      </w:r>
    </w:p>
    <w:p w14:paraId="5C0165D2" w14:textId="77777777" w:rsidR="00A8098E" w:rsidRPr="00AD7E7D" w:rsidRDefault="00A8098E" w:rsidP="00AD7E7D">
      <w:pPr>
        <w:spacing w:after="240"/>
        <w:rPr>
          <w:rFonts w:eastAsia="Calibri" w:cs="Times New Roman"/>
          <w:szCs w:val="24"/>
        </w:rPr>
      </w:pPr>
      <w:r w:rsidRPr="00AD7E7D">
        <w:rPr>
          <w:rFonts w:eastAsia="Calibri" w:cs="Times New Roman"/>
          <w:szCs w:val="24"/>
        </w:rPr>
        <w:t>Регистар И</w:t>
      </w:r>
      <w:r w:rsidRPr="00AD7E7D">
        <w:rPr>
          <w:rFonts w:eastAsia="Calibri" w:cs="Times New Roman"/>
          <w:szCs w:val="24"/>
          <w:lang w:val="sr-Cyrl-RS"/>
        </w:rPr>
        <w:t>СКРА</w:t>
      </w:r>
      <w:r w:rsidRPr="00AD7E7D">
        <w:rPr>
          <w:rFonts w:eastAsia="Calibri" w:cs="Times New Roman"/>
          <w:szCs w:val="24"/>
        </w:rPr>
        <w:t xml:space="preserve"> ће играти кључну улогу у осмишљавању и спровођењу свеобухватне реформе </w:t>
      </w:r>
      <w:r w:rsidR="00AD7E7D">
        <w:rPr>
          <w:rFonts w:eastAsia="Calibri" w:cs="Times New Roman"/>
          <w:szCs w:val="24"/>
        </w:rPr>
        <w:t>система плата у јавном сектору.</w:t>
      </w:r>
    </w:p>
    <w:p w14:paraId="3CAC0CCB" w14:textId="77777777" w:rsidR="00A8098E" w:rsidRPr="00AD7E7D" w:rsidRDefault="00A8098E" w:rsidP="00A8098E">
      <w:pPr>
        <w:rPr>
          <w:rFonts w:eastAsia="Calibri" w:cs="Times New Roman"/>
          <w:szCs w:val="24"/>
        </w:rPr>
      </w:pPr>
      <w:r w:rsidRPr="00AD7E7D">
        <w:rPr>
          <w:rFonts w:eastAsia="Calibri" w:cs="Times New Roman"/>
          <w:i/>
          <w:iCs/>
          <w:szCs w:val="24"/>
        </w:rPr>
        <w:t xml:space="preserve">- Осигурати довољно чврст став монетарне политике онолико дуго колико је потребно да се инфлаторна очекивања </w:t>
      </w:r>
      <w:r w:rsidRPr="00AD7E7D">
        <w:rPr>
          <w:rFonts w:eastAsia="Calibri" w:cs="Times New Roman"/>
          <w:i/>
          <w:iCs/>
          <w:szCs w:val="24"/>
          <w:lang w:val="sr-Cyrl-RS"/>
        </w:rPr>
        <w:t>задрже</w:t>
      </w:r>
      <w:r w:rsidRPr="00AD7E7D">
        <w:rPr>
          <w:rFonts w:eastAsia="Calibri" w:cs="Times New Roman"/>
          <w:i/>
          <w:iCs/>
          <w:szCs w:val="24"/>
        </w:rPr>
        <w:t xml:space="preserve"> на нивоима који су у складу са стабилношћу цена, поткрeпљен</w:t>
      </w:r>
      <w:r w:rsidRPr="00AD7E7D">
        <w:rPr>
          <w:rFonts w:eastAsia="Calibri" w:cs="Times New Roman"/>
          <w:i/>
          <w:iCs/>
          <w:szCs w:val="24"/>
          <w:lang w:val="sr-Cyrl-RS"/>
        </w:rPr>
        <w:t>и</w:t>
      </w:r>
      <w:r w:rsidRPr="00AD7E7D">
        <w:rPr>
          <w:rFonts w:eastAsia="Calibri" w:cs="Times New Roman"/>
          <w:i/>
          <w:iCs/>
          <w:szCs w:val="24"/>
        </w:rPr>
        <w:t xml:space="preserve"> темељном проценом могућих ефеката у другом кругу.</w:t>
      </w:r>
    </w:p>
    <w:p w14:paraId="2F73A9FA" w14:textId="77777777" w:rsidR="00A8098E" w:rsidRPr="00AD7E7D" w:rsidRDefault="00A8098E" w:rsidP="00A8098E">
      <w:pPr>
        <w:rPr>
          <w:rFonts w:eastAsia="Calibri" w:cs="Times New Roman"/>
          <w:szCs w:val="24"/>
        </w:rPr>
      </w:pPr>
      <w:r w:rsidRPr="00AD7E7D">
        <w:rPr>
          <w:rFonts w:eastAsia="Calibri" w:cs="Times New Roman"/>
          <w:szCs w:val="24"/>
        </w:rPr>
        <w:lastRenderedPageBreak/>
        <w:t>Инфлација се од маја</w:t>
      </w:r>
      <w:r w:rsidRPr="00AD7E7D">
        <w:rPr>
          <w:rFonts w:eastAsia="Calibri" w:cs="Times New Roman"/>
          <w:szCs w:val="24"/>
          <w:lang w:val="sr-Cyrl-RS"/>
        </w:rPr>
        <w:t xml:space="preserve"> о.г.</w:t>
      </w:r>
      <w:r w:rsidRPr="00AD7E7D">
        <w:rPr>
          <w:rFonts w:eastAsia="Calibri" w:cs="Times New Roman"/>
          <w:szCs w:val="24"/>
        </w:rPr>
        <w:t xml:space="preserve"> кре</w:t>
      </w:r>
      <w:r w:rsidRPr="00AD7E7D">
        <w:rPr>
          <w:rFonts w:eastAsia="Calibri" w:cs="Times New Roman"/>
          <w:szCs w:val="24"/>
          <w:lang w:val="sr-Cyrl-RS"/>
        </w:rPr>
        <w:t>ће</w:t>
      </w:r>
      <w:r w:rsidRPr="00AD7E7D">
        <w:rPr>
          <w:rFonts w:eastAsia="Calibri" w:cs="Times New Roman"/>
          <w:szCs w:val="24"/>
        </w:rPr>
        <w:t xml:space="preserve"> у</w:t>
      </w:r>
      <w:r w:rsidRPr="00AD7E7D">
        <w:rPr>
          <w:rFonts w:eastAsia="Calibri" w:cs="Times New Roman"/>
          <w:szCs w:val="24"/>
          <w:lang w:val="sr-Cyrl-RS"/>
        </w:rPr>
        <w:t xml:space="preserve"> границама</w:t>
      </w:r>
      <w:r w:rsidRPr="00AD7E7D">
        <w:rPr>
          <w:rFonts w:eastAsia="Calibri" w:cs="Times New Roman"/>
          <w:szCs w:val="24"/>
        </w:rPr>
        <w:t xml:space="preserve"> циља </w:t>
      </w:r>
      <w:r w:rsidRPr="00AD7E7D">
        <w:rPr>
          <w:rFonts w:eastAsia="Calibri" w:cs="Times New Roman"/>
          <w:szCs w:val="24"/>
          <w:lang w:val="sr-Cyrl-RS"/>
        </w:rPr>
        <w:t xml:space="preserve">НБС </w:t>
      </w:r>
      <w:r w:rsidRPr="00AD7E7D">
        <w:rPr>
          <w:rFonts w:eastAsia="Calibri" w:cs="Times New Roman"/>
          <w:szCs w:val="24"/>
        </w:rPr>
        <w:t xml:space="preserve">и вероватно ће </w:t>
      </w:r>
      <w:r w:rsidRPr="00AD7E7D">
        <w:rPr>
          <w:rFonts w:eastAsia="Calibri" w:cs="Times New Roman"/>
          <w:szCs w:val="24"/>
          <w:lang w:val="sr-Cyrl-RS"/>
        </w:rPr>
        <w:t>се ту задржати</w:t>
      </w:r>
      <w:r w:rsidRPr="00AD7E7D">
        <w:rPr>
          <w:rFonts w:eastAsia="Calibri" w:cs="Times New Roman"/>
          <w:szCs w:val="24"/>
        </w:rPr>
        <w:t xml:space="preserve"> до краја хоризонта пројекције</w:t>
      </w:r>
      <w:r w:rsidRPr="00AD7E7D">
        <w:rPr>
          <w:rFonts w:eastAsia="Calibri" w:cs="Times New Roman"/>
          <w:szCs w:val="24"/>
          <w:lang w:val="sr-Cyrl-RS"/>
        </w:rPr>
        <w:t>, с тим да ће постепено успоравати</w:t>
      </w:r>
      <w:r w:rsidRPr="00AD7E7D">
        <w:rPr>
          <w:rFonts w:eastAsia="Calibri" w:cs="Times New Roman"/>
          <w:szCs w:val="24"/>
        </w:rPr>
        <w:t xml:space="preserve"> према </w:t>
      </w:r>
      <w:r w:rsidRPr="00AD7E7D">
        <w:rPr>
          <w:rFonts w:eastAsia="Calibri" w:cs="Times New Roman"/>
          <w:szCs w:val="24"/>
          <w:lang w:val="sr-Cyrl-RS"/>
        </w:rPr>
        <w:t>централној вредности циља</w:t>
      </w:r>
      <w:r w:rsidRPr="00AD7E7D">
        <w:rPr>
          <w:rFonts w:eastAsia="Calibri" w:cs="Times New Roman"/>
          <w:szCs w:val="24"/>
        </w:rPr>
        <w:t>.</w:t>
      </w:r>
    </w:p>
    <w:p w14:paraId="034CBAAF" w14:textId="77777777" w:rsidR="00A8098E" w:rsidRPr="00AD7E7D" w:rsidRDefault="00A8098E" w:rsidP="00A8098E">
      <w:pPr>
        <w:rPr>
          <w:rFonts w:eastAsia="Calibri" w:cs="Times New Roman"/>
          <w:szCs w:val="24"/>
        </w:rPr>
      </w:pPr>
      <w:r w:rsidRPr="00AD7E7D">
        <w:rPr>
          <w:rFonts w:eastAsia="Calibri" w:cs="Times New Roman"/>
          <w:szCs w:val="24"/>
        </w:rPr>
        <w:t xml:space="preserve">Узимајући у обзир </w:t>
      </w:r>
      <w:r w:rsidRPr="00AD7E7D">
        <w:rPr>
          <w:rFonts w:eastAsia="Calibri" w:cs="Times New Roman"/>
          <w:szCs w:val="24"/>
          <w:lang w:val="sr-Cyrl-RS"/>
        </w:rPr>
        <w:t>о</w:t>
      </w:r>
      <w:r w:rsidRPr="00AD7E7D">
        <w:rPr>
          <w:rFonts w:eastAsia="Calibri" w:cs="Times New Roman"/>
          <w:szCs w:val="24"/>
        </w:rPr>
        <w:t>ствар</w:t>
      </w:r>
      <w:r w:rsidRPr="00AD7E7D">
        <w:rPr>
          <w:rFonts w:eastAsia="Calibri" w:cs="Times New Roman"/>
          <w:szCs w:val="24"/>
          <w:lang w:val="sr-Cyrl-RS"/>
        </w:rPr>
        <w:t>е</w:t>
      </w:r>
      <w:r w:rsidRPr="00AD7E7D">
        <w:rPr>
          <w:rFonts w:eastAsia="Calibri" w:cs="Times New Roman"/>
          <w:szCs w:val="24"/>
        </w:rPr>
        <w:t xml:space="preserve">но и очекивано кретање кључних фактора инфлације, Извршни одбор НБС је </w:t>
      </w:r>
      <w:r w:rsidRPr="00AD7E7D">
        <w:rPr>
          <w:rFonts w:eastAsia="Calibri" w:cs="Times New Roman"/>
          <w:szCs w:val="24"/>
          <w:lang w:val="sr-Cyrl-RS"/>
        </w:rPr>
        <w:t>средином године започео</w:t>
      </w:r>
      <w:r w:rsidRPr="00AD7E7D">
        <w:rPr>
          <w:rFonts w:eastAsia="Calibri" w:cs="Times New Roman"/>
          <w:szCs w:val="24"/>
        </w:rPr>
        <w:t xml:space="preserve"> са монетарним попуштањем и од средине године </w:t>
      </w:r>
      <w:r w:rsidRPr="00AD7E7D">
        <w:rPr>
          <w:rFonts w:eastAsia="Calibri" w:cs="Times New Roman"/>
          <w:szCs w:val="24"/>
          <w:lang w:val="sr-Cyrl-RS"/>
        </w:rPr>
        <w:t>референтна каматна стопа је кумулативно посматрано смањена за</w:t>
      </w:r>
      <w:r w:rsidRPr="00AD7E7D">
        <w:rPr>
          <w:rFonts w:eastAsia="Calibri" w:cs="Times New Roman"/>
          <w:szCs w:val="24"/>
        </w:rPr>
        <w:t xml:space="preserve"> 75 базних поена, на 5,75%. Међутим, </w:t>
      </w:r>
      <w:r w:rsidRPr="00AD7E7D">
        <w:rPr>
          <w:rFonts w:eastAsia="Calibri" w:cs="Times New Roman"/>
          <w:szCs w:val="24"/>
          <w:lang w:val="sr-Cyrl-RS"/>
        </w:rPr>
        <w:t>и поред</w:t>
      </w:r>
      <w:r w:rsidRPr="00AD7E7D">
        <w:rPr>
          <w:rFonts w:eastAsia="Calibri" w:cs="Times New Roman"/>
          <w:szCs w:val="24"/>
        </w:rPr>
        <w:t xml:space="preserve"> започето</w:t>
      </w:r>
      <w:r w:rsidRPr="00AD7E7D">
        <w:rPr>
          <w:rFonts w:eastAsia="Calibri" w:cs="Times New Roman"/>
          <w:szCs w:val="24"/>
          <w:lang w:val="sr-Cyrl-RS"/>
        </w:rPr>
        <w:t>г ублажавања</w:t>
      </w:r>
      <w:r w:rsidRPr="00AD7E7D">
        <w:rPr>
          <w:rFonts w:eastAsia="Calibri" w:cs="Times New Roman"/>
          <w:szCs w:val="24"/>
        </w:rPr>
        <w:t xml:space="preserve">, монетарна политика </w:t>
      </w:r>
      <w:r w:rsidRPr="00AD7E7D">
        <w:rPr>
          <w:rFonts w:eastAsia="Calibri" w:cs="Times New Roman"/>
          <w:szCs w:val="24"/>
          <w:lang w:val="sr-Cyrl-RS"/>
        </w:rPr>
        <w:t>и даље има рестриктиван карактер</w:t>
      </w:r>
      <w:r w:rsidRPr="00AD7E7D">
        <w:rPr>
          <w:rFonts w:eastAsia="Calibri" w:cs="Times New Roman"/>
          <w:szCs w:val="24"/>
        </w:rPr>
        <w:t>.</w:t>
      </w:r>
    </w:p>
    <w:p w14:paraId="31A27D67" w14:textId="77777777" w:rsidR="00A8098E" w:rsidRPr="00AD7E7D" w:rsidRDefault="00A8098E" w:rsidP="00A8098E">
      <w:pPr>
        <w:rPr>
          <w:rFonts w:eastAsia="Calibri" w:cs="Times New Roman"/>
          <w:szCs w:val="24"/>
        </w:rPr>
      </w:pPr>
      <w:r w:rsidRPr="00AD7E7D">
        <w:rPr>
          <w:rFonts w:eastAsia="Calibri" w:cs="Times New Roman"/>
          <w:szCs w:val="24"/>
        </w:rPr>
        <w:t xml:space="preserve">Према последњим </w:t>
      </w:r>
      <w:r w:rsidRPr="00AD7E7D">
        <w:rPr>
          <w:rFonts w:eastAsia="Calibri" w:cs="Times New Roman"/>
          <w:szCs w:val="24"/>
          <w:lang w:val="sr-Cyrl-RS"/>
        </w:rPr>
        <w:t>резултатима анкета</w:t>
      </w:r>
      <w:r w:rsidRPr="00AD7E7D">
        <w:rPr>
          <w:rFonts w:eastAsia="Calibri" w:cs="Times New Roman"/>
          <w:szCs w:val="24"/>
        </w:rPr>
        <w:t xml:space="preserve">, инфлациона очекивања финансијског сектора за годину дана унапред кретала су се у распону од 3,4–3,75%, док су средњорочна очекивања наставила да се крећу око средње </w:t>
      </w:r>
      <w:r w:rsidRPr="00AD7E7D">
        <w:rPr>
          <w:rFonts w:eastAsia="Calibri" w:cs="Times New Roman"/>
          <w:szCs w:val="24"/>
          <w:lang w:val="sr-Cyrl-RS"/>
        </w:rPr>
        <w:t>вредности</w:t>
      </w:r>
      <w:r w:rsidRPr="00AD7E7D">
        <w:rPr>
          <w:rFonts w:eastAsia="Calibri" w:cs="Times New Roman"/>
          <w:szCs w:val="24"/>
        </w:rPr>
        <w:t xml:space="preserve"> циља НБС (3,0%).</w:t>
      </w:r>
    </w:p>
    <w:p w14:paraId="41B1AA3E" w14:textId="77777777" w:rsidR="00A8098E" w:rsidRPr="00AD7E7D" w:rsidRDefault="00A8098E" w:rsidP="00AD7E7D">
      <w:pPr>
        <w:spacing w:after="240"/>
        <w:rPr>
          <w:rFonts w:eastAsia="Calibri" w:cs="Times New Roman"/>
          <w:szCs w:val="24"/>
        </w:rPr>
      </w:pPr>
      <w:r w:rsidRPr="00AD7E7D">
        <w:rPr>
          <w:rFonts w:eastAsia="Calibri" w:cs="Times New Roman"/>
          <w:szCs w:val="24"/>
        </w:rPr>
        <w:t>Извршни одбор НБС ће наставити да помно прати и анализира дешавања на домаћем и међународном тржишту и доноси одлуке о монетарној политици од састанка до састанка у зависности од процене пристиглих података, изгледа инфлације и њених кључних фактора, као и ефек</w:t>
      </w:r>
      <w:r w:rsidRPr="00AD7E7D">
        <w:rPr>
          <w:rFonts w:eastAsia="Calibri" w:cs="Times New Roman"/>
          <w:szCs w:val="24"/>
          <w:lang w:val="sr-Cyrl-RS"/>
        </w:rPr>
        <w:t>а</w:t>
      </w:r>
      <w:r w:rsidRPr="00AD7E7D">
        <w:rPr>
          <w:rFonts w:eastAsia="Calibri" w:cs="Times New Roman"/>
          <w:szCs w:val="24"/>
        </w:rPr>
        <w:t>т</w:t>
      </w:r>
      <w:r w:rsidRPr="00AD7E7D">
        <w:rPr>
          <w:rFonts w:eastAsia="Calibri" w:cs="Times New Roman"/>
          <w:szCs w:val="24"/>
          <w:lang w:val="sr-Cyrl-RS"/>
        </w:rPr>
        <w:t>а претходно предузетих</w:t>
      </w:r>
      <w:r w:rsidRPr="00AD7E7D">
        <w:rPr>
          <w:rFonts w:eastAsia="Calibri" w:cs="Times New Roman"/>
          <w:szCs w:val="24"/>
        </w:rPr>
        <w:t xml:space="preserve"> мера монетарне политике.</w:t>
      </w:r>
    </w:p>
    <w:p w14:paraId="57DCE47D" w14:textId="77777777" w:rsidR="00A8098E" w:rsidRPr="00AD7E7D" w:rsidRDefault="00A8098E" w:rsidP="00A8098E">
      <w:pPr>
        <w:rPr>
          <w:rFonts w:eastAsia="Calibri" w:cs="Times New Roman"/>
          <w:szCs w:val="24"/>
        </w:rPr>
      </w:pPr>
      <w:r w:rsidRPr="00AD7E7D">
        <w:rPr>
          <w:rFonts w:eastAsia="Calibri" w:cs="Times New Roman"/>
          <w:i/>
          <w:iCs/>
          <w:szCs w:val="24"/>
        </w:rPr>
        <w:t>- Даље побољшати надзор заснован на ризику у складу са најбољом међународном и европском праксом, укључујући даље јачање оквира за извештавање широм банкарског система, постепено укидање привремених мера које утичу на тржишне механизме у одређивању каматних стопа на хипотеке и подстицање решавања проблематичних кредита, укључујући даљи развој секундарног тржиште проблематичних кредита.</w:t>
      </w:r>
    </w:p>
    <w:p w14:paraId="503672B1" w14:textId="77777777" w:rsidR="00A8098E" w:rsidRPr="00AD7E7D" w:rsidRDefault="00A8098E" w:rsidP="00A8098E">
      <w:pPr>
        <w:rPr>
          <w:rFonts w:eastAsia="Calibri" w:cs="Times New Roman"/>
          <w:szCs w:val="24"/>
        </w:rPr>
      </w:pPr>
      <w:r w:rsidRPr="00AD7E7D">
        <w:rPr>
          <w:rFonts w:eastAsia="Calibri" w:cs="Times New Roman"/>
          <w:szCs w:val="24"/>
        </w:rPr>
        <w:t xml:space="preserve">У смислу најбоље међународне и европске праксе, Народна банка Србије континуирано негује супервизорски приступ </w:t>
      </w:r>
      <w:r w:rsidRPr="00AD7E7D">
        <w:rPr>
          <w:rFonts w:eastAsia="Calibri" w:cs="Times New Roman"/>
          <w:szCs w:val="24"/>
          <w:lang w:val="sr-Cyrl-RS"/>
        </w:rPr>
        <w:t>базиран</w:t>
      </w:r>
      <w:r w:rsidRPr="00AD7E7D">
        <w:rPr>
          <w:rFonts w:eastAsia="Calibri" w:cs="Times New Roman"/>
          <w:szCs w:val="24"/>
        </w:rPr>
        <w:t xml:space="preserve"> на ризику и унапређује процес извештавања у банкарском систему.</w:t>
      </w:r>
    </w:p>
    <w:p w14:paraId="53DABDA0" w14:textId="77777777" w:rsidR="00A8098E" w:rsidRPr="00AD7E7D" w:rsidRDefault="00A8098E" w:rsidP="00A8098E">
      <w:pPr>
        <w:rPr>
          <w:rFonts w:eastAsia="Calibri" w:cs="Times New Roman"/>
          <w:szCs w:val="24"/>
        </w:rPr>
      </w:pPr>
      <w:r w:rsidRPr="00AD7E7D">
        <w:rPr>
          <w:rFonts w:eastAsia="Calibri" w:cs="Times New Roman"/>
          <w:szCs w:val="24"/>
        </w:rPr>
        <w:t>Одлука о привременим мерама за банке у вези са стамбеним кредитима физичких лица испунила је циљ превентивног деловања у условима глобалне нестабилности каматних стопа,</w:t>
      </w:r>
      <w:r w:rsidRPr="00AD7E7D">
        <w:rPr>
          <w:rFonts w:eastAsia="Calibri" w:cs="Times New Roman"/>
          <w:szCs w:val="24"/>
          <w:lang w:val="sr-Cyrl-RS"/>
        </w:rPr>
        <w:t xml:space="preserve"> ради</w:t>
      </w:r>
      <w:r w:rsidRPr="00AD7E7D">
        <w:rPr>
          <w:rFonts w:eastAsia="Calibri" w:cs="Times New Roman"/>
          <w:szCs w:val="24"/>
        </w:rPr>
        <w:t xml:space="preserve"> спречавања појаве и раста проблематичних кредита у стамбеном кредитном портфолију банкарског сектора и очувања финансијске стабилности. О ефикасности ове мере сведочи и податак да је од њеног ступања на снагу одобрено више од 10.000 стамбених кредита у укупном износу од око 660 милиона евра, а показатељ проблематичних кредита у сегменту стамбених кредита је у августу 2024. године износио свега 1,5 одсто.</w:t>
      </w:r>
    </w:p>
    <w:p w14:paraId="09A98E5A" w14:textId="77777777" w:rsidR="00A8098E" w:rsidRPr="00AD7E7D" w:rsidRDefault="00A8098E" w:rsidP="00A8098E">
      <w:pPr>
        <w:rPr>
          <w:rFonts w:eastAsia="Calibri" w:cs="Times New Roman"/>
          <w:szCs w:val="24"/>
        </w:rPr>
      </w:pPr>
      <w:r w:rsidRPr="00AD7E7D">
        <w:rPr>
          <w:rFonts w:eastAsia="Calibri" w:cs="Times New Roman"/>
          <w:szCs w:val="24"/>
        </w:rPr>
        <w:t xml:space="preserve">Као резултат регулаторних и супервизорских активности НБС, које су подржане посвећеношћу банкарског сектора благовременом решавању питања квалитета активе, очувана је стабилност финансијског система и додатно је смањен NPL индикатор на 2,73% </w:t>
      </w:r>
      <w:r w:rsidRPr="00AD7E7D">
        <w:rPr>
          <w:rFonts w:eastAsia="Calibri" w:cs="Times New Roman"/>
          <w:szCs w:val="24"/>
          <w:lang w:val="sr-Cyrl-RS"/>
        </w:rPr>
        <w:t xml:space="preserve">у </w:t>
      </w:r>
      <w:r w:rsidRPr="00AD7E7D">
        <w:rPr>
          <w:rFonts w:eastAsia="Calibri" w:cs="Times New Roman"/>
          <w:szCs w:val="24"/>
        </w:rPr>
        <w:t>август</w:t>
      </w:r>
      <w:r w:rsidRPr="00AD7E7D">
        <w:rPr>
          <w:rFonts w:eastAsia="Calibri" w:cs="Times New Roman"/>
          <w:szCs w:val="24"/>
          <w:lang w:val="sr-Cyrl-RS"/>
        </w:rPr>
        <w:t>у</w:t>
      </w:r>
      <w:r w:rsidRPr="00AD7E7D">
        <w:rPr>
          <w:rFonts w:eastAsia="Calibri" w:cs="Times New Roman"/>
          <w:szCs w:val="24"/>
        </w:rPr>
        <w:t xml:space="preserve"> 2024. што је његова историјски најнижа вредност.</w:t>
      </w:r>
    </w:p>
    <w:p w14:paraId="48C6C366" w14:textId="77777777" w:rsidR="00A8098E" w:rsidRPr="00AD7E7D" w:rsidRDefault="00A8098E" w:rsidP="00AD7E7D">
      <w:pPr>
        <w:spacing w:after="240"/>
        <w:rPr>
          <w:rFonts w:eastAsia="Calibri" w:cs="Times New Roman"/>
          <w:szCs w:val="24"/>
        </w:rPr>
      </w:pPr>
      <w:r w:rsidRPr="00AD7E7D">
        <w:rPr>
          <w:rFonts w:eastAsia="Calibri" w:cs="Times New Roman"/>
          <w:szCs w:val="24"/>
        </w:rPr>
        <w:t>Тренутно је у току решавање преосталих проблематичних пласмана банака у стечају и пласмана у име и за рачун Републике Србије, којима управља Агенција за осигурање депозита.</w:t>
      </w:r>
    </w:p>
    <w:p w14:paraId="0C42FC72" w14:textId="77777777" w:rsidR="00A8098E" w:rsidRPr="00AD7E7D" w:rsidRDefault="00A8098E" w:rsidP="00A8098E">
      <w:pPr>
        <w:rPr>
          <w:rFonts w:eastAsia="Calibri" w:cs="Times New Roman"/>
          <w:szCs w:val="24"/>
        </w:rPr>
      </w:pPr>
      <w:r w:rsidRPr="00AD7E7D">
        <w:rPr>
          <w:rFonts w:eastAsia="Calibri" w:cs="Times New Roman"/>
          <w:i/>
          <w:iCs/>
          <w:szCs w:val="24"/>
        </w:rPr>
        <w:t>- Наставити са напорима да се промовише употреба домаће валуте, укључујући побољшање дугорочног финансирања у домаћој валути, даље подстицање заштите од девизног ризика и подизање свести о ризицима у вези са девизним кредитима</w:t>
      </w:r>
    </w:p>
    <w:p w14:paraId="00DB5378" w14:textId="77777777" w:rsidR="00A8098E" w:rsidRPr="00AD7E7D" w:rsidRDefault="00A8098E" w:rsidP="00A8098E">
      <w:pPr>
        <w:rPr>
          <w:rFonts w:eastAsia="Calibri" w:cs="Times New Roman"/>
          <w:szCs w:val="24"/>
        </w:rPr>
      </w:pPr>
      <w:r w:rsidRPr="00AD7E7D">
        <w:rPr>
          <w:rFonts w:eastAsia="Calibri" w:cs="Times New Roman"/>
          <w:szCs w:val="24"/>
        </w:rPr>
        <w:t xml:space="preserve">У циљу </w:t>
      </w:r>
      <w:r w:rsidRPr="00AD7E7D">
        <w:rPr>
          <w:rFonts w:eastAsia="Calibri" w:cs="Times New Roman"/>
          <w:szCs w:val="24"/>
          <w:lang w:val="sr-Cyrl-RS"/>
        </w:rPr>
        <w:t>обезбеђења већег коришћења</w:t>
      </w:r>
      <w:r w:rsidRPr="00AD7E7D">
        <w:rPr>
          <w:rFonts w:eastAsia="Calibri" w:cs="Times New Roman"/>
          <w:szCs w:val="24"/>
        </w:rPr>
        <w:t xml:space="preserve"> динарских извора финансирања банака, НБС примењује ниже стопе обавезне резерве на динарске изворе (посебно дугорочне). Најновије повећање стопе обавезне резерве (које се догодило у септембру 2023. године) додатно је побољшало </w:t>
      </w:r>
      <w:r w:rsidRPr="00AD7E7D">
        <w:rPr>
          <w:rFonts w:eastAsia="Calibri" w:cs="Times New Roman"/>
          <w:szCs w:val="24"/>
          <w:lang w:val="sr-Cyrl-RS"/>
        </w:rPr>
        <w:t>преференцијални третман динарских извора</w:t>
      </w:r>
      <w:r w:rsidRPr="00AD7E7D">
        <w:rPr>
          <w:rFonts w:eastAsia="Calibri" w:cs="Times New Roman"/>
          <w:szCs w:val="24"/>
        </w:rPr>
        <w:t xml:space="preserve">, јер су показатељи </w:t>
      </w:r>
      <w:r w:rsidRPr="00AD7E7D">
        <w:rPr>
          <w:rFonts w:eastAsia="Calibri" w:cs="Times New Roman"/>
          <w:szCs w:val="24"/>
        </w:rPr>
        <w:lastRenderedPageBreak/>
        <w:t>за динарске изворе финансирања повећани у мањој мери у односу на девизне изворе финансирања.</w:t>
      </w:r>
    </w:p>
    <w:p w14:paraId="791DE2F4" w14:textId="77777777" w:rsidR="00A8098E" w:rsidRPr="00AD7E7D" w:rsidRDefault="00A8098E" w:rsidP="00A8098E">
      <w:pPr>
        <w:rPr>
          <w:rFonts w:eastAsia="Calibri" w:cs="Times New Roman"/>
          <w:szCs w:val="24"/>
        </w:rPr>
      </w:pPr>
      <w:r w:rsidRPr="00AD7E7D">
        <w:rPr>
          <w:rFonts w:eastAsia="Calibri" w:cs="Times New Roman"/>
          <w:szCs w:val="24"/>
        </w:rPr>
        <w:t xml:space="preserve">Такође, НБС даје преференцијални третман динарских извора </w:t>
      </w:r>
      <w:r w:rsidRPr="00AD7E7D">
        <w:rPr>
          <w:rFonts w:eastAsia="Calibri" w:cs="Times New Roman"/>
          <w:szCs w:val="24"/>
          <w:lang w:val="sr-Cyrl-RS"/>
        </w:rPr>
        <w:t>тако што плаћа банкама камату за</w:t>
      </w:r>
      <w:r w:rsidRPr="00AD7E7D">
        <w:rPr>
          <w:rFonts w:eastAsia="Calibri" w:cs="Times New Roman"/>
          <w:szCs w:val="24"/>
        </w:rPr>
        <w:t xml:space="preserve"> обавезну резерву издвојену у динарима (тренутно 0,75%), док не </w:t>
      </w:r>
      <w:r w:rsidRPr="00AD7E7D">
        <w:rPr>
          <w:rFonts w:eastAsia="Calibri" w:cs="Times New Roman"/>
          <w:szCs w:val="24"/>
          <w:lang w:val="sr-Cyrl-RS"/>
        </w:rPr>
        <w:t>плаћа камату за</w:t>
      </w:r>
      <w:r w:rsidRPr="00AD7E7D">
        <w:rPr>
          <w:rFonts w:eastAsia="Calibri" w:cs="Times New Roman"/>
          <w:szCs w:val="24"/>
        </w:rPr>
        <w:t xml:space="preserve"> обавезну резерву издвојену у страној валути.</w:t>
      </w:r>
    </w:p>
    <w:p w14:paraId="0A98ABF9" w14:textId="77777777" w:rsidR="00A8098E" w:rsidRPr="00AD7E7D" w:rsidRDefault="00A8098E" w:rsidP="00A8098E">
      <w:pPr>
        <w:rPr>
          <w:rFonts w:eastAsia="Calibri" w:cs="Times New Roman"/>
          <w:szCs w:val="24"/>
        </w:rPr>
      </w:pPr>
      <w:r w:rsidRPr="00AD7E7D">
        <w:rPr>
          <w:rFonts w:eastAsia="Calibri" w:cs="Times New Roman"/>
          <w:szCs w:val="24"/>
        </w:rPr>
        <w:t>У циљу ограничавања системског ризика евроизације, од јуна 2017. године примењује се заштитни капитални бафер за структурни системски ризик. У последњем испитивању</w:t>
      </w:r>
      <w:r w:rsidRPr="00AD7E7D">
        <w:rPr>
          <w:rFonts w:eastAsia="Calibri" w:cs="Times New Roman"/>
          <w:szCs w:val="24"/>
          <w:lang w:val="sr-Cyrl-RS"/>
        </w:rPr>
        <w:t>,</w:t>
      </w:r>
      <w:r w:rsidRPr="00AD7E7D">
        <w:rPr>
          <w:rFonts w:eastAsia="Calibri" w:cs="Times New Roman"/>
          <w:szCs w:val="24"/>
        </w:rPr>
        <w:t xml:space="preserve"> у марту 2024. године</w:t>
      </w:r>
      <w:r w:rsidRPr="00AD7E7D">
        <w:rPr>
          <w:rFonts w:eastAsia="Calibri" w:cs="Times New Roman"/>
          <w:szCs w:val="24"/>
          <w:lang w:val="sr-Cyrl-RS"/>
        </w:rPr>
        <w:t>,</w:t>
      </w:r>
      <w:r w:rsidRPr="00AD7E7D">
        <w:rPr>
          <w:rFonts w:eastAsia="Calibri" w:cs="Times New Roman"/>
          <w:szCs w:val="24"/>
        </w:rPr>
        <w:t xml:space="preserve"> он је задржан на нивоу од 3% </w:t>
      </w:r>
      <w:r w:rsidRPr="00AD7E7D">
        <w:rPr>
          <w:rFonts w:eastAsia="Calibri" w:cs="Times New Roman"/>
          <w:szCs w:val="24"/>
          <w:lang w:val="sr-Cyrl-RS"/>
        </w:rPr>
        <w:t xml:space="preserve">за </w:t>
      </w:r>
      <w:r w:rsidRPr="00AD7E7D">
        <w:rPr>
          <w:rFonts w:eastAsia="Calibri" w:cs="Times New Roman"/>
          <w:szCs w:val="24"/>
        </w:rPr>
        <w:t>укупн</w:t>
      </w:r>
      <w:r w:rsidRPr="00AD7E7D">
        <w:rPr>
          <w:rFonts w:eastAsia="Calibri" w:cs="Times New Roman"/>
          <w:szCs w:val="24"/>
          <w:lang w:val="sr-Cyrl-RS"/>
        </w:rPr>
        <w:t>а</w:t>
      </w:r>
      <w:r w:rsidRPr="00AD7E7D">
        <w:rPr>
          <w:rFonts w:eastAsia="Calibri" w:cs="Times New Roman"/>
          <w:szCs w:val="24"/>
        </w:rPr>
        <w:t xml:space="preserve"> девизн</w:t>
      </w:r>
      <w:r w:rsidRPr="00AD7E7D">
        <w:rPr>
          <w:rFonts w:eastAsia="Calibri" w:cs="Times New Roman"/>
          <w:szCs w:val="24"/>
          <w:lang w:val="sr-Cyrl-RS"/>
        </w:rPr>
        <w:t>а</w:t>
      </w:r>
      <w:r w:rsidRPr="00AD7E7D">
        <w:rPr>
          <w:rFonts w:eastAsia="Calibri" w:cs="Times New Roman"/>
          <w:szCs w:val="24"/>
        </w:rPr>
        <w:t xml:space="preserve"> и девизн</w:t>
      </w:r>
      <w:r w:rsidRPr="00AD7E7D">
        <w:rPr>
          <w:rFonts w:eastAsia="Calibri" w:cs="Times New Roman"/>
          <w:szCs w:val="24"/>
          <w:lang w:val="sr-Cyrl-RS"/>
        </w:rPr>
        <w:t>о</w:t>
      </w:r>
      <w:r w:rsidRPr="00AD7E7D">
        <w:rPr>
          <w:rFonts w:eastAsia="Calibri" w:cs="Times New Roman"/>
          <w:szCs w:val="24"/>
        </w:rPr>
        <w:t>-индексиран</w:t>
      </w:r>
      <w:r w:rsidRPr="00AD7E7D">
        <w:rPr>
          <w:rFonts w:eastAsia="Calibri" w:cs="Times New Roman"/>
          <w:szCs w:val="24"/>
          <w:lang w:val="sr-Cyrl-RS"/>
        </w:rPr>
        <w:t>а</w:t>
      </w:r>
      <w:r w:rsidRPr="00AD7E7D">
        <w:rPr>
          <w:rFonts w:eastAsia="Calibri" w:cs="Times New Roman"/>
          <w:szCs w:val="24"/>
        </w:rPr>
        <w:t xml:space="preserve"> потраживања банака </w:t>
      </w:r>
      <w:r w:rsidRPr="00AD7E7D">
        <w:rPr>
          <w:rFonts w:eastAsia="Calibri" w:cs="Times New Roman"/>
          <w:szCs w:val="24"/>
          <w:lang w:val="sr-Cyrl-RS"/>
        </w:rPr>
        <w:t xml:space="preserve">од </w:t>
      </w:r>
      <w:r w:rsidRPr="00AD7E7D">
        <w:rPr>
          <w:rFonts w:eastAsia="Calibri" w:cs="Times New Roman"/>
          <w:szCs w:val="24"/>
        </w:rPr>
        <w:t>предузећа и домаћинст</w:t>
      </w:r>
      <w:r w:rsidRPr="00AD7E7D">
        <w:rPr>
          <w:rFonts w:eastAsia="Calibri" w:cs="Times New Roman"/>
          <w:szCs w:val="24"/>
          <w:lang w:val="sr-Cyrl-RS"/>
        </w:rPr>
        <w:t>ава</w:t>
      </w:r>
      <w:r w:rsidRPr="00AD7E7D">
        <w:rPr>
          <w:rFonts w:eastAsia="Calibri" w:cs="Times New Roman"/>
          <w:szCs w:val="24"/>
        </w:rPr>
        <w:t xml:space="preserve"> у Србији. Све банке код којих је ово учешће веће од 10% дужне су да одржавају заштитни </w:t>
      </w:r>
      <w:r w:rsidRPr="00AD7E7D">
        <w:rPr>
          <w:rFonts w:eastAsia="Calibri" w:cs="Times New Roman"/>
          <w:szCs w:val="24"/>
          <w:lang w:val="sr-Cyrl-RS"/>
        </w:rPr>
        <w:t xml:space="preserve">слој </w:t>
      </w:r>
      <w:r w:rsidRPr="00AD7E7D">
        <w:rPr>
          <w:rFonts w:eastAsia="Calibri" w:cs="Times New Roman"/>
          <w:szCs w:val="24"/>
        </w:rPr>
        <w:t>капитал</w:t>
      </w:r>
      <w:r w:rsidRPr="00AD7E7D">
        <w:rPr>
          <w:rFonts w:eastAsia="Calibri" w:cs="Times New Roman"/>
          <w:szCs w:val="24"/>
          <w:lang w:val="sr-Cyrl-RS"/>
        </w:rPr>
        <w:t>а у наведеном проценту</w:t>
      </w:r>
      <w:r w:rsidRPr="00AD7E7D">
        <w:rPr>
          <w:rFonts w:eastAsia="Calibri" w:cs="Times New Roman"/>
          <w:szCs w:val="24"/>
        </w:rPr>
        <w:t>.</w:t>
      </w:r>
    </w:p>
    <w:p w14:paraId="1E0A1BBE" w14:textId="77777777" w:rsidR="00056C94" w:rsidRDefault="00A8098E" w:rsidP="00AD7E7D">
      <w:pPr>
        <w:spacing w:after="240"/>
        <w:rPr>
          <w:rFonts w:eastAsia="Calibri" w:cs="Times New Roman"/>
          <w:szCs w:val="24"/>
        </w:rPr>
      </w:pPr>
      <w:r w:rsidRPr="00AD7E7D">
        <w:rPr>
          <w:rFonts w:eastAsia="Calibri" w:cs="Times New Roman"/>
          <w:szCs w:val="24"/>
        </w:rPr>
        <w:t xml:space="preserve">НБС наставља да пружа банкама могућност </w:t>
      </w:r>
      <w:r w:rsidRPr="00AD7E7D">
        <w:rPr>
          <w:rFonts w:eastAsia="Calibri" w:cs="Times New Roman"/>
          <w:szCs w:val="24"/>
          <w:lang w:val="sr-Cyrl-RS"/>
        </w:rPr>
        <w:t>закључења</w:t>
      </w:r>
      <w:r w:rsidRPr="00AD7E7D">
        <w:rPr>
          <w:rFonts w:eastAsia="Calibri" w:cs="Times New Roman"/>
          <w:szCs w:val="24"/>
        </w:rPr>
        <w:t xml:space="preserve"> билатералних своп трансакција као</w:t>
      </w:r>
      <w:r w:rsidRPr="00AD7E7D">
        <w:rPr>
          <w:rFonts w:eastAsia="Calibri" w:cs="Times New Roman"/>
          <w:szCs w:val="24"/>
          <w:lang w:val="sr-Cyrl-RS"/>
        </w:rPr>
        <w:t xml:space="preserve"> вид</w:t>
      </w:r>
      <w:r w:rsidRPr="00AD7E7D">
        <w:rPr>
          <w:rFonts w:eastAsia="Calibri" w:cs="Times New Roman"/>
          <w:szCs w:val="24"/>
        </w:rPr>
        <w:t xml:space="preserve"> помоћ</w:t>
      </w:r>
      <w:r w:rsidRPr="00AD7E7D">
        <w:rPr>
          <w:rFonts w:eastAsia="Calibri" w:cs="Times New Roman"/>
          <w:szCs w:val="24"/>
          <w:lang w:val="sr-Cyrl-RS"/>
        </w:rPr>
        <w:t>и</w:t>
      </w:r>
      <w:r w:rsidRPr="00AD7E7D">
        <w:rPr>
          <w:rFonts w:eastAsia="Calibri" w:cs="Times New Roman"/>
          <w:szCs w:val="24"/>
        </w:rPr>
        <w:t xml:space="preserve"> банкама у управљању динарском и девизном ликвидношћу и помоћ</w:t>
      </w:r>
      <w:r w:rsidRPr="00AD7E7D">
        <w:rPr>
          <w:rFonts w:eastAsia="Calibri" w:cs="Times New Roman"/>
          <w:szCs w:val="24"/>
          <w:lang w:val="sr-Cyrl-RS"/>
        </w:rPr>
        <w:t xml:space="preserve">и </w:t>
      </w:r>
      <w:r w:rsidRPr="00AD7E7D">
        <w:rPr>
          <w:rFonts w:eastAsia="Calibri" w:cs="Times New Roman"/>
          <w:szCs w:val="24"/>
        </w:rPr>
        <w:t xml:space="preserve">у превазилажењу недовољних лимита за међубанкарску трговину. У овим трансакцијама НБС посредује између две банке са неутралним утицајем на динарску и </w:t>
      </w:r>
      <w:r w:rsidRPr="00AD7E7D">
        <w:rPr>
          <w:rFonts w:eastAsia="Calibri" w:cs="Times New Roman"/>
          <w:szCs w:val="24"/>
          <w:lang w:val="sr-Cyrl-RS"/>
        </w:rPr>
        <w:t>девизну</w:t>
      </w:r>
      <w:r w:rsidR="00AD7E7D">
        <w:rPr>
          <w:rFonts w:eastAsia="Calibri" w:cs="Times New Roman"/>
          <w:szCs w:val="24"/>
        </w:rPr>
        <w:t xml:space="preserve"> ликвидност банкарског сектора.</w:t>
      </w:r>
      <w:r w:rsidR="00056C94">
        <w:rPr>
          <w:rFonts w:eastAsia="Calibri" w:cs="Times New Roman"/>
          <w:szCs w:val="24"/>
        </w:rPr>
        <w:br w:type="page"/>
      </w:r>
    </w:p>
    <w:p w14:paraId="04D708EA" w14:textId="77777777" w:rsidR="009333E2" w:rsidRPr="00E25CAC" w:rsidRDefault="00AD7E7D" w:rsidP="00E25CAC">
      <w:pPr>
        <w:pStyle w:val="Heading1"/>
        <w:spacing w:after="240"/>
        <w:rPr>
          <w:rFonts w:ascii="Times New Roman" w:eastAsiaTheme="minorHAnsi" w:hAnsi="Times New Roman" w:cs="Times New Roman"/>
          <w:b/>
          <w:color w:val="auto"/>
          <w:sz w:val="24"/>
          <w:szCs w:val="24"/>
          <w:lang w:val="sr-Latn-RS"/>
        </w:rPr>
      </w:pPr>
      <w:bookmarkStart w:id="4" w:name="_Toc185342327"/>
      <w:r w:rsidRPr="00E25CAC">
        <w:rPr>
          <w:rFonts w:ascii="Times New Roman" w:eastAsiaTheme="minorHAnsi" w:hAnsi="Times New Roman" w:cs="Times New Roman"/>
          <w:b/>
          <w:color w:val="auto"/>
          <w:sz w:val="24"/>
          <w:szCs w:val="24"/>
          <w:lang w:val="sr-Latn-RS"/>
        </w:rPr>
        <w:lastRenderedPageBreak/>
        <w:t>3</w:t>
      </w:r>
      <w:r w:rsidR="009333E2" w:rsidRPr="00E25CAC">
        <w:rPr>
          <w:rFonts w:ascii="Times New Roman" w:eastAsiaTheme="minorHAnsi" w:hAnsi="Times New Roman" w:cs="Times New Roman"/>
          <w:b/>
          <w:color w:val="auto"/>
          <w:sz w:val="24"/>
          <w:szCs w:val="24"/>
          <w:lang w:val="sr-Latn-RS"/>
        </w:rPr>
        <w:t>. СРЕДЊОРОЧНИ МАКРОЕКОНОМСКИ ОКВИР</w:t>
      </w:r>
      <w:bookmarkEnd w:id="4"/>
    </w:p>
    <w:p w14:paraId="487DB806" w14:textId="77777777" w:rsidR="0047598D" w:rsidRPr="00E25CAC" w:rsidRDefault="00AD7E7D" w:rsidP="00E25CAC">
      <w:pPr>
        <w:pStyle w:val="Heading11"/>
        <w:spacing w:before="180" w:after="180"/>
        <w:rPr>
          <w:rFonts w:ascii="Times New Roman" w:hAnsi="Times New Roman" w:cs="Times New Roman"/>
          <w:color w:val="auto"/>
          <w:sz w:val="24"/>
          <w:szCs w:val="24"/>
          <w:lang w:val="sr-Latn-RS"/>
        </w:rPr>
      </w:pPr>
      <w:bookmarkStart w:id="5" w:name="_Toc185342328"/>
      <w:r w:rsidRPr="00933940">
        <w:rPr>
          <w:rFonts w:ascii="Times New Roman" w:hAnsi="Times New Roman" w:cs="Times New Roman"/>
          <w:color w:val="auto"/>
          <w:sz w:val="24"/>
          <w:szCs w:val="24"/>
          <w:lang w:val="sr-Latn-RS"/>
        </w:rPr>
        <w:t>3.</w:t>
      </w:r>
      <w:r w:rsidR="009333E2" w:rsidRPr="00E25CAC">
        <w:rPr>
          <w:rFonts w:ascii="Times New Roman" w:hAnsi="Times New Roman" w:cs="Times New Roman"/>
          <w:color w:val="auto"/>
          <w:sz w:val="24"/>
          <w:szCs w:val="24"/>
          <w:lang w:val="sr-Latn-RS"/>
        </w:rPr>
        <w:t>1.</w:t>
      </w:r>
      <w:r w:rsidR="0047598D" w:rsidRPr="00E25CAC">
        <w:rPr>
          <w:rFonts w:ascii="Times New Roman" w:hAnsi="Times New Roman" w:cs="Times New Roman"/>
          <w:color w:val="auto"/>
          <w:sz w:val="24"/>
          <w:szCs w:val="24"/>
          <w:lang w:val="sr-Latn-RS"/>
        </w:rPr>
        <w:t xml:space="preserve"> </w:t>
      </w:r>
      <w:r w:rsidR="00FF354A" w:rsidRPr="00E25CAC">
        <w:rPr>
          <w:rFonts w:ascii="Times New Roman" w:hAnsi="Times New Roman" w:cs="Times New Roman"/>
          <w:color w:val="auto"/>
          <w:sz w:val="24"/>
          <w:szCs w:val="24"/>
          <w:lang w:val="sr-Latn-RS"/>
        </w:rPr>
        <w:t>ПРОЦЕНЕ МЕЂУНАРОДНОГ ЕКОНОМСКОГ ОКРУЖЕЊА</w:t>
      </w:r>
      <w:bookmarkEnd w:id="5"/>
    </w:p>
    <w:p w14:paraId="1A098ECE" w14:textId="77777777" w:rsidR="00285C20" w:rsidRPr="00AD7E7D" w:rsidRDefault="00285C20" w:rsidP="00AD7E7D">
      <w:pPr>
        <w:rPr>
          <w:rFonts w:cs="Times New Roman"/>
          <w:szCs w:val="24"/>
          <w:lang w:val="sr-Cyrl-RS"/>
        </w:rPr>
      </w:pPr>
      <w:r w:rsidRPr="00AD7E7D">
        <w:rPr>
          <w:rFonts w:cs="Times New Roman"/>
          <w:szCs w:val="24"/>
          <w:lang w:val="sr-Cyrl-RS"/>
        </w:rPr>
        <w:t>Након готово пет узастопних квартала стагнације, од краја 2022. године и током 2023. године, привреда ЕУ је током прва три квартала 2024. године забележила</w:t>
      </w:r>
      <w:r w:rsidR="00C53E60" w:rsidRPr="00AD7E7D">
        <w:rPr>
          <w:rFonts w:cs="Times New Roman"/>
          <w:szCs w:val="24"/>
          <w:lang w:val="sr-Cyrl-RS"/>
        </w:rPr>
        <w:t xml:space="preserve"> умерен раст</w:t>
      </w:r>
      <w:r w:rsidR="00AC5D29" w:rsidRPr="00AD7E7D">
        <w:rPr>
          <w:rFonts w:cs="Times New Roman"/>
          <w:szCs w:val="24"/>
          <w:lang w:val="sr-Cyrl-RS"/>
        </w:rPr>
        <w:t>, који је износио 0,</w:t>
      </w:r>
      <w:r w:rsidR="003C2C07">
        <w:rPr>
          <w:rFonts w:cs="Times New Roman"/>
          <w:szCs w:val="24"/>
          <w:lang w:val="sr-Latn-RS"/>
        </w:rPr>
        <w:t>8</w:t>
      </w:r>
      <w:r w:rsidR="00AC5D29" w:rsidRPr="00AD7E7D">
        <w:rPr>
          <w:rFonts w:cs="Times New Roman"/>
          <w:szCs w:val="24"/>
          <w:lang w:val="sr-Cyrl-RS"/>
        </w:rPr>
        <w:t>%</w:t>
      </w:r>
      <w:r w:rsidR="00C53E60" w:rsidRPr="00AD7E7D">
        <w:rPr>
          <w:rFonts w:cs="Times New Roman"/>
          <w:szCs w:val="24"/>
          <w:lang w:val="sr-Cyrl-RS"/>
        </w:rPr>
        <w:t xml:space="preserve"> у поређењу са истим периодом претходне године</w:t>
      </w:r>
      <w:r w:rsidRPr="00AD7E7D">
        <w:rPr>
          <w:rFonts w:cs="Times New Roman"/>
          <w:szCs w:val="24"/>
          <w:lang w:val="sr-Cyrl-RS"/>
        </w:rPr>
        <w:t>. Према јесењим проценама Европске комисије (у даљем тексту: ЕК), привредни раст земаља ЕУ ће у 2024. години износити 0,9% што је блага ревизија наниже за 0,1 п.п. у односу на пролећна очекивања</w:t>
      </w:r>
      <w:r w:rsidR="00C53E60" w:rsidRPr="00AD7E7D">
        <w:rPr>
          <w:rFonts w:cs="Times New Roman"/>
          <w:szCs w:val="24"/>
          <w:lang w:val="sr-Cyrl-RS"/>
        </w:rPr>
        <w:t xml:space="preserve"> и 0,4 п.п. мање у односу на претходну јесењу пројекцију</w:t>
      </w:r>
      <w:r w:rsidRPr="00AD7E7D">
        <w:rPr>
          <w:rFonts w:cs="Times New Roman"/>
          <w:szCs w:val="24"/>
          <w:lang w:val="sr-Cyrl-RS"/>
        </w:rPr>
        <w:t xml:space="preserve">. </w:t>
      </w:r>
      <w:r w:rsidR="0061628B" w:rsidRPr="00AD7E7D">
        <w:rPr>
          <w:rFonts w:cs="Times New Roman"/>
          <w:szCs w:val="24"/>
          <w:lang w:val="sr-Cyrl-RS"/>
        </w:rPr>
        <w:t>Ревизија наниже,</w:t>
      </w:r>
      <w:r w:rsidRPr="00AD7E7D">
        <w:rPr>
          <w:rFonts w:cs="Times New Roman"/>
          <w:szCs w:val="24"/>
          <w:lang w:val="sr-Cyrl-RS"/>
        </w:rPr>
        <w:t xml:space="preserve"> последица је пре свега споријег раста приватне потрошње и мањег обима инвестиција у првој половин</w:t>
      </w:r>
      <w:r w:rsidR="000439A4" w:rsidRPr="00AD7E7D">
        <w:rPr>
          <w:rFonts w:cs="Times New Roman"/>
          <w:szCs w:val="24"/>
          <w:lang w:val="sr-Cyrl-RS"/>
        </w:rPr>
        <w:t>и</w:t>
      </w:r>
      <w:r w:rsidRPr="00AD7E7D">
        <w:rPr>
          <w:rFonts w:cs="Times New Roman"/>
          <w:szCs w:val="24"/>
          <w:lang w:val="sr-Cyrl-RS"/>
        </w:rPr>
        <w:t xml:space="preserve"> 2024. године од претходно процењеног. Расположиви доходак домаћинстава наставио је да расте захваљујући пре свега већој запослености и </w:t>
      </w:r>
      <w:r w:rsidR="0061628B" w:rsidRPr="00AD7E7D">
        <w:rPr>
          <w:rFonts w:cs="Times New Roman"/>
          <w:szCs w:val="24"/>
          <w:lang w:val="sr-Cyrl-RS"/>
        </w:rPr>
        <w:t>расту реалних зарада</w:t>
      </w:r>
      <w:r w:rsidRPr="00AD7E7D">
        <w:rPr>
          <w:rFonts w:cs="Times New Roman"/>
          <w:szCs w:val="24"/>
          <w:lang w:val="sr-Cyrl-RS"/>
        </w:rPr>
        <w:t xml:space="preserve">. Међутим, куповна моћ је и даље испод свог максимума из 2022. године услед високе инфлације у претходном периоду, док растућа неизвесност утиче на повећану склоност штедње домаћинстава. Стопа штедње домаћинстава у другом кварталу 2024. године износила је 14,8%, што је више од 3 п.п. изнад пре-пандемијског просека. </w:t>
      </w:r>
      <w:r w:rsidR="00AC5D29" w:rsidRPr="00AD7E7D">
        <w:rPr>
          <w:rFonts w:cs="Times New Roman"/>
          <w:szCs w:val="24"/>
          <w:lang w:val="sr-Cyrl-RS"/>
        </w:rPr>
        <w:t xml:space="preserve">Ови фактори имали су за последицу спорији раст приватне потрошње од претходно очекиваног, али ће она и даље остати </w:t>
      </w:r>
      <w:r w:rsidRPr="00AD7E7D">
        <w:rPr>
          <w:rFonts w:cs="Times New Roman"/>
          <w:szCs w:val="24"/>
          <w:lang w:val="sr-Cyrl-RS"/>
        </w:rPr>
        <w:t>главни генератор раста економск</w:t>
      </w:r>
      <w:r w:rsidR="00AC5D29" w:rsidRPr="00AD7E7D">
        <w:rPr>
          <w:rFonts w:cs="Times New Roman"/>
          <w:szCs w:val="24"/>
          <w:lang w:val="sr-Cyrl-RS"/>
        </w:rPr>
        <w:t>е активности током 2024. године</w:t>
      </w:r>
      <w:r w:rsidRPr="00AD7E7D">
        <w:rPr>
          <w:rFonts w:cs="Times New Roman"/>
          <w:szCs w:val="24"/>
          <w:lang w:val="sr-Cyrl-RS"/>
        </w:rPr>
        <w:t xml:space="preserve">. Истовремено, инвестиције су </w:t>
      </w:r>
      <w:r w:rsidR="00CE1971" w:rsidRPr="00AD7E7D">
        <w:rPr>
          <w:rFonts w:cs="Times New Roman"/>
          <w:szCs w:val="24"/>
          <w:lang w:val="sr-Cyrl-RS"/>
        </w:rPr>
        <w:t xml:space="preserve">забележиле пад </w:t>
      </w:r>
      <w:r w:rsidRPr="00AD7E7D">
        <w:rPr>
          <w:rFonts w:cs="Times New Roman"/>
          <w:szCs w:val="24"/>
          <w:lang w:val="sr-Cyrl-RS"/>
        </w:rPr>
        <w:t>од</w:t>
      </w:r>
      <w:r w:rsidR="00CE1971" w:rsidRPr="00AD7E7D">
        <w:rPr>
          <w:rFonts w:cs="Times New Roman"/>
          <w:szCs w:val="24"/>
          <w:lang w:val="sr-Cyrl-RS"/>
        </w:rPr>
        <w:t xml:space="preserve"> око</w:t>
      </w:r>
      <w:r w:rsidRPr="00AD7E7D">
        <w:rPr>
          <w:rFonts w:cs="Times New Roman"/>
          <w:szCs w:val="24"/>
          <w:lang w:val="sr-Cyrl-RS"/>
        </w:rPr>
        <w:t xml:space="preserve"> 2,5%, пре свега као последица изузетно нестабилне динамике инвестиција у производе интелектуалне својине подружница мултинационалних компанија у Ирској, али и услед смањења инвестиција у некретнине и опрему. Високе каматне стопе и пооштрени кредитни услови смањили су потражњу домаћинстава за новим становима, док структурне промене, попут хибридног модела рада и онлајн продаје, смањују потражњу за канцеларијским и малопродајним просторима. Инвестиције у опрему такође су се суочиле са притисцима услед спорог опоравка производње, али и растуће несигурности у вези са трговином, ценама енергената и брзином зелене транзиције. Услед тога, уместо претходно пројектованог благог раста фиксних инвестиција у 2024. години, сада се очекује пад од 1,6%. Опоравак у глобалној робној трговини и наставак експанзије трговине услугама подстакли су извоз, за који се и у новој пројекцији очекује раст од 1,4%, док ће увоз расти спорије</w:t>
      </w:r>
      <w:r w:rsidR="00F06432" w:rsidRPr="00AD7E7D">
        <w:rPr>
          <w:rFonts w:cs="Times New Roman"/>
          <w:szCs w:val="24"/>
          <w:lang w:val="sr-Cyrl-RS"/>
        </w:rPr>
        <w:t xml:space="preserve"> по стопи од 0,2%</w:t>
      </w:r>
      <w:r w:rsidRPr="00AD7E7D">
        <w:rPr>
          <w:rFonts w:cs="Times New Roman"/>
          <w:szCs w:val="24"/>
          <w:lang w:val="sr-Cyrl-RS"/>
        </w:rPr>
        <w:t xml:space="preserve">, тако да ће допринос нето извоза расту БДП остати позитиван и у 2024. години. </w:t>
      </w:r>
    </w:p>
    <w:p w14:paraId="7BB83964" w14:textId="77777777" w:rsidR="00335DAD" w:rsidRPr="00AD7E7D" w:rsidRDefault="00285C20" w:rsidP="00AD7E7D">
      <w:pPr>
        <w:rPr>
          <w:rFonts w:cs="Times New Roman"/>
          <w:szCs w:val="24"/>
          <w:lang w:val="sr-Cyrl-RS"/>
        </w:rPr>
      </w:pPr>
      <w:r w:rsidRPr="00AD7E7D">
        <w:rPr>
          <w:rFonts w:cs="Times New Roman"/>
          <w:szCs w:val="24"/>
          <w:lang w:val="sr-Cyrl-RS"/>
        </w:rPr>
        <w:t>Очекује се да ће</w:t>
      </w:r>
      <w:r w:rsidR="0061628B" w:rsidRPr="00AD7E7D">
        <w:rPr>
          <w:rFonts w:cs="Times New Roman"/>
          <w:szCs w:val="24"/>
        </w:rPr>
        <w:t xml:space="preserve"> </w:t>
      </w:r>
      <w:r w:rsidR="0061628B" w:rsidRPr="00AD7E7D">
        <w:rPr>
          <w:rFonts w:cs="Times New Roman"/>
          <w:szCs w:val="24"/>
          <w:lang w:val="sr-Cyrl-RS"/>
        </w:rPr>
        <w:t>рестриктивнији</w:t>
      </w:r>
      <w:r w:rsidRPr="00AD7E7D">
        <w:rPr>
          <w:rFonts w:cs="Times New Roman"/>
          <w:szCs w:val="24"/>
          <w:lang w:val="sr-Cyrl-RS"/>
        </w:rPr>
        <w:t xml:space="preserve"> услови финансирања</w:t>
      </w:r>
      <w:r w:rsidR="0061628B" w:rsidRPr="00AD7E7D">
        <w:rPr>
          <w:rFonts w:cs="Times New Roman"/>
          <w:szCs w:val="24"/>
          <w:lang w:val="sr-Cyrl-RS"/>
        </w:rPr>
        <w:t xml:space="preserve"> неповољније утицати на раст у краткорочном периоду али се очекује да ће ефекат високих каматних стопа слабити </w:t>
      </w:r>
      <w:r w:rsidRPr="00AD7E7D">
        <w:rPr>
          <w:rFonts w:cs="Times New Roman"/>
          <w:szCs w:val="24"/>
          <w:lang w:val="sr-Cyrl-RS"/>
        </w:rPr>
        <w:t xml:space="preserve">током хоризонта пројекције, </w:t>
      </w:r>
      <w:r w:rsidR="0061628B" w:rsidRPr="00AD7E7D">
        <w:rPr>
          <w:rFonts w:cs="Times New Roman"/>
          <w:szCs w:val="24"/>
          <w:lang w:val="sr-Cyrl-RS"/>
        </w:rPr>
        <w:t>што ће утицати на</w:t>
      </w:r>
      <w:r w:rsidRPr="00AD7E7D">
        <w:rPr>
          <w:rFonts w:cs="Times New Roman"/>
          <w:szCs w:val="24"/>
          <w:lang w:val="sr-Cyrl-RS"/>
        </w:rPr>
        <w:t xml:space="preserve"> убрзање економског раста на 1,5% у 2025. односно 1,8% у 2026. години. Упркос нешто споријем расту приватне потрошње и даље се очекује да ће она бити главни покретач средњорочног раста</w:t>
      </w:r>
      <w:r w:rsidR="00A93D49" w:rsidRPr="00AD7E7D">
        <w:rPr>
          <w:rFonts w:cs="Times New Roman"/>
          <w:szCs w:val="24"/>
          <w:lang w:val="sr-Cyrl-RS"/>
        </w:rPr>
        <w:t>,</w:t>
      </w:r>
      <w:r w:rsidRPr="00AD7E7D">
        <w:rPr>
          <w:rFonts w:cs="Times New Roman"/>
          <w:szCs w:val="24"/>
          <w:lang w:val="sr-Cyrl-RS"/>
        </w:rPr>
        <w:t xml:space="preserve"> као резултат снажног раста плата и успоравања инфлације</w:t>
      </w:r>
      <w:r w:rsidR="00A93D49" w:rsidRPr="00AD7E7D">
        <w:rPr>
          <w:rFonts w:cs="Times New Roman"/>
          <w:szCs w:val="24"/>
          <w:lang w:val="sr-Cyrl-RS"/>
        </w:rPr>
        <w:t xml:space="preserve">, као </w:t>
      </w:r>
      <w:r w:rsidRPr="00AD7E7D">
        <w:rPr>
          <w:rFonts w:cs="Times New Roman"/>
          <w:szCs w:val="24"/>
          <w:lang w:val="sr-Cyrl-RS"/>
        </w:rPr>
        <w:t>и пораста поверења потрошача. Предвиђено је да ће стамбене инвестиције забележити раст у 2025. години као резултат постепеног ишчезавања ефеката пооштрених услова финансирања и наставка реалног раста расположивог дохотка становништва. Пословне инвестиције ће убрзати темпо раста током хоризонта пројекције услед побољшања потражње, слабљења негативног утицаја услова финансирања и пораста зелених и дигиталних инвестиција, као и позитивних ефеката у оквиру програма Next Generation EU. Фактори који утичу на конкурентност извоза попут већих трошкова производње изазваних растом цена енергената и снажним растом реалних плата, али и структурни проблеми у индустријском сектору у појединим земљама</w:t>
      </w:r>
      <w:r w:rsidR="00A93D49" w:rsidRPr="00AD7E7D">
        <w:rPr>
          <w:rFonts w:cs="Times New Roman"/>
          <w:szCs w:val="24"/>
          <w:lang w:val="sr-Cyrl-RS"/>
        </w:rPr>
        <w:t>,</w:t>
      </w:r>
      <w:r w:rsidRPr="00AD7E7D">
        <w:rPr>
          <w:rFonts w:cs="Times New Roman"/>
          <w:szCs w:val="24"/>
          <w:lang w:val="sr-Cyrl-RS"/>
        </w:rPr>
        <w:t xml:space="preserve"> и даље отежавају извоз</w:t>
      </w:r>
      <w:r w:rsidR="00F862D1" w:rsidRPr="00AD7E7D">
        <w:rPr>
          <w:rFonts w:cs="Times New Roman"/>
          <w:szCs w:val="24"/>
          <w:lang w:val="sr-Cyrl-RS"/>
        </w:rPr>
        <w:t>ну активност</w:t>
      </w:r>
      <w:r w:rsidRPr="00AD7E7D">
        <w:rPr>
          <w:rFonts w:cs="Times New Roman"/>
          <w:szCs w:val="24"/>
          <w:lang w:val="sr-Cyrl-RS"/>
        </w:rPr>
        <w:t xml:space="preserve">. Очекује се да ће тек почетком 2025. доћи до постепеног опоравка извоза, али по стопама нижим од историјског просека. Истовремено, очекује се умерен раст увоза што ће за </w:t>
      </w:r>
      <w:r w:rsidRPr="00AD7E7D">
        <w:rPr>
          <w:rFonts w:cs="Times New Roman"/>
          <w:szCs w:val="24"/>
          <w:lang w:val="sr-Cyrl-RS"/>
        </w:rPr>
        <w:lastRenderedPageBreak/>
        <w:t>резултат имати углавном неутралан допринос нето извоза током пројекцијског периода. Економска активност наших највећих спољнотрговинских партнера</w:t>
      </w:r>
      <w:r w:rsidR="00A93D49" w:rsidRPr="00AD7E7D">
        <w:rPr>
          <w:rFonts w:cs="Times New Roman"/>
          <w:szCs w:val="24"/>
          <w:lang w:val="sr-Cyrl-RS"/>
        </w:rPr>
        <w:t>,</w:t>
      </w:r>
      <w:r w:rsidRPr="00AD7E7D">
        <w:rPr>
          <w:rFonts w:cs="Times New Roman"/>
          <w:szCs w:val="24"/>
          <w:lang w:val="sr-Cyrl-RS"/>
        </w:rPr>
        <w:t xml:space="preserve"> пре свега Немачке и Италије</w:t>
      </w:r>
      <w:r w:rsidR="00A93D49" w:rsidRPr="00AD7E7D">
        <w:rPr>
          <w:rFonts w:cs="Times New Roman"/>
          <w:szCs w:val="24"/>
          <w:lang w:val="sr-Cyrl-RS"/>
        </w:rPr>
        <w:t>,</w:t>
      </w:r>
      <w:r w:rsidRPr="00AD7E7D">
        <w:rPr>
          <w:rFonts w:cs="Times New Roman"/>
          <w:szCs w:val="24"/>
          <w:lang w:val="sr-Cyrl-RS"/>
        </w:rPr>
        <w:t xml:space="preserve"> и даље је под значајним утицајем конфликта у Украјини и проблема у сектору индустрије, што се негативно одражава на </w:t>
      </w:r>
      <w:r w:rsidR="00F862D1" w:rsidRPr="00AD7E7D">
        <w:rPr>
          <w:rFonts w:cs="Times New Roman"/>
          <w:szCs w:val="24"/>
          <w:lang w:val="sr-Cyrl-RS"/>
        </w:rPr>
        <w:t>све компоненте привредног раста</w:t>
      </w:r>
      <w:r w:rsidRPr="00AD7E7D">
        <w:rPr>
          <w:rFonts w:cs="Times New Roman"/>
          <w:szCs w:val="24"/>
          <w:lang w:val="sr-Cyrl-RS"/>
        </w:rPr>
        <w:t>. Очекује се да ће економска активност у Немачкој остварити пад од 0,1% у 2024. годин</w:t>
      </w:r>
      <w:r w:rsidR="00A93D49" w:rsidRPr="00AD7E7D">
        <w:rPr>
          <w:rFonts w:cs="Times New Roman"/>
          <w:szCs w:val="24"/>
          <w:lang w:val="sr-Cyrl-RS"/>
        </w:rPr>
        <w:t>и</w:t>
      </w:r>
      <w:r w:rsidRPr="00AD7E7D">
        <w:rPr>
          <w:rFonts w:cs="Times New Roman"/>
          <w:szCs w:val="24"/>
          <w:lang w:val="sr-Cyrl-RS"/>
        </w:rPr>
        <w:t xml:space="preserve"> (према пролећној пројекцији очекивао се раст од 0,1%), док је раст за 2025. годину ревидиран наниже са 1,0% на 0,7% у односу на пролећну пројекцију. Италијанска привреда ће у 2024. години забележити раст од 0,7%, док ће у 2025. години раст износити 1,0%, што представља ревизију наниже од 0,1 п.п. у поређењу са пролећном пројекцијом.</w:t>
      </w:r>
      <w:r w:rsidR="00CD6D3A" w:rsidRPr="00AD7E7D">
        <w:rPr>
          <w:rFonts w:cs="Times New Roman"/>
          <w:szCs w:val="24"/>
        </w:rPr>
        <w:t xml:space="preserve"> </w:t>
      </w:r>
      <w:r w:rsidR="00CD6D3A" w:rsidRPr="00AD7E7D">
        <w:rPr>
          <w:rFonts w:cs="Times New Roman"/>
          <w:szCs w:val="24"/>
          <w:lang w:val="sr-Cyrl-RS"/>
        </w:rPr>
        <w:t>Неизвесност и ризици по остварење пројекције су и даље изражени и односе се на даљи ток сукоба у Украјини и на Блиском истоку, негативне последице протекционистичких мера на глобалну трговину, низак ниво продуктивности, као и климатске промене.</w:t>
      </w:r>
    </w:p>
    <w:tbl>
      <w:tblPr>
        <w:tblW w:w="9356" w:type="dxa"/>
        <w:jc w:val="center"/>
        <w:tblLayout w:type="fixed"/>
        <w:tblLook w:val="04A0" w:firstRow="1" w:lastRow="0" w:firstColumn="1" w:lastColumn="0" w:noHBand="0" w:noVBand="1"/>
      </w:tblPr>
      <w:tblGrid>
        <w:gridCol w:w="3686"/>
        <w:gridCol w:w="850"/>
        <w:gridCol w:w="1134"/>
        <w:gridCol w:w="851"/>
        <w:gridCol w:w="850"/>
        <w:gridCol w:w="1134"/>
        <w:gridCol w:w="851"/>
      </w:tblGrid>
      <w:tr w:rsidR="0071281F" w:rsidRPr="00AD7E7D" w14:paraId="499592E8" w14:textId="77777777" w:rsidTr="0071281F">
        <w:trPr>
          <w:trHeight w:val="316"/>
          <w:jc w:val="center"/>
        </w:trPr>
        <w:tc>
          <w:tcPr>
            <w:tcW w:w="9356" w:type="dxa"/>
            <w:gridSpan w:val="7"/>
            <w:tcBorders>
              <w:top w:val="nil"/>
              <w:left w:val="nil"/>
              <w:bottom w:val="single" w:sz="8" w:space="0" w:color="002060"/>
              <w:right w:val="nil"/>
            </w:tcBorders>
          </w:tcPr>
          <w:p w14:paraId="657EB93F" w14:textId="77777777" w:rsidR="0071281F" w:rsidRPr="005D223F" w:rsidRDefault="0071281F" w:rsidP="00D2109C">
            <w:pPr>
              <w:spacing w:after="0"/>
              <w:rPr>
                <w:rFonts w:cs="Times New Roman"/>
                <w:i/>
                <w:szCs w:val="24"/>
                <w:lang w:val="sr-Cyrl-RS"/>
              </w:rPr>
            </w:pPr>
            <w:r w:rsidRPr="005D223F">
              <w:rPr>
                <w:rFonts w:cs="Times New Roman"/>
                <w:i/>
                <w:szCs w:val="24"/>
                <w:lang w:val="sr-Cyrl-RS"/>
              </w:rPr>
              <w:t xml:space="preserve">Табела 1. Макроекономске пројекције за подручје </w:t>
            </w:r>
            <w:r w:rsidRPr="005D223F">
              <w:rPr>
                <w:rFonts w:cs="Times New Roman"/>
                <w:i/>
                <w:szCs w:val="24"/>
              </w:rPr>
              <w:t>E</w:t>
            </w:r>
            <w:r w:rsidRPr="005D223F">
              <w:rPr>
                <w:rFonts w:cs="Times New Roman"/>
                <w:i/>
                <w:szCs w:val="24"/>
                <w:lang w:val="sr-Cyrl-RS"/>
              </w:rPr>
              <w:t>У, промене у односу на претходну годину, %</w:t>
            </w:r>
          </w:p>
        </w:tc>
      </w:tr>
      <w:tr w:rsidR="0071281F" w:rsidRPr="00AD7E7D" w14:paraId="3EDCCA03" w14:textId="77777777" w:rsidTr="0071281F">
        <w:trPr>
          <w:trHeight w:val="316"/>
          <w:jc w:val="center"/>
        </w:trPr>
        <w:tc>
          <w:tcPr>
            <w:tcW w:w="3686" w:type="dxa"/>
            <w:tcBorders>
              <w:top w:val="nil"/>
              <w:left w:val="nil"/>
              <w:bottom w:val="single" w:sz="8" w:space="0" w:color="002060"/>
              <w:right w:val="nil"/>
            </w:tcBorders>
            <w:shd w:val="clear" w:color="auto" w:fill="auto"/>
            <w:noWrap/>
            <w:vAlign w:val="center"/>
            <w:hideMark/>
          </w:tcPr>
          <w:p w14:paraId="0A31B323"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 </w:t>
            </w:r>
          </w:p>
        </w:tc>
        <w:tc>
          <w:tcPr>
            <w:tcW w:w="3685" w:type="dxa"/>
            <w:gridSpan w:val="4"/>
            <w:tcBorders>
              <w:top w:val="single" w:sz="4" w:space="0" w:color="auto"/>
              <w:left w:val="nil"/>
              <w:bottom w:val="single" w:sz="8" w:space="0" w:color="002060"/>
              <w:right w:val="single" w:sz="8" w:space="0" w:color="auto"/>
            </w:tcBorders>
            <w:shd w:val="clear" w:color="auto" w:fill="auto"/>
            <w:noWrap/>
            <w:vAlign w:val="center"/>
            <w:hideMark/>
          </w:tcPr>
          <w:p w14:paraId="2FB20BED"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Тренутна пројекција</w:t>
            </w:r>
          </w:p>
        </w:tc>
        <w:tc>
          <w:tcPr>
            <w:tcW w:w="1985" w:type="dxa"/>
            <w:gridSpan w:val="2"/>
            <w:tcBorders>
              <w:top w:val="single" w:sz="8" w:space="0" w:color="auto"/>
              <w:left w:val="single" w:sz="8" w:space="0" w:color="auto"/>
              <w:bottom w:val="single" w:sz="8" w:space="0" w:color="002060"/>
            </w:tcBorders>
            <w:shd w:val="clear" w:color="auto" w:fill="auto"/>
            <w:noWrap/>
            <w:vAlign w:val="center"/>
            <w:hideMark/>
          </w:tcPr>
          <w:p w14:paraId="5C803E24"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Претходна (пролећна) пројекција</w:t>
            </w:r>
          </w:p>
        </w:tc>
      </w:tr>
      <w:tr w:rsidR="0071281F" w:rsidRPr="00AD7E7D" w14:paraId="206BCE6B" w14:textId="77777777" w:rsidTr="0071281F">
        <w:trPr>
          <w:trHeight w:val="284"/>
          <w:jc w:val="center"/>
        </w:trPr>
        <w:tc>
          <w:tcPr>
            <w:tcW w:w="3686" w:type="dxa"/>
            <w:tcBorders>
              <w:top w:val="nil"/>
              <w:left w:val="nil"/>
              <w:bottom w:val="nil"/>
              <w:right w:val="nil"/>
            </w:tcBorders>
            <w:shd w:val="clear" w:color="auto" w:fill="auto"/>
            <w:noWrap/>
            <w:vAlign w:val="center"/>
            <w:hideMark/>
          </w:tcPr>
          <w:p w14:paraId="373EB440" w14:textId="77777777" w:rsidR="0071281F" w:rsidRPr="00AD7E7D" w:rsidRDefault="0071281F" w:rsidP="00D2109C">
            <w:pPr>
              <w:spacing w:after="0"/>
              <w:jc w:val="center"/>
              <w:rPr>
                <w:rFonts w:eastAsia="Times New Roman" w:cs="Times New Roman"/>
                <w:szCs w:val="24"/>
                <w:lang w:val="sr-Cyrl-RS" w:eastAsia="en-GB"/>
              </w:rPr>
            </w:pPr>
          </w:p>
        </w:tc>
        <w:tc>
          <w:tcPr>
            <w:tcW w:w="850" w:type="dxa"/>
            <w:tcBorders>
              <w:top w:val="nil"/>
              <w:left w:val="nil"/>
              <w:bottom w:val="single" w:sz="8" w:space="0" w:color="002060"/>
              <w:right w:val="nil"/>
            </w:tcBorders>
            <w:shd w:val="clear" w:color="auto" w:fill="auto"/>
            <w:noWrap/>
            <w:vAlign w:val="center"/>
            <w:hideMark/>
          </w:tcPr>
          <w:p w14:paraId="7B95C8F3" w14:textId="77777777" w:rsidR="0071281F" w:rsidRPr="00AD7E7D" w:rsidRDefault="0071281F" w:rsidP="00D2109C">
            <w:pPr>
              <w:spacing w:after="0"/>
              <w:jc w:val="center"/>
              <w:rPr>
                <w:rFonts w:eastAsia="Times New Roman" w:cs="Times New Roman"/>
                <w:szCs w:val="24"/>
                <w:lang w:val="sr-Latn-RS" w:eastAsia="en-GB"/>
              </w:rPr>
            </w:pPr>
            <w:r w:rsidRPr="00AD7E7D">
              <w:rPr>
                <w:rFonts w:eastAsia="Times New Roman" w:cs="Times New Roman"/>
                <w:szCs w:val="24"/>
                <w:lang w:val="sr-Cyrl-RS" w:eastAsia="en-GB"/>
              </w:rPr>
              <w:t>202</w:t>
            </w:r>
            <w:r w:rsidRPr="00AD7E7D">
              <w:rPr>
                <w:rFonts w:eastAsia="Times New Roman" w:cs="Times New Roman"/>
                <w:szCs w:val="24"/>
                <w:lang w:val="sr-Latn-RS" w:eastAsia="en-GB"/>
              </w:rPr>
              <w:t>3</w:t>
            </w:r>
          </w:p>
        </w:tc>
        <w:tc>
          <w:tcPr>
            <w:tcW w:w="1134" w:type="dxa"/>
            <w:tcBorders>
              <w:top w:val="nil"/>
              <w:left w:val="nil"/>
              <w:bottom w:val="single" w:sz="8" w:space="0" w:color="002060"/>
              <w:right w:val="nil"/>
            </w:tcBorders>
            <w:shd w:val="clear" w:color="auto" w:fill="auto"/>
            <w:noWrap/>
            <w:vAlign w:val="center"/>
            <w:hideMark/>
          </w:tcPr>
          <w:p w14:paraId="3C4AF9FB" w14:textId="77777777" w:rsidR="0071281F" w:rsidRPr="00AD7E7D" w:rsidRDefault="0071281F" w:rsidP="00D2109C">
            <w:pPr>
              <w:spacing w:after="0"/>
              <w:jc w:val="center"/>
              <w:rPr>
                <w:rFonts w:eastAsia="Times New Roman" w:cs="Times New Roman"/>
                <w:szCs w:val="24"/>
                <w:lang w:val="sr-Latn-RS" w:eastAsia="en-GB"/>
              </w:rPr>
            </w:pPr>
            <w:r w:rsidRPr="00AD7E7D">
              <w:rPr>
                <w:rFonts w:eastAsia="Times New Roman" w:cs="Times New Roman"/>
                <w:szCs w:val="24"/>
                <w:lang w:val="sr-Cyrl-RS" w:eastAsia="en-GB"/>
              </w:rPr>
              <w:t>202</w:t>
            </w:r>
            <w:r w:rsidRPr="00AD7E7D">
              <w:rPr>
                <w:rFonts w:eastAsia="Times New Roman" w:cs="Times New Roman"/>
                <w:szCs w:val="24"/>
                <w:lang w:val="sr-Latn-RS" w:eastAsia="en-GB"/>
              </w:rPr>
              <w:t>4</w:t>
            </w:r>
          </w:p>
        </w:tc>
        <w:tc>
          <w:tcPr>
            <w:tcW w:w="851" w:type="dxa"/>
            <w:tcBorders>
              <w:top w:val="nil"/>
              <w:left w:val="nil"/>
              <w:bottom w:val="single" w:sz="8" w:space="0" w:color="002060"/>
            </w:tcBorders>
            <w:shd w:val="clear" w:color="auto" w:fill="auto"/>
            <w:noWrap/>
            <w:vAlign w:val="center"/>
            <w:hideMark/>
          </w:tcPr>
          <w:p w14:paraId="2364D4A6" w14:textId="77777777" w:rsidR="0071281F" w:rsidRPr="00AD7E7D" w:rsidRDefault="0071281F" w:rsidP="00D2109C">
            <w:pPr>
              <w:spacing w:after="0"/>
              <w:jc w:val="center"/>
              <w:rPr>
                <w:rFonts w:eastAsia="Times New Roman" w:cs="Times New Roman"/>
                <w:szCs w:val="24"/>
                <w:lang w:val="sr-Latn-RS" w:eastAsia="en-GB"/>
              </w:rPr>
            </w:pPr>
            <w:r w:rsidRPr="00AD7E7D">
              <w:rPr>
                <w:rFonts w:eastAsia="Times New Roman" w:cs="Times New Roman"/>
                <w:szCs w:val="24"/>
                <w:lang w:val="sr-Cyrl-RS" w:eastAsia="en-GB"/>
              </w:rPr>
              <w:t>202</w:t>
            </w:r>
            <w:r w:rsidRPr="00AD7E7D">
              <w:rPr>
                <w:rFonts w:eastAsia="Times New Roman" w:cs="Times New Roman"/>
                <w:szCs w:val="24"/>
                <w:lang w:val="sr-Latn-RS" w:eastAsia="en-GB"/>
              </w:rPr>
              <w:t>5</w:t>
            </w:r>
          </w:p>
        </w:tc>
        <w:tc>
          <w:tcPr>
            <w:tcW w:w="850" w:type="dxa"/>
            <w:tcBorders>
              <w:top w:val="nil"/>
              <w:left w:val="nil"/>
              <w:bottom w:val="single" w:sz="8" w:space="0" w:color="002060"/>
              <w:right w:val="single" w:sz="8" w:space="0" w:color="auto"/>
            </w:tcBorders>
            <w:vAlign w:val="center"/>
          </w:tcPr>
          <w:p w14:paraId="6E3E9C33"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2026</w:t>
            </w:r>
          </w:p>
        </w:tc>
        <w:tc>
          <w:tcPr>
            <w:tcW w:w="1134" w:type="dxa"/>
            <w:tcBorders>
              <w:top w:val="nil"/>
              <w:left w:val="single" w:sz="8" w:space="0" w:color="auto"/>
              <w:bottom w:val="single" w:sz="8" w:space="0" w:color="002060"/>
              <w:right w:val="nil"/>
            </w:tcBorders>
            <w:shd w:val="clear" w:color="auto" w:fill="auto"/>
            <w:noWrap/>
            <w:vAlign w:val="center"/>
            <w:hideMark/>
          </w:tcPr>
          <w:p w14:paraId="72FB3DB2"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2024</w:t>
            </w:r>
          </w:p>
        </w:tc>
        <w:tc>
          <w:tcPr>
            <w:tcW w:w="851" w:type="dxa"/>
            <w:tcBorders>
              <w:top w:val="nil"/>
              <w:left w:val="nil"/>
              <w:bottom w:val="single" w:sz="8" w:space="0" w:color="002060"/>
            </w:tcBorders>
            <w:shd w:val="clear" w:color="auto" w:fill="auto"/>
            <w:vAlign w:val="center"/>
            <w:hideMark/>
          </w:tcPr>
          <w:p w14:paraId="2B7AC888" w14:textId="77777777" w:rsidR="0071281F" w:rsidRPr="00AD7E7D" w:rsidRDefault="0071281F" w:rsidP="00D2109C">
            <w:pPr>
              <w:spacing w:after="0"/>
              <w:jc w:val="center"/>
              <w:rPr>
                <w:rFonts w:eastAsia="Times New Roman" w:cs="Times New Roman"/>
                <w:szCs w:val="24"/>
                <w:lang w:val="sr-Latn-RS" w:eastAsia="en-GB"/>
              </w:rPr>
            </w:pPr>
            <w:r w:rsidRPr="00AD7E7D">
              <w:rPr>
                <w:rFonts w:eastAsia="Times New Roman" w:cs="Times New Roman"/>
                <w:szCs w:val="24"/>
                <w:lang w:val="sr-Cyrl-RS" w:eastAsia="en-GB"/>
              </w:rPr>
              <w:t>202</w:t>
            </w:r>
            <w:r w:rsidRPr="00AD7E7D">
              <w:rPr>
                <w:rFonts w:eastAsia="Times New Roman" w:cs="Times New Roman"/>
                <w:szCs w:val="24"/>
                <w:lang w:val="sr-Latn-RS" w:eastAsia="en-GB"/>
              </w:rPr>
              <w:t>5</w:t>
            </w:r>
          </w:p>
        </w:tc>
      </w:tr>
      <w:tr w:rsidR="0071281F" w:rsidRPr="00AD7E7D" w14:paraId="173B0A02" w14:textId="77777777" w:rsidTr="0071281F">
        <w:trPr>
          <w:trHeight w:val="284"/>
          <w:jc w:val="center"/>
        </w:trPr>
        <w:tc>
          <w:tcPr>
            <w:tcW w:w="3686" w:type="dxa"/>
            <w:tcBorders>
              <w:top w:val="nil"/>
              <w:left w:val="nil"/>
              <w:bottom w:val="nil"/>
              <w:right w:val="nil"/>
            </w:tcBorders>
            <w:shd w:val="clear" w:color="auto" w:fill="auto"/>
            <w:noWrap/>
            <w:vAlign w:val="center"/>
            <w:hideMark/>
          </w:tcPr>
          <w:p w14:paraId="62DA9D82" w14:textId="77777777" w:rsidR="0071281F" w:rsidRPr="00AD7E7D" w:rsidRDefault="0071281F" w:rsidP="00D2109C">
            <w:pPr>
              <w:spacing w:after="0"/>
              <w:rPr>
                <w:rFonts w:eastAsia="Times New Roman" w:cs="Times New Roman"/>
                <w:szCs w:val="24"/>
                <w:lang w:val="sr-Cyrl-RS" w:eastAsia="en-GB"/>
              </w:rPr>
            </w:pPr>
            <w:r w:rsidRPr="00AD7E7D">
              <w:rPr>
                <w:rFonts w:eastAsia="Times New Roman" w:cs="Times New Roman"/>
                <w:szCs w:val="24"/>
                <w:lang w:val="sr-Cyrl-RS" w:eastAsia="en-GB"/>
              </w:rPr>
              <w:t>БДП</w:t>
            </w:r>
          </w:p>
        </w:tc>
        <w:tc>
          <w:tcPr>
            <w:tcW w:w="850" w:type="dxa"/>
            <w:tcBorders>
              <w:top w:val="nil"/>
              <w:left w:val="nil"/>
              <w:bottom w:val="nil"/>
              <w:right w:val="nil"/>
            </w:tcBorders>
            <w:shd w:val="clear" w:color="auto" w:fill="auto"/>
            <w:noWrap/>
            <w:vAlign w:val="center"/>
          </w:tcPr>
          <w:p w14:paraId="77D97EBB"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0,4</w:t>
            </w:r>
          </w:p>
        </w:tc>
        <w:tc>
          <w:tcPr>
            <w:tcW w:w="1134" w:type="dxa"/>
            <w:tcBorders>
              <w:top w:val="nil"/>
              <w:left w:val="nil"/>
              <w:bottom w:val="nil"/>
              <w:right w:val="nil"/>
            </w:tcBorders>
            <w:shd w:val="clear" w:color="auto" w:fill="auto"/>
            <w:noWrap/>
            <w:vAlign w:val="center"/>
          </w:tcPr>
          <w:p w14:paraId="6DDFCB76"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0,9</w:t>
            </w:r>
          </w:p>
        </w:tc>
        <w:tc>
          <w:tcPr>
            <w:tcW w:w="851" w:type="dxa"/>
            <w:tcBorders>
              <w:top w:val="nil"/>
              <w:left w:val="nil"/>
              <w:bottom w:val="nil"/>
            </w:tcBorders>
            <w:shd w:val="clear" w:color="auto" w:fill="auto"/>
            <w:noWrap/>
            <w:vAlign w:val="center"/>
          </w:tcPr>
          <w:p w14:paraId="3D8D4DB3"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1,5</w:t>
            </w:r>
          </w:p>
        </w:tc>
        <w:tc>
          <w:tcPr>
            <w:tcW w:w="850" w:type="dxa"/>
            <w:tcBorders>
              <w:top w:val="nil"/>
              <w:left w:val="nil"/>
              <w:bottom w:val="nil"/>
              <w:right w:val="single" w:sz="8" w:space="0" w:color="auto"/>
            </w:tcBorders>
            <w:vAlign w:val="center"/>
          </w:tcPr>
          <w:p w14:paraId="70EAB227"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1,8</w:t>
            </w:r>
          </w:p>
        </w:tc>
        <w:tc>
          <w:tcPr>
            <w:tcW w:w="1134" w:type="dxa"/>
            <w:tcBorders>
              <w:top w:val="nil"/>
              <w:left w:val="single" w:sz="8" w:space="0" w:color="auto"/>
              <w:bottom w:val="nil"/>
              <w:right w:val="nil"/>
            </w:tcBorders>
            <w:shd w:val="clear" w:color="auto" w:fill="auto"/>
            <w:noWrap/>
            <w:vAlign w:val="center"/>
          </w:tcPr>
          <w:p w14:paraId="76C1721C"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1,0</w:t>
            </w:r>
          </w:p>
        </w:tc>
        <w:tc>
          <w:tcPr>
            <w:tcW w:w="851" w:type="dxa"/>
            <w:tcBorders>
              <w:top w:val="nil"/>
              <w:left w:val="nil"/>
              <w:bottom w:val="nil"/>
            </w:tcBorders>
            <w:shd w:val="clear" w:color="auto" w:fill="auto"/>
            <w:vAlign w:val="center"/>
          </w:tcPr>
          <w:p w14:paraId="76438465"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1,6</w:t>
            </w:r>
          </w:p>
        </w:tc>
      </w:tr>
      <w:tr w:rsidR="0071281F" w:rsidRPr="00AD7E7D" w14:paraId="02C7AA25" w14:textId="77777777" w:rsidTr="0071281F">
        <w:trPr>
          <w:trHeight w:val="284"/>
          <w:jc w:val="center"/>
        </w:trPr>
        <w:tc>
          <w:tcPr>
            <w:tcW w:w="3686" w:type="dxa"/>
            <w:tcBorders>
              <w:top w:val="nil"/>
              <w:left w:val="nil"/>
              <w:bottom w:val="nil"/>
              <w:right w:val="nil"/>
            </w:tcBorders>
            <w:shd w:val="clear" w:color="auto" w:fill="auto"/>
            <w:noWrap/>
            <w:vAlign w:val="center"/>
            <w:hideMark/>
          </w:tcPr>
          <w:p w14:paraId="4EFBB72E" w14:textId="77777777" w:rsidR="0071281F" w:rsidRPr="00AD7E7D" w:rsidRDefault="0071281F" w:rsidP="00D2109C">
            <w:pPr>
              <w:spacing w:after="0"/>
              <w:ind w:firstLine="340"/>
              <w:rPr>
                <w:rFonts w:eastAsia="Times New Roman" w:cs="Times New Roman"/>
                <w:szCs w:val="24"/>
                <w:lang w:val="sr-Cyrl-RS" w:eastAsia="en-GB"/>
              </w:rPr>
            </w:pPr>
            <w:r w:rsidRPr="00AD7E7D">
              <w:rPr>
                <w:rFonts w:eastAsia="Times New Roman" w:cs="Times New Roman"/>
                <w:szCs w:val="24"/>
                <w:lang w:val="sr-Cyrl-RS" w:eastAsia="en-GB"/>
              </w:rPr>
              <w:t>Лична потрошња</w:t>
            </w:r>
          </w:p>
        </w:tc>
        <w:tc>
          <w:tcPr>
            <w:tcW w:w="850" w:type="dxa"/>
            <w:tcBorders>
              <w:top w:val="nil"/>
              <w:left w:val="nil"/>
              <w:bottom w:val="nil"/>
              <w:right w:val="nil"/>
            </w:tcBorders>
            <w:shd w:val="clear" w:color="auto" w:fill="auto"/>
            <w:noWrap/>
            <w:vAlign w:val="center"/>
          </w:tcPr>
          <w:p w14:paraId="29AF525A"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0,5</w:t>
            </w:r>
          </w:p>
        </w:tc>
        <w:tc>
          <w:tcPr>
            <w:tcW w:w="1134" w:type="dxa"/>
            <w:tcBorders>
              <w:top w:val="nil"/>
              <w:left w:val="nil"/>
              <w:bottom w:val="nil"/>
              <w:right w:val="nil"/>
            </w:tcBorders>
            <w:shd w:val="clear" w:color="auto" w:fill="auto"/>
            <w:noWrap/>
            <w:vAlign w:val="center"/>
          </w:tcPr>
          <w:p w14:paraId="45F71D16"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1,2</w:t>
            </w:r>
          </w:p>
        </w:tc>
        <w:tc>
          <w:tcPr>
            <w:tcW w:w="851" w:type="dxa"/>
            <w:tcBorders>
              <w:top w:val="nil"/>
              <w:left w:val="nil"/>
              <w:bottom w:val="nil"/>
            </w:tcBorders>
            <w:shd w:val="clear" w:color="auto" w:fill="auto"/>
            <w:noWrap/>
            <w:vAlign w:val="center"/>
          </w:tcPr>
          <w:p w14:paraId="3423BF64"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1,4</w:t>
            </w:r>
          </w:p>
        </w:tc>
        <w:tc>
          <w:tcPr>
            <w:tcW w:w="850" w:type="dxa"/>
            <w:tcBorders>
              <w:top w:val="nil"/>
              <w:left w:val="nil"/>
              <w:bottom w:val="nil"/>
              <w:right w:val="single" w:sz="8" w:space="0" w:color="auto"/>
            </w:tcBorders>
            <w:vAlign w:val="center"/>
          </w:tcPr>
          <w:p w14:paraId="5A723678"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1,6</w:t>
            </w:r>
          </w:p>
        </w:tc>
        <w:tc>
          <w:tcPr>
            <w:tcW w:w="1134" w:type="dxa"/>
            <w:tcBorders>
              <w:top w:val="nil"/>
              <w:left w:val="single" w:sz="8" w:space="0" w:color="auto"/>
              <w:bottom w:val="nil"/>
              <w:right w:val="nil"/>
            </w:tcBorders>
            <w:shd w:val="clear" w:color="auto" w:fill="auto"/>
            <w:noWrap/>
            <w:vAlign w:val="center"/>
          </w:tcPr>
          <w:p w14:paraId="6AA07CF2"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1,3</w:t>
            </w:r>
          </w:p>
        </w:tc>
        <w:tc>
          <w:tcPr>
            <w:tcW w:w="851" w:type="dxa"/>
            <w:tcBorders>
              <w:top w:val="nil"/>
              <w:left w:val="nil"/>
              <w:bottom w:val="nil"/>
            </w:tcBorders>
            <w:shd w:val="clear" w:color="auto" w:fill="auto"/>
            <w:vAlign w:val="center"/>
          </w:tcPr>
          <w:p w14:paraId="29E64A93"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1,7</w:t>
            </w:r>
          </w:p>
        </w:tc>
      </w:tr>
      <w:tr w:rsidR="0071281F" w:rsidRPr="00AD7E7D" w14:paraId="7F9B1EA9" w14:textId="77777777" w:rsidTr="0071281F">
        <w:trPr>
          <w:trHeight w:val="284"/>
          <w:jc w:val="center"/>
        </w:trPr>
        <w:tc>
          <w:tcPr>
            <w:tcW w:w="3686" w:type="dxa"/>
            <w:tcBorders>
              <w:top w:val="nil"/>
              <w:left w:val="nil"/>
              <w:bottom w:val="nil"/>
              <w:right w:val="nil"/>
            </w:tcBorders>
            <w:shd w:val="clear" w:color="auto" w:fill="auto"/>
            <w:noWrap/>
            <w:vAlign w:val="center"/>
            <w:hideMark/>
          </w:tcPr>
          <w:p w14:paraId="40D6FE85" w14:textId="77777777" w:rsidR="0071281F" w:rsidRPr="00AD7E7D" w:rsidRDefault="0071281F" w:rsidP="00D2109C">
            <w:pPr>
              <w:spacing w:after="0"/>
              <w:ind w:firstLine="340"/>
              <w:rPr>
                <w:rFonts w:eastAsia="Times New Roman" w:cs="Times New Roman"/>
                <w:szCs w:val="24"/>
                <w:lang w:val="sr-Cyrl-RS" w:eastAsia="en-GB"/>
              </w:rPr>
            </w:pPr>
            <w:r w:rsidRPr="00AD7E7D">
              <w:rPr>
                <w:rFonts w:eastAsia="Times New Roman" w:cs="Times New Roman"/>
                <w:szCs w:val="24"/>
                <w:lang w:val="sr-Cyrl-RS" w:eastAsia="en-GB"/>
              </w:rPr>
              <w:t>Државна потрошња</w:t>
            </w:r>
          </w:p>
        </w:tc>
        <w:tc>
          <w:tcPr>
            <w:tcW w:w="850" w:type="dxa"/>
            <w:tcBorders>
              <w:top w:val="nil"/>
              <w:left w:val="nil"/>
              <w:bottom w:val="nil"/>
              <w:right w:val="nil"/>
            </w:tcBorders>
            <w:shd w:val="clear" w:color="auto" w:fill="auto"/>
            <w:noWrap/>
            <w:vAlign w:val="center"/>
          </w:tcPr>
          <w:p w14:paraId="12EF0D30"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1,7</w:t>
            </w:r>
          </w:p>
        </w:tc>
        <w:tc>
          <w:tcPr>
            <w:tcW w:w="1134" w:type="dxa"/>
            <w:tcBorders>
              <w:top w:val="nil"/>
              <w:left w:val="nil"/>
              <w:bottom w:val="nil"/>
              <w:right w:val="nil"/>
            </w:tcBorders>
            <w:shd w:val="clear" w:color="auto" w:fill="auto"/>
            <w:noWrap/>
            <w:vAlign w:val="center"/>
          </w:tcPr>
          <w:p w14:paraId="77D99EE2"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2,1</w:t>
            </w:r>
          </w:p>
        </w:tc>
        <w:tc>
          <w:tcPr>
            <w:tcW w:w="851" w:type="dxa"/>
            <w:tcBorders>
              <w:top w:val="nil"/>
              <w:left w:val="nil"/>
              <w:bottom w:val="nil"/>
            </w:tcBorders>
            <w:shd w:val="clear" w:color="auto" w:fill="auto"/>
            <w:noWrap/>
            <w:vAlign w:val="center"/>
          </w:tcPr>
          <w:p w14:paraId="72B149FF"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1,3</w:t>
            </w:r>
          </w:p>
        </w:tc>
        <w:tc>
          <w:tcPr>
            <w:tcW w:w="850" w:type="dxa"/>
            <w:tcBorders>
              <w:top w:val="nil"/>
              <w:left w:val="nil"/>
              <w:bottom w:val="nil"/>
              <w:right w:val="single" w:sz="8" w:space="0" w:color="auto"/>
            </w:tcBorders>
            <w:vAlign w:val="center"/>
          </w:tcPr>
          <w:p w14:paraId="1670AC42"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1,2</w:t>
            </w:r>
          </w:p>
        </w:tc>
        <w:tc>
          <w:tcPr>
            <w:tcW w:w="1134" w:type="dxa"/>
            <w:tcBorders>
              <w:top w:val="nil"/>
              <w:left w:val="single" w:sz="8" w:space="0" w:color="auto"/>
              <w:bottom w:val="nil"/>
              <w:right w:val="nil"/>
            </w:tcBorders>
            <w:shd w:val="clear" w:color="auto" w:fill="auto"/>
            <w:noWrap/>
            <w:vAlign w:val="center"/>
          </w:tcPr>
          <w:p w14:paraId="7B8D13C0"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1,6</w:t>
            </w:r>
          </w:p>
        </w:tc>
        <w:tc>
          <w:tcPr>
            <w:tcW w:w="851" w:type="dxa"/>
            <w:tcBorders>
              <w:top w:val="nil"/>
              <w:left w:val="nil"/>
              <w:bottom w:val="nil"/>
            </w:tcBorders>
            <w:shd w:val="clear" w:color="auto" w:fill="auto"/>
            <w:vAlign w:val="center"/>
          </w:tcPr>
          <w:p w14:paraId="6E3B9A4B"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1,2</w:t>
            </w:r>
          </w:p>
        </w:tc>
      </w:tr>
      <w:tr w:rsidR="0071281F" w:rsidRPr="00AD7E7D" w14:paraId="47E94105" w14:textId="77777777" w:rsidTr="0071281F">
        <w:trPr>
          <w:trHeight w:val="284"/>
          <w:jc w:val="center"/>
        </w:trPr>
        <w:tc>
          <w:tcPr>
            <w:tcW w:w="3686" w:type="dxa"/>
            <w:tcBorders>
              <w:top w:val="nil"/>
              <w:left w:val="nil"/>
              <w:bottom w:val="nil"/>
              <w:right w:val="nil"/>
            </w:tcBorders>
            <w:shd w:val="clear" w:color="auto" w:fill="auto"/>
            <w:noWrap/>
            <w:vAlign w:val="center"/>
            <w:hideMark/>
          </w:tcPr>
          <w:p w14:paraId="7CF43D7D" w14:textId="77777777" w:rsidR="0071281F" w:rsidRPr="00AD7E7D" w:rsidRDefault="0071281F" w:rsidP="00D2109C">
            <w:pPr>
              <w:spacing w:after="0"/>
              <w:ind w:firstLine="340"/>
              <w:rPr>
                <w:rFonts w:eastAsia="Times New Roman" w:cs="Times New Roman"/>
                <w:szCs w:val="24"/>
                <w:lang w:val="sr-Cyrl-RS" w:eastAsia="en-GB"/>
              </w:rPr>
            </w:pPr>
            <w:r w:rsidRPr="00AD7E7D">
              <w:rPr>
                <w:rFonts w:eastAsia="Times New Roman" w:cs="Times New Roman"/>
                <w:szCs w:val="24"/>
                <w:lang w:val="sr-Cyrl-RS" w:eastAsia="en-GB"/>
              </w:rPr>
              <w:t>Бруто инвестиције у основна средства</w:t>
            </w:r>
          </w:p>
        </w:tc>
        <w:tc>
          <w:tcPr>
            <w:tcW w:w="850" w:type="dxa"/>
            <w:tcBorders>
              <w:top w:val="nil"/>
              <w:left w:val="nil"/>
              <w:bottom w:val="nil"/>
              <w:right w:val="nil"/>
            </w:tcBorders>
            <w:shd w:val="clear" w:color="auto" w:fill="auto"/>
            <w:noWrap/>
            <w:vAlign w:val="center"/>
          </w:tcPr>
          <w:p w14:paraId="40E7ED9B"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1,8</w:t>
            </w:r>
          </w:p>
        </w:tc>
        <w:tc>
          <w:tcPr>
            <w:tcW w:w="1134" w:type="dxa"/>
            <w:tcBorders>
              <w:top w:val="nil"/>
              <w:left w:val="nil"/>
              <w:bottom w:val="nil"/>
              <w:right w:val="nil"/>
            </w:tcBorders>
            <w:shd w:val="clear" w:color="auto" w:fill="auto"/>
            <w:noWrap/>
            <w:vAlign w:val="center"/>
          </w:tcPr>
          <w:p w14:paraId="1C931D44"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-1,6</w:t>
            </w:r>
          </w:p>
        </w:tc>
        <w:tc>
          <w:tcPr>
            <w:tcW w:w="851" w:type="dxa"/>
            <w:tcBorders>
              <w:top w:val="nil"/>
              <w:left w:val="nil"/>
              <w:bottom w:val="nil"/>
            </w:tcBorders>
            <w:shd w:val="clear" w:color="auto" w:fill="auto"/>
            <w:noWrap/>
            <w:vAlign w:val="center"/>
          </w:tcPr>
          <w:p w14:paraId="52D677E5"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2,1</w:t>
            </w:r>
          </w:p>
        </w:tc>
        <w:tc>
          <w:tcPr>
            <w:tcW w:w="850" w:type="dxa"/>
            <w:tcBorders>
              <w:top w:val="nil"/>
              <w:left w:val="nil"/>
              <w:bottom w:val="nil"/>
              <w:right w:val="single" w:sz="8" w:space="0" w:color="auto"/>
            </w:tcBorders>
            <w:vAlign w:val="center"/>
          </w:tcPr>
          <w:p w14:paraId="08C25CE5"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2,8</w:t>
            </w:r>
          </w:p>
        </w:tc>
        <w:tc>
          <w:tcPr>
            <w:tcW w:w="1134" w:type="dxa"/>
            <w:tcBorders>
              <w:top w:val="nil"/>
              <w:left w:val="single" w:sz="8" w:space="0" w:color="auto"/>
              <w:bottom w:val="nil"/>
              <w:right w:val="nil"/>
            </w:tcBorders>
            <w:shd w:val="clear" w:color="auto" w:fill="auto"/>
            <w:noWrap/>
            <w:vAlign w:val="center"/>
          </w:tcPr>
          <w:p w14:paraId="2372625C"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0,3</w:t>
            </w:r>
          </w:p>
        </w:tc>
        <w:tc>
          <w:tcPr>
            <w:tcW w:w="851" w:type="dxa"/>
            <w:tcBorders>
              <w:top w:val="nil"/>
              <w:left w:val="nil"/>
              <w:bottom w:val="nil"/>
            </w:tcBorders>
            <w:shd w:val="clear" w:color="auto" w:fill="auto"/>
            <w:vAlign w:val="center"/>
          </w:tcPr>
          <w:p w14:paraId="76341A7E"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2,0</w:t>
            </w:r>
          </w:p>
        </w:tc>
      </w:tr>
      <w:tr w:rsidR="0071281F" w:rsidRPr="00AD7E7D" w14:paraId="00DDC3A7" w14:textId="77777777" w:rsidTr="0071281F">
        <w:trPr>
          <w:trHeight w:val="284"/>
          <w:jc w:val="center"/>
        </w:trPr>
        <w:tc>
          <w:tcPr>
            <w:tcW w:w="3686" w:type="dxa"/>
            <w:tcBorders>
              <w:top w:val="nil"/>
              <w:left w:val="nil"/>
              <w:bottom w:val="nil"/>
              <w:right w:val="nil"/>
            </w:tcBorders>
            <w:shd w:val="clear" w:color="auto" w:fill="auto"/>
            <w:noWrap/>
            <w:vAlign w:val="center"/>
            <w:hideMark/>
          </w:tcPr>
          <w:p w14:paraId="5A70305C" w14:textId="77777777" w:rsidR="0071281F" w:rsidRPr="00AD7E7D" w:rsidRDefault="0071281F" w:rsidP="00D2109C">
            <w:pPr>
              <w:spacing w:after="0"/>
              <w:ind w:firstLine="340"/>
              <w:rPr>
                <w:rFonts w:eastAsia="Times New Roman" w:cs="Times New Roman"/>
                <w:szCs w:val="24"/>
                <w:lang w:val="sr-Cyrl-RS" w:eastAsia="en-GB"/>
              </w:rPr>
            </w:pPr>
            <w:r w:rsidRPr="00AD7E7D">
              <w:rPr>
                <w:rFonts w:eastAsia="Times New Roman" w:cs="Times New Roman"/>
                <w:szCs w:val="24"/>
                <w:lang w:val="sr-Cyrl-RS" w:eastAsia="en-GB"/>
              </w:rPr>
              <w:t>Извоз</w:t>
            </w:r>
          </w:p>
        </w:tc>
        <w:tc>
          <w:tcPr>
            <w:tcW w:w="850" w:type="dxa"/>
            <w:tcBorders>
              <w:top w:val="nil"/>
              <w:left w:val="nil"/>
              <w:bottom w:val="nil"/>
              <w:right w:val="nil"/>
            </w:tcBorders>
            <w:shd w:val="clear" w:color="auto" w:fill="auto"/>
            <w:noWrap/>
            <w:vAlign w:val="center"/>
          </w:tcPr>
          <w:p w14:paraId="1CFC2792"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0,1</w:t>
            </w:r>
          </w:p>
        </w:tc>
        <w:tc>
          <w:tcPr>
            <w:tcW w:w="1134" w:type="dxa"/>
            <w:tcBorders>
              <w:top w:val="nil"/>
              <w:left w:val="nil"/>
              <w:bottom w:val="nil"/>
              <w:right w:val="nil"/>
            </w:tcBorders>
            <w:shd w:val="clear" w:color="auto" w:fill="auto"/>
            <w:noWrap/>
            <w:vAlign w:val="center"/>
          </w:tcPr>
          <w:p w14:paraId="1086BFF8"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1,4</w:t>
            </w:r>
          </w:p>
        </w:tc>
        <w:tc>
          <w:tcPr>
            <w:tcW w:w="851" w:type="dxa"/>
            <w:tcBorders>
              <w:top w:val="nil"/>
              <w:left w:val="nil"/>
              <w:bottom w:val="nil"/>
            </w:tcBorders>
            <w:shd w:val="clear" w:color="auto" w:fill="auto"/>
            <w:noWrap/>
            <w:vAlign w:val="center"/>
          </w:tcPr>
          <w:p w14:paraId="1C7F3BDA"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2,2</w:t>
            </w:r>
          </w:p>
        </w:tc>
        <w:tc>
          <w:tcPr>
            <w:tcW w:w="850" w:type="dxa"/>
            <w:tcBorders>
              <w:top w:val="nil"/>
              <w:left w:val="nil"/>
              <w:bottom w:val="nil"/>
              <w:right w:val="single" w:sz="8" w:space="0" w:color="auto"/>
            </w:tcBorders>
            <w:vAlign w:val="center"/>
          </w:tcPr>
          <w:p w14:paraId="5827DADB"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3,0</w:t>
            </w:r>
          </w:p>
        </w:tc>
        <w:tc>
          <w:tcPr>
            <w:tcW w:w="1134" w:type="dxa"/>
            <w:tcBorders>
              <w:top w:val="nil"/>
              <w:left w:val="single" w:sz="8" w:space="0" w:color="auto"/>
              <w:bottom w:val="nil"/>
              <w:right w:val="nil"/>
            </w:tcBorders>
            <w:shd w:val="clear" w:color="auto" w:fill="auto"/>
            <w:noWrap/>
            <w:vAlign w:val="center"/>
          </w:tcPr>
          <w:p w14:paraId="0C03FA66"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1,4</w:t>
            </w:r>
          </w:p>
        </w:tc>
        <w:tc>
          <w:tcPr>
            <w:tcW w:w="851" w:type="dxa"/>
            <w:tcBorders>
              <w:top w:val="nil"/>
              <w:left w:val="nil"/>
              <w:bottom w:val="nil"/>
            </w:tcBorders>
            <w:shd w:val="clear" w:color="auto" w:fill="auto"/>
            <w:vAlign w:val="center"/>
          </w:tcPr>
          <w:p w14:paraId="0FA9D1AE"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3,1</w:t>
            </w:r>
          </w:p>
        </w:tc>
      </w:tr>
      <w:tr w:rsidR="0071281F" w:rsidRPr="00AD7E7D" w14:paraId="68F30457" w14:textId="77777777" w:rsidTr="0071281F">
        <w:trPr>
          <w:trHeight w:val="284"/>
          <w:jc w:val="center"/>
        </w:trPr>
        <w:tc>
          <w:tcPr>
            <w:tcW w:w="3686" w:type="dxa"/>
            <w:tcBorders>
              <w:top w:val="nil"/>
              <w:left w:val="nil"/>
              <w:bottom w:val="nil"/>
              <w:right w:val="nil"/>
            </w:tcBorders>
            <w:shd w:val="clear" w:color="auto" w:fill="auto"/>
            <w:noWrap/>
            <w:vAlign w:val="center"/>
            <w:hideMark/>
          </w:tcPr>
          <w:p w14:paraId="56A77D10" w14:textId="77777777" w:rsidR="0071281F" w:rsidRPr="00AD7E7D" w:rsidRDefault="0071281F" w:rsidP="00D2109C">
            <w:pPr>
              <w:spacing w:after="0"/>
              <w:ind w:firstLine="340"/>
              <w:rPr>
                <w:rFonts w:eastAsia="Times New Roman" w:cs="Times New Roman"/>
                <w:szCs w:val="24"/>
                <w:lang w:val="sr-Cyrl-RS" w:eastAsia="en-GB"/>
              </w:rPr>
            </w:pPr>
            <w:r w:rsidRPr="00AD7E7D">
              <w:rPr>
                <w:rFonts w:eastAsia="Times New Roman" w:cs="Times New Roman"/>
                <w:szCs w:val="24"/>
                <w:lang w:val="sr-Cyrl-RS" w:eastAsia="en-GB"/>
              </w:rPr>
              <w:t>Увоз</w:t>
            </w:r>
          </w:p>
        </w:tc>
        <w:tc>
          <w:tcPr>
            <w:tcW w:w="850" w:type="dxa"/>
            <w:tcBorders>
              <w:top w:val="nil"/>
              <w:left w:val="nil"/>
              <w:bottom w:val="nil"/>
              <w:right w:val="nil"/>
            </w:tcBorders>
            <w:shd w:val="clear" w:color="auto" w:fill="auto"/>
            <w:noWrap/>
            <w:vAlign w:val="center"/>
          </w:tcPr>
          <w:p w14:paraId="7275ACC5"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-1,2</w:t>
            </w:r>
          </w:p>
        </w:tc>
        <w:tc>
          <w:tcPr>
            <w:tcW w:w="1134" w:type="dxa"/>
            <w:tcBorders>
              <w:top w:val="nil"/>
              <w:left w:val="nil"/>
              <w:bottom w:val="nil"/>
              <w:right w:val="nil"/>
            </w:tcBorders>
            <w:shd w:val="clear" w:color="auto" w:fill="auto"/>
            <w:noWrap/>
            <w:vAlign w:val="center"/>
          </w:tcPr>
          <w:p w14:paraId="277204B1"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0,2</w:t>
            </w:r>
          </w:p>
        </w:tc>
        <w:tc>
          <w:tcPr>
            <w:tcW w:w="851" w:type="dxa"/>
            <w:tcBorders>
              <w:top w:val="nil"/>
              <w:left w:val="nil"/>
              <w:bottom w:val="nil"/>
            </w:tcBorders>
            <w:shd w:val="clear" w:color="auto" w:fill="auto"/>
            <w:noWrap/>
            <w:vAlign w:val="center"/>
          </w:tcPr>
          <w:p w14:paraId="5C2ACF58"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2,6</w:t>
            </w:r>
          </w:p>
        </w:tc>
        <w:tc>
          <w:tcPr>
            <w:tcW w:w="850" w:type="dxa"/>
            <w:tcBorders>
              <w:top w:val="nil"/>
              <w:left w:val="nil"/>
              <w:bottom w:val="nil"/>
              <w:right w:val="single" w:sz="8" w:space="0" w:color="auto"/>
            </w:tcBorders>
            <w:vAlign w:val="center"/>
          </w:tcPr>
          <w:p w14:paraId="71614306"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3,0</w:t>
            </w:r>
          </w:p>
        </w:tc>
        <w:tc>
          <w:tcPr>
            <w:tcW w:w="1134" w:type="dxa"/>
            <w:tcBorders>
              <w:top w:val="nil"/>
              <w:left w:val="single" w:sz="8" w:space="0" w:color="auto"/>
              <w:bottom w:val="nil"/>
              <w:right w:val="nil"/>
            </w:tcBorders>
            <w:shd w:val="clear" w:color="auto" w:fill="auto"/>
            <w:noWrap/>
            <w:vAlign w:val="center"/>
          </w:tcPr>
          <w:p w14:paraId="3B553823"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1,3</w:t>
            </w:r>
          </w:p>
        </w:tc>
        <w:tc>
          <w:tcPr>
            <w:tcW w:w="851" w:type="dxa"/>
            <w:tcBorders>
              <w:top w:val="nil"/>
              <w:left w:val="nil"/>
              <w:bottom w:val="nil"/>
            </w:tcBorders>
            <w:shd w:val="clear" w:color="auto" w:fill="auto"/>
            <w:vAlign w:val="center"/>
          </w:tcPr>
          <w:p w14:paraId="4F577367"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3,3</w:t>
            </w:r>
          </w:p>
        </w:tc>
      </w:tr>
      <w:tr w:rsidR="0071281F" w:rsidRPr="00AD7E7D" w14:paraId="07DEF415" w14:textId="77777777" w:rsidTr="0071281F">
        <w:trPr>
          <w:trHeight w:val="284"/>
          <w:jc w:val="center"/>
        </w:trPr>
        <w:tc>
          <w:tcPr>
            <w:tcW w:w="3686" w:type="dxa"/>
            <w:tcBorders>
              <w:top w:val="nil"/>
              <w:left w:val="nil"/>
              <w:bottom w:val="nil"/>
              <w:right w:val="nil"/>
            </w:tcBorders>
            <w:shd w:val="clear" w:color="auto" w:fill="auto"/>
            <w:noWrap/>
            <w:vAlign w:val="center"/>
            <w:hideMark/>
          </w:tcPr>
          <w:p w14:paraId="4DFA7A36" w14:textId="77777777" w:rsidR="0071281F" w:rsidRPr="00AD7E7D" w:rsidRDefault="0071281F" w:rsidP="00D2109C">
            <w:pPr>
              <w:spacing w:after="0"/>
              <w:rPr>
                <w:rFonts w:eastAsia="Times New Roman" w:cs="Times New Roman"/>
                <w:szCs w:val="24"/>
                <w:lang w:val="sr-Cyrl-RS" w:eastAsia="en-GB"/>
              </w:rPr>
            </w:pPr>
            <w:r w:rsidRPr="00AD7E7D">
              <w:rPr>
                <w:rFonts w:eastAsia="Times New Roman" w:cs="Times New Roman"/>
                <w:szCs w:val="24"/>
                <w:lang w:val="sr-Cyrl-RS" w:eastAsia="en-GB"/>
              </w:rPr>
              <w:t>Запосленост</w:t>
            </w:r>
          </w:p>
        </w:tc>
        <w:tc>
          <w:tcPr>
            <w:tcW w:w="850" w:type="dxa"/>
            <w:tcBorders>
              <w:top w:val="nil"/>
              <w:left w:val="nil"/>
              <w:bottom w:val="nil"/>
              <w:right w:val="nil"/>
            </w:tcBorders>
            <w:shd w:val="clear" w:color="auto" w:fill="auto"/>
            <w:noWrap/>
            <w:vAlign w:val="center"/>
          </w:tcPr>
          <w:p w14:paraId="1D2F4615"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1,1</w:t>
            </w:r>
          </w:p>
        </w:tc>
        <w:tc>
          <w:tcPr>
            <w:tcW w:w="1134" w:type="dxa"/>
            <w:tcBorders>
              <w:top w:val="nil"/>
              <w:left w:val="nil"/>
              <w:bottom w:val="nil"/>
              <w:right w:val="nil"/>
            </w:tcBorders>
            <w:shd w:val="clear" w:color="auto" w:fill="auto"/>
            <w:noWrap/>
            <w:vAlign w:val="center"/>
          </w:tcPr>
          <w:p w14:paraId="39A04CA6"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0,8</w:t>
            </w:r>
          </w:p>
        </w:tc>
        <w:tc>
          <w:tcPr>
            <w:tcW w:w="851" w:type="dxa"/>
            <w:tcBorders>
              <w:top w:val="nil"/>
              <w:left w:val="nil"/>
              <w:bottom w:val="nil"/>
            </w:tcBorders>
            <w:shd w:val="clear" w:color="auto" w:fill="auto"/>
            <w:noWrap/>
            <w:vAlign w:val="center"/>
          </w:tcPr>
          <w:p w14:paraId="55A95EE9"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0,6</w:t>
            </w:r>
          </w:p>
        </w:tc>
        <w:tc>
          <w:tcPr>
            <w:tcW w:w="850" w:type="dxa"/>
            <w:tcBorders>
              <w:top w:val="nil"/>
              <w:left w:val="nil"/>
              <w:bottom w:val="nil"/>
              <w:right w:val="single" w:sz="8" w:space="0" w:color="auto"/>
            </w:tcBorders>
            <w:vAlign w:val="center"/>
          </w:tcPr>
          <w:p w14:paraId="5DAAEBFB"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0,5</w:t>
            </w:r>
          </w:p>
        </w:tc>
        <w:tc>
          <w:tcPr>
            <w:tcW w:w="1134" w:type="dxa"/>
            <w:tcBorders>
              <w:top w:val="nil"/>
              <w:left w:val="single" w:sz="8" w:space="0" w:color="auto"/>
              <w:bottom w:val="nil"/>
              <w:right w:val="nil"/>
            </w:tcBorders>
            <w:shd w:val="clear" w:color="auto" w:fill="auto"/>
            <w:noWrap/>
            <w:vAlign w:val="center"/>
          </w:tcPr>
          <w:p w14:paraId="012BE623"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0,6</w:t>
            </w:r>
          </w:p>
        </w:tc>
        <w:tc>
          <w:tcPr>
            <w:tcW w:w="851" w:type="dxa"/>
            <w:tcBorders>
              <w:top w:val="nil"/>
              <w:left w:val="nil"/>
              <w:bottom w:val="nil"/>
            </w:tcBorders>
            <w:shd w:val="clear" w:color="auto" w:fill="auto"/>
            <w:vAlign w:val="center"/>
          </w:tcPr>
          <w:p w14:paraId="0C287A0D" w14:textId="77777777" w:rsidR="0071281F" w:rsidRPr="00AD7E7D" w:rsidRDefault="0071281F" w:rsidP="00D2109C">
            <w:pPr>
              <w:spacing w:after="0"/>
              <w:jc w:val="center"/>
              <w:rPr>
                <w:rFonts w:eastAsia="Times New Roman" w:cs="Times New Roman"/>
                <w:szCs w:val="24"/>
                <w:lang w:val="sr-Latn-RS" w:eastAsia="en-GB"/>
              </w:rPr>
            </w:pPr>
            <w:r w:rsidRPr="00AD7E7D">
              <w:rPr>
                <w:rFonts w:eastAsia="Times New Roman" w:cs="Times New Roman"/>
                <w:szCs w:val="24"/>
                <w:lang w:val="sr-Cyrl-RS" w:eastAsia="en-GB"/>
              </w:rPr>
              <w:t>0,4</w:t>
            </w:r>
          </w:p>
        </w:tc>
      </w:tr>
      <w:tr w:rsidR="0071281F" w:rsidRPr="00AD7E7D" w14:paraId="24C83406" w14:textId="77777777" w:rsidTr="0071281F">
        <w:trPr>
          <w:trHeight w:val="284"/>
          <w:jc w:val="center"/>
        </w:trPr>
        <w:tc>
          <w:tcPr>
            <w:tcW w:w="3686" w:type="dxa"/>
            <w:tcBorders>
              <w:top w:val="nil"/>
              <w:left w:val="nil"/>
              <w:bottom w:val="nil"/>
              <w:right w:val="nil"/>
            </w:tcBorders>
            <w:shd w:val="clear" w:color="auto" w:fill="auto"/>
            <w:noWrap/>
            <w:vAlign w:val="center"/>
            <w:hideMark/>
          </w:tcPr>
          <w:p w14:paraId="0F4680D1" w14:textId="77777777" w:rsidR="0071281F" w:rsidRPr="00AD7E7D" w:rsidRDefault="0071281F" w:rsidP="00D2109C">
            <w:pPr>
              <w:spacing w:after="0"/>
              <w:rPr>
                <w:rFonts w:eastAsia="Times New Roman" w:cs="Times New Roman"/>
                <w:szCs w:val="24"/>
                <w:lang w:val="sr-Cyrl-RS" w:eastAsia="en-GB"/>
              </w:rPr>
            </w:pPr>
            <w:r w:rsidRPr="00AD7E7D">
              <w:rPr>
                <w:rFonts w:eastAsia="Times New Roman" w:cs="Times New Roman"/>
                <w:szCs w:val="24"/>
                <w:lang w:val="sr-Cyrl-RS" w:eastAsia="en-GB"/>
              </w:rPr>
              <w:t>Стопа неза</w:t>
            </w:r>
            <w:r w:rsidR="00EB4239" w:rsidRPr="00AD7E7D">
              <w:rPr>
                <w:rFonts w:eastAsia="Times New Roman" w:cs="Times New Roman"/>
                <w:szCs w:val="24"/>
                <w:lang w:val="sr-Cyrl-RS" w:eastAsia="en-GB"/>
              </w:rPr>
              <w:t>послености</w:t>
            </w:r>
          </w:p>
        </w:tc>
        <w:tc>
          <w:tcPr>
            <w:tcW w:w="850" w:type="dxa"/>
            <w:tcBorders>
              <w:top w:val="nil"/>
              <w:left w:val="nil"/>
              <w:bottom w:val="nil"/>
              <w:right w:val="nil"/>
            </w:tcBorders>
            <w:shd w:val="clear" w:color="auto" w:fill="auto"/>
            <w:noWrap/>
            <w:vAlign w:val="center"/>
          </w:tcPr>
          <w:p w14:paraId="1EC89015"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6,1</w:t>
            </w:r>
          </w:p>
        </w:tc>
        <w:tc>
          <w:tcPr>
            <w:tcW w:w="1134" w:type="dxa"/>
            <w:tcBorders>
              <w:top w:val="nil"/>
              <w:left w:val="nil"/>
              <w:bottom w:val="nil"/>
              <w:right w:val="nil"/>
            </w:tcBorders>
            <w:shd w:val="clear" w:color="auto" w:fill="auto"/>
            <w:noWrap/>
            <w:vAlign w:val="center"/>
          </w:tcPr>
          <w:p w14:paraId="0F4C2FAA"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6,1</w:t>
            </w:r>
          </w:p>
        </w:tc>
        <w:tc>
          <w:tcPr>
            <w:tcW w:w="851" w:type="dxa"/>
            <w:tcBorders>
              <w:top w:val="nil"/>
              <w:left w:val="nil"/>
              <w:bottom w:val="nil"/>
            </w:tcBorders>
            <w:shd w:val="clear" w:color="auto" w:fill="auto"/>
            <w:noWrap/>
            <w:vAlign w:val="center"/>
          </w:tcPr>
          <w:p w14:paraId="78CD4729"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5,9</w:t>
            </w:r>
          </w:p>
        </w:tc>
        <w:tc>
          <w:tcPr>
            <w:tcW w:w="850" w:type="dxa"/>
            <w:tcBorders>
              <w:top w:val="nil"/>
              <w:left w:val="nil"/>
              <w:bottom w:val="nil"/>
              <w:right w:val="single" w:sz="8" w:space="0" w:color="auto"/>
            </w:tcBorders>
            <w:vAlign w:val="center"/>
          </w:tcPr>
          <w:p w14:paraId="762FF381"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5,9</w:t>
            </w:r>
          </w:p>
        </w:tc>
        <w:tc>
          <w:tcPr>
            <w:tcW w:w="1134" w:type="dxa"/>
            <w:tcBorders>
              <w:top w:val="nil"/>
              <w:left w:val="single" w:sz="8" w:space="0" w:color="auto"/>
              <w:bottom w:val="nil"/>
              <w:right w:val="nil"/>
            </w:tcBorders>
            <w:shd w:val="clear" w:color="auto" w:fill="auto"/>
            <w:noWrap/>
            <w:vAlign w:val="center"/>
          </w:tcPr>
          <w:p w14:paraId="289D8AFC"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6,1</w:t>
            </w:r>
          </w:p>
        </w:tc>
        <w:tc>
          <w:tcPr>
            <w:tcW w:w="851" w:type="dxa"/>
            <w:tcBorders>
              <w:top w:val="nil"/>
              <w:left w:val="nil"/>
              <w:bottom w:val="nil"/>
            </w:tcBorders>
            <w:shd w:val="clear" w:color="auto" w:fill="auto"/>
            <w:vAlign w:val="center"/>
          </w:tcPr>
          <w:p w14:paraId="3EE9A769"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6,0</w:t>
            </w:r>
          </w:p>
        </w:tc>
      </w:tr>
      <w:tr w:rsidR="0071281F" w:rsidRPr="00AD7E7D" w14:paraId="0ED2A30A" w14:textId="77777777" w:rsidTr="0071281F">
        <w:trPr>
          <w:trHeight w:val="284"/>
          <w:jc w:val="center"/>
        </w:trPr>
        <w:tc>
          <w:tcPr>
            <w:tcW w:w="3686" w:type="dxa"/>
            <w:tcBorders>
              <w:top w:val="nil"/>
              <w:left w:val="nil"/>
              <w:bottom w:val="nil"/>
              <w:right w:val="nil"/>
            </w:tcBorders>
            <w:shd w:val="clear" w:color="auto" w:fill="auto"/>
            <w:noWrap/>
            <w:vAlign w:val="center"/>
            <w:hideMark/>
          </w:tcPr>
          <w:p w14:paraId="2F808B98" w14:textId="77777777" w:rsidR="0071281F" w:rsidRPr="00AD7E7D" w:rsidRDefault="0071281F" w:rsidP="00D2109C">
            <w:pPr>
              <w:spacing w:after="0"/>
              <w:rPr>
                <w:rFonts w:eastAsia="Times New Roman" w:cs="Times New Roman"/>
                <w:szCs w:val="24"/>
                <w:lang w:val="sr-Cyrl-RS" w:eastAsia="en-GB"/>
              </w:rPr>
            </w:pPr>
            <w:r w:rsidRPr="00AD7E7D">
              <w:rPr>
                <w:rFonts w:eastAsia="Times New Roman" w:cs="Times New Roman"/>
                <w:szCs w:val="24"/>
                <w:lang w:val="sr-Cyrl-RS" w:eastAsia="en-GB"/>
              </w:rPr>
              <w:t>Инфлација</w:t>
            </w:r>
          </w:p>
        </w:tc>
        <w:tc>
          <w:tcPr>
            <w:tcW w:w="850" w:type="dxa"/>
            <w:tcBorders>
              <w:top w:val="nil"/>
              <w:left w:val="nil"/>
              <w:bottom w:val="nil"/>
              <w:right w:val="nil"/>
            </w:tcBorders>
            <w:shd w:val="clear" w:color="auto" w:fill="auto"/>
            <w:noWrap/>
            <w:vAlign w:val="center"/>
          </w:tcPr>
          <w:p w14:paraId="71780FA5"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6,4</w:t>
            </w:r>
          </w:p>
        </w:tc>
        <w:tc>
          <w:tcPr>
            <w:tcW w:w="1134" w:type="dxa"/>
            <w:tcBorders>
              <w:top w:val="nil"/>
              <w:left w:val="nil"/>
              <w:bottom w:val="nil"/>
              <w:right w:val="nil"/>
            </w:tcBorders>
            <w:shd w:val="clear" w:color="auto" w:fill="auto"/>
            <w:noWrap/>
            <w:vAlign w:val="center"/>
          </w:tcPr>
          <w:p w14:paraId="25FD2D72"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2,6</w:t>
            </w:r>
          </w:p>
        </w:tc>
        <w:tc>
          <w:tcPr>
            <w:tcW w:w="851" w:type="dxa"/>
            <w:tcBorders>
              <w:top w:val="nil"/>
              <w:left w:val="nil"/>
              <w:bottom w:val="nil"/>
            </w:tcBorders>
            <w:shd w:val="clear" w:color="auto" w:fill="auto"/>
            <w:noWrap/>
            <w:vAlign w:val="center"/>
          </w:tcPr>
          <w:p w14:paraId="7CC535AB"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2,4</w:t>
            </w:r>
          </w:p>
        </w:tc>
        <w:tc>
          <w:tcPr>
            <w:tcW w:w="850" w:type="dxa"/>
            <w:tcBorders>
              <w:top w:val="nil"/>
              <w:left w:val="nil"/>
              <w:bottom w:val="nil"/>
              <w:right w:val="single" w:sz="8" w:space="0" w:color="auto"/>
            </w:tcBorders>
            <w:vAlign w:val="center"/>
          </w:tcPr>
          <w:p w14:paraId="34A8D75C"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2,0</w:t>
            </w:r>
          </w:p>
        </w:tc>
        <w:tc>
          <w:tcPr>
            <w:tcW w:w="1134" w:type="dxa"/>
            <w:tcBorders>
              <w:top w:val="nil"/>
              <w:left w:val="single" w:sz="8" w:space="0" w:color="auto"/>
              <w:bottom w:val="nil"/>
              <w:right w:val="nil"/>
            </w:tcBorders>
            <w:shd w:val="clear" w:color="auto" w:fill="auto"/>
            <w:noWrap/>
            <w:vAlign w:val="center"/>
          </w:tcPr>
          <w:p w14:paraId="4C5AB02D"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2,7</w:t>
            </w:r>
          </w:p>
        </w:tc>
        <w:tc>
          <w:tcPr>
            <w:tcW w:w="851" w:type="dxa"/>
            <w:tcBorders>
              <w:top w:val="nil"/>
              <w:left w:val="nil"/>
              <w:bottom w:val="nil"/>
            </w:tcBorders>
            <w:shd w:val="clear" w:color="auto" w:fill="auto"/>
            <w:vAlign w:val="center"/>
          </w:tcPr>
          <w:p w14:paraId="4E257A53"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2,2</w:t>
            </w:r>
          </w:p>
        </w:tc>
      </w:tr>
      <w:tr w:rsidR="0071281F" w:rsidRPr="00AD7E7D" w14:paraId="63879029" w14:textId="77777777" w:rsidTr="0071281F">
        <w:trPr>
          <w:trHeight w:val="284"/>
          <w:jc w:val="center"/>
        </w:trPr>
        <w:tc>
          <w:tcPr>
            <w:tcW w:w="3686" w:type="dxa"/>
            <w:tcBorders>
              <w:top w:val="nil"/>
              <w:left w:val="nil"/>
              <w:bottom w:val="nil"/>
              <w:right w:val="nil"/>
            </w:tcBorders>
            <w:shd w:val="clear" w:color="auto" w:fill="auto"/>
            <w:noWrap/>
            <w:vAlign w:val="center"/>
            <w:hideMark/>
          </w:tcPr>
          <w:p w14:paraId="41C564CA" w14:textId="77777777" w:rsidR="0071281F" w:rsidRPr="00AD7E7D" w:rsidRDefault="0071281F" w:rsidP="00D2109C">
            <w:pPr>
              <w:spacing w:after="0"/>
              <w:rPr>
                <w:rFonts w:eastAsia="Times New Roman" w:cs="Times New Roman"/>
                <w:szCs w:val="24"/>
                <w:lang w:val="sr-Cyrl-RS" w:eastAsia="en-GB"/>
              </w:rPr>
            </w:pPr>
            <w:r w:rsidRPr="00AD7E7D">
              <w:rPr>
                <w:rFonts w:eastAsia="Times New Roman" w:cs="Times New Roman"/>
                <w:szCs w:val="24"/>
                <w:lang w:val="sr-Cyrl-RS" w:eastAsia="en-GB"/>
              </w:rPr>
              <w:t>Јединични трошкови рада</w:t>
            </w:r>
          </w:p>
        </w:tc>
        <w:tc>
          <w:tcPr>
            <w:tcW w:w="850" w:type="dxa"/>
            <w:tcBorders>
              <w:top w:val="nil"/>
              <w:left w:val="nil"/>
              <w:bottom w:val="nil"/>
              <w:right w:val="nil"/>
            </w:tcBorders>
            <w:shd w:val="clear" w:color="auto" w:fill="auto"/>
            <w:noWrap/>
            <w:vAlign w:val="center"/>
          </w:tcPr>
          <w:p w14:paraId="4CB86F07"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6,8</w:t>
            </w:r>
          </w:p>
        </w:tc>
        <w:tc>
          <w:tcPr>
            <w:tcW w:w="1134" w:type="dxa"/>
            <w:tcBorders>
              <w:top w:val="nil"/>
              <w:left w:val="nil"/>
              <w:bottom w:val="nil"/>
              <w:right w:val="nil"/>
            </w:tcBorders>
            <w:shd w:val="clear" w:color="auto" w:fill="auto"/>
            <w:noWrap/>
            <w:vAlign w:val="center"/>
          </w:tcPr>
          <w:p w14:paraId="5A882A9F"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4,8</w:t>
            </w:r>
          </w:p>
        </w:tc>
        <w:tc>
          <w:tcPr>
            <w:tcW w:w="851" w:type="dxa"/>
            <w:tcBorders>
              <w:top w:val="nil"/>
              <w:left w:val="nil"/>
              <w:bottom w:val="nil"/>
            </w:tcBorders>
            <w:shd w:val="clear" w:color="auto" w:fill="auto"/>
            <w:noWrap/>
            <w:vAlign w:val="center"/>
          </w:tcPr>
          <w:p w14:paraId="34D7EFC0"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2,5</w:t>
            </w:r>
          </w:p>
        </w:tc>
        <w:tc>
          <w:tcPr>
            <w:tcW w:w="850" w:type="dxa"/>
            <w:tcBorders>
              <w:top w:val="nil"/>
              <w:left w:val="nil"/>
              <w:bottom w:val="nil"/>
              <w:right w:val="single" w:sz="8" w:space="0" w:color="auto"/>
            </w:tcBorders>
            <w:vAlign w:val="center"/>
          </w:tcPr>
          <w:p w14:paraId="5B15785B"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1,8</w:t>
            </w:r>
          </w:p>
        </w:tc>
        <w:tc>
          <w:tcPr>
            <w:tcW w:w="1134" w:type="dxa"/>
            <w:tcBorders>
              <w:top w:val="nil"/>
              <w:left w:val="single" w:sz="8" w:space="0" w:color="auto"/>
              <w:bottom w:val="nil"/>
              <w:right w:val="nil"/>
            </w:tcBorders>
            <w:shd w:val="clear" w:color="auto" w:fill="auto"/>
            <w:noWrap/>
            <w:vAlign w:val="center"/>
          </w:tcPr>
          <w:p w14:paraId="61B73291"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4,3</w:t>
            </w:r>
          </w:p>
        </w:tc>
        <w:tc>
          <w:tcPr>
            <w:tcW w:w="851" w:type="dxa"/>
            <w:tcBorders>
              <w:top w:val="nil"/>
              <w:left w:val="nil"/>
              <w:bottom w:val="nil"/>
            </w:tcBorders>
            <w:shd w:val="clear" w:color="auto" w:fill="auto"/>
            <w:vAlign w:val="center"/>
          </w:tcPr>
          <w:p w14:paraId="4C1BDA03"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2,3</w:t>
            </w:r>
          </w:p>
        </w:tc>
      </w:tr>
      <w:tr w:rsidR="0071281F" w:rsidRPr="00AD7E7D" w14:paraId="195D6020" w14:textId="77777777" w:rsidTr="0071281F">
        <w:trPr>
          <w:trHeight w:val="284"/>
          <w:jc w:val="center"/>
        </w:trPr>
        <w:tc>
          <w:tcPr>
            <w:tcW w:w="3686" w:type="dxa"/>
            <w:tcBorders>
              <w:top w:val="nil"/>
              <w:left w:val="nil"/>
              <w:bottom w:val="nil"/>
              <w:right w:val="nil"/>
            </w:tcBorders>
            <w:shd w:val="clear" w:color="auto" w:fill="auto"/>
            <w:noWrap/>
            <w:vAlign w:val="center"/>
            <w:hideMark/>
          </w:tcPr>
          <w:p w14:paraId="62B26463" w14:textId="77777777" w:rsidR="0071281F" w:rsidRPr="00AD7E7D" w:rsidRDefault="0071281F" w:rsidP="00D2109C">
            <w:pPr>
              <w:spacing w:after="0"/>
              <w:rPr>
                <w:rFonts w:eastAsia="Times New Roman" w:cs="Times New Roman"/>
                <w:szCs w:val="24"/>
                <w:lang w:val="sr-Cyrl-RS" w:eastAsia="en-GB"/>
              </w:rPr>
            </w:pPr>
            <w:r w:rsidRPr="00AD7E7D">
              <w:rPr>
                <w:rFonts w:eastAsia="Times New Roman" w:cs="Times New Roman"/>
                <w:szCs w:val="24"/>
                <w:lang w:val="sr-Cyrl-RS" w:eastAsia="en-GB"/>
              </w:rPr>
              <w:t>Фискални резултат сектора државе, % БДП</w:t>
            </w:r>
          </w:p>
        </w:tc>
        <w:tc>
          <w:tcPr>
            <w:tcW w:w="850" w:type="dxa"/>
            <w:tcBorders>
              <w:top w:val="nil"/>
              <w:left w:val="nil"/>
              <w:bottom w:val="nil"/>
              <w:right w:val="nil"/>
            </w:tcBorders>
            <w:shd w:val="clear" w:color="auto" w:fill="auto"/>
            <w:noWrap/>
            <w:vAlign w:val="center"/>
          </w:tcPr>
          <w:p w14:paraId="70C20E97"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-3,5</w:t>
            </w:r>
          </w:p>
        </w:tc>
        <w:tc>
          <w:tcPr>
            <w:tcW w:w="1134" w:type="dxa"/>
            <w:tcBorders>
              <w:top w:val="nil"/>
              <w:left w:val="nil"/>
              <w:bottom w:val="nil"/>
              <w:right w:val="nil"/>
            </w:tcBorders>
            <w:shd w:val="clear" w:color="auto" w:fill="auto"/>
            <w:noWrap/>
            <w:vAlign w:val="center"/>
          </w:tcPr>
          <w:p w14:paraId="5FB6B4E2"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-3,1</w:t>
            </w:r>
          </w:p>
        </w:tc>
        <w:tc>
          <w:tcPr>
            <w:tcW w:w="851" w:type="dxa"/>
            <w:tcBorders>
              <w:top w:val="nil"/>
              <w:left w:val="nil"/>
              <w:bottom w:val="nil"/>
            </w:tcBorders>
            <w:shd w:val="clear" w:color="auto" w:fill="auto"/>
            <w:noWrap/>
            <w:vAlign w:val="center"/>
          </w:tcPr>
          <w:p w14:paraId="7F463005"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-3,0</w:t>
            </w:r>
          </w:p>
        </w:tc>
        <w:tc>
          <w:tcPr>
            <w:tcW w:w="850" w:type="dxa"/>
            <w:tcBorders>
              <w:top w:val="nil"/>
              <w:left w:val="nil"/>
              <w:bottom w:val="nil"/>
              <w:right w:val="single" w:sz="8" w:space="0" w:color="auto"/>
            </w:tcBorders>
            <w:vAlign w:val="center"/>
          </w:tcPr>
          <w:p w14:paraId="42AD1B90"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-2,9</w:t>
            </w:r>
          </w:p>
        </w:tc>
        <w:tc>
          <w:tcPr>
            <w:tcW w:w="1134" w:type="dxa"/>
            <w:tcBorders>
              <w:top w:val="nil"/>
              <w:left w:val="single" w:sz="8" w:space="0" w:color="auto"/>
              <w:bottom w:val="nil"/>
              <w:right w:val="nil"/>
            </w:tcBorders>
            <w:shd w:val="clear" w:color="auto" w:fill="auto"/>
            <w:noWrap/>
            <w:vAlign w:val="center"/>
          </w:tcPr>
          <w:p w14:paraId="060744F3"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-3,0</w:t>
            </w:r>
          </w:p>
        </w:tc>
        <w:tc>
          <w:tcPr>
            <w:tcW w:w="851" w:type="dxa"/>
            <w:tcBorders>
              <w:top w:val="nil"/>
              <w:left w:val="nil"/>
              <w:bottom w:val="nil"/>
            </w:tcBorders>
            <w:shd w:val="clear" w:color="auto" w:fill="auto"/>
            <w:vAlign w:val="center"/>
          </w:tcPr>
          <w:p w14:paraId="5FECC563"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-2,9</w:t>
            </w:r>
          </w:p>
        </w:tc>
      </w:tr>
      <w:tr w:rsidR="0071281F" w:rsidRPr="00AD7E7D" w14:paraId="51AB8D78" w14:textId="77777777" w:rsidTr="0071281F">
        <w:trPr>
          <w:trHeight w:val="284"/>
          <w:jc w:val="center"/>
        </w:trPr>
        <w:tc>
          <w:tcPr>
            <w:tcW w:w="3686" w:type="dxa"/>
            <w:tcBorders>
              <w:top w:val="nil"/>
              <w:left w:val="nil"/>
              <w:bottom w:val="nil"/>
              <w:right w:val="nil"/>
            </w:tcBorders>
            <w:shd w:val="clear" w:color="auto" w:fill="auto"/>
            <w:noWrap/>
            <w:vAlign w:val="center"/>
            <w:hideMark/>
          </w:tcPr>
          <w:p w14:paraId="2E3D7A73" w14:textId="77777777" w:rsidR="0071281F" w:rsidRPr="00AD7E7D" w:rsidRDefault="0071281F" w:rsidP="00D2109C">
            <w:pPr>
              <w:spacing w:after="0"/>
              <w:rPr>
                <w:rFonts w:eastAsia="Times New Roman" w:cs="Times New Roman"/>
                <w:szCs w:val="24"/>
                <w:lang w:val="sr-Cyrl-RS" w:eastAsia="en-GB"/>
              </w:rPr>
            </w:pPr>
            <w:r w:rsidRPr="00AD7E7D">
              <w:rPr>
                <w:rFonts w:eastAsia="Times New Roman" w:cs="Times New Roman"/>
                <w:szCs w:val="24"/>
                <w:lang w:val="sr-Cyrl-RS" w:eastAsia="en-GB"/>
              </w:rPr>
              <w:t>Бруто дуг сектора државе, % БДП</w:t>
            </w:r>
          </w:p>
        </w:tc>
        <w:tc>
          <w:tcPr>
            <w:tcW w:w="850" w:type="dxa"/>
            <w:tcBorders>
              <w:top w:val="nil"/>
              <w:left w:val="nil"/>
              <w:bottom w:val="nil"/>
              <w:right w:val="nil"/>
            </w:tcBorders>
            <w:shd w:val="clear" w:color="auto" w:fill="auto"/>
            <w:noWrap/>
            <w:vAlign w:val="center"/>
          </w:tcPr>
          <w:p w14:paraId="078F6AEB"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82,1</w:t>
            </w:r>
          </w:p>
        </w:tc>
        <w:tc>
          <w:tcPr>
            <w:tcW w:w="1134" w:type="dxa"/>
            <w:tcBorders>
              <w:top w:val="nil"/>
              <w:left w:val="nil"/>
              <w:bottom w:val="nil"/>
              <w:right w:val="nil"/>
            </w:tcBorders>
            <w:shd w:val="clear" w:color="auto" w:fill="auto"/>
            <w:noWrap/>
            <w:vAlign w:val="center"/>
          </w:tcPr>
          <w:p w14:paraId="24056462"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82,4</w:t>
            </w:r>
          </w:p>
        </w:tc>
        <w:tc>
          <w:tcPr>
            <w:tcW w:w="851" w:type="dxa"/>
            <w:tcBorders>
              <w:top w:val="nil"/>
              <w:left w:val="nil"/>
              <w:bottom w:val="nil"/>
            </w:tcBorders>
            <w:shd w:val="clear" w:color="auto" w:fill="auto"/>
            <w:noWrap/>
            <w:vAlign w:val="center"/>
          </w:tcPr>
          <w:p w14:paraId="7DE8C11D"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83,0</w:t>
            </w:r>
          </w:p>
        </w:tc>
        <w:tc>
          <w:tcPr>
            <w:tcW w:w="850" w:type="dxa"/>
            <w:tcBorders>
              <w:top w:val="nil"/>
              <w:left w:val="nil"/>
              <w:bottom w:val="nil"/>
              <w:right w:val="single" w:sz="8" w:space="0" w:color="auto"/>
            </w:tcBorders>
            <w:vAlign w:val="center"/>
          </w:tcPr>
          <w:p w14:paraId="65457A9B"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83,4</w:t>
            </w:r>
          </w:p>
        </w:tc>
        <w:tc>
          <w:tcPr>
            <w:tcW w:w="1134" w:type="dxa"/>
            <w:tcBorders>
              <w:top w:val="nil"/>
              <w:left w:val="single" w:sz="8" w:space="0" w:color="auto"/>
              <w:bottom w:val="nil"/>
              <w:right w:val="nil"/>
            </w:tcBorders>
            <w:shd w:val="clear" w:color="auto" w:fill="auto"/>
            <w:noWrap/>
            <w:vAlign w:val="center"/>
          </w:tcPr>
          <w:p w14:paraId="357D7CED"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82,9</w:t>
            </w:r>
          </w:p>
        </w:tc>
        <w:tc>
          <w:tcPr>
            <w:tcW w:w="851" w:type="dxa"/>
            <w:tcBorders>
              <w:top w:val="nil"/>
              <w:left w:val="nil"/>
              <w:bottom w:val="nil"/>
            </w:tcBorders>
            <w:shd w:val="clear" w:color="auto" w:fill="auto"/>
            <w:vAlign w:val="center"/>
          </w:tcPr>
          <w:p w14:paraId="2A2E6A2A" w14:textId="77777777" w:rsidR="0071281F" w:rsidRPr="00AD7E7D" w:rsidRDefault="0071281F" w:rsidP="00D2109C">
            <w:pPr>
              <w:spacing w:after="0"/>
              <w:jc w:val="center"/>
              <w:rPr>
                <w:rFonts w:eastAsia="Times New Roman" w:cs="Times New Roman"/>
                <w:szCs w:val="24"/>
                <w:lang w:val="sr-Cyrl-RS" w:eastAsia="en-GB"/>
              </w:rPr>
            </w:pPr>
            <w:r w:rsidRPr="00AD7E7D">
              <w:rPr>
                <w:rFonts w:eastAsia="Times New Roman" w:cs="Times New Roman"/>
                <w:szCs w:val="24"/>
                <w:lang w:val="sr-Cyrl-RS" w:eastAsia="en-GB"/>
              </w:rPr>
              <w:t>83,4</w:t>
            </w:r>
          </w:p>
        </w:tc>
      </w:tr>
      <w:tr w:rsidR="0071281F" w:rsidRPr="00AD7E7D" w14:paraId="3291F471" w14:textId="77777777" w:rsidTr="0071281F">
        <w:trPr>
          <w:trHeight w:val="284"/>
          <w:jc w:val="center"/>
        </w:trPr>
        <w:tc>
          <w:tcPr>
            <w:tcW w:w="3686" w:type="dxa"/>
            <w:tcBorders>
              <w:top w:val="nil"/>
              <w:left w:val="nil"/>
              <w:bottom w:val="single" w:sz="8" w:space="0" w:color="002060"/>
              <w:right w:val="nil"/>
            </w:tcBorders>
            <w:shd w:val="clear" w:color="auto" w:fill="auto"/>
            <w:noWrap/>
            <w:vAlign w:val="center"/>
            <w:hideMark/>
          </w:tcPr>
          <w:p w14:paraId="3D5F27FC" w14:textId="77777777" w:rsidR="0071281F" w:rsidRPr="00AD7E7D" w:rsidRDefault="0071281F" w:rsidP="00D2109C">
            <w:pPr>
              <w:spacing w:after="0"/>
              <w:rPr>
                <w:rFonts w:eastAsia="Times New Roman" w:cs="Times New Roman"/>
                <w:szCs w:val="24"/>
                <w:lang w:val="sr-Cyrl-RS" w:eastAsia="en-GB"/>
              </w:rPr>
            </w:pPr>
            <w:r w:rsidRPr="00AD7E7D">
              <w:rPr>
                <w:rFonts w:eastAsia="Times New Roman" w:cs="Times New Roman"/>
                <w:szCs w:val="24"/>
                <w:lang w:val="sr-Cyrl-RS" w:eastAsia="en-GB"/>
              </w:rPr>
              <w:t>Салдо текућег рачуна, % БДП</w:t>
            </w:r>
          </w:p>
        </w:tc>
        <w:tc>
          <w:tcPr>
            <w:tcW w:w="850" w:type="dxa"/>
            <w:tcBorders>
              <w:top w:val="nil"/>
              <w:left w:val="nil"/>
              <w:bottom w:val="single" w:sz="8" w:space="0" w:color="002060"/>
              <w:right w:val="nil"/>
            </w:tcBorders>
            <w:shd w:val="clear" w:color="auto" w:fill="auto"/>
            <w:noWrap/>
            <w:vAlign w:val="center"/>
          </w:tcPr>
          <w:p w14:paraId="068DBDE6" w14:textId="77777777" w:rsidR="0071281F" w:rsidRPr="00AD7E7D" w:rsidRDefault="0071281F" w:rsidP="00D2109C">
            <w:pPr>
              <w:spacing w:after="0"/>
              <w:jc w:val="center"/>
              <w:rPr>
                <w:rFonts w:eastAsia="Times New Roman" w:cs="Times New Roman"/>
                <w:szCs w:val="24"/>
                <w:lang w:val="sr-Latn-RS" w:eastAsia="en-GB"/>
              </w:rPr>
            </w:pPr>
            <w:r w:rsidRPr="00AD7E7D">
              <w:rPr>
                <w:rFonts w:eastAsia="Times New Roman" w:cs="Times New Roman"/>
                <w:szCs w:val="24"/>
                <w:lang w:val="sr-Cyrl-RS" w:eastAsia="en-GB"/>
              </w:rPr>
              <w:t>2,6</w:t>
            </w:r>
          </w:p>
        </w:tc>
        <w:tc>
          <w:tcPr>
            <w:tcW w:w="1134" w:type="dxa"/>
            <w:tcBorders>
              <w:top w:val="nil"/>
              <w:left w:val="nil"/>
              <w:bottom w:val="single" w:sz="8" w:space="0" w:color="002060"/>
              <w:right w:val="nil"/>
            </w:tcBorders>
            <w:shd w:val="clear" w:color="auto" w:fill="auto"/>
            <w:noWrap/>
            <w:vAlign w:val="center"/>
          </w:tcPr>
          <w:p w14:paraId="06BAE1BF" w14:textId="77777777" w:rsidR="0071281F" w:rsidRPr="00AD7E7D" w:rsidRDefault="0071281F" w:rsidP="00D2109C">
            <w:pPr>
              <w:spacing w:after="0"/>
              <w:jc w:val="center"/>
              <w:rPr>
                <w:rFonts w:eastAsia="Times New Roman" w:cs="Times New Roman"/>
                <w:szCs w:val="24"/>
                <w:lang w:val="sr-Latn-RS" w:eastAsia="en-GB"/>
              </w:rPr>
            </w:pPr>
            <w:r w:rsidRPr="00AD7E7D">
              <w:rPr>
                <w:rFonts w:eastAsia="Times New Roman" w:cs="Times New Roman"/>
                <w:szCs w:val="24"/>
                <w:lang w:val="sr-Cyrl-RS" w:eastAsia="en-GB"/>
              </w:rPr>
              <w:t>3,6</w:t>
            </w:r>
          </w:p>
        </w:tc>
        <w:tc>
          <w:tcPr>
            <w:tcW w:w="851" w:type="dxa"/>
            <w:tcBorders>
              <w:top w:val="nil"/>
              <w:left w:val="nil"/>
              <w:bottom w:val="single" w:sz="8" w:space="0" w:color="002060"/>
            </w:tcBorders>
            <w:shd w:val="clear" w:color="auto" w:fill="auto"/>
            <w:noWrap/>
            <w:vAlign w:val="center"/>
          </w:tcPr>
          <w:p w14:paraId="4A7310E9" w14:textId="77777777" w:rsidR="0071281F" w:rsidRPr="00AD7E7D" w:rsidRDefault="0071281F" w:rsidP="00D2109C">
            <w:pPr>
              <w:spacing w:after="0"/>
              <w:jc w:val="center"/>
              <w:rPr>
                <w:rFonts w:eastAsia="Times New Roman" w:cs="Times New Roman"/>
                <w:szCs w:val="24"/>
                <w:lang w:val="sr-Latn-RS" w:eastAsia="en-GB"/>
              </w:rPr>
            </w:pPr>
            <w:r w:rsidRPr="00AD7E7D">
              <w:rPr>
                <w:rFonts w:eastAsia="Times New Roman" w:cs="Times New Roman"/>
                <w:szCs w:val="24"/>
                <w:lang w:val="sr-Cyrl-RS" w:eastAsia="en-GB"/>
              </w:rPr>
              <w:t>3,4</w:t>
            </w:r>
          </w:p>
        </w:tc>
        <w:tc>
          <w:tcPr>
            <w:tcW w:w="850" w:type="dxa"/>
            <w:tcBorders>
              <w:top w:val="nil"/>
              <w:left w:val="nil"/>
              <w:bottom w:val="single" w:sz="8" w:space="0" w:color="auto"/>
              <w:right w:val="single" w:sz="8" w:space="0" w:color="auto"/>
            </w:tcBorders>
            <w:vAlign w:val="center"/>
          </w:tcPr>
          <w:p w14:paraId="3B5CA126" w14:textId="77777777" w:rsidR="0071281F" w:rsidRPr="00AD7E7D" w:rsidRDefault="0071281F" w:rsidP="00D2109C">
            <w:pPr>
              <w:spacing w:after="0"/>
              <w:jc w:val="center"/>
              <w:rPr>
                <w:rFonts w:eastAsia="Times New Roman" w:cs="Times New Roman"/>
                <w:szCs w:val="24"/>
                <w:lang w:val="sr-Latn-RS" w:eastAsia="en-GB"/>
              </w:rPr>
            </w:pPr>
            <w:r w:rsidRPr="00AD7E7D">
              <w:rPr>
                <w:rFonts w:eastAsia="Times New Roman" w:cs="Times New Roman"/>
                <w:szCs w:val="24"/>
                <w:lang w:val="sr-Cyrl-RS" w:eastAsia="en-GB"/>
              </w:rPr>
              <w:t>3,3</w:t>
            </w:r>
          </w:p>
        </w:tc>
        <w:tc>
          <w:tcPr>
            <w:tcW w:w="1134" w:type="dxa"/>
            <w:tcBorders>
              <w:top w:val="nil"/>
              <w:left w:val="single" w:sz="8" w:space="0" w:color="auto"/>
              <w:bottom w:val="single" w:sz="8" w:space="0" w:color="auto"/>
              <w:right w:val="nil"/>
            </w:tcBorders>
            <w:shd w:val="clear" w:color="auto" w:fill="auto"/>
            <w:noWrap/>
            <w:vAlign w:val="center"/>
          </w:tcPr>
          <w:p w14:paraId="6B9EF4DC" w14:textId="77777777" w:rsidR="0071281F" w:rsidRPr="00AD7E7D" w:rsidRDefault="0071281F" w:rsidP="00D2109C">
            <w:pPr>
              <w:spacing w:after="0"/>
              <w:jc w:val="center"/>
              <w:rPr>
                <w:rFonts w:eastAsia="Times New Roman" w:cs="Times New Roman"/>
                <w:szCs w:val="24"/>
                <w:lang w:val="sr-Latn-RS" w:eastAsia="en-GB"/>
              </w:rPr>
            </w:pPr>
            <w:r w:rsidRPr="00AD7E7D">
              <w:rPr>
                <w:rFonts w:eastAsia="Times New Roman" w:cs="Times New Roman"/>
                <w:szCs w:val="24"/>
                <w:lang w:val="sr-Cyrl-RS" w:eastAsia="en-GB"/>
              </w:rPr>
              <w:t>3,1</w:t>
            </w:r>
          </w:p>
        </w:tc>
        <w:tc>
          <w:tcPr>
            <w:tcW w:w="851" w:type="dxa"/>
            <w:tcBorders>
              <w:top w:val="nil"/>
              <w:left w:val="nil"/>
              <w:bottom w:val="single" w:sz="8" w:space="0" w:color="auto"/>
            </w:tcBorders>
            <w:shd w:val="clear" w:color="auto" w:fill="auto"/>
            <w:vAlign w:val="center"/>
          </w:tcPr>
          <w:p w14:paraId="4C2495C1" w14:textId="77777777" w:rsidR="0071281F" w:rsidRPr="00AD7E7D" w:rsidRDefault="0071281F" w:rsidP="00D2109C">
            <w:pPr>
              <w:spacing w:after="0"/>
              <w:jc w:val="center"/>
              <w:rPr>
                <w:rFonts w:eastAsia="Times New Roman" w:cs="Times New Roman"/>
                <w:szCs w:val="24"/>
                <w:lang w:val="sr-Latn-RS" w:eastAsia="en-GB"/>
              </w:rPr>
            </w:pPr>
            <w:r w:rsidRPr="00AD7E7D">
              <w:rPr>
                <w:rFonts w:eastAsia="Times New Roman" w:cs="Times New Roman"/>
                <w:szCs w:val="24"/>
                <w:lang w:val="sr-Cyrl-RS" w:eastAsia="en-GB"/>
              </w:rPr>
              <w:t>3,1</w:t>
            </w:r>
          </w:p>
        </w:tc>
      </w:tr>
    </w:tbl>
    <w:p w14:paraId="245B5909" w14:textId="77777777" w:rsidR="007D5C1A" w:rsidRPr="005D223F" w:rsidRDefault="007D5C1A" w:rsidP="00EE7B7E">
      <w:pPr>
        <w:spacing w:before="40" w:after="180"/>
        <w:rPr>
          <w:rFonts w:eastAsiaTheme="minorEastAsia" w:cs="Times New Roman"/>
          <w:sz w:val="22"/>
          <w:szCs w:val="24"/>
          <w:lang w:val="sr-Cyrl-RS" w:eastAsia="ja-JP"/>
        </w:rPr>
      </w:pPr>
      <w:r w:rsidRPr="005D223F">
        <w:rPr>
          <w:rFonts w:eastAsiaTheme="minorEastAsia" w:cs="Times New Roman"/>
          <w:sz w:val="22"/>
          <w:szCs w:val="24"/>
          <w:lang w:val="sr-Cyrl-RS" w:eastAsia="ja-JP"/>
        </w:rPr>
        <w:t xml:space="preserve">Извор: ЕК, </w:t>
      </w:r>
      <w:r w:rsidR="00AD5E21" w:rsidRPr="005D223F">
        <w:rPr>
          <w:rFonts w:eastAsiaTheme="minorEastAsia" w:cs="Times New Roman"/>
          <w:sz w:val="22"/>
          <w:szCs w:val="24"/>
          <w:lang w:val="sr-Cyrl-RS" w:eastAsia="ja-JP"/>
        </w:rPr>
        <w:t>Јесење пројекције, новембар 2024</w:t>
      </w:r>
      <w:r w:rsidR="00EE7B7E" w:rsidRPr="005D223F">
        <w:rPr>
          <w:rFonts w:eastAsiaTheme="minorEastAsia" w:cs="Times New Roman"/>
          <w:sz w:val="22"/>
          <w:szCs w:val="24"/>
          <w:lang w:val="sr-Cyrl-RS" w:eastAsia="ja-JP"/>
        </w:rPr>
        <w:t>. године.</w:t>
      </w:r>
    </w:p>
    <w:p w14:paraId="5F737AC5" w14:textId="77777777" w:rsidR="0073236A" w:rsidRPr="00AD7E7D" w:rsidRDefault="0073236A" w:rsidP="008B5BFB">
      <w:pPr>
        <w:rPr>
          <w:rFonts w:eastAsiaTheme="minorEastAsia" w:cs="Times New Roman"/>
          <w:bCs/>
          <w:szCs w:val="24"/>
          <w:lang w:val="sr-Cyrl-RS" w:eastAsia="ja-JP"/>
        </w:rPr>
      </w:pPr>
      <w:bookmarkStart w:id="6" w:name="_Toc373932747"/>
      <w:bookmarkStart w:id="7" w:name="_Toc444605529"/>
      <w:r w:rsidRPr="00AD7E7D">
        <w:rPr>
          <w:rFonts w:eastAsiaTheme="minorEastAsia" w:cs="Times New Roman"/>
          <w:bCs/>
          <w:szCs w:val="24"/>
          <w:lang w:val="sr-Cyrl-RS" w:eastAsia="ja-JP"/>
        </w:rPr>
        <w:t>Процењује се да ће тржиште рада земаља ЕУ остати отпорно и снажно, иако ће раст запослености и плата успорити у поређењу са претходним годинама. У 2024. години, п</w:t>
      </w:r>
      <w:r w:rsidRPr="00AD7E7D">
        <w:rPr>
          <w:rFonts w:cs="Times New Roman"/>
          <w:szCs w:val="24"/>
          <w:lang w:val="sr-Cyrl-RS"/>
        </w:rPr>
        <w:t>редвиђа се раст запослености од 0,8%, а потом успоравање на 0,6% и 0,5% у 2025. и 2026. години, респективно.</w:t>
      </w:r>
      <w:r w:rsidRPr="00AD7E7D">
        <w:rPr>
          <w:rFonts w:eastAsiaTheme="minorEastAsia" w:cs="Times New Roman"/>
          <w:bCs/>
          <w:szCs w:val="24"/>
          <w:lang w:val="sr-Cyrl-RS" w:eastAsia="ja-JP"/>
        </w:rPr>
        <w:t xml:space="preserve"> Раст номиналних плата ће </w:t>
      </w:r>
      <w:r w:rsidR="00325EAB" w:rsidRPr="00AD7E7D">
        <w:rPr>
          <w:rFonts w:eastAsiaTheme="minorEastAsia" w:cs="Times New Roman"/>
          <w:bCs/>
          <w:szCs w:val="24"/>
          <w:lang w:val="sr-Cyrl-RS" w:eastAsia="ja-JP"/>
        </w:rPr>
        <w:t xml:space="preserve">такође </w:t>
      </w:r>
      <w:r w:rsidRPr="00AD7E7D">
        <w:rPr>
          <w:rFonts w:eastAsiaTheme="minorEastAsia" w:cs="Times New Roman"/>
          <w:bCs/>
          <w:szCs w:val="24"/>
          <w:lang w:val="sr-Cyrl-RS" w:eastAsia="ja-JP"/>
        </w:rPr>
        <w:t>постепено успоравати, али ће и даље бити висок, због чега ће реалне зараде постепено досегнути нивое који су били уобичајени пре снажног повећања инфлације. Очекује се да ће раст продуктивности рада ојачати током хоризонта пројекције, али ће ниво продуктивности и даље остати испод дугорочног линеарног тренда.</w:t>
      </w:r>
    </w:p>
    <w:p w14:paraId="6C39C2DD" w14:textId="77777777" w:rsidR="00CD6D3A" w:rsidRPr="00AD7E7D" w:rsidRDefault="00EB4239" w:rsidP="008B5BFB">
      <w:pPr>
        <w:rPr>
          <w:rStyle w:val="rynqvb"/>
          <w:rFonts w:cs="Times New Roman"/>
          <w:szCs w:val="24"/>
          <w:lang w:val="sr-Cyrl-RS"/>
        </w:rPr>
      </w:pPr>
      <w:r w:rsidRPr="00AD7E7D">
        <w:rPr>
          <w:rStyle w:val="rynqvb"/>
          <w:rFonts w:cs="Times New Roman"/>
          <w:szCs w:val="24"/>
          <w:lang w:val="sr-Cyrl-RS"/>
        </w:rPr>
        <w:t xml:space="preserve">Према јесењим пројекцијама ЕК, очекује се наставак опадајућег тренда инфлације у пројекцијском периоду. </w:t>
      </w:r>
      <w:r w:rsidR="002927F6" w:rsidRPr="00AD7E7D">
        <w:rPr>
          <w:rStyle w:val="rynqvb"/>
          <w:rFonts w:cs="Times New Roman"/>
          <w:szCs w:val="24"/>
          <w:lang w:val="sr-Cyrl-RS"/>
        </w:rPr>
        <w:t xml:space="preserve">Предвиђа се да ће инфлација у ЕУ успорити са 6,4% у 2023. години на 2,6% у 2024. и 2,4% у 2025. години, док ће се у 2026. години стопа инфлација изједначити са дугорочним циљем од 2,0%. </w:t>
      </w:r>
      <w:r w:rsidR="00CD6D3A" w:rsidRPr="00AD7E7D">
        <w:rPr>
          <w:rStyle w:val="rynqvb"/>
          <w:rFonts w:cs="Times New Roman"/>
          <w:szCs w:val="24"/>
          <w:lang w:val="sr-Cyrl-RS"/>
        </w:rPr>
        <w:t>Главни фактори који доприносе успоравању инфлације обухватају смањење цена енергената, ефекте пооштрене монетарне политике из претходног периода, као и постепено успоравање раста номиналних пла</w:t>
      </w:r>
      <w:r w:rsidR="00D07CDC" w:rsidRPr="00AD7E7D">
        <w:rPr>
          <w:rStyle w:val="rynqvb"/>
          <w:rFonts w:cs="Times New Roman"/>
          <w:szCs w:val="24"/>
          <w:lang w:val="sr-Cyrl-RS"/>
        </w:rPr>
        <w:t>та.</w:t>
      </w:r>
      <w:r w:rsidR="002927F6" w:rsidRPr="00AD7E7D">
        <w:rPr>
          <w:rStyle w:val="rynqvb"/>
          <w:rFonts w:cs="Times New Roman"/>
          <w:szCs w:val="24"/>
          <w:lang w:val="sr-Cyrl-RS"/>
        </w:rPr>
        <w:t xml:space="preserve"> Цене </w:t>
      </w:r>
      <w:r w:rsidR="002927F6" w:rsidRPr="00AD7E7D">
        <w:rPr>
          <w:rStyle w:val="rynqvb"/>
          <w:rFonts w:cs="Times New Roman"/>
          <w:szCs w:val="24"/>
          <w:lang w:val="sr-Cyrl-RS"/>
        </w:rPr>
        <w:lastRenderedPageBreak/>
        <w:t>хране ће се стабилизовати око историјских просека од средине 2025</w:t>
      </w:r>
      <w:r w:rsidR="00D07CDC" w:rsidRPr="00AD7E7D">
        <w:rPr>
          <w:rStyle w:val="rynqvb"/>
          <w:rFonts w:cs="Times New Roman"/>
          <w:szCs w:val="24"/>
          <w:lang w:val="sr-Cyrl-RS"/>
        </w:rPr>
        <w:t>. године, док ће</w:t>
      </w:r>
      <w:r w:rsidR="002927F6" w:rsidRPr="00AD7E7D">
        <w:rPr>
          <w:rStyle w:val="rynqvb"/>
          <w:rFonts w:cs="Times New Roman"/>
          <w:szCs w:val="24"/>
          <w:lang w:val="sr-Cyrl-RS"/>
        </w:rPr>
        <w:t xml:space="preserve"> инфлаторни притисци у </w:t>
      </w:r>
      <w:r w:rsidR="00324F32" w:rsidRPr="00AD7E7D">
        <w:rPr>
          <w:rStyle w:val="rynqvb"/>
          <w:rFonts w:cs="Times New Roman"/>
          <w:szCs w:val="24"/>
          <w:lang w:val="sr-Cyrl-RS"/>
        </w:rPr>
        <w:t xml:space="preserve">услужном сектору </w:t>
      </w:r>
      <w:r w:rsidR="002927F6" w:rsidRPr="00AD7E7D">
        <w:rPr>
          <w:rStyle w:val="rynqvb"/>
          <w:rFonts w:cs="Times New Roman"/>
          <w:szCs w:val="24"/>
          <w:lang w:val="sr-Cyrl-RS"/>
        </w:rPr>
        <w:t xml:space="preserve">остати високи до почетка 2025. године, а затим почети </w:t>
      </w:r>
      <w:r w:rsidR="00D07CDC" w:rsidRPr="00AD7E7D">
        <w:rPr>
          <w:rStyle w:val="rynqvb"/>
          <w:rFonts w:cs="Times New Roman"/>
          <w:szCs w:val="24"/>
          <w:lang w:val="sr-Cyrl-RS"/>
        </w:rPr>
        <w:t xml:space="preserve">постепено </w:t>
      </w:r>
      <w:r w:rsidR="002927F6" w:rsidRPr="00AD7E7D">
        <w:rPr>
          <w:rStyle w:val="rynqvb"/>
          <w:rFonts w:cs="Times New Roman"/>
          <w:szCs w:val="24"/>
          <w:lang w:val="sr-Cyrl-RS"/>
        </w:rPr>
        <w:t xml:space="preserve">да се смањују услед успоравања раста плата, очекиваног пораста продуктивности и базног ефекта. </w:t>
      </w:r>
    </w:p>
    <w:p w14:paraId="7EF57651" w14:textId="77777777" w:rsidR="008B5BFB" w:rsidRPr="00AD7E7D" w:rsidRDefault="008B5BFB" w:rsidP="008B5BFB">
      <w:pPr>
        <w:rPr>
          <w:rFonts w:cs="Times New Roman"/>
          <w:szCs w:val="24"/>
          <w:lang w:val="sr-Cyrl-RS"/>
        </w:rPr>
      </w:pPr>
      <w:r w:rsidRPr="00AD7E7D">
        <w:rPr>
          <w:rFonts w:eastAsiaTheme="minorEastAsia" w:cs="Times New Roman"/>
          <w:bCs/>
          <w:szCs w:val="24"/>
          <w:lang w:val="sr-Cyrl-RS" w:eastAsia="ja-JP"/>
        </w:rPr>
        <w:t>Након претходног заоштравања монетарне политике,</w:t>
      </w:r>
      <w:r w:rsidRPr="00AD7E7D">
        <w:rPr>
          <w:rFonts w:eastAsiaTheme="minorEastAsia" w:cs="Times New Roman"/>
          <w:bCs/>
          <w:szCs w:val="24"/>
          <w:lang w:val="sr-Latn-RS" w:eastAsia="ja-JP"/>
        </w:rPr>
        <w:t xml:space="preserve"> </w:t>
      </w:r>
      <w:r w:rsidRPr="00AD7E7D">
        <w:rPr>
          <w:rFonts w:eastAsiaTheme="minorEastAsia" w:cs="Times New Roman"/>
          <w:bCs/>
          <w:szCs w:val="24"/>
          <w:lang w:val="sr-Cyrl-RS" w:eastAsia="ja-JP"/>
        </w:rPr>
        <w:t>услови на финансијском тржишту постају све повољнији имајући у виду попуштање инфлације и даље слабљење инфлаторних притисака. Европска централна банка (у даљем тексту: ЕЦБ) је од почетка године у три наврата смањивала референтну каматну стопу, укупно за 110 б.п., достигавши тренутни ниво од 3,40% у октобру.</w:t>
      </w:r>
      <w:r w:rsidRPr="00AD7E7D">
        <w:rPr>
          <w:rFonts w:cs="Times New Roman"/>
          <w:szCs w:val="24"/>
        </w:rPr>
        <w:t xml:space="preserve"> </w:t>
      </w:r>
      <w:r w:rsidRPr="00AD7E7D">
        <w:rPr>
          <w:rFonts w:eastAsiaTheme="minorEastAsia" w:cs="Times New Roman"/>
          <w:bCs/>
          <w:szCs w:val="24"/>
          <w:lang w:val="sr-Cyrl-RS" w:eastAsia="ja-JP"/>
        </w:rPr>
        <w:t xml:space="preserve">Смањење референтне каматне стопе ЕЦБ довело је и до смањења стопа код других централних банака ван еврозоне, што се прелива и на банкарске и тржишне каматне стопе и заузврат, подстиче потражњу за кредитима. ЕЦБ ће у наредном периоду наставити пажљиво да прати економска дешавања и у складу са тим доноси будуће одлуке о повећању рестриктивности монетарне политике, како би се инфлација благовремено </w:t>
      </w:r>
      <w:r w:rsidR="00F46218" w:rsidRPr="00AD7E7D">
        <w:rPr>
          <w:rFonts w:eastAsiaTheme="minorEastAsia" w:cs="Times New Roman"/>
          <w:bCs/>
          <w:szCs w:val="24"/>
          <w:lang w:val="sr-Cyrl-RS" w:eastAsia="ja-JP"/>
        </w:rPr>
        <w:t>приближила</w:t>
      </w:r>
      <w:r w:rsidRPr="00AD7E7D">
        <w:rPr>
          <w:rFonts w:eastAsiaTheme="minorEastAsia" w:cs="Times New Roman"/>
          <w:bCs/>
          <w:szCs w:val="24"/>
          <w:lang w:val="sr-Cyrl-RS" w:eastAsia="ja-JP"/>
        </w:rPr>
        <w:t xml:space="preserve"> циљан</w:t>
      </w:r>
      <w:r w:rsidR="00F46218" w:rsidRPr="00AD7E7D">
        <w:rPr>
          <w:rFonts w:eastAsiaTheme="minorEastAsia" w:cs="Times New Roman"/>
          <w:bCs/>
          <w:szCs w:val="24"/>
          <w:lang w:val="sr-Cyrl-RS" w:eastAsia="ja-JP"/>
        </w:rPr>
        <w:t>ом нивоу од</w:t>
      </w:r>
      <w:r w:rsidRPr="00AD7E7D">
        <w:rPr>
          <w:rFonts w:eastAsiaTheme="minorEastAsia" w:cs="Times New Roman"/>
          <w:bCs/>
          <w:szCs w:val="24"/>
          <w:lang w:val="sr-Cyrl-RS" w:eastAsia="ja-JP"/>
        </w:rPr>
        <w:t xml:space="preserve"> 2,0% у средњорочном периоду.</w:t>
      </w:r>
    </w:p>
    <w:p w14:paraId="29C90022" w14:textId="77777777" w:rsidR="004E0A88" w:rsidRPr="00AD7E7D" w:rsidRDefault="00333CD8" w:rsidP="00AD7E7D">
      <w:pPr>
        <w:spacing w:after="180"/>
        <w:rPr>
          <w:rFonts w:eastAsiaTheme="minorEastAsia" w:cs="Times New Roman"/>
          <w:bCs/>
          <w:szCs w:val="24"/>
          <w:lang w:val="sr-Cyrl-RS" w:eastAsia="ja-JP"/>
        </w:rPr>
      </w:pPr>
      <w:r w:rsidRPr="00AD7E7D">
        <w:rPr>
          <w:rFonts w:eastAsiaTheme="minorEastAsia" w:cs="Times New Roman"/>
          <w:bCs/>
          <w:szCs w:val="24"/>
          <w:lang w:val="sr-Cyrl-RS" w:eastAsia="ja-JP"/>
        </w:rPr>
        <w:t xml:space="preserve">Очекује се </w:t>
      </w:r>
      <w:r w:rsidR="00324F32" w:rsidRPr="00AD7E7D">
        <w:rPr>
          <w:rFonts w:eastAsiaTheme="minorEastAsia" w:cs="Times New Roman"/>
          <w:bCs/>
          <w:szCs w:val="24"/>
          <w:lang w:val="sr-Cyrl-RS" w:eastAsia="ja-JP"/>
        </w:rPr>
        <w:t>благо рестриктивнија фискална политика у наредном периоду.</w:t>
      </w:r>
      <w:r w:rsidRPr="00AD7E7D">
        <w:rPr>
          <w:rFonts w:eastAsiaTheme="minorEastAsia" w:cs="Times New Roman"/>
          <w:bCs/>
          <w:szCs w:val="24"/>
          <w:lang w:val="sr-Cyrl-RS" w:eastAsia="ja-JP"/>
        </w:rPr>
        <w:t xml:space="preserve"> </w:t>
      </w:r>
      <w:r w:rsidR="00324F32" w:rsidRPr="00AD7E7D">
        <w:rPr>
          <w:rFonts w:eastAsiaTheme="minorEastAsia" w:cs="Times New Roman"/>
          <w:bCs/>
          <w:szCs w:val="24"/>
          <w:lang w:val="sr-Cyrl-RS" w:eastAsia="ja-JP"/>
        </w:rPr>
        <w:t>Ф</w:t>
      </w:r>
      <w:r w:rsidRPr="00AD7E7D">
        <w:rPr>
          <w:rFonts w:eastAsiaTheme="minorEastAsia" w:cs="Times New Roman"/>
          <w:bCs/>
          <w:szCs w:val="24"/>
          <w:lang w:val="sr-Cyrl-RS" w:eastAsia="ja-JP"/>
        </w:rPr>
        <w:t xml:space="preserve">искални дефицит ЕУ у 2024. години </w:t>
      </w:r>
      <w:r w:rsidR="00324F32" w:rsidRPr="00AD7E7D">
        <w:rPr>
          <w:rFonts w:eastAsiaTheme="minorEastAsia" w:cs="Times New Roman"/>
          <w:bCs/>
          <w:szCs w:val="24"/>
          <w:lang w:val="sr-Cyrl-RS" w:eastAsia="ja-JP"/>
        </w:rPr>
        <w:t xml:space="preserve">ће бити </w:t>
      </w:r>
      <w:r w:rsidRPr="00AD7E7D">
        <w:rPr>
          <w:rFonts w:eastAsiaTheme="minorEastAsia" w:cs="Times New Roman"/>
          <w:bCs/>
          <w:szCs w:val="24"/>
          <w:lang w:val="sr-Cyrl-RS" w:eastAsia="ja-JP"/>
        </w:rPr>
        <w:t>за око 0,4 п.п.</w:t>
      </w:r>
      <w:r w:rsidR="00324F32" w:rsidRPr="00AD7E7D">
        <w:rPr>
          <w:rFonts w:eastAsiaTheme="minorEastAsia" w:cs="Times New Roman"/>
          <w:bCs/>
          <w:szCs w:val="24"/>
          <w:lang w:val="sr-Cyrl-RS" w:eastAsia="ja-JP"/>
        </w:rPr>
        <w:t xml:space="preserve"> мањи од претходне процене</w:t>
      </w:r>
      <w:r w:rsidRPr="00AD7E7D">
        <w:rPr>
          <w:rFonts w:eastAsiaTheme="minorEastAsia" w:cs="Times New Roman"/>
          <w:bCs/>
          <w:szCs w:val="24"/>
          <w:lang w:val="sr-Cyrl-RS" w:eastAsia="ja-JP"/>
        </w:rPr>
        <w:t xml:space="preserve">, </w:t>
      </w:r>
      <w:r w:rsidR="00324F32" w:rsidRPr="00AD7E7D">
        <w:rPr>
          <w:rFonts w:eastAsiaTheme="minorEastAsia" w:cs="Times New Roman"/>
          <w:bCs/>
          <w:szCs w:val="24"/>
          <w:lang w:val="sr-Cyrl-RS" w:eastAsia="ja-JP"/>
        </w:rPr>
        <w:t xml:space="preserve">и износити </w:t>
      </w:r>
      <w:r w:rsidRPr="00AD7E7D">
        <w:rPr>
          <w:rFonts w:eastAsiaTheme="minorEastAsia" w:cs="Times New Roman"/>
          <w:bCs/>
          <w:szCs w:val="24"/>
          <w:lang w:val="sr-Cyrl-RS" w:eastAsia="ja-JP"/>
        </w:rPr>
        <w:t>3,1% БДП</w:t>
      </w:r>
      <w:r w:rsidR="00CF6476" w:rsidRPr="00AD7E7D">
        <w:rPr>
          <w:rFonts w:eastAsiaTheme="minorEastAsia" w:cs="Times New Roman"/>
          <w:bCs/>
          <w:szCs w:val="24"/>
          <w:lang w:val="sr-Cyrl-RS" w:eastAsia="ja-JP"/>
        </w:rPr>
        <w:t>,</w:t>
      </w:r>
      <w:r w:rsidR="00525F7A" w:rsidRPr="00AD7E7D">
        <w:rPr>
          <w:rFonts w:eastAsiaTheme="minorEastAsia" w:cs="Times New Roman"/>
          <w:bCs/>
          <w:szCs w:val="24"/>
          <w:lang w:val="sr-Cyrl-RS" w:eastAsia="ja-JP"/>
        </w:rPr>
        <w:t xml:space="preserve"> пре свега</w:t>
      </w:r>
      <w:r w:rsidR="001F1E43" w:rsidRPr="00AD7E7D">
        <w:rPr>
          <w:rFonts w:eastAsiaTheme="minorEastAsia" w:cs="Times New Roman"/>
          <w:bCs/>
          <w:szCs w:val="24"/>
          <w:lang w:val="sr-Cyrl-RS" w:eastAsia="ja-JP"/>
        </w:rPr>
        <w:t xml:space="preserve"> као резултат</w:t>
      </w:r>
      <w:r w:rsidR="00525F7A" w:rsidRPr="00AD7E7D">
        <w:rPr>
          <w:rFonts w:eastAsiaTheme="minorEastAsia" w:cs="Times New Roman"/>
          <w:bCs/>
          <w:szCs w:val="24"/>
          <w:lang w:val="sr-Cyrl-RS" w:eastAsia="ja-JP"/>
        </w:rPr>
        <w:t xml:space="preserve"> укидањ</w:t>
      </w:r>
      <w:r w:rsidR="00324F32" w:rsidRPr="00AD7E7D">
        <w:rPr>
          <w:rFonts w:eastAsiaTheme="minorEastAsia" w:cs="Times New Roman"/>
          <w:bCs/>
          <w:szCs w:val="24"/>
          <w:lang w:val="sr-Cyrl-RS" w:eastAsia="ja-JP"/>
        </w:rPr>
        <w:t>а</w:t>
      </w:r>
      <w:r w:rsidR="00525F7A" w:rsidRPr="00AD7E7D">
        <w:rPr>
          <w:rFonts w:eastAsiaTheme="minorEastAsia" w:cs="Times New Roman"/>
          <w:bCs/>
          <w:szCs w:val="24"/>
          <w:lang w:val="sr-Cyrl-RS" w:eastAsia="ja-JP"/>
        </w:rPr>
        <w:t xml:space="preserve"> мера</w:t>
      </w:r>
      <w:r w:rsidR="001F1E43" w:rsidRPr="00AD7E7D">
        <w:rPr>
          <w:rFonts w:eastAsiaTheme="minorEastAsia" w:cs="Times New Roman"/>
          <w:bCs/>
          <w:szCs w:val="24"/>
          <w:lang w:val="sr-Cyrl-RS" w:eastAsia="ja-JP"/>
        </w:rPr>
        <w:t xml:space="preserve"> подршке</w:t>
      </w:r>
      <w:r w:rsidR="00525F7A" w:rsidRPr="00AD7E7D">
        <w:rPr>
          <w:rFonts w:eastAsiaTheme="minorEastAsia" w:cs="Times New Roman"/>
          <w:bCs/>
          <w:szCs w:val="24"/>
          <w:lang w:val="sr-Cyrl-RS" w:eastAsia="ja-JP"/>
        </w:rPr>
        <w:t xml:space="preserve"> уведених током енергетске кризе.</w:t>
      </w:r>
      <w:r w:rsidR="006C198C" w:rsidRPr="00AD7E7D">
        <w:rPr>
          <w:rFonts w:eastAsiaTheme="minorEastAsia" w:cs="Times New Roman"/>
          <w:bCs/>
          <w:szCs w:val="24"/>
          <w:lang w:val="sr-Cyrl-RS" w:eastAsia="ja-JP"/>
        </w:rPr>
        <w:t xml:space="preserve"> У 2025. години </w:t>
      </w:r>
      <w:r w:rsidR="00525F7A" w:rsidRPr="00AD7E7D">
        <w:rPr>
          <w:rFonts w:eastAsiaTheme="minorEastAsia" w:cs="Times New Roman"/>
          <w:bCs/>
          <w:szCs w:val="24"/>
          <w:lang w:val="sr-Cyrl-RS" w:eastAsia="ja-JP"/>
        </w:rPr>
        <w:t xml:space="preserve">наставиће се са </w:t>
      </w:r>
      <w:r w:rsidR="0014590C" w:rsidRPr="00AD7E7D">
        <w:rPr>
          <w:rFonts w:eastAsiaTheme="minorEastAsia" w:cs="Times New Roman"/>
          <w:bCs/>
          <w:szCs w:val="24"/>
          <w:lang w:val="sr-Cyrl-RS" w:eastAsia="ja-JP"/>
        </w:rPr>
        <w:t xml:space="preserve">додатним фискалним ограничењима, што ће условити </w:t>
      </w:r>
      <w:r w:rsidR="006C198C" w:rsidRPr="00AD7E7D">
        <w:rPr>
          <w:rFonts w:eastAsiaTheme="minorEastAsia" w:cs="Times New Roman"/>
          <w:bCs/>
          <w:szCs w:val="24"/>
          <w:lang w:val="sr-Cyrl-RS" w:eastAsia="ja-JP"/>
        </w:rPr>
        <w:t>благо смањење фискалног дефицита на 3,0</w:t>
      </w:r>
      <w:r w:rsidR="0014590C" w:rsidRPr="00AD7E7D">
        <w:rPr>
          <w:rFonts w:eastAsiaTheme="minorEastAsia" w:cs="Times New Roman"/>
          <w:bCs/>
          <w:szCs w:val="24"/>
          <w:lang w:val="sr-Cyrl-RS" w:eastAsia="ja-JP"/>
        </w:rPr>
        <w:t xml:space="preserve">% БДП. </w:t>
      </w:r>
      <w:r w:rsidRPr="00AD7E7D">
        <w:rPr>
          <w:rFonts w:eastAsiaTheme="minorEastAsia" w:cs="Times New Roman"/>
          <w:bCs/>
          <w:szCs w:val="24"/>
          <w:lang w:val="sr-Cyrl-RS" w:eastAsia="ja-JP"/>
        </w:rPr>
        <w:t>Иако ће допринос ЕУ фондова бити значајан, процењује се да ће фискална политика имати благ</w:t>
      </w:r>
      <w:r w:rsidR="00324F32" w:rsidRPr="00AD7E7D">
        <w:rPr>
          <w:rFonts w:eastAsiaTheme="minorEastAsia" w:cs="Times New Roman"/>
          <w:bCs/>
          <w:szCs w:val="24"/>
          <w:lang w:val="sr-Cyrl-RS" w:eastAsia="ja-JP"/>
        </w:rPr>
        <w:t>о</w:t>
      </w:r>
      <w:r w:rsidRPr="00AD7E7D">
        <w:rPr>
          <w:rFonts w:eastAsiaTheme="minorEastAsia" w:cs="Times New Roman"/>
          <w:bCs/>
          <w:szCs w:val="24"/>
          <w:lang w:val="sr-Cyrl-RS" w:eastAsia="ja-JP"/>
        </w:rPr>
        <w:t xml:space="preserve"> рестриктиван утицај на економију ЕУ у 2024. години, док ће у 2025. и 2026. години ефекат бити углавном неутралан. Рестриктивна фискална политика у 2024. години углавном је резултат привременог смањења расхода финансираних из ЕУ фондова и укидања пореских олакшица за становање у Италији. </w:t>
      </w:r>
      <w:r w:rsidR="0014590C" w:rsidRPr="00AD7E7D">
        <w:rPr>
          <w:rFonts w:eastAsiaTheme="minorEastAsia" w:cs="Times New Roman"/>
          <w:bCs/>
          <w:szCs w:val="24"/>
          <w:lang w:val="sr-Cyrl-RS" w:eastAsia="ja-JP"/>
        </w:rPr>
        <w:t xml:space="preserve">У 2025. години </w:t>
      </w:r>
      <w:r w:rsidR="00206C1B" w:rsidRPr="00AD7E7D">
        <w:rPr>
          <w:rFonts w:eastAsiaTheme="minorEastAsia" w:cs="Times New Roman"/>
          <w:bCs/>
          <w:szCs w:val="24"/>
          <w:lang w:val="sr-Cyrl-RS" w:eastAsia="ja-JP"/>
        </w:rPr>
        <w:t>очекује се да ће фискална политика имати неутрални карактер, јер ће пад</w:t>
      </w:r>
      <w:r w:rsidR="0014590C" w:rsidRPr="00AD7E7D">
        <w:rPr>
          <w:rFonts w:eastAsiaTheme="minorEastAsia" w:cs="Times New Roman"/>
          <w:bCs/>
          <w:szCs w:val="24"/>
          <w:lang w:val="sr-Cyrl-RS" w:eastAsia="ja-JP"/>
        </w:rPr>
        <w:t xml:space="preserve"> </w:t>
      </w:r>
      <w:r w:rsidR="00206C1B" w:rsidRPr="00AD7E7D">
        <w:rPr>
          <w:rFonts w:eastAsiaTheme="minorEastAsia" w:cs="Times New Roman"/>
          <w:bCs/>
          <w:szCs w:val="24"/>
          <w:lang w:val="sr-Cyrl-RS" w:eastAsia="ja-JP"/>
        </w:rPr>
        <w:t xml:space="preserve">примарних </w:t>
      </w:r>
      <w:r w:rsidR="0014590C" w:rsidRPr="00AD7E7D">
        <w:rPr>
          <w:rFonts w:eastAsiaTheme="minorEastAsia" w:cs="Times New Roman"/>
          <w:bCs/>
          <w:szCs w:val="24"/>
          <w:lang w:val="sr-Cyrl-RS" w:eastAsia="ja-JP"/>
        </w:rPr>
        <w:t xml:space="preserve">нето текућих расхода </w:t>
      </w:r>
      <w:r w:rsidR="00206C1B" w:rsidRPr="00AD7E7D">
        <w:rPr>
          <w:rFonts w:eastAsiaTheme="minorEastAsia" w:cs="Times New Roman"/>
          <w:bCs/>
          <w:szCs w:val="24"/>
          <w:lang w:val="sr-Cyrl-RS" w:eastAsia="ja-JP"/>
        </w:rPr>
        <w:t xml:space="preserve">бити у великој мери компензован растом јавних инвестиција, услед коришћења Фонда за опоравак и отпорност али и осталих фондова ЕУ. </w:t>
      </w:r>
      <w:r w:rsidR="00FB4C1D" w:rsidRPr="00AD7E7D">
        <w:rPr>
          <w:rFonts w:eastAsiaTheme="minorEastAsia" w:cs="Times New Roman"/>
          <w:bCs/>
          <w:szCs w:val="24"/>
          <w:lang w:val="sr-Cyrl-RS" w:eastAsia="ja-JP"/>
        </w:rPr>
        <w:t>Након смањења удела јавног дуга у БДП у ЕУ у</w:t>
      </w:r>
      <w:r w:rsidR="00AC4759" w:rsidRPr="00AD7E7D">
        <w:rPr>
          <w:rFonts w:eastAsiaTheme="minorEastAsia" w:cs="Times New Roman"/>
          <w:bCs/>
          <w:szCs w:val="24"/>
          <w:lang w:val="sr-Cyrl-RS" w:eastAsia="ja-JP"/>
        </w:rPr>
        <w:t xml:space="preserve"> периоду од 2021</w:t>
      </w:r>
      <w:r w:rsidR="00FB4C1D" w:rsidRPr="00AD7E7D">
        <w:rPr>
          <w:rFonts w:eastAsiaTheme="minorEastAsia" w:cs="Times New Roman"/>
          <w:bCs/>
          <w:szCs w:val="24"/>
          <w:lang w:val="sr-Cyrl-RS" w:eastAsia="ja-JP"/>
        </w:rPr>
        <w:t>. до 2023. године од скоро 10 п.п., о</w:t>
      </w:r>
      <w:r w:rsidR="008B5BFB" w:rsidRPr="00AD7E7D">
        <w:rPr>
          <w:rFonts w:cs="Times New Roman"/>
          <w:szCs w:val="24"/>
          <w:lang w:val="sr-Cyrl-RS"/>
        </w:rPr>
        <w:t xml:space="preserve">чекује се да ће </w:t>
      </w:r>
      <w:r w:rsidR="00FB4C1D" w:rsidRPr="00AD7E7D">
        <w:rPr>
          <w:rFonts w:cs="Times New Roman"/>
          <w:szCs w:val="24"/>
          <w:lang w:val="sr-Cyrl-RS"/>
        </w:rPr>
        <w:t xml:space="preserve">он </w:t>
      </w:r>
      <w:r w:rsidR="008B5BFB" w:rsidRPr="00AD7E7D">
        <w:rPr>
          <w:rFonts w:cs="Times New Roman"/>
          <w:szCs w:val="24"/>
          <w:lang w:val="sr-Cyrl-RS"/>
        </w:rPr>
        <w:t>бити незнатно повећан са 82,1% у 2023. години на 83,4% у 2026. години</w:t>
      </w:r>
      <w:r w:rsidR="00FB4C1D" w:rsidRPr="00AD7E7D">
        <w:rPr>
          <w:rFonts w:cs="Times New Roman"/>
          <w:szCs w:val="24"/>
          <w:lang w:val="sr-Latn-RS"/>
        </w:rPr>
        <w:t>.</w:t>
      </w:r>
      <w:r w:rsidR="008B5BFB" w:rsidRPr="00AD7E7D">
        <w:rPr>
          <w:rFonts w:cs="Times New Roman"/>
          <w:szCs w:val="24"/>
          <w:lang w:val="sr-Cyrl-RS"/>
        </w:rPr>
        <w:t xml:space="preserve"> </w:t>
      </w:r>
      <w:r w:rsidR="00FB4C1D" w:rsidRPr="00AD7E7D">
        <w:rPr>
          <w:rFonts w:eastAsiaTheme="minorEastAsia" w:cs="Times New Roman"/>
          <w:bCs/>
          <w:szCs w:val="24"/>
          <w:lang w:val="sr-Cyrl-RS" w:eastAsia="ja-JP"/>
        </w:rPr>
        <w:t>Овај раст биће последица</w:t>
      </w:r>
      <w:r w:rsidR="00137637" w:rsidRPr="00AD7E7D">
        <w:rPr>
          <w:rFonts w:eastAsiaTheme="minorEastAsia" w:cs="Times New Roman"/>
          <w:bCs/>
          <w:szCs w:val="24"/>
          <w:lang w:val="sr-Cyrl-RS" w:eastAsia="ja-JP"/>
        </w:rPr>
        <w:t xml:space="preserve"> благог повећања трошкова сервисирања дуга, али и </w:t>
      </w:r>
      <w:r w:rsidR="002E1FF2" w:rsidRPr="00AD7E7D">
        <w:rPr>
          <w:rFonts w:eastAsiaTheme="minorEastAsia" w:cs="Times New Roman"/>
          <w:bCs/>
          <w:szCs w:val="24"/>
          <w:lang w:val="sr-Cyrl-RS" w:eastAsia="ja-JP"/>
        </w:rPr>
        <w:t xml:space="preserve">континуираних </w:t>
      </w:r>
      <w:r w:rsidR="00137637" w:rsidRPr="00AD7E7D">
        <w:rPr>
          <w:rFonts w:eastAsiaTheme="minorEastAsia" w:cs="Times New Roman"/>
          <w:bCs/>
          <w:szCs w:val="24"/>
          <w:lang w:val="sr-Cyrl-RS" w:eastAsia="ja-JP"/>
        </w:rPr>
        <w:t>примарних дефицита</w:t>
      </w:r>
      <w:r w:rsidR="002E1FF2" w:rsidRPr="00AD7E7D">
        <w:rPr>
          <w:rFonts w:eastAsiaTheme="minorEastAsia" w:cs="Times New Roman"/>
          <w:bCs/>
          <w:szCs w:val="24"/>
          <w:lang w:val="sr-Cyrl-RS" w:eastAsia="ja-JP"/>
        </w:rPr>
        <w:t xml:space="preserve"> </w:t>
      </w:r>
      <w:r w:rsidR="00137637" w:rsidRPr="00AD7E7D">
        <w:rPr>
          <w:rFonts w:eastAsiaTheme="minorEastAsia" w:cs="Times New Roman"/>
          <w:bCs/>
          <w:szCs w:val="24"/>
          <w:lang w:val="sr-Cyrl-RS" w:eastAsia="ja-JP"/>
        </w:rPr>
        <w:t xml:space="preserve">у поменутом периоду, </w:t>
      </w:r>
      <w:r w:rsidR="002E1FF2" w:rsidRPr="00AD7E7D">
        <w:rPr>
          <w:rFonts w:eastAsiaTheme="minorEastAsia" w:cs="Times New Roman"/>
          <w:bCs/>
          <w:szCs w:val="24"/>
          <w:lang w:val="sr-Cyrl-RS" w:eastAsia="ja-JP"/>
        </w:rPr>
        <w:t>који не могу бити компензовани</w:t>
      </w:r>
      <w:r w:rsidR="00137637" w:rsidRPr="00AD7E7D">
        <w:rPr>
          <w:rFonts w:eastAsiaTheme="minorEastAsia" w:cs="Times New Roman"/>
          <w:bCs/>
          <w:szCs w:val="24"/>
          <w:lang w:val="sr-Cyrl-RS" w:eastAsia="ja-JP"/>
        </w:rPr>
        <w:t xml:space="preserve"> високим номиналним растом БДП услед успоравања инфлације.</w:t>
      </w:r>
    </w:p>
    <w:p w14:paraId="1F16D1D3" w14:textId="77777777" w:rsidR="00AA1BAE" w:rsidRPr="00933940" w:rsidRDefault="00EE7B7E" w:rsidP="00E25CAC">
      <w:pPr>
        <w:pStyle w:val="Heading11"/>
        <w:spacing w:before="180" w:after="180"/>
        <w:rPr>
          <w:rFonts w:ascii="Times New Roman" w:hAnsi="Times New Roman" w:cs="Times New Roman"/>
          <w:color w:val="auto"/>
          <w:sz w:val="24"/>
          <w:szCs w:val="24"/>
          <w:lang w:val="sr-Latn-RS"/>
        </w:rPr>
      </w:pPr>
      <w:bookmarkStart w:id="8" w:name="_Toc185342329"/>
      <w:r w:rsidRPr="00933940">
        <w:rPr>
          <w:rFonts w:ascii="Times New Roman" w:hAnsi="Times New Roman" w:cs="Times New Roman"/>
          <w:color w:val="auto"/>
          <w:sz w:val="24"/>
          <w:szCs w:val="24"/>
          <w:lang w:val="sr-Latn-RS"/>
        </w:rPr>
        <w:t>3.</w:t>
      </w:r>
      <w:r w:rsidR="00AA1BAE" w:rsidRPr="00933940">
        <w:rPr>
          <w:rFonts w:ascii="Times New Roman" w:hAnsi="Times New Roman" w:cs="Times New Roman"/>
          <w:color w:val="auto"/>
          <w:sz w:val="24"/>
          <w:szCs w:val="24"/>
          <w:lang w:val="sr-Latn-RS"/>
        </w:rPr>
        <w:t xml:space="preserve">2. </w:t>
      </w:r>
      <w:bookmarkEnd w:id="6"/>
      <w:bookmarkEnd w:id="7"/>
      <w:r w:rsidR="0047017C" w:rsidRPr="00933940">
        <w:rPr>
          <w:rFonts w:ascii="Times New Roman" w:hAnsi="Times New Roman" w:cs="Times New Roman"/>
          <w:color w:val="auto"/>
          <w:sz w:val="24"/>
          <w:szCs w:val="24"/>
          <w:lang w:val="sr-Latn-RS"/>
        </w:rPr>
        <w:t xml:space="preserve">ТЕКУЋА ЕКОНОМСКА КРЕТАЊА И ИЗГЛЕДИ ЗА </w:t>
      </w:r>
      <w:r w:rsidR="000F44A7" w:rsidRPr="00933940">
        <w:rPr>
          <w:rFonts w:ascii="Times New Roman" w:hAnsi="Times New Roman" w:cs="Times New Roman"/>
          <w:color w:val="auto"/>
          <w:sz w:val="24"/>
          <w:szCs w:val="24"/>
          <w:lang w:val="sr-Latn-RS"/>
        </w:rPr>
        <w:t>202</w:t>
      </w:r>
      <w:r w:rsidR="00447F5E" w:rsidRPr="00933940">
        <w:rPr>
          <w:rFonts w:ascii="Times New Roman" w:hAnsi="Times New Roman" w:cs="Times New Roman"/>
          <w:color w:val="auto"/>
          <w:sz w:val="24"/>
          <w:szCs w:val="24"/>
          <w:lang w:val="sr-Latn-RS"/>
        </w:rPr>
        <w:t>4</w:t>
      </w:r>
      <w:r w:rsidR="0047017C" w:rsidRPr="00933940">
        <w:rPr>
          <w:rFonts w:ascii="Times New Roman" w:hAnsi="Times New Roman" w:cs="Times New Roman"/>
          <w:color w:val="auto"/>
          <w:sz w:val="24"/>
          <w:szCs w:val="24"/>
          <w:lang w:val="sr-Latn-RS"/>
        </w:rPr>
        <w:t>. ГОДИНУ</w:t>
      </w:r>
      <w:bookmarkEnd w:id="8"/>
    </w:p>
    <w:p w14:paraId="497C4B57" w14:textId="77777777" w:rsidR="003816A6" w:rsidRPr="00AD7E7D" w:rsidRDefault="009B0814" w:rsidP="003816A6">
      <w:pPr>
        <w:rPr>
          <w:rFonts w:eastAsia="Constantia" w:cs="Times New Roman"/>
          <w:szCs w:val="24"/>
          <w:lang w:val="sr-Cyrl-RS"/>
        </w:rPr>
      </w:pPr>
      <w:bookmarkStart w:id="9" w:name="_Toc373932748"/>
      <w:r w:rsidRPr="00AD7E7D">
        <w:rPr>
          <w:rFonts w:eastAsia="Constantia" w:cs="Times New Roman"/>
          <w:b/>
          <w:szCs w:val="24"/>
          <w:lang w:val="sr-Cyrl-RS"/>
        </w:rPr>
        <w:t>Реални сектор</w:t>
      </w:r>
      <w:r w:rsidRPr="00AD7E7D">
        <w:rPr>
          <w:rFonts w:eastAsia="Constantia" w:cs="Times New Roman"/>
          <w:szCs w:val="24"/>
          <w:lang w:val="sr-Cyrl-RS"/>
        </w:rPr>
        <w:t xml:space="preserve">. </w:t>
      </w:r>
      <w:r w:rsidR="003816A6" w:rsidRPr="00AD7E7D">
        <w:rPr>
          <w:rFonts w:eastAsia="Constantia" w:cs="Times New Roman"/>
          <w:szCs w:val="24"/>
          <w:lang w:val="sr-Cyrl-RS"/>
        </w:rPr>
        <w:t xml:space="preserve">Према подацима РЗС, </w:t>
      </w:r>
      <w:r w:rsidR="00DD2E31" w:rsidRPr="00AD7E7D">
        <w:rPr>
          <w:rFonts w:eastAsia="Constantia" w:cs="Times New Roman"/>
          <w:szCs w:val="24"/>
          <w:lang w:val="sr-Cyrl-RS"/>
        </w:rPr>
        <w:t>након</w:t>
      </w:r>
      <w:r w:rsidR="0021515B" w:rsidRPr="00AD7E7D">
        <w:rPr>
          <w:rFonts w:eastAsia="Constantia" w:cs="Times New Roman"/>
          <w:szCs w:val="24"/>
          <w:lang w:val="sr-Cyrl-RS"/>
        </w:rPr>
        <w:t xml:space="preserve"> међугодишњег</w:t>
      </w:r>
      <w:r w:rsidR="00DD2E31" w:rsidRPr="00AD7E7D">
        <w:rPr>
          <w:rFonts w:eastAsia="Constantia" w:cs="Times New Roman"/>
          <w:szCs w:val="24"/>
          <w:lang w:val="sr-Cyrl-RS"/>
        </w:rPr>
        <w:t xml:space="preserve"> </w:t>
      </w:r>
      <w:r w:rsidR="003816A6" w:rsidRPr="00AD7E7D">
        <w:rPr>
          <w:rFonts w:eastAsia="Constantia" w:cs="Times New Roman"/>
          <w:szCs w:val="24"/>
          <w:lang w:val="sr-Cyrl-RS"/>
        </w:rPr>
        <w:t>раст</w:t>
      </w:r>
      <w:r w:rsidR="00DD2E31" w:rsidRPr="00AD7E7D">
        <w:rPr>
          <w:rFonts w:eastAsia="Constantia" w:cs="Times New Roman"/>
          <w:szCs w:val="24"/>
          <w:lang w:val="sr-Cyrl-RS"/>
        </w:rPr>
        <w:t>а</w:t>
      </w:r>
      <w:r w:rsidR="003816A6" w:rsidRPr="00AD7E7D">
        <w:rPr>
          <w:rFonts w:eastAsia="Constantia" w:cs="Times New Roman"/>
          <w:szCs w:val="24"/>
          <w:lang w:val="sr-Cyrl-RS"/>
        </w:rPr>
        <w:t xml:space="preserve"> БДП у првом</w:t>
      </w:r>
      <w:r w:rsidR="00DD2E31" w:rsidRPr="00AD7E7D">
        <w:rPr>
          <w:rFonts w:eastAsia="Constantia" w:cs="Times New Roman"/>
          <w:szCs w:val="24"/>
          <w:lang w:val="sr-Cyrl-RS"/>
        </w:rPr>
        <w:t xml:space="preserve"> и другом</w:t>
      </w:r>
      <w:r w:rsidR="00DD2E31" w:rsidRPr="00AD7E7D">
        <w:rPr>
          <w:rFonts w:eastAsia="Constantia" w:cs="Times New Roman"/>
          <w:szCs w:val="24"/>
        </w:rPr>
        <w:t xml:space="preserve"> </w:t>
      </w:r>
      <w:r w:rsidR="003816A6" w:rsidRPr="00AD7E7D">
        <w:rPr>
          <w:rFonts w:eastAsia="Constantia" w:cs="Times New Roman"/>
          <w:szCs w:val="24"/>
          <w:lang w:val="sr-Cyrl-RS"/>
        </w:rPr>
        <w:t xml:space="preserve"> квар</w:t>
      </w:r>
      <w:r w:rsidR="00DD2E31" w:rsidRPr="00AD7E7D">
        <w:rPr>
          <w:rFonts w:eastAsia="Constantia" w:cs="Times New Roman"/>
          <w:szCs w:val="24"/>
          <w:lang w:val="sr-Cyrl-RS"/>
        </w:rPr>
        <w:t>талу 2024. године од 4,</w:t>
      </w:r>
      <w:r w:rsidR="00DD2E31" w:rsidRPr="00AD7E7D">
        <w:rPr>
          <w:rFonts w:eastAsia="Constantia" w:cs="Times New Roman"/>
          <w:szCs w:val="24"/>
        </w:rPr>
        <w:t>7</w:t>
      </w:r>
      <w:r w:rsidR="00DD2E31" w:rsidRPr="00AD7E7D">
        <w:rPr>
          <w:rFonts w:eastAsia="Constantia" w:cs="Times New Roman"/>
          <w:szCs w:val="24"/>
          <w:lang w:val="sr-Cyrl-RS"/>
        </w:rPr>
        <w:t xml:space="preserve">% </w:t>
      </w:r>
      <w:r w:rsidR="0021515B" w:rsidRPr="00AD7E7D">
        <w:rPr>
          <w:rFonts w:eastAsia="Constantia" w:cs="Times New Roman"/>
          <w:szCs w:val="24"/>
          <w:lang w:val="sr-Cyrl-RS"/>
        </w:rPr>
        <w:t>и</w:t>
      </w:r>
      <w:r w:rsidR="00DD2E31" w:rsidRPr="00AD7E7D">
        <w:rPr>
          <w:rFonts w:eastAsia="Constantia" w:cs="Times New Roman"/>
          <w:szCs w:val="24"/>
          <w:lang w:val="sr-Cyrl-RS"/>
        </w:rPr>
        <w:t xml:space="preserve"> </w:t>
      </w:r>
      <w:r w:rsidR="0021515B" w:rsidRPr="00AD7E7D">
        <w:rPr>
          <w:rFonts w:eastAsia="Constantia" w:cs="Times New Roman"/>
          <w:szCs w:val="24"/>
          <w:lang w:val="sr-Cyrl-RS"/>
        </w:rPr>
        <w:t>4,0%</w:t>
      </w:r>
      <w:r w:rsidR="00DD2E31" w:rsidRPr="00AD7E7D">
        <w:rPr>
          <w:rFonts w:eastAsia="Constantia" w:cs="Times New Roman"/>
          <w:szCs w:val="24"/>
          <w:lang w:val="sr-Cyrl-RS"/>
        </w:rPr>
        <w:t>, респективно, у трећем кварталу раст БДП износио 3,1% мг.,</w:t>
      </w:r>
      <w:r w:rsidR="0021515B" w:rsidRPr="00AD7E7D">
        <w:rPr>
          <w:rFonts w:eastAsia="Constantia" w:cs="Times New Roman"/>
          <w:szCs w:val="24"/>
          <w:lang w:val="sr-Cyrl-RS"/>
        </w:rPr>
        <w:t xml:space="preserve"> </w:t>
      </w:r>
      <w:r w:rsidR="003816A6" w:rsidRPr="00AD7E7D">
        <w:rPr>
          <w:rFonts w:eastAsia="Constantia" w:cs="Times New Roman"/>
          <w:szCs w:val="24"/>
          <w:lang w:val="sr-Cyrl-RS"/>
        </w:rPr>
        <w:t xml:space="preserve">што је у складу са очекивањима Министарства финансија за овај период. Посматрано са производне стране, раст БДП у </w:t>
      </w:r>
      <w:r w:rsidR="00DD2E31" w:rsidRPr="00AD7E7D">
        <w:rPr>
          <w:rFonts w:eastAsia="Constantia" w:cs="Times New Roman"/>
          <w:szCs w:val="24"/>
          <w:lang w:val="sr-Cyrl-RS"/>
        </w:rPr>
        <w:t>првих девет месеци 2024. године од 4,0</w:t>
      </w:r>
      <w:r w:rsidR="003816A6" w:rsidRPr="00AD7E7D">
        <w:rPr>
          <w:rFonts w:eastAsia="Constantia" w:cs="Times New Roman"/>
          <w:szCs w:val="24"/>
          <w:lang w:val="sr-Cyrl-RS"/>
        </w:rPr>
        <w:t>%</w:t>
      </w:r>
      <w:r w:rsidR="00E409B3" w:rsidRPr="00AD7E7D">
        <w:rPr>
          <w:rFonts w:eastAsia="Constantia" w:cs="Times New Roman"/>
          <w:szCs w:val="24"/>
        </w:rPr>
        <w:t xml:space="preserve"> </w:t>
      </w:r>
      <w:r w:rsidR="00E409B3" w:rsidRPr="00AD7E7D">
        <w:rPr>
          <w:rFonts w:eastAsia="Constantia" w:cs="Times New Roman"/>
          <w:szCs w:val="24"/>
          <w:lang w:val="sr-Cyrl-RS"/>
        </w:rPr>
        <w:t>у односу на исти период претходне године</w:t>
      </w:r>
      <w:r w:rsidR="003816A6" w:rsidRPr="00AD7E7D">
        <w:rPr>
          <w:rFonts w:eastAsia="Constantia" w:cs="Times New Roman"/>
          <w:szCs w:val="24"/>
          <w:lang w:val="sr-Cyrl-RS"/>
        </w:rPr>
        <w:t xml:space="preserve"> био је вођен услужним сектор</w:t>
      </w:r>
      <w:r w:rsidR="0021515B" w:rsidRPr="00AD7E7D">
        <w:rPr>
          <w:rFonts w:eastAsia="Constantia" w:cs="Times New Roman"/>
          <w:szCs w:val="24"/>
          <w:lang w:val="sr-Cyrl-RS"/>
        </w:rPr>
        <w:t>ом, који је остварио раст од 4,9</w:t>
      </w:r>
      <w:r w:rsidR="003816A6" w:rsidRPr="00AD7E7D">
        <w:rPr>
          <w:rFonts w:eastAsia="Constantia" w:cs="Times New Roman"/>
          <w:szCs w:val="24"/>
          <w:lang w:val="sr-Cyrl-RS"/>
        </w:rPr>
        <w:t>%. Повећање економске активности забележено је код свих услужних делатности, а најзначајнији допринос дошао је од трговине, саобраћаја и туризма, као и од стручно-техничких услуга и ИКТ. Упркос и даље слабој спољној тражњи и ремонту капацитета у НИС</w:t>
      </w:r>
      <w:r w:rsidR="0021515B" w:rsidRPr="00AD7E7D">
        <w:rPr>
          <w:rFonts w:eastAsia="Constantia" w:cs="Times New Roman"/>
          <w:szCs w:val="24"/>
          <w:lang w:val="sr-Cyrl-RS"/>
        </w:rPr>
        <w:t xml:space="preserve"> и ЕПС</w:t>
      </w:r>
      <w:r w:rsidR="003816A6" w:rsidRPr="00AD7E7D">
        <w:rPr>
          <w:rFonts w:eastAsia="Constantia" w:cs="Times New Roman"/>
          <w:szCs w:val="24"/>
          <w:lang w:val="sr-Cyrl-RS"/>
        </w:rPr>
        <w:t>, индустријска производ</w:t>
      </w:r>
      <w:r w:rsidR="0021515B" w:rsidRPr="00AD7E7D">
        <w:rPr>
          <w:rFonts w:eastAsia="Constantia" w:cs="Times New Roman"/>
          <w:szCs w:val="24"/>
          <w:lang w:val="sr-Cyrl-RS"/>
        </w:rPr>
        <w:t>ња је забележила раст БДВ од 2,7</w:t>
      </w:r>
      <w:r w:rsidR="003816A6" w:rsidRPr="00AD7E7D">
        <w:rPr>
          <w:rFonts w:eastAsia="Constantia" w:cs="Times New Roman"/>
          <w:szCs w:val="24"/>
          <w:lang w:val="sr-Cyrl-RS"/>
        </w:rPr>
        <w:t xml:space="preserve">% у </w:t>
      </w:r>
      <w:r w:rsidR="0021515B" w:rsidRPr="00AD7E7D">
        <w:rPr>
          <w:rFonts w:eastAsia="Constantia" w:cs="Times New Roman"/>
          <w:szCs w:val="24"/>
          <w:lang w:val="sr-Cyrl-RS"/>
        </w:rPr>
        <w:t>прва три квартала 2024.</w:t>
      </w:r>
      <w:r w:rsidR="003816A6" w:rsidRPr="00AD7E7D">
        <w:rPr>
          <w:rFonts w:eastAsia="Constantia" w:cs="Times New Roman"/>
          <w:szCs w:val="24"/>
          <w:lang w:val="sr-Cyrl-RS"/>
        </w:rPr>
        <w:t xml:space="preserve"> године, захваљујући пре свега активирању нових производних капацитета као резултат ефектуирања СДИ из претходног периода. Грађевинарство је било веће за </w:t>
      </w:r>
      <w:r w:rsidR="0021515B" w:rsidRPr="00AD7E7D">
        <w:rPr>
          <w:rFonts w:eastAsia="Constantia" w:cs="Times New Roman"/>
          <w:szCs w:val="24"/>
          <w:lang w:val="sr-Cyrl-RS"/>
        </w:rPr>
        <w:t>7,1</w:t>
      </w:r>
      <w:r w:rsidR="003816A6" w:rsidRPr="00AD7E7D">
        <w:rPr>
          <w:rFonts w:eastAsia="Constantia" w:cs="Times New Roman"/>
          <w:szCs w:val="24"/>
          <w:lang w:val="sr-Cyrl-RS"/>
        </w:rPr>
        <w:t xml:space="preserve">% услед наставка реализације инфраструктурних пројеката, као и раста приватних инвестиција, док је пољопривреда према првим проценама РЗС забележила пад од око </w:t>
      </w:r>
      <w:r w:rsidR="0021515B" w:rsidRPr="00AD7E7D">
        <w:rPr>
          <w:rFonts w:eastAsia="Constantia" w:cs="Times New Roman"/>
          <w:szCs w:val="24"/>
          <w:lang w:val="sr-Cyrl-RS"/>
        </w:rPr>
        <w:t>8</w:t>
      </w:r>
      <w:r w:rsidR="003816A6" w:rsidRPr="00AD7E7D">
        <w:rPr>
          <w:rFonts w:eastAsia="Constantia" w:cs="Times New Roman"/>
          <w:szCs w:val="24"/>
          <w:lang w:val="sr-Cyrl-RS"/>
        </w:rPr>
        <w:t xml:space="preserve">% услед неповољних агрометеоролошких </w:t>
      </w:r>
      <w:r w:rsidR="003816A6" w:rsidRPr="00AD7E7D">
        <w:rPr>
          <w:rFonts w:eastAsia="Constantia" w:cs="Times New Roman"/>
          <w:szCs w:val="24"/>
          <w:lang w:val="sr-Cyrl-RS"/>
        </w:rPr>
        <w:lastRenderedPageBreak/>
        <w:t xml:space="preserve">услова. Посматрано по агрегатима употребе, раст БДП у </w:t>
      </w:r>
      <w:r w:rsidR="0021515B" w:rsidRPr="00AD7E7D">
        <w:rPr>
          <w:rFonts w:eastAsia="Constantia" w:cs="Times New Roman"/>
          <w:szCs w:val="24"/>
          <w:lang w:val="sr-Cyrl-RS"/>
        </w:rPr>
        <w:t>прва три квартала</w:t>
      </w:r>
      <w:r w:rsidR="003816A6" w:rsidRPr="00AD7E7D">
        <w:rPr>
          <w:rFonts w:eastAsia="Constantia" w:cs="Times New Roman"/>
          <w:szCs w:val="24"/>
          <w:lang w:val="sr-Cyrl-RS"/>
        </w:rPr>
        <w:t xml:space="preserve"> 2024. године у потпуности је био опредељен домаћом тражњом. Повећање реалног расположивог дохотка становништва, пре свега као резултат раста зарада и пензија уз раст запослености, одразио се на убрзање приватне п</w:t>
      </w:r>
      <w:r w:rsidR="0021515B" w:rsidRPr="00AD7E7D">
        <w:rPr>
          <w:rFonts w:eastAsia="Constantia" w:cs="Times New Roman"/>
          <w:szCs w:val="24"/>
          <w:lang w:val="sr-Cyrl-RS"/>
        </w:rPr>
        <w:t>отрошње која је била већа за 4,3</w:t>
      </w:r>
      <w:r w:rsidR="003816A6" w:rsidRPr="00AD7E7D">
        <w:rPr>
          <w:rFonts w:eastAsia="Constantia" w:cs="Times New Roman"/>
          <w:szCs w:val="24"/>
          <w:lang w:val="sr-Cyrl-RS"/>
        </w:rPr>
        <w:t xml:space="preserve">%. Истовремено, инвестиције у основне </w:t>
      </w:r>
      <w:r w:rsidR="0021515B" w:rsidRPr="00AD7E7D">
        <w:rPr>
          <w:rFonts w:eastAsia="Constantia" w:cs="Times New Roman"/>
          <w:szCs w:val="24"/>
          <w:lang w:val="sr-Cyrl-RS"/>
        </w:rPr>
        <w:t>фондове оствариле су раст од 8,1</w:t>
      </w:r>
      <w:r w:rsidR="003816A6" w:rsidRPr="00AD7E7D">
        <w:rPr>
          <w:rFonts w:eastAsia="Constantia" w:cs="Times New Roman"/>
          <w:szCs w:val="24"/>
          <w:lang w:val="sr-Cyrl-RS"/>
        </w:rPr>
        <w:t>% захваљујући, пре свега већим грађевинским радовима, али и убрзању приватних инвестиција. Допринос нето извоза био је негативан услед бржег раста увозне а</w:t>
      </w:r>
      <w:r w:rsidR="0021515B" w:rsidRPr="00AD7E7D">
        <w:rPr>
          <w:rFonts w:eastAsia="Constantia" w:cs="Times New Roman"/>
          <w:szCs w:val="24"/>
          <w:lang w:val="sr-Cyrl-RS"/>
        </w:rPr>
        <w:t>ктивности (8,6%) од извозне (3,1</w:t>
      </w:r>
      <w:r w:rsidR="003816A6" w:rsidRPr="00AD7E7D">
        <w:rPr>
          <w:rFonts w:eastAsia="Constantia" w:cs="Times New Roman"/>
          <w:szCs w:val="24"/>
          <w:lang w:val="sr-Cyrl-RS"/>
        </w:rPr>
        <w:t>%) као последица повећаног увоза опреме за инвестиционе потребе, као и потрошне робе услед раста приватне потрошње домаћинстава.</w:t>
      </w:r>
    </w:p>
    <w:p w14:paraId="40633195" w14:textId="77777777" w:rsidR="003816A6" w:rsidRPr="00AD7E7D" w:rsidRDefault="003816A6" w:rsidP="003816A6">
      <w:pPr>
        <w:rPr>
          <w:rFonts w:cs="Times New Roman"/>
          <w:bCs/>
          <w:szCs w:val="24"/>
        </w:rPr>
      </w:pPr>
      <w:r w:rsidRPr="00AD7E7D">
        <w:rPr>
          <w:rFonts w:cs="Times New Roman"/>
          <w:bCs/>
          <w:szCs w:val="24"/>
          <w:lang w:val="sr-Cyrl-RS"/>
        </w:rPr>
        <w:t xml:space="preserve">Високофреквентни индикатори такође указују на стабилна привредна кретања током 2024. године у свим привредним </w:t>
      </w:r>
      <w:r w:rsidR="00EC0647" w:rsidRPr="00AD7E7D">
        <w:rPr>
          <w:rFonts w:cs="Times New Roman"/>
          <w:bCs/>
          <w:szCs w:val="24"/>
          <w:lang w:val="sr-Cyrl-RS"/>
        </w:rPr>
        <w:t>секторима, осим у пољопривреди</w:t>
      </w:r>
      <w:r w:rsidR="004D230C" w:rsidRPr="00AD7E7D">
        <w:rPr>
          <w:rFonts w:cs="Times New Roman"/>
          <w:bCs/>
          <w:szCs w:val="24"/>
          <w:lang w:val="sr-Cyrl-RS"/>
        </w:rPr>
        <w:t xml:space="preserve"> где су се н</w:t>
      </w:r>
      <w:r w:rsidRPr="00AD7E7D">
        <w:rPr>
          <w:rFonts w:cs="Times New Roman"/>
          <w:bCs/>
          <w:szCs w:val="24"/>
          <w:lang w:val="sr-Cyrl-RS"/>
        </w:rPr>
        <w:t>еповољни агрометеоролошки услови током летњих ме</w:t>
      </w:r>
      <w:r w:rsidR="004D230C" w:rsidRPr="00AD7E7D">
        <w:rPr>
          <w:rFonts w:cs="Times New Roman"/>
          <w:bCs/>
          <w:szCs w:val="24"/>
          <w:lang w:val="sr-Cyrl-RS"/>
        </w:rPr>
        <w:t>сеци</w:t>
      </w:r>
      <w:r w:rsidRPr="00AD7E7D">
        <w:rPr>
          <w:rFonts w:cs="Times New Roman"/>
          <w:bCs/>
          <w:szCs w:val="24"/>
          <w:lang w:val="sr-Cyrl-RS"/>
        </w:rPr>
        <w:t xml:space="preserve">, у великој мери су се одразили на род кукуруза и индустријског биља. </w:t>
      </w:r>
    </w:p>
    <w:p w14:paraId="3871E6F6" w14:textId="77777777" w:rsidR="00DE769B" w:rsidRPr="00AD7E7D" w:rsidRDefault="00DE769B" w:rsidP="00EE7B7E">
      <w:pPr>
        <w:rPr>
          <w:rFonts w:cs="Times New Roman"/>
          <w:bCs/>
          <w:szCs w:val="24"/>
        </w:rPr>
      </w:pPr>
      <w:r w:rsidRPr="00AD7E7D">
        <w:rPr>
          <w:rFonts w:eastAsia="Calibri" w:cs="Times New Roman"/>
          <w:bCs/>
          <w:szCs w:val="24"/>
          <w:lang w:val="sr-Cyrl-RS"/>
        </w:rPr>
        <w:t>У првих девет месеци 2024. године индустријска производњa je забележила повећање физичког обима од 2,8% мг. У овом периоду, раст индустријске производње је вођен већим обимом производње прерађивачке индустрије, додатно подржана већим обимом производње рударства, док је утицај енергетског сектора био негативан услед мање производње електричне енергије.</w:t>
      </w:r>
      <w:r w:rsidRPr="00AD7E7D">
        <w:rPr>
          <w:rFonts w:eastAsia="Calibri" w:cs="Times New Roman"/>
          <w:color w:val="FF0000"/>
          <w:szCs w:val="24"/>
        </w:rPr>
        <w:t xml:space="preserve"> </w:t>
      </w:r>
      <w:r w:rsidRPr="00AD7E7D">
        <w:rPr>
          <w:rFonts w:eastAsia="Calibri" w:cs="Times New Roman"/>
          <w:bCs/>
          <w:szCs w:val="24"/>
          <w:lang w:val="sr-Cyrl-RS"/>
        </w:rPr>
        <w:t>Прерађивачка индустрија је у првих девет месеци остварила повећање од 4,4%. Раст је био диверсификован и остварен у 14 од 24 делатности. Најзначајнији позитиван допринос расту прерађивачке индустрије у овом периоду потиче од производње основних метала и електронске индустрије које су забележиле повећање од 38,5% и 80,5% мг., респективно. У претходних девет месеци, производња прехрамбених производа, као једне од најзначајнијих делатности прерађивачке индустрије, забележила је раст од 5,8% мг.</w:t>
      </w:r>
      <w:r w:rsidR="00CC6181" w:rsidRPr="00AD7E7D">
        <w:rPr>
          <w:rFonts w:eastAsia="Calibri" w:cs="Times New Roman"/>
          <w:bCs/>
          <w:szCs w:val="24"/>
          <w:lang w:val="sr-Cyrl-RS"/>
        </w:rPr>
        <w:t>,</w:t>
      </w:r>
      <w:r w:rsidRPr="00AD7E7D">
        <w:rPr>
          <w:rFonts w:eastAsia="Calibri" w:cs="Times New Roman"/>
          <w:bCs/>
          <w:szCs w:val="24"/>
          <w:lang w:val="sr-Cyrl-RS"/>
        </w:rPr>
        <w:t xml:space="preserve"> уз такође позитиван допринос гумарске индустрије која остварује повећање физичког обима од 11,5% мг. Након пада производње металних производа у претходној години од 9,6%, активност ове делатности се опоравила током 2024. године, забележивши раст од 10,0% у првих девет месеци. Упркос и даље слабој спољној тражњи, аутомобилска индустрија и производња електричне опреме остварују повећање физичког обима од 6,3% и 5,0%, респективно, захваљујући пре свега ефектуирању СДИ из претходног периода. С друге стране, делатности које су оствариле пад производње збирно су имале негативан утицај на кретањ</w:t>
      </w:r>
      <w:r w:rsidR="00B83279" w:rsidRPr="00AD7E7D">
        <w:rPr>
          <w:rFonts w:eastAsia="Calibri" w:cs="Times New Roman"/>
          <w:bCs/>
          <w:szCs w:val="24"/>
          <w:lang w:val="sr-Cyrl-RS"/>
        </w:rPr>
        <w:t>е прерађивачке индустрије од 1,9</w:t>
      </w:r>
      <w:r w:rsidRPr="00AD7E7D">
        <w:rPr>
          <w:rFonts w:eastAsia="Calibri" w:cs="Times New Roman"/>
          <w:bCs/>
          <w:szCs w:val="24"/>
          <w:lang w:val="sr-Cyrl-RS"/>
        </w:rPr>
        <w:t xml:space="preserve"> п.п. Најзначајнији негативан допринос у првих девет месеци 2024. године потекао је од нафтне индустрије са смањењем производње од 15,5% мг., као последица планског ремонта у прерађивачком комплексу НИС током априла и маја када је производња нафтних деривата била готово потпуно обустављена. У истом периоду, обим производње фармацеутске и машинске индустрије је био нижи за 5,6% и 7,1% мг. респективно.</w:t>
      </w:r>
      <w:r w:rsidRPr="00AD7E7D">
        <w:rPr>
          <w:rFonts w:eastAsia="Calibri" w:cs="Times New Roman"/>
          <w:bCs/>
          <w:szCs w:val="24"/>
        </w:rPr>
        <w:t xml:space="preserve"> </w:t>
      </w:r>
      <w:r w:rsidRPr="00AD7E7D">
        <w:rPr>
          <w:rFonts w:eastAsia="Calibri" w:cs="Times New Roman"/>
          <w:bCs/>
          <w:szCs w:val="24"/>
          <w:lang w:val="sr-Cyrl-RS"/>
        </w:rPr>
        <w:t>Производњу енергетског сектора у првих девет месеци 2024. године карактеришу дивергентна кретања. У рударству је забележен раст од 8,4% пре свега као резултат веће експлоатације руде метала за 19,6%, док је најзначајнији негативан допринос потекао од експлоатације угља која је била мања за 3,7%. Истовремено, обим производње електричне енергије био је мањи за 7,4% пре свега услед лоше хидролошке ситуације, као и ремонта производних капацитета ЕПС током летњих месеци.</w:t>
      </w:r>
      <w:r w:rsidRPr="00AD7E7D">
        <w:rPr>
          <w:rFonts w:cs="Times New Roman"/>
          <w:bCs/>
          <w:szCs w:val="24"/>
        </w:rPr>
        <w:t xml:space="preserve"> </w:t>
      </w:r>
    </w:p>
    <w:p w14:paraId="04B6504D" w14:textId="77777777" w:rsidR="00CF4522" w:rsidRPr="00AD7E7D" w:rsidRDefault="00CF4522" w:rsidP="00DE769B">
      <w:pPr>
        <w:rPr>
          <w:rFonts w:eastAsia="Calibri" w:cs="Times New Roman"/>
          <w:bCs/>
          <w:szCs w:val="24"/>
          <w:lang w:val="sr-Cyrl-RS"/>
        </w:rPr>
      </w:pPr>
      <w:r w:rsidRPr="00AD7E7D">
        <w:rPr>
          <w:rFonts w:eastAsia="Calibri" w:cs="Times New Roman"/>
          <w:bCs/>
          <w:szCs w:val="24"/>
          <w:lang w:val="sr-Cyrl-RS"/>
        </w:rPr>
        <w:t xml:space="preserve">Наставак позитивних кретања забележен је и у грађевинарству. У </w:t>
      </w:r>
      <w:r w:rsidR="0092412B" w:rsidRPr="00AD7E7D">
        <w:rPr>
          <w:rFonts w:eastAsia="Calibri" w:cs="Times New Roman"/>
          <w:bCs/>
          <w:szCs w:val="24"/>
          <w:lang w:val="sr-Cyrl-RS"/>
        </w:rPr>
        <w:t xml:space="preserve">првих девет месеци </w:t>
      </w:r>
      <w:r w:rsidRPr="00AD7E7D">
        <w:rPr>
          <w:rFonts w:eastAsia="Calibri" w:cs="Times New Roman"/>
          <w:bCs/>
          <w:szCs w:val="24"/>
          <w:lang w:val="sr-Cyrl-RS"/>
        </w:rPr>
        <w:t>2024. године вредност изведених грађевинских радова</w:t>
      </w:r>
      <w:r w:rsidR="0092412B" w:rsidRPr="00AD7E7D">
        <w:rPr>
          <w:rFonts w:eastAsia="Calibri" w:cs="Times New Roman"/>
          <w:bCs/>
          <w:szCs w:val="24"/>
          <w:lang w:val="sr-Cyrl-RS"/>
        </w:rPr>
        <w:t xml:space="preserve"> у Републици Србија</w:t>
      </w:r>
      <w:r w:rsidRPr="00AD7E7D">
        <w:rPr>
          <w:rFonts w:eastAsia="Calibri" w:cs="Times New Roman"/>
          <w:bCs/>
          <w:szCs w:val="24"/>
          <w:lang w:val="sr-Cyrl-RS"/>
        </w:rPr>
        <w:t xml:space="preserve"> била је реално већа за </w:t>
      </w:r>
      <w:r w:rsidR="0092412B" w:rsidRPr="00AD7E7D">
        <w:rPr>
          <w:rFonts w:eastAsia="Calibri" w:cs="Times New Roman"/>
          <w:bCs/>
          <w:szCs w:val="24"/>
          <w:lang w:val="sr-Cyrl-RS"/>
        </w:rPr>
        <w:t>9,4</w:t>
      </w:r>
      <w:r w:rsidRPr="00AD7E7D">
        <w:rPr>
          <w:rFonts w:eastAsia="Calibri" w:cs="Times New Roman"/>
          <w:bCs/>
          <w:szCs w:val="24"/>
          <w:lang w:val="sr-Cyrl-RS"/>
        </w:rPr>
        <w:t xml:space="preserve">% мг., подржана растом вредности изведених радова у нискоградњи од </w:t>
      </w:r>
      <w:r w:rsidR="0092412B" w:rsidRPr="00AD7E7D">
        <w:rPr>
          <w:rFonts w:eastAsia="Calibri" w:cs="Times New Roman"/>
          <w:bCs/>
          <w:szCs w:val="24"/>
          <w:lang w:val="sr-Cyrl-RS"/>
        </w:rPr>
        <w:t>10,6</w:t>
      </w:r>
      <w:r w:rsidRPr="00AD7E7D">
        <w:rPr>
          <w:rFonts w:eastAsia="Calibri" w:cs="Times New Roman"/>
          <w:bCs/>
          <w:szCs w:val="24"/>
          <w:lang w:val="sr-Cyrl-RS"/>
        </w:rPr>
        <w:t xml:space="preserve">% мг. и високоградњи од </w:t>
      </w:r>
      <w:r w:rsidR="0092412B" w:rsidRPr="00AD7E7D">
        <w:rPr>
          <w:rFonts w:eastAsia="Calibri" w:cs="Times New Roman"/>
          <w:bCs/>
          <w:szCs w:val="24"/>
          <w:lang w:val="sr-Cyrl-RS"/>
        </w:rPr>
        <w:t>7,1</w:t>
      </w:r>
      <w:r w:rsidRPr="00AD7E7D">
        <w:rPr>
          <w:rFonts w:eastAsia="Calibri" w:cs="Times New Roman"/>
          <w:bCs/>
          <w:szCs w:val="24"/>
          <w:lang w:val="sr-Cyrl-RS"/>
        </w:rPr>
        <w:t>% мг.</w:t>
      </w:r>
    </w:p>
    <w:p w14:paraId="613340C9" w14:textId="77777777" w:rsidR="00F94BD2" w:rsidRPr="00AD7E7D" w:rsidRDefault="00DE769B" w:rsidP="00DE769B">
      <w:pPr>
        <w:rPr>
          <w:rFonts w:cs="Times New Roman"/>
          <w:bCs/>
          <w:szCs w:val="24"/>
          <w:lang w:val="sr-Cyrl-RS"/>
        </w:rPr>
      </w:pPr>
      <w:r w:rsidRPr="00AD7E7D">
        <w:rPr>
          <w:rFonts w:cs="Times New Roman"/>
          <w:bCs/>
          <w:szCs w:val="24"/>
          <w:lang w:val="sr-Cyrl-RS"/>
        </w:rPr>
        <w:lastRenderedPageBreak/>
        <w:t>Са успоравањем инфлације и растом реалног расположивог дохотка становништва од средине претходне године дошло је до убрзања активности реалног промета у трговини на мало. Такви трендови настављени су и током 2024. године, при чему је раст промета у сталним ценама у првих девет месеци био већи за 6,7%. У овом периоду, повећање промета у трговини на мало праћено је реалним растом промета све три категорије производа - прехрамбених производа за 6,9% мг., непрехрамбених производа за 8,6% мг. и моторних горива за 2,4% мг.</w:t>
      </w:r>
      <w:r w:rsidRPr="00AD7E7D">
        <w:rPr>
          <w:rFonts w:cs="Times New Roman"/>
          <w:bCs/>
          <w:szCs w:val="24"/>
        </w:rPr>
        <w:t xml:space="preserve"> </w:t>
      </w:r>
      <w:r w:rsidRPr="00AD7E7D">
        <w:rPr>
          <w:rFonts w:cs="Times New Roman"/>
          <w:bCs/>
          <w:szCs w:val="24"/>
          <w:lang w:val="sr-Cyrl-RS"/>
        </w:rPr>
        <w:t>Током 2024. године настављена су добра кретања у туризму и угоститељству, при чему је у првих девет месеци број долазака и ноћења туриста међугодишње увећан за 5,7% и 1,5%, респективно, праћен растом активности страних туриста. У првих осам месеци, девизни прилив од туризма је међугодишње увећан за 13</w:t>
      </w:r>
      <w:r w:rsidR="00B83279" w:rsidRPr="00AD7E7D">
        <w:rPr>
          <w:rFonts w:cs="Times New Roman"/>
          <w:bCs/>
          <w:szCs w:val="24"/>
          <w:lang w:val="sr-Cyrl-RS"/>
        </w:rPr>
        <w:t>,0</w:t>
      </w:r>
      <w:r w:rsidRPr="00AD7E7D">
        <w:rPr>
          <w:rFonts w:cs="Times New Roman"/>
          <w:bCs/>
          <w:szCs w:val="24"/>
          <w:lang w:val="sr-Cyrl-RS"/>
        </w:rPr>
        <w:t>%. Поред тога, настављен је раст промета у угостите</w:t>
      </w:r>
      <w:r w:rsidR="00397D0C" w:rsidRPr="00AD7E7D">
        <w:rPr>
          <w:rFonts w:cs="Times New Roman"/>
          <w:bCs/>
          <w:szCs w:val="24"/>
          <w:lang w:val="sr-Cyrl-RS"/>
        </w:rPr>
        <w:t>љству, при чему је у првих осам месеци реално већи за 9,4</w:t>
      </w:r>
      <w:r w:rsidRPr="00AD7E7D">
        <w:rPr>
          <w:rFonts w:cs="Times New Roman"/>
          <w:bCs/>
          <w:szCs w:val="24"/>
          <w:lang w:val="sr-Cyrl-RS"/>
        </w:rPr>
        <w:t>% мг.</w:t>
      </w:r>
      <w:r w:rsidRPr="00AD7E7D">
        <w:rPr>
          <w:rFonts w:cs="Times New Roman"/>
          <w:bCs/>
          <w:color w:val="FF0000"/>
          <w:szCs w:val="24"/>
        </w:rPr>
        <w:t xml:space="preserve"> </w:t>
      </w:r>
      <w:r w:rsidRPr="00AD7E7D">
        <w:rPr>
          <w:rFonts w:cs="Times New Roman"/>
          <w:bCs/>
          <w:szCs w:val="24"/>
          <w:lang w:val="sr-Cyrl-RS"/>
        </w:rPr>
        <w:t>Сектор информационо комуникационих технологија континуирано расте уз све значајнију улогу овог сектора, при чему је у првих шест месеци 2024. године остварен снажан реални раст БДВ овог сектора од 6,1% мг. Ово је праћено и повећањем извозне активности ИКТ сектора током 2024. године, при чему је у првих осам месеци извоз овог сектора вредео 2,6 млрд евра, односно међугодишње је повећан за 18,6%, чиме је опредељено нешто више од две петине укупног извоза услужних делатности.</w:t>
      </w:r>
    </w:p>
    <w:p w14:paraId="06493C4F" w14:textId="77777777" w:rsidR="00BD4500" w:rsidRPr="00AD7E7D" w:rsidRDefault="00BD4500" w:rsidP="009C0A23">
      <w:pPr>
        <w:rPr>
          <w:rFonts w:cs="Times New Roman"/>
          <w:bCs/>
          <w:szCs w:val="24"/>
          <w:lang w:val="sr-Cyrl-RS"/>
        </w:rPr>
      </w:pPr>
      <w:r w:rsidRPr="00AD7E7D">
        <w:rPr>
          <w:rFonts w:cs="Times New Roman"/>
          <w:bCs/>
          <w:szCs w:val="24"/>
          <w:lang w:val="sr-Cyrl-RS"/>
        </w:rPr>
        <w:t>Полазећи од текућих трендова у погледу кретања привредне активности, узимајући у обзир донете мере економске политике, ефекте наставка реализације инфраструктурних пројеката додатно подржаних новим инвестиционим циклусом у оквиру програма „Скок у будућност – Србија 2027”, уз уважавање економских изгледа најважнијих спољнотрговинских партнера, Министарство финансија очекује раст БДП у 2024. години од 3,8%</w:t>
      </w:r>
      <w:r w:rsidR="000A518D" w:rsidRPr="00AD7E7D">
        <w:rPr>
          <w:rFonts w:cs="Times New Roman"/>
          <w:bCs/>
          <w:szCs w:val="24"/>
          <w:lang w:val="sr-Cyrl-RS"/>
        </w:rPr>
        <w:t>, што је непромењено у односу на претходна очекивања.</w:t>
      </w:r>
    </w:p>
    <w:p w14:paraId="429B5BA5" w14:textId="77777777" w:rsidR="00C21260" w:rsidRPr="00AD7E7D" w:rsidRDefault="0015261E" w:rsidP="00EC3436">
      <w:pPr>
        <w:rPr>
          <w:rFonts w:cs="Times New Roman"/>
          <w:color w:val="FF0000"/>
          <w:szCs w:val="24"/>
          <w:lang w:val="sr-Cyrl-RS"/>
        </w:rPr>
      </w:pPr>
      <w:r w:rsidRPr="00AD7E7D">
        <w:rPr>
          <w:rFonts w:cs="Times New Roman"/>
          <w:b/>
          <w:szCs w:val="24"/>
          <w:lang w:val="sr-Cyrl-RS"/>
        </w:rPr>
        <w:t>Тржиште рада.</w:t>
      </w:r>
      <w:r w:rsidR="00C21260" w:rsidRPr="00AD7E7D">
        <w:rPr>
          <w:rFonts w:cs="Times New Roman"/>
          <w:szCs w:val="24"/>
          <w:lang w:val="sr-Cyrl-RS"/>
        </w:rPr>
        <w:t xml:space="preserve"> Тржиште рада у Србији бележи позитивне промене, које су резултат континуираних напора на унапређењу економских политика и стварању повољног пословног окружења. У последњих неколико година, стопа запослености је у сталном порасту, док се стопа незапослености смањује, што указује на све веће могућности за запошљавање и професионални развој становништва. Према подацима Централног регистра обавезног социјалног осигурања (ЦРОСО), у периоду јануар-</w:t>
      </w:r>
      <w:r w:rsidR="00521287" w:rsidRPr="00AD7E7D">
        <w:rPr>
          <w:rFonts w:cs="Times New Roman"/>
          <w:szCs w:val="24"/>
          <w:lang w:val="sr-Cyrl-RS"/>
        </w:rPr>
        <w:t>септембар</w:t>
      </w:r>
      <w:r w:rsidR="00C21260" w:rsidRPr="00AD7E7D">
        <w:rPr>
          <w:rFonts w:cs="Times New Roman"/>
          <w:szCs w:val="24"/>
          <w:lang w:val="sr-Cyrl-RS"/>
        </w:rPr>
        <w:t xml:space="preserve"> 2024. године просечан број запослених био је већи за 0,</w:t>
      </w:r>
      <w:r w:rsidR="00521287" w:rsidRPr="00AD7E7D">
        <w:rPr>
          <w:rFonts w:cs="Times New Roman"/>
          <w:szCs w:val="24"/>
          <w:lang w:val="sr-Cyrl-RS"/>
        </w:rPr>
        <w:t>5</w:t>
      </w:r>
      <w:r w:rsidR="00C21260" w:rsidRPr="00AD7E7D">
        <w:rPr>
          <w:rFonts w:cs="Times New Roman"/>
          <w:szCs w:val="24"/>
          <w:lang w:val="sr-Cyrl-RS"/>
        </w:rPr>
        <w:t xml:space="preserve">% у поређењу са истим периодом претходне године, чему је пре свега допринео раст запослености у приватном сектору од </w:t>
      </w:r>
      <w:r w:rsidR="00521287" w:rsidRPr="00AD7E7D">
        <w:rPr>
          <w:rFonts w:cs="Times New Roman"/>
          <w:szCs w:val="24"/>
          <w:lang w:val="sr-Cyrl-RS"/>
        </w:rPr>
        <w:t>9,5</w:t>
      </w:r>
      <w:r w:rsidR="00C21260" w:rsidRPr="00AD7E7D">
        <w:rPr>
          <w:rFonts w:cs="Times New Roman"/>
          <w:szCs w:val="24"/>
          <w:lang w:val="sr-Cyrl-RS"/>
        </w:rPr>
        <w:t xml:space="preserve"> хиљада лица, док је у јавном сектору раст износио 2,</w:t>
      </w:r>
      <w:r w:rsidR="00521287" w:rsidRPr="00AD7E7D">
        <w:rPr>
          <w:rFonts w:cs="Times New Roman"/>
          <w:szCs w:val="24"/>
          <w:lang w:val="sr-Cyrl-RS"/>
        </w:rPr>
        <w:t>4</w:t>
      </w:r>
      <w:r w:rsidR="00C21260" w:rsidRPr="00AD7E7D">
        <w:rPr>
          <w:rFonts w:cs="Times New Roman"/>
          <w:szCs w:val="24"/>
          <w:lang w:val="sr-Cyrl-RS"/>
        </w:rPr>
        <w:t xml:space="preserve"> хиљада лица. У овом периоду, најснажнији секторски допринос расту запослености долази од здравства и научно-техничких делатности, а позитиван допринос дали су и сектори ИКТ</w:t>
      </w:r>
      <w:r w:rsidR="00521287" w:rsidRPr="00AD7E7D">
        <w:rPr>
          <w:rFonts w:cs="Times New Roman"/>
          <w:szCs w:val="24"/>
          <w:lang w:val="sr-Cyrl-RS"/>
        </w:rPr>
        <w:t>, туризма,</w:t>
      </w:r>
      <w:r w:rsidR="00C21260" w:rsidRPr="00AD7E7D">
        <w:rPr>
          <w:rFonts w:cs="Times New Roman"/>
          <w:szCs w:val="24"/>
          <w:lang w:val="sr-Cyrl-RS"/>
        </w:rPr>
        <w:t xml:space="preserve"> грађевинарства</w:t>
      </w:r>
      <w:r w:rsidR="00521287" w:rsidRPr="00AD7E7D">
        <w:rPr>
          <w:rFonts w:cs="Times New Roman"/>
          <w:szCs w:val="24"/>
          <w:lang w:val="sr-Cyrl-RS"/>
        </w:rPr>
        <w:t xml:space="preserve"> и забаве и рекреације</w:t>
      </w:r>
      <w:r w:rsidR="00C21260" w:rsidRPr="00AD7E7D">
        <w:rPr>
          <w:rFonts w:cs="Times New Roman"/>
          <w:szCs w:val="24"/>
          <w:lang w:val="sr-Cyrl-RS"/>
        </w:rPr>
        <w:t xml:space="preserve">. Према подацима Националне службе за запошљавање, у истом периоду, број лица која активно траже запослење смањен је за 8,4%. Према подацима Анкете о радној снази, у првом кварталу 2024. године, повећана је стопа запослености за 1,4 п.п, на 50,9% у поређењу са истим периодом претходне године, док је стопа незапослености смањена за 0,6 п.п. на 9,4%. Истовремено, повећан је број запосленог становништва (15 и више година) за 2,1%, уз смањење незапосленог дела становништва за 4,8%. Добра кретања настављена су и у другом кварталу 2024. године, будући да је број запослених лица био повећан за 48.400, мг, и износио је 2.899.700, док је број незапослених смањен за 44.800 на 257.800. Стопа запослености износила је 51,4%, што представља пораст од 1,1 процентних поена у односу на исти период претходне године. Овај раст запослености указује на позитивне трендове у запошљавању, што је резултат континуираних напора на унапређењу пословног окружења и привлачењу инвестиција. Нарочито значајно је да се пораст запослености у целини заснива на расту формалне запослености, која је кључна за економски раст и </w:t>
      </w:r>
      <w:r w:rsidR="00C21260" w:rsidRPr="00AD7E7D">
        <w:rPr>
          <w:rFonts w:cs="Times New Roman"/>
          <w:szCs w:val="24"/>
          <w:lang w:val="sr-Cyrl-RS"/>
        </w:rPr>
        <w:lastRenderedPageBreak/>
        <w:t>стабилност, јер ствара радна места која доприносе пореским приходима и пружа социјалну сигурност. Стопа незапослености смањена је на 8,2%, што је пад од 1,4 процентних поена у односу на исти период претходне године. Овај пад стопе незапослености показује да се тржиште рада стабилизује и да се отварају нове могућности за запошљавање. Такође, број становника ван радне снаге смањен је за 30.300, што додатно потврђује позитивне промене на тржишту рада. Неформална запосленост, која је често индикатор несигурних радних места, такође бележи смањење од 8.100. Стопа неформалне запослености износила је 11,8%, што је смањење од 0,5 п.п. у односу на исти период претходне године. Посебно је значајно смањење неформалне запослености ван пољопривреде, која је пала на 5,9%. Стопа незапослености младог становништва је у овом периоду смањена за 4,2 п.п, на 20,2%.</w:t>
      </w:r>
      <w:r w:rsidR="00C21260" w:rsidRPr="00AD7E7D">
        <w:rPr>
          <w:rFonts w:cs="Times New Roman"/>
          <w:szCs w:val="24"/>
        </w:rPr>
        <w:t xml:space="preserve"> </w:t>
      </w:r>
      <w:r w:rsidR="00C21260" w:rsidRPr="00AD7E7D">
        <w:rPr>
          <w:rFonts w:cs="Times New Roman"/>
          <w:szCs w:val="24"/>
          <w:lang w:val="sr-Cyrl-RS"/>
        </w:rPr>
        <w:t>На основу података Републичког завода за статистику у периоду јануар-</w:t>
      </w:r>
      <w:r w:rsidR="008B38E4" w:rsidRPr="00AD7E7D">
        <w:rPr>
          <w:rFonts w:cs="Times New Roman"/>
          <w:szCs w:val="24"/>
          <w:lang w:val="sr-Cyrl-RS"/>
        </w:rPr>
        <w:t>септембар</w:t>
      </w:r>
      <w:r w:rsidR="00C21260" w:rsidRPr="00AD7E7D">
        <w:rPr>
          <w:rFonts w:cs="Times New Roman"/>
          <w:szCs w:val="24"/>
          <w:lang w:val="sr-Cyrl-RS"/>
        </w:rPr>
        <w:t xml:space="preserve"> 2024. године, просечна нето зарада износила је 96.</w:t>
      </w:r>
      <w:r w:rsidR="008B38E4" w:rsidRPr="00AD7E7D">
        <w:rPr>
          <w:rFonts w:cs="Times New Roman"/>
          <w:szCs w:val="24"/>
          <w:lang w:val="sr-Cyrl-RS"/>
        </w:rPr>
        <w:t>675</w:t>
      </w:r>
      <w:r w:rsidR="00C21260" w:rsidRPr="00AD7E7D">
        <w:rPr>
          <w:rFonts w:cs="Times New Roman"/>
          <w:szCs w:val="24"/>
          <w:lang w:val="sr-Cyrl-RS"/>
        </w:rPr>
        <w:t xml:space="preserve"> динара. У поређењу са истим периодом претходне године, просечна нето зарада номинално је већа за 1</w:t>
      </w:r>
      <w:r w:rsidR="00EE3801" w:rsidRPr="00AD7E7D">
        <w:rPr>
          <w:rFonts w:cs="Times New Roman"/>
          <w:szCs w:val="24"/>
          <w:lang w:val="sr-Cyrl-RS"/>
        </w:rPr>
        <w:t>4,</w:t>
      </w:r>
      <w:r w:rsidR="008B38E4" w:rsidRPr="00AD7E7D">
        <w:rPr>
          <w:rFonts w:cs="Times New Roman"/>
          <w:szCs w:val="24"/>
          <w:lang w:val="sr-Cyrl-RS"/>
        </w:rPr>
        <w:t>5</w:t>
      </w:r>
      <w:r w:rsidR="00C21260" w:rsidRPr="00AD7E7D">
        <w:rPr>
          <w:rFonts w:cs="Times New Roman"/>
          <w:szCs w:val="24"/>
          <w:lang w:val="sr-Cyrl-RS"/>
        </w:rPr>
        <w:t>%, док је реално повећање износило 9,</w:t>
      </w:r>
      <w:r w:rsidR="008B38E4" w:rsidRPr="00AD7E7D">
        <w:rPr>
          <w:rFonts w:cs="Times New Roman"/>
          <w:szCs w:val="24"/>
          <w:lang w:val="sr-Cyrl-RS"/>
        </w:rPr>
        <w:t>3</w:t>
      </w:r>
      <w:r w:rsidR="00C21260" w:rsidRPr="00AD7E7D">
        <w:rPr>
          <w:rFonts w:cs="Times New Roman"/>
          <w:szCs w:val="24"/>
          <w:lang w:val="sr-Cyrl-RS"/>
        </w:rPr>
        <w:t>%. Висок раст реалних зарада резултат је позитивних економских кретања и повећања продуктивности у различитим секторима привреде, као и значајног успоравања инфлације. Реални раст зарада у приватном сектору је износио 9,</w:t>
      </w:r>
      <w:r w:rsidR="00EE3801" w:rsidRPr="00AD7E7D">
        <w:rPr>
          <w:rFonts w:cs="Times New Roman"/>
          <w:szCs w:val="24"/>
          <w:lang w:val="sr-Cyrl-RS"/>
        </w:rPr>
        <w:t>2</w:t>
      </w:r>
      <w:r w:rsidR="00C21260" w:rsidRPr="00AD7E7D">
        <w:rPr>
          <w:rFonts w:cs="Times New Roman"/>
          <w:szCs w:val="24"/>
          <w:lang w:val="sr-Cyrl-RS"/>
        </w:rPr>
        <w:t>% и био је вођен, пре свега повећањем зарада у прерађивачкој индустрији и трговини. Истовремено, забележено је и реално повећање зарада у јавном сектору од 9,</w:t>
      </w:r>
      <w:r w:rsidR="008B38E4" w:rsidRPr="00AD7E7D">
        <w:rPr>
          <w:rFonts w:cs="Times New Roman"/>
          <w:szCs w:val="24"/>
          <w:lang w:val="sr-Cyrl-RS"/>
        </w:rPr>
        <w:t>3</w:t>
      </w:r>
      <w:r w:rsidR="00C21260" w:rsidRPr="00AD7E7D">
        <w:rPr>
          <w:rFonts w:cs="Times New Roman"/>
          <w:szCs w:val="24"/>
          <w:lang w:val="sr-Cyrl-RS"/>
        </w:rPr>
        <w:t>%, на шта је утицала одлука Владе о повећању зарада од 10% од јануара 2024. године, али и одлука о повећању зарада просветним и делу здравствених радника од 5,5% од октобра 2023. године.</w:t>
      </w:r>
    </w:p>
    <w:p w14:paraId="5D17A494" w14:textId="77777777" w:rsidR="001D58B7" w:rsidRPr="00AD7E7D" w:rsidRDefault="001D58B7" w:rsidP="00EC3436">
      <w:pPr>
        <w:rPr>
          <w:rFonts w:cs="Times New Roman"/>
          <w:szCs w:val="24"/>
          <w:lang w:val="sr-Cyrl-RS"/>
        </w:rPr>
      </w:pPr>
      <w:r w:rsidRPr="00AD7E7D">
        <w:rPr>
          <w:rFonts w:cs="Times New Roman"/>
          <w:b/>
          <w:i/>
          <w:szCs w:val="24"/>
          <w:lang w:val="sr-Cyrl-RS"/>
        </w:rPr>
        <w:t xml:space="preserve">Екстерни сектор. </w:t>
      </w:r>
      <w:r w:rsidRPr="00AD7E7D">
        <w:rPr>
          <w:rFonts w:cs="Times New Roman"/>
          <w:bCs/>
          <w:iCs/>
          <w:szCs w:val="24"/>
          <w:lang w:val="sr-Cyrl-RS"/>
        </w:rPr>
        <w:t>Након готово рекордно ниског дефицита текућег рачуна, од 1,8 млрд евра у 2023. години (2,4% БДП-а), што је било резултат смањења робног дефицита по основу нижег увоза енергената и исказане отпорности извоза на</w:t>
      </w:r>
      <w:r w:rsidRPr="00AD7E7D">
        <w:rPr>
          <w:rFonts w:cs="Times New Roman"/>
          <w:b/>
          <w:i/>
          <w:szCs w:val="24"/>
          <w:lang w:val="sr-Cyrl-RS"/>
        </w:rPr>
        <w:t xml:space="preserve"> </w:t>
      </w:r>
      <w:r w:rsidRPr="00AD7E7D">
        <w:rPr>
          <w:rFonts w:cs="Times New Roman"/>
          <w:bCs/>
          <w:iCs/>
          <w:szCs w:val="24"/>
          <w:lang w:val="sr-Cyrl-RS"/>
        </w:rPr>
        <w:t>смањену екстерну тражњу, т</w:t>
      </w:r>
      <w:r w:rsidRPr="00AD7E7D">
        <w:rPr>
          <w:rFonts w:cs="Times New Roman"/>
          <w:szCs w:val="24"/>
          <w:lang w:val="sr-Cyrl-RS"/>
        </w:rPr>
        <w:t>оком девет месеци 202</w:t>
      </w:r>
      <w:r w:rsidRPr="00AD7E7D">
        <w:rPr>
          <w:rFonts w:cs="Times New Roman"/>
          <w:szCs w:val="24"/>
          <w:lang w:val="sr-Latn-RS"/>
        </w:rPr>
        <w:t>4</w:t>
      </w:r>
      <w:r w:rsidRPr="00AD7E7D">
        <w:rPr>
          <w:rFonts w:cs="Times New Roman"/>
          <w:szCs w:val="24"/>
          <w:lang w:val="sr-Cyrl-RS"/>
        </w:rPr>
        <w:t xml:space="preserve">, у условима раста инвестиција и личне потрошње, дефицит текућег рачуна платног биланса је очекивано повећан и износио је </w:t>
      </w:r>
      <w:r w:rsidRPr="00AD7E7D">
        <w:rPr>
          <w:rFonts w:cs="Times New Roman"/>
          <w:szCs w:val="24"/>
          <w:lang w:val="sr-Latn-RS"/>
        </w:rPr>
        <w:t>3,3</w:t>
      </w:r>
      <w:r w:rsidRPr="00AD7E7D">
        <w:rPr>
          <w:rFonts w:cs="Times New Roman"/>
          <w:szCs w:val="24"/>
          <w:lang w:val="sr-Cyrl-RS"/>
        </w:rPr>
        <w:t xml:space="preserve"> млрд евра. У поређењу са истим периодом претходне године, робни дефицит је повећан за 1.041,4 млн евра, а дефицит примарног дохотка за 665,5 млн евра, док су суфицит услуга и суфицит секундрног дохотка снижени за 426,3 млн евра и 401,5 млн евра, респективно. Дефицит текућег рачуна је готово у пуној мери (97,8%) био покривен нето приливима по основу страних директних инвестиција. </w:t>
      </w:r>
    </w:p>
    <w:p w14:paraId="6F11A139" w14:textId="77777777" w:rsidR="001D58B7" w:rsidRPr="00AD7E7D" w:rsidRDefault="001D58B7" w:rsidP="00EC3436">
      <w:pPr>
        <w:rPr>
          <w:rFonts w:cs="Times New Roman"/>
          <w:szCs w:val="24"/>
          <w:lang w:val="sr-Cyrl-RS"/>
        </w:rPr>
      </w:pPr>
      <w:r w:rsidRPr="00AD7E7D">
        <w:rPr>
          <w:rFonts w:cs="Times New Roman"/>
          <w:szCs w:val="24"/>
          <w:lang w:val="sr-Cyrl-RS"/>
        </w:rPr>
        <w:t>Упркос успоравању екстерне тражње, извоз робе наставио је да остварује позитивне стопе раста у 2024. години, пре свега захваљујући инвестицијама у разменљиве секторе из претходног периода. Робни извоз је током девет месеци 2024. износио 21,3 млрд евра и забележио је раст од 1,5% мг.</w:t>
      </w:r>
      <w:r w:rsidRPr="00AD7E7D">
        <w:rPr>
          <w:rFonts w:cs="Times New Roman"/>
          <w:szCs w:val="24"/>
          <w:vertAlign w:val="superscript"/>
          <w:lang w:val="sr-Cyrl-RS"/>
        </w:rPr>
        <w:footnoteReference w:id="1"/>
      </w:r>
      <w:r w:rsidRPr="00AD7E7D">
        <w:rPr>
          <w:rFonts w:cs="Times New Roman"/>
          <w:szCs w:val="24"/>
          <w:lang w:val="sr-Cyrl-RS"/>
        </w:rPr>
        <w:t>, а највећи допринос је потекао од раста извоза прерађивачке индустрије (2,9% мг., допринос 2,5 п.п.), уз остварени раст извоза у половини грана, затим од пољопривредне производње, лова и услужних делатности (43,0% мг., допринос 1,3 п.п.) и рударства (6,6% мг, допринос 0,3 п.п.). Посматрано по тржиштима, н</w:t>
      </w:r>
      <w:r w:rsidRPr="00AD7E7D">
        <w:rPr>
          <w:rFonts w:cs="Times New Roman"/>
          <w:szCs w:val="24"/>
        </w:rPr>
        <w:t xml:space="preserve">ајвећи део </w:t>
      </w:r>
      <w:r w:rsidRPr="00AD7E7D">
        <w:rPr>
          <w:rFonts w:cs="Times New Roman"/>
          <w:szCs w:val="24"/>
          <w:lang w:val="sr-Cyrl-RS"/>
        </w:rPr>
        <w:t xml:space="preserve">робног </w:t>
      </w:r>
      <w:r w:rsidRPr="00AD7E7D">
        <w:rPr>
          <w:rFonts w:cs="Times New Roman"/>
          <w:szCs w:val="24"/>
        </w:rPr>
        <w:t xml:space="preserve">извоза у овом периоду пласиран је на тржиште ЕУ (61,6%), на тржиште ЦЕФТА </w:t>
      </w:r>
      <w:r w:rsidRPr="00AD7E7D">
        <w:rPr>
          <w:rFonts w:cs="Times New Roman"/>
          <w:szCs w:val="24"/>
          <w:lang w:val="sr-Cyrl-RS"/>
        </w:rPr>
        <w:t xml:space="preserve">односи се </w:t>
      </w:r>
      <w:r w:rsidRPr="00AD7E7D">
        <w:rPr>
          <w:rFonts w:cs="Times New Roman"/>
          <w:szCs w:val="24"/>
        </w:rPr>
        <w:t>15,3%</w:t>
      </w:r>
      <w:r w:rsidRPr="00AD7E7D">
        <w:rPr>
          <w:rFonts w:cs="Times New Roman"/>
          <w:szCs w:val="24"/>
          <w:lang w:val="sr-Cyrl-RS"/>
        </w:rPr>
        <w:t>, а на</w:t>
      </w:r>
      <w:r w:rsidRPr="00AD7E7D">
        <w:rPr>
          <w:rFonts w:cs="Times New Roman"/>
          <w:szCs w:val="24"/>
        </w:rPr>
        <w:t xml:space="preserve"> земљ</w:t>
      </w:r>
      <w:r w:rsidRPr="00AD7E7D">
        <w:rPr>
          <w:rFonts w:cs="Times New Roman"/>
          <w:szCs w:val="24"/>
          <w:lang w:val="sr-Cyrl-RS"/>
        </w:rPr>
        <w:t>е</w:t>
      </w:r>
      <w:r w:rsidRPr="00AD7E7D">
        <w:rPr>
          <w:rFonts w:cs="Times New Roman"/>
          <w:szCs w:val="24"/>
        </w:rPr>
        <w:t xml:space="preserve"> евроазијске уније</w:t>
      </w:r>
      <w:r w:rsidRPr="00AD7E7D">
        <w:rPr>
          <w:rFonts w:cs="Times New Roman"/>
          <w:szCs w:val="24"/>
          <w:lang w:val="sr-Cyrl-RS"/>
        </w:rPr>
        <w:t xml:space="preserve"> 4,2%.</w:t>
      </w:r>
      <w:r w:rsidRPr="00AD7E7D">
        <w:rPr>
          <w:rFonts w:cs="Times New Roman"/>
          <w:szCs w:val="24"/>
        </w:rPr>
        <w:t xml:space="preserve"> </w:t>
      </w:r>
      <w:r w:rsidRPr="00AD7E7D">
        <w:rPr>
          <w:rFonts w:cs="Times New Roman"/>
          <w:szCs w:val="24"/>
          <w:lang w:val="sr-Cyrl-RS"/>
        </w:rPr>
        <w:t xml:space="preserve">Носиоци извозне активности, посматрано по областима, биле су: производња основних метала (2,6 п.п.), пољопривредна производња, лов и услужне делатности (1,3 п.п.), произвоња осталих саобраћајних средстава (0,9 п.п.), производња рачунара, електронских и оптичких производа (0,5 п.п.), као и производња металних производа осим машина (0,4 п.п.). Пад извоза је забележен код снадбевања електричном енергијом, </w:t>
      </w:r>
      <w:r w:rsidRPr="00AD7E7D">
        <w:rPr>
          <w:rFonts w:cs="Times New Roman"/>
          <w:szCs w:val="24"/>
          <w:lang w:val="sr-Cyrl-RS"/>
        </w:rPr>
        <w:lastRenderedPageBreak/>
        <w:t>гасом и паром (–2,8 п.п.), делом као последица изузетно високе базе, а делом услед смањеног хидропотенцијала у условима суше, а затим код производње разних машина и опреме (–0,9 п.п.) и производње електричне опреме (–0,7 п.п.).</w:t>
      </w:r>
    </w:p>
    <w:p w14:paraId="1262F149" w14:textId="77777777" w:rsidR="001D58B7" w:rsidRPr="00AD7E7D" w:rsidRDefault="001D58B7" w:rsidP="00EC3436">
      <w:pPr>
        <w:rPr>
          <w:rFonts w:cs="Times New Roman"/>
          <w:szCs w:val="24"/>
          <w:lang w:val="sr-Cyrl-RS"/>
        </w:rPr>
      </w:pPr>
      <w:r w:rsidRPr="00AD7E7D">
        <w:rPr>
          <w:rFonts w:cs="Times New Roman"/>
          <w:szCs w:val="24"/>
          <w:lang w:val="sr-Cyrl-RS"/>
        </w:rPr>
        <w:t>Увоз робе је током девет месеци 2024. износио 26,8 млрд евра и повећан је за 5,3% мг. Највећи допринос расту увоза је, поред некласификоване робе, потекао од раста увоза металних производа осим машина (1,3 п.п.), осталих саобраћајних средстава (1,0 п.п.), кокса и деривата нафте (0,9 п.п.), руда метала (0,5 п.п.) и моторних возила и приколица (0,5 п.п.). Пад увоза је забележен код сирове нафте и природног гаса (–1,8 п.п.), електричне енергије (–0,7 п.п.) и експлоатације угља (–0,5 п.п.).</w:t>
      </w:r>
    </w:p>
    <w:p w14:paraId="78CF2E72" w14:textId="77777777" w:rsidR="001D58B7" w:rsidRPr="00AD7E7D" w:rsidRDefault="001D58B7" w:rsidP="00EC3436">
      <w:pPr>
        <w:rPr>
          <w:rFonts w:cs="Times New Roman"/>
          <w:szCs w:val="24"/>
          <w:lang w:val="sr-Latn-RS"/>
        </w:rPr>
      </w:pPr>
      <w:r w:rsidRPr="00AD7E7D">
        <w:rPr>
          <w:rFonts w:cs="Times New Roman"/>
          <w:szCs w:val="24"/>
          <w:lang w:val="sr-Cyrl-RS"/>
        </w:rPr>
        <w:t>Извоз услуга је порастао за 10,4% у односу на исти период претходне године, углавном као резултат већег извоза ИКТ услуга (4,9 п.п.), осталих пословних услуга (2,7 п.п.) и туризма (2,2 п.п.). Истовремено, расту увоза услуга од 19,5% мг., највећи допринос је дао раст увоза туризма (7,5 п.п.) и осталих пословних услуга (3,6 п.п.) и права интелектуалне својине (3,0 п.п.).</w:t>
      </w:r>
      <w:r w:rsidRPr="00AD7E7D">
        <w:rPr>
          <w:rFonts w:cs="Times New Roman"/>
          <w:szCs w:val="24"/>
          <w:lang w:val="sr-Latn-RS"/>
        </w:rPr>
        <w:t xml:space="preserve"> </w:t>
      </w:r>
      <w:r w:rsidRPr="00AD7E7D">
        <w:rPr>
          <w:rFonts w:cs="Times New Roman"/>
          <w:szCs w:val="24"/>
          <w:lang w:val="sr-Cyrl-RS"/>
        </w:rPr>
        <w:t>Рачун услуга је традиционално у суфициту, који је у току девет месеци 2024. године смањен за 19,2% мг., а на то се највише одразио повећан нето увоз туризма, права интелектуалне својине и услуга саобраћаја, док су у супротном смеру деловале ИКТ услуге.</w:t>
      </w:r>
    </w:p>
    <w:p w14:paraId="3F35BCB5" w14:textId="77777777" w:rsidR="001D58B7" w:rsidRPr="00AD7E7D" w:rsidRDefault="001D58B7" w:rsidP="00EC3436">
      <w:pPr>
        <w:rPr>
          <w:rFonts w:cs="Times New Roman"/>
          <w:szCs w:val="24"/>
          <w:lang w:val="sr-Cyrl-RS"/>
        </w:rPr>
      </w:pPr>
      <w:r w:rsidRPr="00AD7E7D">
        <w:rPr>
          <w:rFonts w:cs="Times New Roman"/>
          <w:szCs w:val="24"/>
          <w:lang w:val="sr-Cyrl-RS"/>
        </w:rPr>
        <w:t>Посматрано по појединим земљама, око 71% трговине услугама одвија се са 15 земаља, од којих су седам чланице ЕУ (Немачка, Холандија, Аустрија, Ирска, Хрватска, Словенија, Италија), две су чланице ЦЕФТА (Босна и Херцеговина и Црна Гора) и једна је чланица ЕФТА (Швајцарска). Значајна размена услуга одвија се још са САД, Уједињеним Краљевством, Руском Федерацијом, Уједињеним Арапским Емиратима и Турском.</w:t>
      </w:r>
    </w:p>
    <w:p w14:paraId="0B9537CF" w14:textId="77777777" w:rsidR="001D58B7" w:rsidRPr="00AD7E7D" w:rsidRDefault="001D58B7" w:rsidP="00EC3436">
      <w:pPr>
        <w:rPr>
          <w:rFonts w:cs="Times New Roman"/>
          <w:szCs w:val="24"/>
          <w:lang w:val="sr-Cyrl-RS"/>
        </w:rPr>
      </w:pPr>
      <w:r w:rsidRPr="00AD7E7D">
        <w:rPr>
          <w:rFonts w:cs="Times New Roman"/>
          <w:szCs w:val="24"/>
          <w:lang w:val="sr-Cyrl-RS"/>
        </w:rPr>
        <w:t xml:space="preserve">Дефицит на рачуну примарног дохотка је повећан за 23,7% мг., пре свега услед већих одлива по основу дохотка од директних инвестиција (за 29,3% мг.), а до смањења суфицита секундарног дохотка (9,2% мг.) дошло је због смањења прилива по основу званичне помоћи Влади (–29,8% мг.), а делом и мањих нето прилива по основу дознака (–4,8% мг). Током девет месеци 2024. прилив дознака је износио 3,8 млрд евра и био је мањи за 163,1 млн евра у односу на исти период 2023. године. Највећи приливи дознака забележени су из Немачке (26%), Швајцарске (13%), Аустрије (9%), Француске (6%), Хрватске (6%), односно из земаља из којих традиционално стиже највећи део дознака у Србију. </w:t>
      </w:r>
    </w:p>
    <w:p w14:paraId="768AC1AF" w14:textId="77777777" w:rsidR="001D58B7" w:rsidRPr="00AD7E7D" w:rsidRDefault="001D58B7" w:rsidP="00EC3436">
      <w:pPr>
        <w:pStyle w:val="Glavnitekst"/>
        <w:spacing w:after="120" w:line="240" w:lineRule="auto"/>
        <w:rPr>
          <w:rFonts w:eastAsia="Calibri"/>
          <w:sz w:val="24"/>
          <w:szCs w:val="24"/>
          <w:lang w:val="sr-Cyrl-RS"/>
        </w:rPr>
      </w:pPr>
      <w:r w:rsidRPr="00AD7E7D">
        <w:rPr>
          <w:rFonts w:eastAsia="Calibri"/>
          <w:sz w:val="24"/>
          <w:szCs w:val="24"/>
          <w:lang w:val="sr-Cyrl-RS"/>
        </w:rPr>
        <w:t>На рачуну финансијских трансакција (без промене девизних резерви) у периоду јануар–септембар 2024. забележен је нето прилив од 5,3 млрд евра. Нето прилив по основу страних директних инвестиција је у посматраном периоду износио 3,2 млрд евра. Прилив у Србију је износио 3,6 млрд евра, што је повећање од 399,5 млн евра у односу на девет месеци 2023. године. Прилив по овом основу је остао пројектно диверсификован, а посматрано по делатностима, највише је уложено у грађевинарство (28,9%), рударство (25,1%) и прерађивачку индустрију (11,8%). Посматрано по земљама, на основу података за П1 2024, највећи део прилива страних директних инвестиција наставља да долази из европских земаља (64,6%, из ЕУ 43,4% ) и азијских земаља (32,1%).</w:t>
      </w:r>
    </w:p>
    <w:p w14:paraId="44354D56" w14:textId="312C124C" w:rsidR="001D58B7" w:rsidRPr="00AD7E7D" w:rsidRDefault="001D58B7" w:rsidP="00EC3436">
      <w:pPr>
        <w:pStyle w:val="Glavnitekst"/>
        <w:spacing w:after="120" w:line="240" w:lineRule="auto"/>
        <w:rPr>
          <w:rFonts w:eastAsia="Calibri"/>
          <w:sz w:val="24"/>
          <w:szCs w:val="24"/>
          <w:lang w:val="sr-Cyrl-RS"/>
        </w:rPr>
      </w:pPr>
      <w:r w:rsidRPr="00AD7E7D">
        <w:rPr>
          <w:rFonts w:eastAsia="Calibri"/>
          <w:sz w:val="24"/>
          <w:szCs w:val="24"/>
          <w:lang w:val="sr-Cyrl-RS"/>
        </w:rPr>
        <w:t xml:space="preserve">По основу портфолио инвестиција у периоду јануар-септембар 2024. забележен је нето прилив од 91,3 млн евра. По основу улагања нерезидената у еврообвезнице забележен је нето прилив у износу од 824,1 млн евра. Само у јуну 2024. године остварен је нето прилив по основу портфолио инвестиција од 1,1 млрд евра, будући да је Србија успешно реализовала емисију одрживих еврообвезница деноминованих у америчким доларима на </w:t>
      </w:r>
      <w:r w:rsidRPr="00AD7E7D">
        <w:rPr>
          <w:rFonts w:eastAsia="Calibri"/>
          <w:sz w:val="24"/>
          <w:szCs w:val="24"/>
          <w:lang w:val="sr-Cyrl-RS"/>
        </w:rPr>
        <w:lastRenderedPageBreak/>
        <w:t xml:space="preserve">међународном финансијском тржишту. Издате су еврообвезнице рочности од десет година у укупном износу од 1,5 млрд долара, уз купонску стопу од 6,00% и тражњу инвеститора која је премашила 6,5 милијарди </w:t>
      </w:r>
      <w:r w:rsidR="00DF3B25">
        <w:rPr>
          <w:rFonts w:eastAsia="Calibri"/>
          <w:sz w:val="24"/>
          <w:szCs w:val="24"/>
          <w:lang w:val="sr-Cyrl-RS"/>
        </w:rPr>
        <w:t>долара</w:t>
      </w:r>
      <w:r w:rsidRPr="00AD7E7D">
        <w:rPr>
          <w:rFonts w:eastAsia="Calibri"/>
          <w:sz w:val="24"/>
          <w:szCs w:val="24"/>
          <w:lang w:val="sr-Cyrl-RS"/>
        </w:rPr>
        <w:t xml:space="preserve">. Поред тога, на домаћем примарном тржишту нерезиденти су улагали у динарске државне обвезнице у вредности од 463,1 млн евра, док је по основу доспећа државних ХоВ и продаје на секундарном тржишту забележен нето одлив од 378,3 млн евра. С друге стране, по основу улагања резидената на међународном тржишту, остварен је одлив у износу од 815,4 млн евра, који се највише односи на улагање у иностране дужничке ХоВ. </w:t>
      </w:r>
    </w:p>
    <w:p w14:paraId="4BE4B256" w14:textId="77777777" w:rsidR="001D58B7" w:rsidRPr="00AD7E7D" w:rsidRDefault="001D58B7" w:rsidP="00EC3436">
      <w:pPr>
        <w:pStyle w:val="Glavnitekst"/>
        <w:spacing w:after="120" w:line="240" w:lineRule="auto"/>
        <w:rPr>
          <w:rFonts w:eastAsia="Calibri"/>
          <w:sz w:val="24"/>
          <w:szCs w:val="24"/>
          <w:lang w:val="sr-Cyrl-RS"/>
        </w:rPr>
      </w:pPr>
      <w:r w:rsidRPr="00AD7E7D">
        <w:rPr>
          <w:rFonts w:eastAsia="Calibri"/>
          <w:sz w:val="24"/>
          <w:szCs w:val="24"/>
          <w:lang w:val="sr-Cyrl-RS"/>
        </w:rPr>
        <w:t>Девизне резерве Народне банке Србије (без међувалутних промена и промена цена активе) у овом периоду повећане су за 2,5 млрд евра и остале су значајно изнад нивоа који се процењује да обезбеђује адекватну заштиту од екстерних потреса. Стање девизних резерви на крају септембра износило је 28,3 млрд евра, што је највиши ниво до сада, чиме су покривале преко седам месеци увоза робе и услуга, 183,4% новчане масе М1 и око 347% дуга</w:t>
      </w:r>
      <w:r w:rsidRPr="00AD7E7D">
        <w:rPr>
          <w:rFonts w:eastAsia="Calibri"/>
          <w:sz w:val="24"/>
          <w:szCs w:val="24"/>
          <w:vertAlign w:val="superscript"/>
          <w:lang w:val="sr-Cyrl-RS"/>
        </w:rPr>
        <w:footnoteReference w:id="2"/>
      </w:r>
      <w:r w:rsidRPr="00AD7E7D">
        <w:rPr>
          <w:rFonts w:eastAsia="Calibri"/>
          <w:sz w:val="24"/>
          <w:szCs w:val="24"/>
          <w:lang w:val="sr-Cyrl-RS"/>
        </w:rPr>
        <w:t xml:space="preserve"> који доспева у наредној години дана. </w:t>
      </w:r>
    </w:p>
    <w:p w14:paraId="1F9A5BC5" w14:textId="77777777" w:rsidR="001D58B7" w:rsidRPr="00AD7E7D" w:rsidRDefault="001D58B7" w:rsidP="00EC3436">
      <w:pPr>
        <w:pStyle w:val="Glavnitekst"/>
        <w:spacing w:after="120" w:line="240" w:lineRule="auto"/>
        <w:rPr>
          <w:rFonts w:eastAsia="Calibri"/>
          <w:sz w:val="24"/>
          <w:szCs w:val="24"/>
          <w:lang w:val="sr-Cyrl-RS"/>
        </w:rPr>
      </w:pPr>
      <w:r w:rsidRPr="00AD7E7D">
        <w:rPr>
          <w:rFonts w:eastAsia="Calibri"/>
          <w:sz w:val="24"/>
          <w:szCs w:val="24"/>
          <w:lang w:val="sr-Cyrl-RS"/>
        </w:rPr>
        <w:t>На нивоу године пројектује са да ће дефицит текућег рачуна износити 3,9 млрд евра или 4,7% БДП-а, уз задржавање динамике бржег раста увоза робе и услуга (8,2%) од извоза (5,8%), услед убрзања фиксних инвестиција и последично већег увоза опреме и репроматеријала, уз наставак стабилног раста увоза потрошне робе, који прати и пројектовани раст приватне потрошње.</w:t>
      </w:r>
    </w:p>
    <w:p w14:paraId="7FBF55D3" w14:textId="77777777" w:rsidR="001D58B7" w:rsidRPr="00AD7E7D" w:rsidRDefault="001D58B7" w:rsidP="00EC3436">
      <w:pPr>
        <w:rPr>
          <w:rFonts w:cs="Times New Roman"/>
          <w:szCs w:val="24"/>
          <w:lang w:val="sr-Latn-RS"/>
        </w:rPr>
      </w:pPr>
      <w:r w:rsidRPr="00AD7E7D">
        <w:rPr>
          <w:rFonts w:cs="Times New Roman"/>
          <w:b/>
          <w:i/>
          <w:szCs w:val="24"/>
          <w:lang w:val="sr-Cyrl-RS"/>
        </w:rPr>
        <w:t>Девизни курс.</w:t>
      </w:r>
      <w:r w:rsidRPr="00AD7E7D">
        <w:rPr>
          <w:rFonts w:cs="Times New Roman"/>
          <w:szCs w:val="24"/>
          <w:lang w:val="sr-Cyrl-RS"/>
        </w:rPr>
        <w:t xml:space="preserve"> Током 2024. године и даље преовлађују апрецијацијски притисци на динар. Ради очувања релативне стабилности курса динара према евру, Народна банка Србије је на домаћем девизном тржишту током десет месеци нето купила 1,99 млрд евра, а динар је номинално ојачао према евру за 0,1%. Апрецијацијским притисцима допринели су приливи на финансијском рачуну платног биланса, који су више него у целости покрили дефицит текућег рачуна. Понуда девиза долазила је великим делом од домаћих компанија, али су и други фактори деловали на страни понуде, као што су нето откуп ефективног страног новца банака од овлашћених мењача и физичких лица, као и продужење девизне позиције банака по основу коришћења платних картица и раст</w:t>
      </w:r>
      <w:r w:rsidRPr="00AD7E7D">
        <w:rPr>
          <w:rFonts w:cs="Times New Roman"/>
          <w:szCs w:val="24"/>
          <w:lang w:val="sr-Latn-RS"/>
        </w:rPr>
        <w:t>a</w:t>
      </w:r>
      <w:r w:rsidRPr="00AD7E7D">
        <w:rPr>
          <w:rFonts w:cs="Times New Roman"/>
          <w:szCs w:val="24"/>
          <w:lang w:val="sr-Cyrl-RS"/>
        </w:rPr>
        <w:t xml:space="preserve"> нето индексиране имовине банака.</w:t>
      </w:r>
    </w:p>
    <w:p w14:paraId="6A4C87DF" w14:textId="77777777" w:rsidR="001D58B7" w:rsidRPr="00AD7E7D" w:rsidRDefault="001D58B7" w:rsidP="00CF6476">
      <w:pPr>
        <w:rPr>
          <w:rFonts w:cs="Times New Roman"/>
          <w:szCs w:val="24"/>
          <w:lang w:val="sr-Cyrl-RS"/>
        </w:rPr>
      </w:pPr>
      <w:r w:rsidRPr="00AD7E7D">
        <w:rPr>
          <w:rFonts w:cs="Times New Roman"/>
          <w:szCs w:val="24"/>
          <w:lang w:val="sr-Cyrl-RS"/>
        </w:rPr>
        <w:t xml:space="preserve">Од почетка 2024. године </w:t>
      </w:r>
      <w:r w:rsidRPr="00AD7E7D">
        <w:rPr>
          <w:rFonts w:cs="Times New Roman"/>
          <w:b/>
          <w:bCs/>
          <w:i/>
          <w:iCs/>
          <w:szCs w:val="24"/>
          <w:lang w:val="sr-Cyrl-RS"/>
        </w:rPr>
        <w:t>инфлација</w:t>
      </w:r>
      <w:r w:rsidRPr="00AD7E7D">
        <w:rPr>
          <w:rFonts w:cs="Times New Roman"/>
          <w:szCs w:val="24"/>
          <w:lang w:val="sr-Cyrl-RS"/>
        </w:rPr>
        <w:t xml:space="preserve"> у Србији наставила је да успорава</w:t>
      </w:r>
      <w:r w:rsidRPr="00AD7E7D">
        <w:rPr>
          <w:rFonts w:cs="Times New Roman"/>
          <w:szCs w:val="24"/>
          <w:lang w:val="sr-Latn-RS"/>
        </w:rPr>
        <w:t xml:space="preserve"> </w:t>
      </w:r>
      <w:r w:rsidRPr="00AD7E7D">
        <w:rPr>
          <w:rFonts w:cs="Times New Roman"/>
          <w:szCs w:val="24"/>
          <w:lang w:val="sr-Cyrl-RS"/>
        </w:rPr>
        <w:t>и у мају се вратила у границе циља Народне банке Србије (3 ± 1,5%). Након тога, инфлација је наставила да се креће унутар тих граница и у октобру је износила 4,5%. У односу на врхунац из марта 2023. године, смањењу инфлације допринеле су све њене кључне компоненте, а највише цене хране, чији је међугодишњи раст од фебруара ове године константно нижи од укупне инфлације. Снажан пад у истом периоду бележила је и базна инфлација (индекс потрошачких цена по искључењу хране, енергије, алкохола и цигарета), која је у односу на врхунац у марту прошле године преполовљена, као резултат ефеката досадашњег заоштравања монетарних услова, успоравања увозне инфлације и пада инфлационих очекивања. Као и у другим земљама региона, укључујући и зону евра, базна инфлација је виша од укупне инфлације и последњих месеци се креће благо изнад нивоа од 5% међугодишње, вођена вишим ценама услуга.</w:t>
      </w:r>
    </w:p>
    <w:p w14:paraId="1505588C" w14:textId="77777777" w:rsidR="001D58B7" w:rsidRPr="00AD7E7D" w:rsidRDefault="001D58B7" w:rsidP="00CF6476">
      <w:pPr>
        <w:rPr>
          <w:rFonts w:cs="Times New Roman"/>
          <w:bCs/>
          <w:iCs/>
          <w:szCs w:val="24"/>
          <w:lang w:val="sr-Cyrl-RS"/>
        </w:rPr>
      </w:pPr>
      <w:bookmarkStart w:id="10" w:name="_Hlk88465511"/>
      <w:r w:rsidRPr="00AD7E7D">
        <w:rPr>
          <w:rFonts w:cs="Times New Roman"/>
          <w:b/>
          <w:i/>
          <w:szCs w:val="24"/>
          <w:lang w:val="sr-Cyrl-RS"/>
        </w:rPr>
        <w:t>Кредитна активност и монетарна кретања.</w:t>
      </w:r>
      <w:r w:rsidRPr="00AD7E7D">
        <w:rPr>
          <w:rFonts w:cs="Times New Roman"/>
          <w:bCs/>
          <w:iCs/>
          <w:szCs w:val="24"/>
          <w:lang w:val="sr-Cyrl-RS"/>
        </w:rPr>
        <w:t xml:space="preserve"> Током 2024. године укупни домаћи кредити убрзали су мг. раст – на 6,6% у септембру (са 1,0% крајем 2023), захваљујући расту тражње привреде и становништва за кредитима у условима ублажених кредитних стандарда. Расту кредитне активности допринели су и нижи трошкови финансирања, при чему су каматне стопе на динарске кредите и кредите у евро знаку у паду од краја </w:t>
      </w:r>
      <w:r w:rsidRPr="00AD7E7D">
        <w:rPr>
          <w:rFonts w:cs="Times New Roman"/>
          <w:bCs/>
          <w:iCs/>
          <w:szCs w:val="24"/>
          <w:lang w:val="sr-Cyrl-RS"/>
        </w:rPr>
        <w:lastRenderedPageBreak/>
        <w:t>прошле године, услед очекивања тржишта да ће Народна банка Србије и ЕЦБ ускоро започети ублажавање монетарне политике, које је и започето у јуну ове године,</w:t>
      </w:r>
      <w:r w:rsidRPr="00AD7E7D">
        <w:rPr>
          <w:rFonts w:cs="Times New Roman"/>
          <w:bCs/>
          <w:iCs/>
          <w:szCs w:val="24"/>
          <w:lang w:val="sr-Latn-RS"/>
        </w:rPr>
        <w:t xml:space="preserve"> чиме је додатно подржан пад каматних стопа</w:t>
      </w:r>
      <w:r w:rsidRPr="00AD7E7D">
        <w:rPr>
          <w:rFonts w:cs="Times New Roman"/>
          <w:bCs/>
          <w:iCs/>
          <w:szCs w:val="24"/>
          <w:lang w:val="sr-Cyrl-RS"/>
        </w:rPr>
        <w:t>. Посматрано по секторима, кредити привреди убрзали су мг. раст на 5,0%, а кредити становништву на 7,8%. Код кредита привреди, негативан утицај на стање кредита, који је претходно потицао од доспећа кредита по гарантним шемама, био је знатно слабији него раније.</w:t>
      </w:r>
    </w:p>
    <w:p w14:paraId="0922A0DE" w14:textId="77777777" w:rsidR="001D58B7" w:rsidRPr="00AD7E7D" w:rsidRDefault="001D58B7" w:rsidP="00CF6476">
      <w:pPr>
        <w:rPr>
          <w:rFonts w:cs="Times New Roman"/>
          <w:bCs/>
          <w:iCs/>
          <w:szCs w:val="24"/>
          <w:lang w:val="sr-Cyrl-RS"/>
        </w:rPr>
      </w:pPr>
      <w:r w:rsidRPr="00AD7E7D">
        <w:rPr>
          <w:rFonts w:cs="Times New Roman"/>
          <w:szCs w:val="24"/>
          <w:lang w:val="sr-Cyrl-RS"/>
        </w:rPr>
        <w:t xml:space="preserve">Резултати анкета о кредитној активности коју спроводи Народна банка Србије показују да су банке у 2024. ублажиле стандарде за привреду и становништво, и то претежно за динарске кредите. Ублажавање је било пре свега опредељено нижим трошковима извора финансирања, а у истом смеру деловали су и конкуренција међу банкама и позитивна очекивања у погледу економске активности. </w:t>
      </w:r>
      <w:r w:rsidRPr="00AD7E7D">
        <w:rPr>
          <w:rFonts w:cs="Times New Roman"/>
          <w:bCs/>
          <w:iCs/>
          <w:szCs w:val="24"/>
          <w:lang w:val="sr-Cyrl-RS"/>
        </w:rPr>
        <w:t>Тражња становништва за кредитима расла је током целе године, на шта су пре свега утицале потребе за рефинансирањем постојећих кредита, куповином непокретности, набавком трајних потрошних добара, уз позитиван утицај виших зарада. Укупно посматрано, тражња привреде за кредитима повећана је само у Т2, док је тражња за динарским кредитима расла у Т1 и Т3. Расту тражње привреде доприносиле су потребе финансирања обртних средстава, за којим следе реструктурирање дугова и финансирање инвестиција, док су интерно финансирање предузећа и зајмови небанкарских институција деловали у супротном смеру.</w:t>
      </w:r>
      <w:r w:rsidRPr="00AD7E7D">
        <w:rPr>
          <w:rFonts w:cs="Times New Roman"/>
          <w:szCs w:val="24"/>
          <w:lang w:val="sr-Cyrl-RS"/>
        </w:rPr>
        <w:t xml:space="preserve"> </w:t>
      </w:r>
      <w:r w:rsidRPr="00AD7E7D">
        <w:rPr>
          <w:rFonts w:cs="Times New Roman"/>
          <w:bCs/>
          <w:iCs/>
          <w:szCs w:val="24"/>
          <w:lang w:val="sr-Cyrl-RS"/>
        </w:rPr>
        <w:t>Банке очекују ублажавање стандарда и раст тражње за кредитима у Т4 и код привреде и код становништва.</w:t>
      </w:r>
    </w:p>
    <w:p w14:paraId="10822C5C" w14:textId="77777777" w:rsidR="001D58B7" w:rsidRPr="00AD7E7D" w:rsidRDefault="001D58B7" w:rsidP="00CF6476">
      <w:pPr>
        <w:rPr>
          <w:rFonts w:cs="Times New Roman"/>
          <w:szCs w:val="24"/>
          <w:lang w:val="sr-Cyrl-RS"/>
        </w:rPr>
      </w:pPr>
      <w:r w:rsidRPr="00AD7E7D">
        <w:rPr>
          <w:rFonts w:cs="Times New Roman"/>
          <w:szCs w:val="24"/>
          <w:lang w:val="sr-Cyrl-RS"/>
        </w:rPr>
        <w:t xml:space="preserve">Током 2024. предузећа највише користила кредите за ликвидност и обртна средства, за којима следе увозни и инвестициони кредити. Таква кретања утицала су на то да учешће кредита за ликвидност и обртна средства у укупним кредитима привреди буде повећано на 47,8% у септембру, док је учешће следећих по заступљености, инвестиционих кредита износило 40,6%. Повећано је задуживање предузећа из скоро свих делатности, а највише прерађивачке индустрије и трговине, док је једино смањено задуживање предузећа из пољопривреде. Посматрано по величини предузећа, кредити одобрени сегменту микро, малих и средњих предузећа чинили су 58,7% укупних кредита привреди у септембру, а њихово стање било је за 5,6% више него пре годину дана. Раст кредита становништву вођен је готовинским кредитима, чија је висока реализација подржана промотивним понудама банака, нижим каматним стопама и ублаженим кредитним стандардима. За њима следе стамбени кредити, за којима, према оцени банака, тражња расте од почетка 2024, што се може довести у везу са одлуком Народне банке Србије о привременом ограничавању каматних стопа на стамбене кредите, као и започетим ублажавањем монетарне политике ЕЦБ-а, али и растом зарада. </w:t>
      </w:r>
    </w:p>
    <w:p w14:paraId="6CEC7260" w14:textId="77777777" w:rsidR="001D58B7" w:rsidRPr="00AD7E7D" w:rsidRDefault="001D58B7" w:rsidP="00CF6476">
      <w:pPr>
        <w:rPr>
          <w:rFonts w:cs="Times New Roman"/>
          <w:szCs w:val="24"/>
          <w:lang w:val="sr-Cyrl-RS"/>
        </w:rPr>
      </w:pPr>
      <w:r w:rsidRPr="00AD7E7D">
        <w:rPr>
          <w:rFonts w:cs="Times New Roman"/>
          <w:szCs w:val="24"/>
          <w:lang w:val="sr-Cyrl-RS"/>
        </w:rPr>
        <w:t>Динаризација стања укупних пласмана привреди и становништву је током 2024. повећана за 2,3 п.п., на 36,8% у септембру, пре свега захваљујући повећаном динарском кредитирању. При томе, степен динаризације пласмана привреди повећан је за 2,7 п.п. на 20,0% у септембру, а пласмана становништву за 1,2 п.п. на 55,3%. На континуиран раст динарских кредита повољно утичу одредбе Одлуке о адекватности капитала банке, којима се приликом обрачуна показатеља адекватности капитала, почев од 2025. године, прописује обавеза банкама да умање капитал уколико учешће девизно индексираних и девизних кредита у укупним кредитима нефинансијском и недржавном сектору одобрених након 1. јула 2023. премаши одређени праг (71% у 2025).</w:t>
      </w:r>
      <w:r w:rsidRPr="00AD7E7D">
        <w:rPr>
          <w:rStyle w:val="FootnoteReference"/>
          <w:rFonts w:cs="Times New Roman"/>
          <w:szCs w:val="24"/>
          <w:lang w:val="sr-Cyrl-RS"/>
        </w:rPr>
        <w:footnoteReference w:id="3"/>
      </w:r>
    </w:p>
    <w:p w14:paraId="45ECCC7A" w14:textId="77777777" w:rsidR="001D58B7" w:rsidRPr="00AD7E7D" w:rsidRDefault="001D58B7" w:rsidP="00CF6476">
      <w:pPr>
        <w:rPr>
          <w:rFonts w:cs="Times New Roman"/>
          <w:szCs w:val="24"/>
          <w:lang w:val="sr-Cyrl-RS"/>
        </w:rPr>
      </w:pPr>
      <w:r w:rsidRPr="00AD7E7D">
        <w:rPr>
          <w:rFonts w:cs="Times New Roman"/>
          <w:szCs w:val="24"/>
          <w:lang w:val="sr-Cyrl-RS"/>
        </w:rPr>
        <w:t xml:space="preserve">У овој и у наредној години очекујемо раст кредитне активности од по 7%, захваљујући повољнијим условима финансирања и убрзању привредне активности. Даље постепено </w:t>
      </w:r>
      <w:r w:rsidRPr="00AD7E7D">
        <w:rPr>
          <w:rFonts w:cs="Times New Roman"/>
          <w:szCs w:val="24"/>
          <w:lang w:val="sr-Cyrl-RS"/>
        </w:rPr>
        <w:lastRenderedPageBreak/>
        <w:t>убрзање раста кредитне активности у складу са растом номиналног БДП-а, очекује се у средњем року.</w:t>
      </w:r>
      <w:r w:rsidRPr="00AD7E7D">
        <w:rPr>
          <w:rFonts w:cs="Times New Roman"/>
          <w:szCs w:val="24"/>
        </w:rPr>
        <w:t xml:space="preserve"> </w:t>
      </w:r>
    </w:p>
    <w:p w14:paraId="286D4B0C" w14:textId="77777777" w:rsidR="001D58B7" w:rsidRPr="00AD7E7D" w:rsidRDefault="001D58B7" w:rsidP="00CF6476">
      <w:pPr>
        <w:rPr>
          <w:rFonts w:cs="Times New Roman"/>
          <w:szCs w:val="24"/>
          <w:lang w:val="sr-Latn-RS"/>
        </w:rPr>
      </w:pPr>
      <w:r w:rsidRPr="00AD7E7D">
        <w:rPr>
          <w:rFonts w:cs="Times New Roman"/>
          <w:szCs w:val="24"/>
          <w:lang w:val="sr-Cyrl-RS"/>
        </w:rPr>
        <w:t>Монетарни агрегати М1 и М2 су у септембру забележили номинални мг. раст од по 15,5%, а М3 од 12,0%. Динарски депозити по виђењу и штедни и орочени депозити повећани су у сличној мери, при чему је раст у оба случаја вођен растом депозита становништва. Динарска штедња грађана је достигла нови највиши ниво од 171,4 млрд динара у септембру</w:t>
      </w:r>
      <w:r w:rsidRPr="00AD7E7D">
        <w:rPr>
          <w:rStyle w:val="FootnoteReference"/>
          <w:rFonts w:cs="Times New Roman"/>
          <w:szCs w:val="24"/>
          <w:lang w:val="sr-Cyrl-RS"/>
        </w:rPr>
        <w:footnoteReference w:id="4"/>
      </w:r>
      <w:r w:rsidRPr="00AD7E7D">
        <w:rPr>
          <w:rFonts w:cs="Times New Roman"/>
          <w:szCs w:val="24"/>
          <w:lang w:val="sr-Cyrl-RS"/>
        </w:rPr>
        <w:t xml:space="preserve">, чиме је њено учешће у укупној штедњи становништва повећано на 9,4% (наспрам 8,0% крајем 2023. и 1,9% крајем 2012). И девизни депозити наставили су раст, вођени растом депозита становништва (на које је утицао и прилив дознака) и привреде (захваљујући расту страних директних инвестиција, извоза и прекограничном задуживању). Динаризација депозита привреде и становништва у септембру износила је </w:t>
      </w:r>
      <w:r w:rsidRPr="00AD7E7D">
        <w:rPr>
          <w:rFonts w:cs="Times New Roman"/>
          <w:szCs w:val="24"/>
          <w:lang w:val="sr-Latn-RS"/>
        </w:rPr>
        <w:t>44,2%</w:t>
      </w:r>
      <w:r w:rsidRPr="00AD7E7D">
        <w:rPr>
          <w:rFonts w:cs="Times New Roman"/>
          <w:szCs w:val="24"/>
          <w:lang w:val="sr-Cyrl-RS"/>
        </w:rPr>
        <w:t>, што је готово на рекордном нивоу с краја 2023. (44,4%) и значајно више у односу на крај 2012. године (19,3%).</w:t>
      </w:r>
      <w:r w:rsidRPr="00AD7E7D">
        <w:rPr>
          <w:rFonts w:cs="Times New Roman"/>
          <w:szCs w:val="24"/>
          <w:lang w:val="sr-Latn-RS"/>
        </w:rPr>
        <w:t xml:space="preserve"> </w:t>
      </w:r>
    </w:p>
    <w:p w14:paraId="03E4E654" w14:textId="77777777" w:rsidR="001D58B7" w:rsidRPr="00AD7E7D" w:rsidRDefault="001D58B7" w:rsidP="00CF6476">
      <w:pPr>
        <w:rPr>
          <w:rFonts w:cs="Times New Roman"/>
          <w:b/>
          <w:i/>
          <w:szCs w:val="24"/>
          <w:lang w:val="sr-Cyrl-RS"/>
        </w:rPr>
      </w:pPr>
      <w:r w:rsidRPr="00AD7E7D">
        <w:rPr>
          <w:rFonts w:cs="Times New Roman"/>
          <w:b/>
          <w:i/>
          <w:szCs w:val="24"/>
          <w:lang w:val="sr-Cyrl-RS"/>
        </w:rPr>
        <w:t xml:space="preserve">Финансијски сектор. </w:t>
      </w:r>
      <w:r w:rsidRPr="00AD7E7D">
        <w:rPr>
          <w:rFonts w:cs="Times New Roman"/>
          <w:szCs w:val="24"/>
          <w:lang w:val="sr-Cyrl-RS"/>
        </w:rPr>
        <w:t>У структури финансијског система Србије није било значајнијих измена током 2024. године – банкарски сектор је и даље доминантан са учешћем преко 90% у укупној активи финансијског сектора.</w:t>
      </w:r>
      <w:r w:rsidRPr="00AD7E7D">
        <w:rPr>
          <w:rFonts w:cs="Times New Roman"/>
          <w:b/>
          <w:i/>
          <w:szCs w:val="24"/>
          <w:lang w:val="sr-Cyrl-RS"/>
        </w:rPr>
        <w:t xml:space="preserve"> </w:t>
      </w:r>
      <w:r w:rsidRPr="00AD7E7D">
        <w:rPr>
          <w:rFonts w:cs="Times New Roman"/>
          <w:szCs w:val="24"/>
          <w:lang w:val="sr-Cyrl-RS"/>
        </w:rPr>
        <w:t xml:space="preserve">Закључно са 30. септембром 2024. године банкарски сектор Србије је чинило 20 банака, од којих је 15 у већинском власништву страних лица, две банке су у већинском власништву Републике Србије, док су три банке у већинском власништву домаћих правних лица. </w:t>
      </w:r>
      <w:bookmarkStart w:id="11" w:name="_Hlk57296010"/>
      <w:r w:rsidRPr="00AD7E7D">
        <w:rPr>
          <w:rFonts w:cs="Times New Roman"/>
          <w:szCs w:val="24"/>
          <w:lang w:val="sr-Cyrl-RS"/>
        </w:rPr>
        <w:t xml:space="preserve">На тржишту доминирају банке у већинском власништву страних лица, на које се односи </w:t>
      </w:r>
      <w:r w:rsidRPr="00AD7E7D">
        <w:rPr>
          <w:rFonts w:cs="Times New Roman"/>
          <w:szCs w:val="24"/>
          <w:lang w:val="sr-Latn-RS"/>
        </w:rPr>
        <w:t>77,5</w:t>
      </w:r>
      <w:r w:rsidRPr="00AD7E7D">
        <w:rPr>
          <w:rFonts w:cs="Times New Roman"/>
          <w:szCs w:val="24"/>
          <w:lang w:val="sr-Cyrl-RS"/>
        </w:rPr>
        <w:t xml:space="preserve">% укупне билансне активе, </w:t>
      </w:r>
      <w:r w:rsidRPr="00AD7E7D">
        <w:rPr>
          <w:rFonts w:cs="Times New Roman"/>
          <w:szCs w:val="24"/>
          <w:lang w:val="sr-Latn-RS"/>
        </w:rPr>
        <w:t>80,7</w:t>
      </w:r>
      <w:r w:rsidRPr="00AD7E7D">
        <w:rPr>
          <w:rFonts w:cs="Times New Roman"/>
          <w:szCs w:val="24"/>
          <w:lang w:val="sr-Cyrl-RS"/>
        </w:rPr>
        <w:t xml:space="preserve">% укупних бруто кредита и </w:t>
      </w:r>
      <w:r w:rsidRPr="00AD7E7D">
        <w:rPr>
          <w:rFonts w:cs="Times New Roman"/>
          <w:szCs w:val="24"/>
          <w:lang w:val="sr-Latn-RS"/>
        </w:rPr>
        <w:t>76,5</w:t>
      </w:r>
      <w:r w:rsidRPr="00AD7E7D">
        <w:rPr>
          <w:rFonts w:cs="Times New Roman"/>
          <w:szCs w:val="24"/>
          <w:lang w:val="sr-Cyrl-RS"/>
        </w:rPr>
        <w:t xml:space="preserve">% укупних депозита банкарског сектора. </w:t>
      </w:r>
    </w:p>
    <w:bookmarkEnd w:id="11"/>
    <w:p w14:paraId="7F64C541" w14:textId="77777777" w:rsidR="001D58B7" w:rsidRPr="00AD7E7D" w:rsidRDefault="001D58B7" w:rsidP="00CF6476">
      <w:pPr>
        <w:rPr>
          <w:rFonts w:cs="Times New Roman"/>
          <w:szCs w:val="24"/>
          <w:lang w:val="sr-Cyrl-RS"/>
        </w:rPr>
      </w:pPr>
      <w:r w:rsidRPr="00AD7E7D">
        <w:rPr>
          <w:rFonts w:cs="Times New Roman"/>
          <w:szCs w:val="24"/>
          <w:lang w:val="sr-Cyrl-RS"/>
        </w:rPr>
        <w:t xml:space="preserve">Билансна сума и капитал банкарског сектора су на крају септембра 2024. године износили </w:t>
      </w:r>
      <w:r w:rsidRPr="00AD7E7D">
        <w:rPr>
          <w:rFonts w:cs="Times New Roman"/>
          <w:szCs w:val="24"/>
          <w:lang w:val="sr-Latn-RS"/>
        </w:rPr>
        <w:t>6.308</w:t>
      </w:r>
      <w:r w:rsidRPr="00AD7E7D">
        <w:rPr>
          <w:rFonts w:cs="Times New Roman"/>
          <w:szCs w:val="24"/>
          <w:lang w:val="sr-Cyrl-RS"/>
        </w:rPr>
        <w:t xml:space="preserve"> млрд динара и </w:t>
      </w:r>
      <w:r w:rsidRPr="00AD7E7D">
        <w:rPr>
          <w:rFonts w:cs="Times New Roman"/>
          <w:szCs w:val="24"/>
          <w:lang w:val="sr-Latn-RS"/>
        </w:rPr>
        <w:t>895</w:t>
      </w:r>
      <w:r w:rsidRPr="00AD7E7D">
        <w:rPr>
          <w:rFonts w:cs="Times New Roman"/>
          <w:szCs w:val="24"/>
          <w:lang w:val="sr-Cyrl-RS"/>
        </w:rPr>
        <w:t xml:space="preserve"> млрд динара, респективно. Солидне резерве капитала које су банке изградиле ранијих година су их учиниле отпорнијим на ризике у ситуацији и даље присутних неизвесности из међународног окружења. Показатељ адекватности капитала за банкарски сектор је износио </w:t>
      </w:r>
      <w:r w:rsidRPr="00AD7E7D">
        <w:rPr>
          <w:rFonts w:cs="Times New Roman"/>
          <w:szCs w:val="24"/>
          <w:lang w:val="sr-Latn-RS"/>
        </w:rPr>
        <w:t>21,85</w:t>
      </w:r>
      <w:r w:rsidRPr="00AD7E7D">
        <w:rPr>
          <w:rFonts w:cs="Times New Roman"/>
          <w:szCs w:val="24"/>
          <w:lang w:val="sr-Cyrl-RS"/>
        </w:rPr>
        <w:t>%, а показатељ левериџа (по „Базелу 3“) 10,</w:t>
      </w:r>
      <w:r w:rsidRPr="00AD7E7D">
        <w:rPr>
          <w:rFonts w:cs="Times New Roman"/>
          <w:szCs w:val="24"/>
          <w:lang w:val="sr-Latn-RS"/>
        </w:rPr>
        <w:t>57</w:t>
      </w:r>
      <w:r w:rsidRPr="00AD7E7D">
        <w:rPr>
          <w:rFonts w:cs="Times New Roman"/>
          <w:szCs w:val="24"/>
          <w:lang w:val="sr-Cyrl-RS"/>
        </w:rPr>
        <w:t>% на крају септембра 2024. године, што представља још једну потврду високе солвентности банкарског сектора.</w:t>
      </w:r>
    </w:p>
    <w:p w14:paraId="57F05D47" w14:textId="77777777" w:rsidR="001D58B7" w:rsidRPr="00AD7E7D" w:rsidRDefault="001D58B7" w:rsidP="00CF6476">
      <w:pPr>
        <w:rPr>
          <w:rFonts w:cs="Times New Roman"/>
          <w:szCs w:val="24"/>
          <w:lang w:val="sr-Cyrl-RS"/>
        </w:rPr>
      </w:pPr>
      <w:r w:rsidRPr="00AD7E7D">
        <w:rPr>
          <w:rFonts w:cs="Times New Roman"/>
          <w:szCs w:val="24"/>
          <w:lang w:val="sr-Cyrl-RS"/>
        </w:rPr>
        <w:t>Резерве ликвидности банкарског сектора су више него довољне за покриће потенцијалних потреба за ликвидним средствима, што потврђуј</w:t>
      </w:r>
      <w:r w:rsidRPr="00AD7E7D">
        <w:rPr>
          <w:rFonts w:cs="Times New Roman"/>
          <w:szCs w:val="24"/>
          <w:lang w:val="sr-Latn-RS"/>
        </w:rPr>
        <w:t>e</w:t>
      </w:r>
      <w:r w:rsidRPr="00AD7E7D">
        <w:rPr>
          <w:rFonts w:cs="Times New Roman"/>
          <w:szCs w:val="24"/>
          <w:lang w:val="sr-Cyrl-RS"/>
        </w:rPr>
        <w:t xml:space="preserve"> кретање свих кључних по</w:t>
      </w:r>
      <w:r w:rsidR="00CF6476" w:rsidRPr="00AD7E7D">
        <w:rPr>
          <w:rFonts w:cs="Times New Roman"/>
          <w:szCs w:val="24"/>
          <w:lang w:val="sr-Cyrl-RS"/>
        </w:rPr>
        <w:t xml:space="preserve">казатеља ликвидности, при чему </w:t>
      </w:r>
      <w:r w:rsidRPr="00AD7E7D">
        <w:rPr>
          <w:rFonts w:cs="Times New Roman"/>
          <w:szCs w:val="24"/>
          <w:lang w:val="sr-Cyrl-RS"/>
        </w:rPr>
        <w:t xml:space="preserve">је показатељ покрића ликвидном активом износио </w:t>
      </w:r>
      <w:r w:rsidRPr="00AD7E7D">
        <w:rPr>
          <w:rFonts w:cs="Times New Roman"/>
          <w:szCs w:val="24"/>
          <w:lang w:val="sr-Latn-RS"/>
        </w:rPr>
        <w:t>195,30</w:t>
      </w:r>
      <w:r w:rsidRPr="00AD7E7D">
        <w:rPr>
          <w:rFonts w:cs="Times New Roman"/>
          <w:szCs w:val="24"/>
          <w:lang w:val="sr-Cyrl-RS"/>
        </w:rPr>
        <w:t xml:space="preserve">% а показатељ нето стабилних извора финансирања 182,21% на крају септембра 2024. године. </w:t>
      </w:r>
    </w:p>
    <w:p w14:paraId="3B3740A3" w14:textId="77777777" w:rsidR="001D58B7" w:rsidRPr="00AD7E7D" w:rsidRDefault="001D58B7" w:rsidP="00CF6476">
      <w:pPr>
        <w:rPr>
          <w:rFonts w:cs="Times New Roman"/>
          <w:szCs w:val="24"/>
          <w:lang w:val="sr-Cyrl-RS"/>
        </w:rPr>
      </w:pPr>
      <w:r w:rsidRPr="00AD7E7D">
        <w:rPr>
          <w:rFonts w:cs="Times New Roman"/>
          <w:szCs w:val="24"/>
          <w:lang w:val="sr-Cyrl-RS"/>
        </w:rPr>
        <w:t>Банкарски сектор је задржао задовољавајућу профитабилност и у 2024. години. Укупан нето добитак пре опорезивања остварен од почетка године до краја септембра износио је 143</w:t>
      </w:r>
      <w:r w:rsidRPr="00AD7E7D">
        <w:rPr>
          <w:rFonts w:cs="Times New Roman"/>
          <w:szCs w:val="24"/>
          <w:lang w:val="sr-Latn-RS"/>
        </w:rPr>
        <w:t>,</w:t>
      </w:r>
      <w:r w:rsidRPr="00AD7E7D">
        <w:rPr>
          <w:rFonts w:cs="Times New Roman"/>
          <w:szCs w:val="24"/>
          <w:lang w:val="sr-Cyrl-RS"/>
        </w:rPr>
        <w:t>0</w:t>
      </w:r>
      <w:r w:rsidRPr="00AD7E7D">
        <w:rPr>
          <w:rFonts w:cs="Times New Roman"/>
          <w:szCs w:val="24"/>
          <w:lang w:val="sr-Latn-RS"/>
        </w:rPr>
        <w:t>1</w:t>
      </w:r>
      <w:r w:rsidRPr="00AD7E7D">
        <w:rPr>
          <w:rFonts w:cs="Times New Roman"/>
          <w:szCs w:val="24"/>
          <w:lang w:val="sr-Cyrl-RS"/>
        </w:rPr>
        <w:t xml:space="preserve"> млрд динара, уз показатеље профитабилности ROA од </w:t>
      </w:r>
      <w:r w:rsidRPr="00AD7E7D">
        <w:rPr>
          <w:rFonts w:cs="Times New Roman"/>
          <w:szCs w:val="24"/>
        </w:rPr>
        <w:t>3,11</w:t>
      </w:r>
      <w:r w:rsidRPr="00AD7E7D">
        <w:rPr>
          <w:rFonts w:cs="Times New Roman"/>
          <w:szCs w:val="24"/>
          <w:lang w:val="sr-Cyrl-RS"/>
        </w:rPr>
        <w:t xml:space="preserve">% и ROE </w:t>
      </w:r>
      <w:r w:rsidRPr="00AD7E7D">
        <w:rPr>
          <w:rFonts w:cs="Times New Roman"/>
          <w:szCs w:val="24"/>
        </w:rPr>
        <w:t>22,26</w:t>
      </w:r>
      <w:r w:rsidRPr="00AD7E7D">
        <w:rPr>
          <w:rFonts w:cs="Times New Roman"/>
          <w:szCs w:val="24"/>
          <w:lang w:val="sr-Cyrl-RS"/>
        </w:rPr>
        <w:t>%.</w:t>
      </w:r>
    </w:p>
    <w:p w14:paraId="51B790DE" w14:textId="77777777" w:rsidR="001D58B7" w:rsidRPr="00AD7E7D" w:rsidRDefault="001D58B7" w:rsidP="00CF6476">
      <w:pPr>
        <w:rPr>
          <w:rFonts w:cs="Times New Roman"/>
          <w:szCs w:val="24"/>
          <w:lang w:val="sr-Cyrl-RS"/>
        </w:rPr>
      </w:pPr>
      <w:r w:rsidRPr="00AD7E7D">
        <w:rPr>
          <w:rFonts w:cs="Times New Roman"/>
          <w:szCs w:val="24"/>
          <w:lang w:val="sr-Cyrl-RS"/>
        </w:rPr>
        <w:t>Девет година након усвајања Стратегије за решавање проблематичних кредита, учешће проблематичних кредита у укупним бруто кредитима банкарског сектора је смањено за 19,</w:t>
      </w:r>
      <w:r w:rsidRPr="00AD7E7D">
        <w:rPr>
          <w:rFonts w:cs="Times New Roman"/>
          <w:szCs w:val="24"/>
          <w:lang w:val="sr-Latn-RS"/>
        </w:rPr>
        <w:t>50</w:t>
      </w:r>
      <w:r w:rsidRPr="00AD7E7D">
        <w:rPr>
          <w:rFonts w:cs="Times New Roman"/>
          <w:szCs w:val="24"/>
          <w:lang w:val="sr-Cyrl-RS"/>
        </w:rPr>
        <w:t xml:space="preserve"> п.п. и на крају септембра 2024. године износи 2,75%. Стање бруто проблематичних кредита је у истом периоду смањено за 76</w:t>
      </w:r>
      <w:r w:rsidRPr="00AD7E7D">
        <w:rPr>
          <w:rFonts w:cs="Times New Roman"/>
          <w:szCs w:val="24"/>
          <w:lang w:val="sr-Latn-RS"/>
        </w:rPr>
        <w:t>,</w:t>
      </w:r>
      <w:r w:rsidRPr="00AD7E7D">
        <w:rPr>
          <w:rFonts w:cs="Times New Roman"/>
          <w:szCs w:val="24"/>
          <w:lang w:val="sr-Cyrl-RS"/>
        </w:rPr>
        <w:t xml:space="preserve">64% (са 427,3 млрд динара на </w:t>
      </w:r>
      <w:r w:rsidRPr="00AD7E7D">
        <w:rPr>
          <w:rFonts w:cs="Times New Roman"/>
          <w:szCs w:val="24"/>
          <w:lang w:val="sr-Latn-RS"/>
        </w:rPr>
        <w:t>99,8</w:t>
      </w:r>
      <w:r w:rsidRPr="00AD7E7D">
        <w:rPr>
          <w:rFonts w:cs="Times New Roman"/>
          <w:szCs w:val="24"/>
          <w:lang w:val="sr-Cyrl-RS"/>
        </w:rPr>
        <w:t xml:space="preserve"> млрд динара). Учешће проблематичних кредита у укупним кредитима привреди је на крају септембра 2024. године износило 2,</w:t>
      </w:r>
      <w:r w:rsidRPr="00AD7E7D">
        <w:rPr>
          <w:rFonts w:cs="Times New Roman"/>
          <w:szCs w:val="24"/>
          <w:lang w:val="sr-Latn-RS"/>
        </w:rPr>
        <w:t>28</w:t>
      </w:r>
      <w:r w:rsidRPr="00AD7E7D">
        <w:rPr>
          <w:rFonts w:cs="Times New Roman"/>
          <w:szCs w:val="24"/>
          <w:lang w:val="sr-Cyrl-RS"/>
        </w:rPr>
        <w:t xml:space="preserve">%, док је њихов удео у укупним кредитима физичким лицима био </w:t>
      </w:r>
      <w:r w:rsidRPr="00AD7E7D">
        <w:rPr>
          <w:rFonts w:cs="Times New Roman"/>
          <w:szCs w:val="24"/>
          <w:lang w:val="sr-Latn-RS"/>
        </w:rPr>
        <w:t>3,73</w:t>
      </w:r>
      <w:r w:rsidRPr="00AD7E7D">
        <w:rPr>
          <w:rFonts w:cs="Times New Roman"/>
          <w:szCs w:val="24"/>
          <w:lang w:val="sr-Cyrl-RS"/>
        </w:rPr>
        <w:t>%. На крају септембра 2024. године покриће проблематичних кредита исправкама вредности извршеним у складу са МСФИ је износило</w:t>
      </w:r>
      <w:r w:rsidR="00CF6476" w:rsidRPr="00AD7E7D">
        <w:rPr>
          <w:rFonts w:cs="Times New Roman"/>
          <w:szCs w:val="24"/>
          <w:lang w:val="sr-Cyrl-RS"/>
        </w:rPr>
        <w:t xml:space="preserve"> </w:t>
      </w:r>
      <w:r w:rsidRPr="00AD7E7D">
        <w:rPr>
          <w:rFonts w:cs="Times New Roman"/>
          <w:szCs w:val="24"/>
          <w:lang w:val="sr-Cyrl-RS"/>
        </w:rPr>
        <w:t>61</w:t>
      </w:r>
      <w:r w:rsidRPr="00AD7E7D">
        <w:rPr>
          <w:rFonts w:cs="Times New Roman"/>
          <w:szCs w:val="24"/>
          <w:lang w:val="sr-Latn-RS"/>
        </w:rPr>
        <w:t>,</w:t>
      </w:r>
      <w:r w:rsidRPr="00AD7E7D">
        <w:rPr>
          <w:rFonts w:cs="Times New Roman"/>
          <w:szCs w:val="24"/>
          <w:lang w:val="sr-Cyrl-RS"/>
        </w:rPr>
        <w:t xml:space="preserve">78%. </w:t>
      </w:r>
      <w:bookmarkStart w:id="12" w:name="_Hlk88058820"/>
    </w:p>
    <w:bookmarkEnd w:id="12"/>
    <w:p w14:paraId="0A3D84D2" w14:textId="77777777" w:rsidR="001D58B7" w:rsidRPr="00AD7E7D" w:rsidRDefault="001D58B7" w:rsidP="00CF6476">
      <w:pPr>
        <w:shd w:val="clear" w:color="auto" w:fill="FFFFFF" w:themeFill="background1"/>
        <w:rPr>
          <w:rFonts w:cs="Times New Roman"/>
          <w:szCs w:val="24"/>
          <w:lang w:val="sr-Latn-RS"/>
        </w:rPr>
      </w:pPr>
      <w:r w:rsidRPr="00AD7E7D">
        <w:rPr>
          <w:rFonts w:cs="Times New Roman"/>
          <w:szCs w:val="24"/>
          <w:lang w:val="sr-Cyrl-RS"/>
        </w:rPr>
        <w:lastRenderedPageBreak/>
        <w:t xml:space="preserve">Народна банка Србије редовно разматра обавезу одржавања </w:t>
      </w:r>
      <w:r w:rsidRPr="00AD7E7D">
        <w:rPr>
          <w:rFonts w:cs="Times New Roman"/>
          <w:b/>
          <w:bCs/>
          <w:i/>
          <w:iCs/>
          <w:szCs w:val="24"/>
          <w:lang w:val="sr-Cyrl-RS"/>
        </w:rPr>
        <w:t>заштитних слојева капитала</w:t>
      </w:r>
      <w:r w:rsidRPr="00AD7E7D">
        <w:rPr>
          <w:rFonts w:cs="Times New Roman"/>
          <w:szCs w:val="24"/>
          <w:lang w:val="sr-Cyrl-RS"/>
        </w:rPr>
        <w:t xml:space="preserve"> којима се ограничавају системски ризици у финансијском систему Републике Србије. Последње преиспитивање заштитног слоја капитала за структурни системски ризик било је у марту 2024. када је одлучено да се овај заштитни слој капитала задржи у висини од 3% укупних девизних и девизно индексираних пласмана банке одобрених привреди и становништву. Заштитни слој капитала за системски значајне банке преиспитује се најмање једном годишње, а девет банака које су идентификоване као системски значајне за Републику Србију, у обавези су да од 30. јуна 2024. године одржавају овај заштитни слој капитала (четири банке по стопи од 2%, а осталих пет банака по стопи од 1%)</w:t>
      </w:r>
      <w:r w:rsidRPr="00AD7E7D">
        <w:rPr>
          <w:rStyle w:val="FootnoteReference"/>
          <w:rFonts w:cs="Times New Roman"/>
          <w:szCs w:val="24"/>
          <w:lang w:val="sr-Cyrl-RS"/>
        </w:rPr>
        <w:footnoteReference w:id="5"/>
      </w:r>
      <w:r w:rsidRPr="00AD7E7D">
        <w:rPr>
          <w:rFonts w:cs="Times New Roman"/>
          <w:szCs w:val="24"/>
          <w:lang w:val="sr-Cyrl-RS"/>
        </w:rPr>
        <w:t>. Стопа контрацикличног заштитног слоја капитала (CCyB) за Републику Србију преиспитује се на тромесечном нивоу. Народнa банка Србије је 12. септембра 2024. године одлучила да стопу CCyB-а за Републику Србију задржи на нивоу од 0%, имајући у виду да се учешће укупних кредита у БДП-у у другом тромесечју 2024. креће око свог дугорочног тренда и да се одступање учешћа укупних кредита у БДП-у од свог дугорочног тренда налазило испод границе за увођење CCуB-а од 2 п.п. Задржавањем стопе CCyB-а на нивоу од 0% подржава се кредитно тржиште у и даље заоштреним глобалним финансијским условима. Банке су у септембру 2024. године за одржавање свих прописаних заштитних слојева капитала укупно издвојиле 199,3 млрд динара основног акцијског капитала, или 5,7% ризичне активе.</w:t>
      </w:r>
    </w:p>
    <w:p w14:paraId="751D1C8A" w14:textId="77777777" w:rsidR="001D58B7" w:rsidRPr="00AD7E7D" w:rsidRDefault="001D58B7" w:rsidP="00CF6476">
      <w:pPr>
        <w:rPr>
          <w:rFonts w:cs="Times New Roman"/>
          <w:szCs w:val="24"/>
          <w:lang w:val="sr-Cyrl-RS"/>
        </w:rPr>
      </w:pPr>
      <w:bookmarkStart w:id="13" w:name="_Hlk149722595"/>
      <w:bookmarkEnd w:id="10"/>
      <w:r w:rsidRPr="00AD7E7D">
        <w:rPr>
          <w:rFonts w:cs="Times New Roman"/>
          <w:szCs w:val="24"/>
          <w:lang w:val="sr-Cyrl-RS"/>
        </w:rPr>
        <w:t xml:space="preserve">Народна банка Србије је у новембру 2023. године донела нову </w:t>
      </w:r>
      <w:r w:rsidRPr="00AD7E7D">
        <w:rPr>
          <w:rFonts w:cs="Times New Roman"/>
          <w:b/>
          <w:bCs/>
          <w:szCs w:val="24"/>
          <w:lang w:val="sr-Cyrl-RS"/>
        </w:rPr>
        <w:t>„</w:t>
      </w:r>
      <w:r w:rsidRPr="00AD7E7D">
        <w:rPr>
          <w:rFonts w:cs="Times New Roman"/>
          <w:b/>
          <w:bCs/>
          <w:i/>
          <w:iCs/>
          <w:szCs w:val="24"/>
          <w:lang w:val="sr-Cyrl-RS"/>
        </w:rPr>
        <w:t>Одлуку о управљању ризиком ликвидности банке“</w:t>
      </w:r>
      <w:r w:rsidRPr="00AD7E7D">
        <w:rPr>
          <w:rFonts w:cs="Times New Roman"/>
          <w:szCs w:val="24"/>
          <w:lang w:val="sr-Cyrl-RS"/>
        </w:rPr>
        <w:t>, којом је уведен показатељ нето стабилног финансирања (НСФР), и усаглашена су правила за обрачун постојећег показатеља покрића ликвидном активом (ППЛА) са изменама у ЕУ. Поред тога, додатно су прилагођени постојећи показатељи - показатељ ликвидности и ужи показатељ ликвидности банке.</w:t>
      </w:r>
    </w:p>
    <w:p w14:paraId="78DCD96F" w14:textId="77777777" w:rsidR="001D58B7" w:rsidRPr="00AD7E7D" w:rsidRDefault="001D58B7" w:rsidP="00CF6476">
      <w:pPr>
        <w:rPr>
          <w:rFonts w:cs="Times New Roman"/>
          <w:szCs w:val="24"/>
          <w:lang w:val="sr-Cyrl-RS"/>
        </w:rPr>
      </w:pPr>
      <w:r w:rsidRPr="00AD7E7D">
        <w:rPr>
          <w:rFonts w:cs="Times New Roman"/>
          <w:szCs w:val="24"/>
          <w:lang w:val="sr-Cyrl-RS"/>
        </w:rPr>
        <w:t xml:space="preserve">С тим у вези, донета је </w:t>
      </w:r>
      <w:r w:rsidRPr="00AD7E7D">
        <w:rPr>
          <w:rFonts w:cs="Times New Roman"/>
          <w:b/>
          <w:bCs/>
          <w:szCs w:val="24"/>
          <w:lang w:val="sr-Latn-RS"/>
        </w:rPr>
        <w:t>„</w:t>
      </w:r>
      <w:r w:rsidRPr="00AD7E7D">
        <w:rPr>
          <w:rFonts w:cs="Times New Roman"/>
          <w:b/>
          <w:bCs/>
          <w:i/>
          <w:iCs/>
          <w:szCs w:val="24"/>
          <w:lang w:val="sr-Cyrl-RS"/>
        </w:rPr>
        <w:t>Одлука о изменама и допунама Одлуке о извештавању банака</w:t>
      </w:r>
      <w:r w:rsidRPr="00AD7E7D">
        <w:rPr>
          <w:rFonts w:cs="Times New Roman"/>
          <w:b/>
          <w:bCs/>
          <w:szCs w:val="24"/>
          <w:lang w:val="sr-Latn-RS"/>
        </w:rPr>
        <w:t>“</w:t>
      </w:r>
      <w:r w:rsidRPr="00AD7E7D">
        <w:rPr>
          <w:rFonts w:cs="Times New Roman"/>
          <w:szCs w:val="24"/>
          <w:lang w:val="sr-Cyrl-RS"/>
        </w:rPr>
        <w:t xml:space="preserve"> која има за циљ да кроз систем извештавања имплементира регулаторна решења из Одлуке о управљању ризиком ликвидности банака. Конкретно, уведени су нови извештаји за израчунавање НСФР показатеља, као и одговарајуће измене важећих извештаја за потребе обрачуна показатеља покрића ликвидном активом, као и дневног извештаја о показатељу ликвидности банке. Обе одлуке се примењују од 30. јуна 2024. године.</w:t>
      </w:r>
    </w:p>
    <w:p w14:paraId="4B8E688A" w14:textId="77777777" w:rsidR="001D58B7" w:rsidRPr="00AD7E7D" w:rsidRDefault="001D58B7" w:rsidP="00CF6476">
      <w:pPr>
        <w:rPr>
          <w:rFonts w:cs="Times New Roman"/>
          <w:szCs w:val="24"/>
          <w:lang w:val="sr-Cyrl-RS"/>
        </w:rPr>
      </w:pPr>
      <w:r w:rsidRPr="00AD7E7D">
        <w:rPr>
          <w:rFonts w:cs="Times New Roman"/>
          <w:szCs w:val="24"/>
          <w:lang w:val="sr-Cyrl-RS"/>
        </w:rPr>
        <w:t>На овај начин успостављен је свеобухватан и модеран правни оквир за управљање ризиком ликвидности у банкама – у складу са Базелским стандардима и европским прописима, али и узимајући у обзир локалне специфичности.</w:t>
      </w:r>
    </w:p>
    <w:p w14:paraId="314D61A8" w14:textId="77777777" w:rsidR="001D58B7" w:rsidRPr="00AD7E7D" w:rsidRDefault="001D58B7" w:rsidP="00CF6476">
      <w:pPr>
        <w:rPr>
          <w:rFonts w:cs="Times New Roman"/>
          <w:szCs w:val="24"/>
          <w:lang w:val="sr-Cyrl-RS"/>
        </w:rPr>
      </w:pPr>
      <w:r w:rsidRPr="00AD7E7D">
        <w:rPr>
          <w:rFonts w:cs="Times New Roman"/>
          <w:szCs w:val="24"/>
          <w:lang w:val="sr-Cyrl-RS"/>
        </w:rPr>
        <w:t xml:space="preserve">Народна банка Србије је припремила </w:t>
      </w:r>
      <w:r w:rsidRPr="00AD7E7D">
        <w:rPr>
          <w:rFonts w:cs="Times New Roman"/>
          <w:b/>
          <w:bCs/>
          <w:szCs w:val="24"/>
          <w:lang w:val="sr-Cyrl-RS"/>
        </w:rPr>
        <w:t>Нацрт закона о изменама и допунама Закона о банкама</w:t>
      </w:r>
      <w:r w:rsidRPr="00AD7E7D">
        <w:rPr>
          <w:rFonts w:cs="Times New Roman"/>
          <w:szCs w:val="24"/>
          <w:lang w:val="sr-Cyrl-RS"/>
        </w:rPr>
        <w:t xml:space="preserve">, ради даљег унапређења и модернизације законског оквира за пословање, супервизију и реструктурирање банака. </w:t>
      </w:r>
    </w:p>
    <w:p w14:paraId="00A8369D" w14:textId="77777777" w:rsidR="001D58B7" w:rsidRPr="00AD7E7D" w:rsidRDefault="001D58B7" w:rsidP="00CF6476">
      <w:pPr>
        <w:rPr>
          <w:rFonts w:cs="Times New Roman"/>
          <w:szCs w:val="24"/>
          <w:lang w:val="sr-Cyrl-RS"/>
        </w:rPr>
      </w:pPr>
      <w:r w:rsidRPr="00AD7E7D">
        <w:rPr>
          <w:rFonts w:cs="Times New Roman"/>
          <w:szCs w:val="24"/>
          <w:lang w:val="sr-Cyrl-RS"/>
        </w:rPr>
        <w:t xml:space="preserve">Најважнија новина је </w:t>
      </w:r>
      <w:r w:rsidRPr="00AD7E7D">
        <w:rPr>
          <w:rFonts w:cs="Times New Roman"/>
          <w:b/>
          <w:bCs/>
          <w:szCs w:val="24"/>
          <w:lang w:val="sr-Cyrl-RS"/>
        </w:rPr>
        <w:t>оснивање Фонда за реструктурирање банака</w:t>
      </w:r>
      <w:r w:rsidRPr="00AD7E7D">
        <w:rPr>
          <w:rFonts w:cs="Times New Roman"/>
          <w:szCs w:val="24"/>
          <w:lang w:val="sr-Cyrl-RS"/>
        </w:rPr>
        <w:t xml:space="preserve"> којим ће управљати Народна банка Србије. Увођењем овог заштитног механизма се врши усклађивање са Директивом о утврђивању оквира за опоравак и реструктурирање кредитних институција и инвестиционих друштава. Чланство у овом фонду ће бити обавезно за све банке, које ће непосредно, путем уплате доприноса, обезбедити средства за финансирање евентуалних поступака реструктурирања банака, чиме се умањују ризици од могуће употребе средстава пореских обвезника у ове сврхе.</w:t>
      </w:r>
    </w:p>
    <w:p w14:paraId="5043CA93" w14:textId="77777777" w:rsidR="001D58B7" w:rsidRPr="00AD7E7D" w:rsidRDefault="001D58B7" w:rsidP="00CF6476">
      <w:pPr>
        <w:rPr>
          <w:rFonts w:cs="Times New Roman"/>
          <w:szCs w:val="24"/>
          <w:lang w:val="sr-Cyrl-RS"/>
        </w:rPr>
      </w:pPr>
      <w:r w:rsidRPr="00AD7E7D">
        <w:rPr>
          <w:rFonts w:cs="Times New Roman"/>
          <w:szCs w:val="24"/>
          <w:lang w:val="sr-Cyrl-RS"/>
        </w:rPr>
        <w:lastRenderedPageBreak/>
        <w:t xml:space="preserve">Поред тога, биће </w:t>
      </w:r>
      <w:r w:rsidRPr="00AD7E7D">
        <w:rPr>
          <w:rFonts w:cs="Times New Roman"/>
          <w:b/>
          <w:bCs/>
          <w:szCs w:val="24"/>
          <w:lang w:val="sr-Cyrl-RS"/>
        </w:rPr>
        <w:t>додатно ојачан оквир за пословање банака</w:t>
      </w:r>
      <w:r w:rsidRPr="00AD7E7D">
        <w:rPr>
          <w:rFonts w:cs="Times New Roman"/>
          <w:szCs w:val="24"/>
          <w:lang w:val="sr-Cyrl-RS"/>
        </w:rPr>
        <w:t xml:space="preserve"> и то пре свега путем детаљнијег регулисања корпоративног управљања у банкама (увођењем концепта носилаца кључних функција у банкама, додатног услова у вези са именовањем и разрешењем чланова управног одбора, унапређењем унутрашњих контрола у банци) и управљања ризицима којима су банке изложене у свом пословању. Посебна пажња посвећена је и релевантним аспектима </w:t>
      </w:r>
      <w:r w:rsidRPr="00AD7E7D">
        <w:rPr>
          <w:rFonts w:cs="Times New Roman"/>
          <w:b/>
          <w:bCs/>
          <w:szCs w:val="24"/>
          <w:lang w:val="sr-Cyrl-RS"/>
        </w:rPr>
        <w:t>управљања ризиком од прања новца и финансирања тероризма</w:t>
      </w:r>
      <w:r w:rsidRPr="00AD7E7D">
        <w:rPr>
          <w:rFonts w:cs="Times New Roman"/>
          <w:szCs w:val="24"/>
          <w:lang w:val="sr-Latn-RS"/>
        </w:rPr>
        <w:t xml:space="preserve">. </w:t>
      </w:r>
    </w:p>
    <w:p w14:paraId="53BF4351" w14:textId="77777777" w:rsidR="001D58B7" w:rsidRPr="00AD7E7D" w:rsidRDefault="001D58B7" w:rsidP="00CF6476">
      <w:pPr>
        <w:rPr>
          <w:rFonts w:cs="Times New Roman"/>
          <w:szCs w:val="24"/>
          <w:lang w:val="sr-Cyrl-RS"/>
        </w:rPr>
      </w:pPr>
      <w:r w:rsidRPr="00AD7E7D">
        <w:rPr>
          <w:rFonts w:cs="Times New Roman"/>
          <w:b/>
          <w:bCs/>
          <w:szCs w:val="24"/>
          <w:lang w:val="sr-Cyrl-RS"/>
        </w:rPr>
        <w:t>Осавремењује се и супервизорска функција</w:t>
      </w:r>
      <w:r w:rsidRPr="00AD7E7D">
        <w:rPr>
          <w:rFonts w:cs="Times New Roman"/>
          <w:szCs w:val="24"/>
          <w:lang w:val="sr-Cyrl-RS"/>
        </w:rPr>
        <w:t xml:space="preserve"> Народне банке Србије, нарочито увођењем могућности закључења тзв. супервизорског споразума између Народне банке Србије и банке, а посебно у ситуацији када је потребна брза реакција ради отклањања неправилности, посебно ако те неправилности проузрокују или доприносе настанку материјалне штете за кориснике. Посебно се регулише и тзв. прикривена контрола путем које супервизори из Народне банке Србије треба да стекну увид у то како банка примењује прописе који регулишу банкарске услуге у односу на кориснике тих услуга. Додатно је надограђен и оквир за новчано кажњавање банака и чланова извршног и управног одбора банке и уређено објављивање изречених мера из поступка контроле. </w:t>
      </w:r>
    </w:p>
    <w:p w14:paraId="6B865E87" w14:textId="77777777" w:rsidR="001D58B7" w:rsidRPr="00AD7E7D" w:rsidRDefault="001D58B7" w:rsidP="00CF6476">
      <w:pPr>
        <w:rPr>
          <w:rFonts w:cs="Times New Roman"/>
          <w:szCs w:val="24"/>
          <w:lang w:val="sr-Latn-RS"/>
        </w:rPr>
      </w:pPr>
      <w:r w:rsidRPr="00AD7E7D">
        <w:rPr>
          <w:rFonts w:cs="Times New Roman"/>
          <w:szCs w:val="24"/>
          <w:lang w:val="sr-Cyrl-RS"/>
        </w:rPr>
        <w:t xml:space="preserve">Јавна расправа о Нацрту измена и допуна Закона о банкама је спроведена, а усвајање предложених измена и допуна се очекује до краја 2024. године. </w:t>
      </w:r>
    </w:p>
    <w:p w14:paraId="1CE554A9" w14:textId="77777777" w:rsidR="001D58B7" w:rsidRPr="00AD7E7D" w:rsidRDefault="001D58B7" w:rsidP="00CF6476">
      <w:pPr>
        <w:rPr>
          <w:rFonts w:cs="Times New Roman"/>
          <w:szCs w:val="24"/>
          <w:lang w:val="sr-Cyrl-RS"/>
        </w:rPr>
      </w:pPr>
      <w:r w:rsidRPr="00AD7E7D">
        <w:rPr>
          <w:rFonts w:cs="Times New Roman"/>
          <w:szCs w:val="24"/>
          <w:lang w:val="sr-Cyrl-RS"/>
        </w:rPr>
        <w:t>Усвајањем предложених измена и допуна Закона о банкама наставиће се процес хармонизације домаћег законодавства са прописима ЕУ уз комплетирање ефикасног и ефективног оквира за реструктурирање банака, уподобиће се законски оквир за пословање банака на основу потреба и искустава из праксе и извршиће се значајна унапређења у области контролне функције Народне банке Србије кроз проширење палете супервизорских инструмената расположивих при вршењу поступка контроле.</w:t>
      </w:r>
    </w:p>
    <w:bookmarkEnd w:id="13"/>
    <w:p w14:paraId="24ED955D" w14:textId="77777777" w:rsidR="001D58B7" w:rsidRPr="00AD7E7D" w:rsidRDefault="001D58B7" w:rsidP="00CF6476">
      <w:pPr>
        <w:rPr>
          <w:rFonts w:cs="Times New Roman"/>
          <w:szCs w:val="24"/>
          <w:lang w:val="sr-Cyrl-RS"/>
        </w:rPr>
      </w:pPr>
      <w:r w:rsidRPr="00AD7E7D">
        <w:rPr>
          <w:rFonts w:cs="Times New Roman"/>
          <w:szCs w:val="24"/>
          <w:lang w:val="sr-Cyrl-RS"/>
        </w:rPr>
        <w:t xml:space="preserve">Успостављањем </w:t>
      </w:r>
      <w:r w:rsidRPr="00AD7E7D">
        <w:rPr>
          <w:rFonts w:cs="Times New Roman"/>
          <w:b/>
          <w:bCs/>
          <w:szCs w:val="24"/>
          <w:lang w:val="sr-Cyrl-RS"/>
        </w:rPr>
        <w:t>система за инстант плаћање</w:t>
      </w:r>
      <w:r w:rsidRPr="00AD7E7D">
        <w:rPr>
          <w:rFonts w:cs="Times New Roman"/>
          <w:szCs w:val="24"/>
          <w:lang w:val="sr-Cyrl-RS"/>
        </w:rPr>
        <w:t xml:space="preserve"> – </w:t>
      </w:r>
      <w:r w:rsidRPr="00AD7E7D">
        <w:rPr>
          <w:rFonts w:cs="Times New Roman"/>
          <w:i/>
          <w:iCs/>
          <w:szCs w:val="24"/>
          <w:lang w:val="sr-Cyrl-RS"/>
        </w:rPr>
        <w:t>IPS НБС</w:t>
      </w:r>
      <w:r w:rsidRPr="00AD7E7D">
        <w:rPr>
          <w:rFonts w:cs="Times New Roman"/>
          <w:szCs w:val="24"/>
          <w:lang w:val="sr-Cyrl-RS"/>
        </w:rPr>
        <w:t xml:space="preserve"> система, Народна банка Србије је омогућила да се мала плаћања извршавају у реалном времену 24/7/365. Поред развоја инфраструктуре за прихватање инстант плаћања на продајним местима трговаца кроз прихватање у касама трговаца, фисклани софтвер, мобилним апликацијама за трговце, ПОС терминалима и на интернет продајним местима, Народна банка Србије је унапредила услугу инстант плаћања на интернету имплементацијом </w:t>
      </w:r>
      <w:r w:rsidRPr="00AD7E7D">
        <w:rPr>
          <w:rFonts w:cs="Times New Roman"/>
          <w:i/>
          <w:iCs/>
          <w:szCs w:val="24"/>
          <w:lang w:val="sr-Cyrl-RS"/>
        </w:rPr>
        <w:t>deep link</w:t>
      </w:r>
      <w:r w:rsidRPr="00AD7E7D">
        <w:rPr>
          <w:rFonts w:cs="Times New Roman"/>
          <w:szCs w:val="24"/>
          <w:lang w:val="sr-Cyrl-RS"/>
        </w:rPr>
        <w:t xml:space="preserve"> технологије и тако купцима омогућила да цео процес куповине обаве коришћењем само једног уређаја (нпр. мобилног телефона), без остављања осетљивих података о платном инструменту на интернету. Oлакшано је и плаћање рачуна скенирањем </w:t>
      </w:r>
      <w:r w:rsidRPr="00AD7E7D">
        <w:rPr>
          <w:rFonts w:cs="Times New Roman"/>
          <w:i/>
          <w:iCs/>
          <w:szCs w:val="24"/>
          <w:lang w:val="sr-Cyrl-RS"/>
        </w:rPr>
        <w:t>NBS IPS QR</w:t>
      </w:r>
      <w:r w:rsidRPr="00AD7E7D">
        <w:rPr>
          <w:rFonts w:cs="Times New Roman"/>
          <w:szCs w:val="24"/>
          <w:lang w:val="sr-Cyrl-RS"/>
        </w:rPr>
        <w:t xml:space="preserve"> кода на рачунима/фактурама, без одласка у банку, што се показало нарочито ефикасно у време пандемије. Од септембра 2021. године банкама је омогућено да корисницима у апликацији мобилног банкарства понуде услугу, “</w:t>
      </w:r>
      <w:r w:rsidRPr="00AD7E7D">
        <w:rPr>
          <w:rFonts w:cs="Times New Roman"/>
          <w:i/>
          <w:szCs w:val="24"/>
          <w:lang w:val="sr-Cyrl-RS"/>
        </w:rPr>
        <w:t>Prenesi</w:t>
      </w:r>
      <w:r w:rsidRPr="00AD7E7D">
        <w:rPr>
          <w:rFonts w:cs="Times New Roman"/>
          <w:szCs w:val="24"/>
          <w:lang w:val="sr-Cyrl-RS"/>
        </w:rPr>
        <w:t xml:space="preserve">”, која им омогућава да новчана средства пошаљу примаоцу једноставно, брзо и сигурно, коришћењем само његовог броја мобилног телефона. Oмогућeнo je и инстант плаћање такси и накнада за услуге које пружају органи јавне управе на порталу еУправе, скенирањем </w:t>
      </w:r>
      <w:r w:rsidRPr="00AD7E7D">
        <w:rPr>
          <w:rFonts w:cs="Times New Roman"/>
          <w:i/>
          <w:iCs/>
          <w:szCs w:val="24"/>
          <w:lang w:val="sr-Cyrl-RS"/>
        </w:rPr>
        <w:t>NBS IPS QR</w:t>
      </w:r>
      <w:r w:rsidRPr="00AD7E7D">
        <w:rPr>
          <w:rFonts w:cs="Times New Roman"/>
          <w:szCs w:val="24"/>
          <w:lang w:val="sr-Cyrl-RS"/>
        </w:rPr>
        <w:t xml:space="preserve"> кôдa са јединствене уплатнице, чиме је пружен допринос даљој дигитализацији јавне управе и ефикасности пружања јавних услуга. </w:t>
      </w:r>
    </w:p>
    <w:p w14:paraId="4987CC94" w14:textId="77777777" w:rsidR="001D58B7" w:rsidRPr="00AD7E7D" w:rsidRDefault="001D58B7" w:rsidP="00CF6476">
      <w:pPr>
        <w:rPr>
          <w:rFonts w:cs="Times New Roman"/>
          <w:szCs w:val="24"/>
          <w:lang w:val="sr-Cyrl-RS"/>
        </w:rPr>
      </w:pPr>
      <w:r w:rsidRPr="00AD7E7D">
        <w:rPr>
          <w:rFonts w:cs="Times New Roman"/>
          <w:szCs w:val="24"/>
          <w:lang w:val="sr-Cyrl-RS"/>
        </w:rPr>
        <w:t xml:space="preserve">Развојем нове платне инфраструктуре засноване на инстант плаћањима, омогућено је и небанкарским пружаоцима платних услуга да постану учесници у </w:t>
      </w:r>
      <w:r w:rsidRPr="00AD7E7D">
        <w:rPr>
          <w:rFonts w:cs="Times New Roman"/>
          <w:i/>
          <w:iCs/>
          <w:szCs w:val="24"/>
          <w:lang w:val="sr-Cyrl-RS"/>
        </w:rPr>
        <w:t>IPS НБС</w:t>
      </w:r>
      <w:r w:rsidRPr="00AD7E7D">
        <w:rPr>
          <w:rFonts w:cs="Times New Roman"/>
          <w:szCs w:val="24"/>
          <w:lang w:val="sr-Cyrl-RS"/>
        </w:rPr>
        <w:t xml:space="preserve"> систему и да пружају услуге инстант плаћања чиме се подстиче конкурентност учесника на тржишту платних услуга. </w:t>
      </w:r>
    </w:p>
    <w:p w14:paraId="79C021A7" w14:textId="77777777" w:rsidR="001D58B7" w:rsidRPr="00AD7E7D" w:rsidRDefault="001D58B7" w:rsidP="00CF6476">
      <w:pPr>
        <w:rPr>
          <w:rFonts w:cs="Times New Roman"/>
          <w:szCs w:val="24"/>
          <w:lang w:val="sr-Cyrl-RS"/>
        </w:rPr>
      </w:pPr>
      <w:r w:rsidRPr="00AD7E7D">
        <w:rPr>
          <w:rFonts w:cs="Times New Roman"/>
          <w:szCs w:val="24"/>
          <w:lang w:val="sr-Latn-RS"/>
        </w:rPr>
        <w:t xml:space="preserve">У оквиру активности на испуњавању критеријума за приступање Јединственој зони плаћања у еврима (СЕПА), Народна банка Србије је изменама и допунама </w:t>
      </w:r>
      <w:r w:rsidRPr="00AD7E7D">
        <w:rPr>
          <w:rFonts w:cs="Times New Roman"/>
          <w:b/>
          <w:bCs/>
          <w:szCs w:val="24"/>
          <w:lang w:val="sr-Latn-RS"/>
        </w:rPr>
        <w:t xml:space="preserve">Закона о </w:t>
      </w:r>
      <w:r w:rsidRPr="00AD7E7D">
        <w:rPr>
          <w:rFonts w:cs="Times New Roman"/>
          <w:b/>
          <w:bCs/>
          <w:szCs w:val="24"/>
          <w:lang w:val="sr-Latn-RS"/>
        </w:rPr>
        <w:lastRenderedPageBreak/>
        <w:t>платним услугама</w:t>
      </w:r>
      <w:r w:rsidRPr="00AD7E7D">
        <w:rPr>
          <w:rFonts w:cs="Times New Roman"/>
          <w:szCs w:val="24"/>
          <w:lang w:val="sr-Latn-RS"/>
        </w:rPr>
        <w:t xml:space="preserve"> које су усвојене 31. јула 2024. године и ступиле на снагу 8. августа 2024. године у потпуности транспонова</w:t>
      </w:r>
      <w:r w:rsidRPr="00AD7E7D">
        <w:rPr>
          <w:rFonts w:cs="Times New Roman"/>
          <w:szCs w:val="24"/>
          <w:lang w:val="sr-Cyrl-RS"/>
        </w:rPr>
        <w:t>ла Другу Директиву о платним услугама (</w:t>
      </w:r>
      <w:r w:rsidRPr="00AD7E7D">
        <w:rPr>
          <w:rFonts w:cs="Times New Roman"/>
          <w:szCs w:val="24"/>
          <w:lang w:val="sr-Latn-RS"/>
        </w:rPr>
        <w:t>ПСД2</w:t>
      </w:r>
      <w:r w:rsidRPr="00AD7E7D">
        <w:rPr>
          <w:rFonts w:cs="Times New Roman"/>
          <w:szCs w:val="24"/>
          <w:lang w:val="sr-Cyrl-RS"/>
        </w:rPr>
        <w:t>)</w:t>
      </w:r>
      <w:r w:rsidRPr="00AD7E7D">
        <w:rPr>
          <w:rFonts w:cs="Times New Roman"/>
          <w:szCs w:val="24"/>
          <w:lang w:val="sr-Latn-RS"/>
        </w:rPr>
        <w:t xml:space="preserve"> у национално законодавство</w:t>
      </w:r>
      <w:r w:rsidRPr="00AD7E7D">
        <w:rPr>
          <w:rFonts w:cs="Times New Roman"/>
          <w:szCs w:val="24"/>
          <w:lang w:val="sr-Cyrl-RS"/>
        </w:rPr>
        <w:t>.</w:t>
      </w:r>
      <w:r w:rsidRPr="00AD7E7D">
        <w:rPr>
          <w:rFonts w:cs="Times New Roman"/>
          <w:szCs w:val="24"/>
          <w:lang w:val="sr-Latn-RS"/>
        </w:rPr>
        <w:t xml:space="preserve"> Народна банка Србије је доне</w:t>
      </w:r>
      <w:r w:rsidRPr="00AD7E7D">
        <w:rPr>
          <w:rFonts w:cs="Times New Roman"/>
          <w:szCs w:val="24"/>
          <w:lang w:val="sr-Cyrl-RS"/>
        </w:rPr>
        <w:t>ла</w:t>
      </w:r>
      <w:r w:rsidRPr="00AD7E7D">
        <w:rPr>
          <w:rFonts w:cs="Times New Roman"/>
          <w:szCs w:val="24"/>
          <w:lang w:val="sr-Latn-RS"/>
        </w:rPr>
        <w:t xml:space="preserve"> </w:t>
      </w:r>
      <w:r w:rsidRPr="00AD7E7D">
        <w:rPr>
          <w:rFonts w:cs="Times New Roman"/>
          <w:szCs w:val="24"/>
          <w:lang w:val="sr-Cyrl-RS"/>
        </w:rPr>
        <w:t xml:space="preserve">и </w:t>
      </w:r>
      <w:r w:rsidRPr="00AD7E7D">
        <w:rPr>
          <w:rFonts w:cs="Times New Roman"/>
          <w:szCs w:val="24"/>
          <w:lang w:val="sr-Latn-RS"/>
        </w:rPr>
        <w:t>Одлуку о посебним условима за извршење кредитног трансфера и директних задужења у еврима („Службени гласник РС“, бр. 68/2024) којом се спроводи члан 5. и Анекс Уредбе (ЕУ) бр. 260/2012.</w:t>
      </w:r>
    </w:p>
    <w:p w14:paraId="5AD80657" w14:textId="77777777" w:rsidR="001D58B7" w:rsidRPr="00AD7E7D" w:rsidRDefault="001D58B7" w:rsidP="00CF6476">
      <w:pPr>
        <w:rPr>
          <w:rFonts w:cs="Times New Roman"/>
          <w:szCs w:val="24"/>
          <w:lang w:val="sr-Cyrl-RS"/>
        </w:rPr>
      </w:pPr>
      <w:r w:rsidRPr="00AD7E7D">
        <w:rPr>
          <w:rFonts w:cs="Times New Roman"/>
          <w:szCs w:val="24"/>
          <w:lang w:val="sr-Cyrl-RS"/>
        </w:rPr>
        <w:t>Такође, Народна банка Србије је 14. августа 2024. године послала</w:t>
      </w:r>
      <w:r w:rsidR="00CF6476" w:rsidRPr="00AD7E7D">
        <w:rPr>
          <w:rFonts w:cs="Times New Roman"/>
          <w:szCs w:val="24"/>
          <w:lang w:val="sr-Cyrl-RS"/>
        </w:rPr>
        <w:t xml:space="preserve"> </w:t>
      </w:r>
      <w:r w:rsidRPr="00AD7E7D">
        <w:rPr>
          <w:rFonts w:cs="Times New Roman"/>
          <w:szCs w:val="24"/>
          <w:lang w:val="sr-Cyrl-RS"/>
        </w:rPr>
        <w:t xml:space="preserve">„Нацрт Пријаве за приступање Републике Србије јединственом подручју за плаћања у еврима – СЕПА“ Европској комисији - Директорату за финансијску стабилност, финансијске услуге и унију тржишта капитала (DG FISMA), a затим 23. августа и Европском савету за плаћања ради прибављања прелиминарног мишљења. Нацрт Пријаве </w:t>
      </w:r>
      <w:r w:rsidRPr="00AD7E7D">
        <w:rPr>
          <w:rFonts w:cs="Times New Roman"/>
          <w:szCs w:val="24"/>
          <w:lang w:val="sr-Latn-RS"/>
        </w:rPr>
        <w:t xml:space="preserve">садржи свеобухватне информације које показују да Србија испуњава критеријуме прописане документом Европског </w:t>
      </w:r>
      <w:r w:rsidRPr="00AD7E7D">
        <w:rPr>
          <w:rFonts w:cs="Times New Roman"/>
          <w:szCs w:val="24"/>
          <w:lang w:val="sr-Cyrl-RS"/>
        </w:rPr>
        <w:t>савета за плаћања -</w:t>
      </w:r>
      <w:r w:rsidRPr="00AD7E7D">
        <w:rPr>
          <w:rFonts w:cs="Times New Roman"/>
          <w:szCs w:val="24"/>
          <w:lang w:val="sr-Latn-RS"/>
        </w:rPr>
        <w:t xml:space="preserve"> „Критеријуми за проширење географског опсега СЕПА“.</w:t>
      </w:r>
    </w:p>
    <w:p w14:paraId="2C782F6B" w14:textId="77777777" w:rsidR="001D58B7" w:rsidRPr="00AD7E7D" w:rsidRDefault="001D58B7" w:rsidP="00CF6476">
      <w:pPr>
        <w:rPr>
          <w:rFonts w:cs="Times New Roman"/>
          <w:szCs w:val="24"/>
          <w:lang w:val="sr-Latn-RS"/>
        </w:rPr>
      </w:pPr>
      <w:r w:rsidRPr="00AD7E7D">
        <w:rPr>
          <w:rFonts w:cs="Times New Roman"/>
          <w:szCs w:val="24"/>
          <w:lang w:val="sr-Latn-RS"/>
        </w:rPr>
        <w:t xml:space="preserve">Народна банка Србије планира да поднесе формалну (потпуну) пријаву Европском савету за платни промет најкасније до краја првог </w:t>
      </w:r>
      <w:r w:rsidRPr="00AD7E7D">
        <w:rPr>
          <w:rFonts w:cs="Times New Roman"/>
          <w:szCs w:val="24"/>
          <w:lang w:val="sr-Cyrl-RS"/>
        </w:rPr>
        <w:t>тромесечја</w:t>
      </w:r>
      <w:r w:rsidRPr="00AD7E7D">
        <w:rPr>
          <w:rFonts w:cs="Times New Roman"/>
          <w:szCs w:val="24"/>
          <w:lang w:val="sr-Latn-RS"/>
        </w:rPr>
        <w:t xml:space="preserve"> 2025. године.</w:t>
      </w:r>
    </w:p>
    <w:p w14:paraId="19BFE05C" w14:textId="77777777" w:rsidR="001D58B7" w:rsidRPr="00AD7E7D" w:rsidRDefault="001D58B7" w:rsidP="00EE7B7E">
      <w:pPr>
        <w:spacing w:after="180"/>
        <w:rPr>
          <w:rFonts w:cs="Times New Roman"/>
          <w:szCs w:val="24"/>
          <w:lang w:val="sr-Cyrl-RS"/>
        </w:rPr>
      </w:pPr>
      <w:r w:rsidRPr="00AD7E7D">
        <w:rPr>
          <w:rFonts w:cs="Times New Roman"/>
          <w:szCs w:val="24"/>
          <w:lang w:val="sr-Cyrl-RS"/>
        </w:rPr>
        <w:t xml:space="preserve">Уз уважавање глобалних трендова, у Републици Србији </w:t>
      </w:r>
      <w:r w:rsidRPr="00AD7E7D">
        <w:rPr>
          <w:rFonts w:cs="Times New Roman"/>
          <w:b/>
          <w:bCs/>
          <w:szCs w:val="24"/>
          <w:lang w:val="sr-Cyrl-RS"/>
        </w:rPr>
        <w:t>усвојен је Закон о дигиталној имовини</w:t>
      </w:r>
      <w:r w:rsidRPr="00AD7E7D">
        <w:rPr>
          <w:rFonts w:cs="Times New Roman"/>
          <w:szCs w:val="24"/>
          <w:lang w:val="sr-Cyrl-RS"/>
        </w:rPr>
        <w:t xml:space="preserve"> којим се детаљно уређује издавање и секундарно трговање дигиталном имовином, укључујући и пословање платформи за трговање виртуелним валутама и њихову замену за новац. Закон је почео да се примењује 29. јуна 2021. године. Народна банка Србије је од почетка примене Закона о дигиталној имовини, дала две дозволе за пружање услуга повезаних с виртуелним валутама, тако да у Републици Србији тренутно послују два лиценцирана пружаоца услуга повезаних с дигиталном имовином.</w:t>
      </w:r>
    </w:p>
    <w:p w14:paraId="710EDDA5" w14:textId="77777777" w:rsidR="00C4765D" w:rsidRPr="00915EC2" w:rsidRDefault="00C4765D" w:rsidP="00E25CAC">
      <w:pPr>
        <w:pStyle w:val="Heading11"/>
        <w:spacing w:before="180" w:after="180"/>
        <w:rPr>
          <w:rFonts w:ascii="Times New Roman" w:hAnsi="Times New Roman" w:cs="Times New Roman"/>
          <w:color w:val="auto"/>
          <w:sz w:val="24"/>
          <w:szCs w:val="24"/>
          <w:lang w:val="sr-Latn-RS"/>
        </w:rPr>
      </w:pPr>
      <w:bookmarkStart w:id="14" w:name="_Toc185342330"/>
      <w:bookmarkEnd w:id="1"/>
      <w:bookmarkEnd w:id="0"/>
      <w:bookmarkEnd w:id="9"/>
      <w:r w:rsidRPr="00915EC2">
        <w:rPr>
          <w:rFonts w:ascii="Times New Roman" w:hAnsi="Times New Roman" w:cs="Times New Roman"/>
          <w:color w:val="auto"/>
          <w:sz w:val="24"/>
          <w:szCs w:val="24"/>
          <w:lang w:val="sr-Latn-RS"/>
        </w:rPr>
        <w:t>3</w:t>
      </w:r>
      <w:r w:rsidR="00EE7B7E" w:rsidRPr="00915EC2">
        <w:rPr>
          <w:rFonts w:ascii="Times New Roman" w:hAnsi="Times New Roman" w:cs="Times New Roman"/>
          <w:color w:val="auto"/>
          <w:sz w:val="24"/>
          <w:szCs w:val="24"/>
          <w:lang w:val="sr-Latn-RS"/>
        </w:rPr>
        <w:t>.3</w:t>
      </w:r>
      <w:r w:rsidRPr="00915EC2">
        <w:rPr>
          <w:rFonts w:ascii="Times New Roman" w:hAnsi="Times New Roman" w:cs="Times New Roman"/>
          <w:color w:val="auto"/>
          <w:sz w:val="24"/>
          <w:szCs w:val="24"/>
          <w:lang w:val="sr-Latn-RS"/>
        </w:rPr>
        <w:t xml:space="preserve">. </w:t>
      </w:r>
      <w:r w:rsidR="0047017C" w:rsidRPr="00915EC2">
        <w:rPr>
          <w:rFonts w:ascii="Times New Roman" w:hAnsi="Times New Roman" w:cs="Times New Roman"/>
          <w:color w:val="auto"/>
          <w:sz w:val="24"/>
          <w:szCs w:val="24"/>
          <w:lang w:val="sr-Latn-RS"/>
        </w:rPr>
        <w:t>СРЕДЊОРОЧНИ МАКРОЕКОНОМСКИ СЦЕНАРИО</w:t>
      </w:r>
      <w:bookmarkEnd w:id="14"/>
    </w:p>
    <w:p w14:paraId="6259F3EE" w14:textId="77777777" w:rsidR="00A72478" w:rsidRPr="00AD7E7D" w:rsidRDefault="000F7989" w:rsidP="00C4765D">
      <w:pPr>
        <w:rPr>
          <w:rFonts w:cs="Times New Roman"/>
          <w:szCs w:val="24"/>
        </w:rPr>
      </w:pPr>
      <w:r w:rsidRPr="00AD7E7D">
        <w:rPr>
          <w:rFonts w:cs="Times New Roman"/>
          <w:bCs/>
          <w:szCs w:val="24"/>
          <w:lang w:val="sr-Cyrl-RS"/>
        </w:rPr>
        <w:t>Очекивана средњорочна кретања реалног сектора узимају у обзир актуелне економске трендове и изгледе за Србију и међународно окружење. Влада ће и у наредном периоду водити одговорну и предвидиву фискалну политику, синхронизовану са монетарном политиком и фокусирану на минимизирање негативних економских последица повећаних геополитичких тензија, али и на лоцирању нових извора раста. И овим трогодишњим сценариом Влада остаје посвећена очувању модела привредног раста који се заснива на инвестицијама и извозу, а који је подржан растом приватне потрошње и даљем расту стандарда становништва.</w:t>
      </w:r>
      <w:r w:rsidRPr="00AD7E7D">
        <w:rPr>
          <w:rFonts w:cs="Times New Roman"/>
          <w:szCs w:val="24"/>
        </w:rPr>
        <w:t xml:space="preserve"> </w:t>
      </w:r>
    </w:p>
    <w:p w14:paraId="2FEFEE5E" w14:textId="77777777" w:rsidR="00A8410A" w:rsidRDefault="000F7989" w:rsidP="00C4765D">
      <w:pPr>
        <w:rPr>
          <w:rFonts w:cs="Times New Roman"/>
          <w:bCs/>
          <w:szCs w:val="24"/>
          <w:lang w:val="sr-Cyrl-RS"/>
        </w:rPr>
      </w:pPr>
      <w:r w:rsidRPr="00AD7E7D">
        <w:rPr>
          <w:rFonts w:cs="Times New Roman"/>
          <w:bCs/>
          <w:szCs w:val="24"/>
          <w:lang w:val="sr-Cyrl-RS"/>
        </w:rPr>
        <w:t>Према средњорочној макроекономској пројекцији, кумулативна стопа раста у периоду од 2025. до 2027. године изно</w:t>
      </w:r>
      <w:r w:rsidR="004D230C" w:rsidRPr="00AD7E7D">
        <w:rPr>
          <w:rFonts w:cs="Times New Roman"/>
          <w:bCs/>
          <w:szCs w:val="24"/>
          <w:lang w:val="sr-Cyrl-RS"/>
        </w:rPr>
        <w:t>сиће 13,7%.</w:t>
      </w:r>
      <w:r w:rsidRPr="00AD7E7D">
        <w:rPr>
          <w:rFonts w:cs="Times New Roman"/>
          <w:bCs/>
          <w:szCs w:val="24"/>
          <w:lang w:val="sr-Cyrl-RS"/>
        </w:rPr>
        <w:t xml:space="preserve"> Раст привреде биће опредељен растом домаће тражње, уз благо негативан допринос нето извоза. Овај извор раста детерминисан је како снажним наставком инвестиционог циклуса и растом инвестиционе активности, тако и повећањем приватне потрошње домаћинстава услед раста реалног расположивог дохотка. Просечно годишње, српска привреда ће расти по стопи од 4,4%. Повећање реалне потрошње становништва ће пратити раст економске активности и у просеку ће износити 3,4%. Очекује се стабилан раст фиксних инвестиција који ће у просеку износити 7,4% годишње. Висок ниво јавних инвестиција биће праћен и растом приватних инвестиција, тако да се на крају пројекцијског периода очекује учешће фиксних инвестиција у БДП од 26,5%. Са активирањем нових производних капацитета и опоравком спољне тражње повећаваће се и обим спољнотрговинске размене. Поред тога, ефектуирање СДИ из претходног периода допринеће повећању конкуренције и утицати на ефикасност домаћих произвођача, док ће са друге стране бити активирани нови канали продаје и отворене нове тржишне нише. Извоз ће у просеку годишње расти по стопи од 7,6% што је брже од очекиваног годишњег раста увоза који ће у просеку </w:t>
      </w:r>
      <w:r w:rsidRPr="00AD7E7D">
        <w:rPr>
          <w:rFonts w:cs="Times New Roman"/>
          <w:bCs/>
          <w:szCs w:val="24"/>
          <w:lang w:val="sr-Cyrl-RS"/>
        </w:rPr>
        <w:lastRenderedPageBreak/>
        <w:t xml:space="preserve">износити 6,9%, али ће због већег учешћа увоза, допринос нето извоза расту БДП бити благо негативан. </w:t>
      </w:r>
    </w:p>
    <w:p w14:paraId="22985E1F" w14:textId="77777777" w:rsidR="00912CA5" w:rsidRPr="005D223F" w:rsidRDefault="00C4765D" w:rsidP="00C4765D">
      <w:pPr>
        <w:rPr>
          <w:rFonts w:eastAsia="Calibri" w:cs="Times New Roman"/>
          <w:bCs/>
          <w:i/>
          <w:szCs w:val="24"/>
          <w:lang w:val="sr-Cyrl-RS"/>
        </w:rPr>
      </w:pPr>
      <w:r w:rsidRPr="005D223F">
        <w:rPr>
          <w:rFonts w:eastAsia="Calibri" w:cs="Times New Roman"/>
          <w:bCs/>
          <w:i/>
          <w:szCs w:val="24"/>
          <w:lang w:val="sr-Cyrl-RS"/>
        </w:rPr>
        <w:t>Табела 2. Пројекција основних макроекономских показатеља Републике Србије</w:t>
      </w:r>
      <w:r w:rsidR="00912CA5" w:rsidRPr="00AD7E7D">
        <w:rPr>
          <w:rFonts w:eastAsia="Calibri" w:cs="Times New Roman"/>
          <w:bCs/>
          <w:i/>
          <w:szCs w:val="24"/>
          <w:lang w:val="sr-Cyrl-RS"/>
        </w:rPr>
        <w:fldChar w:fldCharType="begin"/>
      </w:r>
      <w:r w:rsidR="00912CA5" w:rsidRPr="005D223F">
        <w:rPr>
          <w:rFonts w:eastAsia="Calibri" w:cs="Times New Roman"/>
          <w:bCs/>
          <w:i/>
          <w:szCs w:val="24"/>
          <w:lang w:val="sr-Cyrl-RS"/>
        </w:rPr>
        <w:instrText xml:space="preserve"> LINK Excel.Sheet.12 "Book1" "Sheet1!R1C2:R10C7" \a \f 5 \h  \* MERGEFORMAT </w:instrText>
      </w:r>
      <w:r w:rsidR="00912CA5" w:rsidRPr="00AD7E7D">
        <w:rPr>
          <w:rFonts w:eastAsia="Calibri" w:cs="Times New Roman"/>
          <w:bCs/>
          <w:i/>
          <w:szCs w:val="24"/>
          <w:lang w:val="sr-Cyrl-RS"/>
        </w:rPr>
        <w:fldChar w:fldCharType="separate"/>
      </w:r>
    </w:p>
    <w:tbl>
      <w:tblPr>
        <w:tblStyle w:val="TableGrid"/>
        <w:tblW w:w="8607" w:type="dxa"/>
        <w:tblLook w:val="04A0" w:firstRow="1" w:lastRow="0" w:firstColumn="1" w:lastColumn="0" w:noHBand="0" w:noVBand="1"/>
      </w:tblPr>
      <w:tblGrid>
        <w:gridCol w:w="2901"/>
        <w:gridCol w:w="1296"/>
        <w:gridCol w:w="861"/>
        <w:gridCol w:w="1182"/>
        <w:gridCol w:w="1182"/>
        <w:gridCol w:w="1185"/>
      </w:tblGrid>
      <w:tr w:rsidR="005C4156" w:rsidRPr="00AD7E7D" w14:paraId="74D81B47" w14:textId="77777777" w:rsidTr="00EC3436">
        <w:trPr>
          <w:cnfStyle w:val="100000000000" w:firstRow="1" w:lastRow="0" w:firstColumn="0" w:lastColumn="0" w:oddVBand="0" w:evenVBand="0" w:oddHBand="0" w:evenHBand="0" w:firstRowFirstColumn="0" w:firstRowLastColumn="0" w:lastRowFirstColumn="0" w:lastRowLastColumn="0"/>
          <w:trHeight w:val="147"/>
        </w:trPr>
        <w:tc>
          <w:tcPr>
            <w:tcW w:w="2901" w:type="dxa"/>
            <w:vMerge w:val="restart"/>
            <w:hideMark/>
          </w:tcPr>
          <w:p w14:paraId="4A5F9A29" w14:textId="77777777" w:rsidR="005C4156" w:rsidRPr="00AD7E7D" w:rsidRDefault="005C4156" w:rsidP="00EC3436">
            <w:pPr>
              <w:spacing w:before="0" w:after="0"/>
              <w:ind w:left="0" w:right="0"/>
              <w:rPr>
                <w:rFonts w:eastAsia="Calibri" w:cs="Times New Roman"/>
                <w:bCs/>
                <w:szCs w:val="24"/>
              </w:rPr>
            </w:pPr>
            <w:r w:rsidRPr="00AD7E7D">
              <w:rPr>
                <w:rFonts w:eastAsia="Calibri" w:cs="Times New Roman"/>
                <w:bCs/>
                <w:szCs w:val="24"/>
                <w:lang w:val="sr-Cyrl-RS"/>
              </w:rPr>
              <w:t> </w:t>
            </w:r>
          </w:p>
        </w:tc>
        <w:tc>
          <w:tcPr>
            <w:tcW w:w="1296" w:type="dxa"/>
            <w:hideMark/>
          </w:tcPr>
          <w:p w14:paraId="50A9FAFF" w14:textId="77777777" w:rsidR="005C4156" w:rsidRPr="00AD7E7D" w:rsidRDefault="005C4156" w:rsidP="005D223F">
            <w:pPr>
              <w:spacing w:before="0" w:after="0"/>
              <w:ind w:left="0" w:right="0"/>
              <w:jc w:val="center"/>
              <w:rPr>
                <w:rFonts w:eastAsia="Calibri" w:cs="Times New Roman"/>
                <w:bCs/>
                <w:szCs w:val="24"/>
              </w:rPr>
            </w:pPr>
            <w:r w:rsidRPr="00AD7E7D">
              <w:rPr>
                <w:rFonts w:eastAsia="Calibri" w:cs="Times New Roman"/>
                <w:bCs/>
                <w:szCs w:val="24"/>
                <w:lang w:val="sr-Cyrl-RS"/>
              </w:rPr>
              <w:t>Процена</w:t>
            </w:r>
          </w:p>
        </w:tc>
        <w:tc>
          <w:tcPr>
            <w:tcW w:w="861" w:type="dxa"/>
            <w:vMerge w:val="restart"/>
            <w:hideMark/>
          </w:tcPr>
          <w:p w14:paraId="240EFC41" w14:textId="77777777" w:rsidR="005C4156" w:rsidRPr="00AD7E7D" w:rsidRDefault="005C4156" w:rsidP="00EC3436">
            <w:pPr>
              <w:spacing w:before="0" w:after="0"/>
              <w:ind w:left="0" w:right="0"/>
              <w:rPr>
                <w:rFonts w:eastAsia="Calibri" w:cs="Times New Roman"/>
                <w:b w:val="0"/>
                <w:bCs/>
                <w:szCs w:val="24"/>
              </w:rPr>
            </w:pPr>
            <w:r w:rsidRPr="00AD7E7D">
              <w:rPr>
                <w:rFonts w:eastAsia="Calibri" w:cs="Times New Roman"/>
                <w:bCs/>
                <w:szCs w:val="24"/>
                <w:lang w:val="sr-Cyrl-RS"/>
              </w:rPr>
              <w:t> </w:t>
            </w:r>
          </w:p>
          <w:p w14:paraId="6DF00780"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 </w:t>
            </w:r>
          </w:p>
          <w:p w14:paraId="2C5CBB0D"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 </w:t>
            </w:r>
          </w:p>
          <w:p w14:paraId="7C80BDCE"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 </w:t>
            </w:r>
          </w:p>
          <w:p w14:paraId="71FE911A"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 </w:t>
            </w:r>
          </w:p>
          <w:p w14:paraId="4E1189A8"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 </w:t>
            </w:r>
          </w:p>
          <w:p w14:paraId="11DACB93"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 </w:t>
            </w:r>
          </w:p>
          <w:p w14:paraId="11C07C34"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 </w:t>
            </w:r>
          </w:p>
          <w:p w14:paraId="20699A67"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 </w:t>
            </w:r>
          </w:p>
        </w:tc>
        <w:tc>
          <w:tcPr>
            <w:tcW w:w="3549" w:type="dxa"/>
            <w:gridSpan w:val="3"/>
            <w:hideMark/>
          </w:tcPr>
          <w:p w14:paraId="0E552E26" w14:textId="77777777" w:rsidR="005C4156" w:rsidRPr="00AD7E7D" w:rsidRDefault="005C4156" w:rsidP="00EC3436">
            <w:pPr>
              <w:spacing w:before="0" w:after="0"/>
              <w:ind w:left="0" w:right="0"/>
              <w:jc w:val="center"/>
              <w:rPr>
                <w:rFonts w:eastAsia="Calibri" w:cs="Times New Roman"/>
                <w:bCs/>
                <w:szCs w:val="24"/>
              </w:rPr>
            </w:pPr>
            <w:r w:rsidRPr="00AD7E7D">
              <w:rPr>
                <w:rFonts w:eastAsia="Calibri" w:cs="Times New Roman"/>
                <w:bCs/>
                <w:szCs w:val="24"/>
                <w:lang w:val="sr-Cyrl-RS"/>
              </w:rPr>
              <w:t>Пројекције</w:t>
            </w:r>
          </w:p>
        </w:tc>
      </w:tr>
      <w:tr w:rsidR="005C4156" w:rsidRPr="00AD7E7D" w14:paraId="5CE22820" w14:textId="77777777" w:rsidTr="00EC3436">
        <w:trPr>
          <w:trHeight w:val="147"/>
        </w:trPr>
        <w:tc>
          <w:tcPr>
            <w:tcW w:w="2901" w:type="dxa"/>
            <w:vMerge/>
            <w:hideMark/>
          </w:tcPr>
          <w:p w14:paraId="219B6AD5" w14:textId="77777777" w:rsidR="005C4156" w:rsidRPr="00AD7E7D" w:rsidRDefault="005C4156" w:rsidP="00EC3436">
            <w:pPr>
              <w:spacing w:before="0" w:after="0"/>
              <w:ind w:left="0" w:right="0"/>
              <w:rPr>
                <w:rFonts w:eastAsia="Calibri" w:cs="Times New Roman"/>
                <w:bCs/>
                <w:szCs w:val="24"/>
              </w:rPr>
            </w:pPr>
          </w:p>
        </w:tc>
        <w:tc>
          <w:tcPr>
            <w:tcW w:w="1296" w:type="dxa"/>
            <w:hideMark/>
          </w:tcPr>
          <w:p w14:paraId="625E208E" w14:textId="77777777" w:rsidR="005C4156" w:rsidRPr="00AD7E7D" w:rsidRDefault="005C4156" w:rsidP="00EC3436">
            <w:pPr>
              <w:spacing w:before="0" w:after="0"/>
              <w:ind w:left="0" w:right="0"/>
              <w:jc w:val="center"/>
              <w:rPr>
                <w:rFonts w:eastAsia="Calibri" w:cs="Times New Roman"/>
                <w:bCs/>
                <w:szCs w:val="24"/>
              </w:rPr>
            </w:pPr>
            <w:r w:rsidRPr="00AD7E7D">
              <w:rPr>
                <w:rFonts w:eastAsia="Calibri" w:cs="Times New Roman"/>
                <w:bCs/>
                <w:szCs w:val="24"/>
                <w:lang w:val="sr-Cyrl-RS"/>
              </w:rPr>
              <w:t>2024</w:t>
            </w:r>
          </w:p>
        </w:tc>
        <w:tc>
          <w:tcPr>
            <w:tcW w:w="861" w:type="dxa"/>
            <w:vMerge/>
            <w:hideMark/>
          </w:tcPr>
          <w:p w14:paraId="5013C3BF" w14:textId="77777777" w:rsidR="005C4156" w:rsidRPr="00AD7E7D" w:rsidRDefault="005C4156" w:rsidP="00EC3436">
            <w:pPr>
              <w:spacing w:before="0" w:after="0"/>
              <w:ind w:left="0" w:right="0"/>
              <w:jc w:val="right"/>
              <w:rPr>
                <w:rFonts w:eastAsia="Calibri" w:cs="Times New Roman"/>
                <w:bCs/>
                <w:szCs w:val="24"/>
              </w:rPr>
            </w:pPr>
          </w:p>
        </w:tc>
        <w:tc>
          <w:tcPr>
            <w:tcW w:w="1182" w:type="dxa"/>
            <w:hideMark/>
          </w:tcPr>
          <w:p w14:paraId="21496043" w14:textId="77777777" w:rsidR="005C4156" w:rsidRPr="00AD7E7D" w:rsidRDefault="005C4156" w:rsidP="00EC3436">
            <w:pPr>
              <w:spacing w:before="0" w:after="0"/>
              <w:ind w:left="0" w:right="0"/>
              <w:jc w:val="center"/>
              <w:rPr>
                <w:rFonts w:eastAsia="Calibri" w:cs="Times New Roman"/>
                <w:bCs/>
                <w:szCs w:val="24"/>
              </w:rPr>
            </w:pPr>
            <w:r w:rsidRPr="00AD7E7D">
              <w:rPr>
                <w:rFonts w:eastAsia="Calibri" w:cs="Times New Roman"/>
                <w:bCs/>
                <w:szCs w:val="24"/>
                <w:lang w:val="sr-Cyrl-RS"/>
              </w:rPr>
              <w:t>2025</w:t>
            </w:r>
          </w:p>
        </w:tc>
        <w:tc>
          <w:tcPr>
            <w:tcW w:w="1182" w:type="dxa"/>
            <w:hideMark/>
          </w:tcPr>
          <w:p w14:paraId="16FEB712" w14:textId="77777777" w:rsidR="005C4156" w:rsidRPr="00AD7E7D" w:rsidRDefault="005C4156" w:rsidP="00EC3436">
            <w:pPr>
              <w:spacing w:before="0" w:after="0"/>
              <w:ind w:left="0" w:right="0"/>
              <w:jc w:val="center"/>
              <w:rPr>
                <w:rFonts w:eastAsia="Calibri" w:cs="Times New Roman"/>
                <w:bCs/>
                <w:szCs w:val="24"/>
              </w:rPr>
            </w:pPr>
            <w:r w:rsidRPr="00AD7E7D">
              <w:rPr>
                <w:rFonts w:eastAsia="Calibri" w:cs="Times New Roman"/>
                <w:bCs/>
                <w:szCs w:val="24"/>
                <w:lang w:val="sr-Cyrl-RS"/>
              </w:rPr>
              <w:t>2026</w:t>
            </w:r>
          </w:p>
        </w:tc>
        <w:tc>
          <w:tcPr>
            <w:tcW w:w="1183" w:type="dxa"/>
            <w:hideMark/>
          </w:tcPr>
          <w:p w14:paraId="44C1E104" w14:textId="77777777" w:rsidR="005C4156" w:rsidRPr="00AD7E7D" w:rsidRDefault="005C4156" w:rsidP="00EC3436">
            <w:pPr>
              <w:spacing w:before="0" w:after="0"/>
              <w:ind w:left="0" w:right="0"/>
              <w:jc w:val="center"/>
              <w:rPr>
                <w:rFonts w:eastAsia="Calibri" w:cs="Times New Roman"/>
                <w:bCs/>
                <w:szCs w:val="24"/>
              </w:rPr>
            </w:pPr>
            <w:r w:rsidRPr="00AD7E7D">
              <w:rPr>
                <w:rFonts w:eastAsia="Calibri" w:cs="Times New Roman"/>
                <w:bCs/>
                <w:szCs w:val="24"/>
                <w:lang w:val="sr-Cyrl-RS"/>
              </w:rPr>
              <w:t>2027</w:t>
            </w:r>
          </w:p>
        </w:tc>
      </w:tr>
      <w:tr w:rsidR="005C4156" w:rsidRPr="00AD7E7D" w14:paraId="308F9F3E" w14:textId="77777777" w:rsidTr="00EC3436">
        <w:trPr>
          <w:trHeight w:val="273"/>
        </w:trPr>
        <w:tc>
          <w:tcPr>
            <w:tcW w:w="2901" w:type="dxa"/>
            <w:hideMark/>
          </w:tcPr>
          <w:p w14:paraId="6B2A2D03" w14:textId="77777777" w:rsidR="005D223F" w:rsidRDefault="005D223F" w:rsidP="005D223F">
            <w:pPr>
              <w:spacing w:before="0" w:after="0"/>
              <w:ind w:left="0" w:right="0"/>
              <w:jc w:val="left"/>
              <w:rPr>
                <w:rFonts w:eastAsia="Calibri" w:cs="Times New Roman"/>
                <w:bCs/>
                <w:szCs w:val="24"/>
                <w:lang w:val="sr-Cyrl-RS"/>
              </w:rPr>
            </w:pPr>
            <w:r>
              <w:rPr>
                <w:rFonts w:eastAsia="Calibri" w:cs="Times New Roman"/>
                <w:bCs/>
                <w:szCs w:val="24"/>
                <w:lang w:val="sr-Cyrl-RS"/>
              </w:rPr>
              <w:t>БДП, млрд динара</w:t>
            </w:r>
          </w:p>
          <w:p w14:paraId="4C0DC0AE" w14:textId="77777777" w:rsidR="005C4156" w:rsidRPr="00AD7E7D" w:rsidRDefault="005C4156" w:rsidP="005D223F">
            <w:pPr>
              <w:spacing w:before="0" w:after="0"/>
              <w:ind w:left="0" w:right="0"/>
              <w:jc w:val="left"/>
              <w:rPr>
                <w:rFonts w:eastAsia="Calibri" w:cs="Times New Roman"/>
                <w:bCs/>
                <w:szCs w:val="24"/>
              </w:rPr>
            </w:pPr>
            <w:r w:rsidRPr="00AD7E7D">
              <w:rPr>
                <w:rFonts w:eastAsia="Calibri" w:cs="Times New Roman"/>
                <w:bCs/>
                <w:szCs w:val="24"/>
                <w:lang w:val="sr-Cyrl-RS"/>
              </w:rPr>
              <w:t>(текуће цене)</w:t>
            </w:r>
          </w:p>
        </w:tc>
        <w:tc>
          <w:tcPr>
            <w:tcW w:w="1296" w:type="dxa"/>
            <w:hideMark/>
          </w:tcPr>
          <w:p w14:paraId="46A59EF7"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9.604,8</w:t>
            </w:r>
          </w:p>
        </w:tc>
        <w:tc>
          <w:tcPr>
            <w:tcW w:w="861" w:type="dxa"/>
            <w:vMerge/>
            <w:hideMark/>
          </w:tcPr>
          <w:p w14:paraId="5AD035B5" w14:textId="77777777" w:rsidR="005C4156" w:rsidRPr="00AD7E7D" w:rsidRDefault="005C4156" w:rsidP="00EC3436">
            <w:pPr>
              <w:spacing w:before="0" w:after="0"/>
              <w:ind w:left="0" w:right="0"/>
              <w:jc w:val="right"/>
              <w:rPr>
                <w:rFonts w:eastAsia="Calibri" w:cs="Times New Roman"/>
                <w:bCs/>
                <w:szCs w:val="24"/>
              </w:rPr>
            </w:pPr>
          </w:p>
        </w:tc>
        <w:tc>
          <w:tcPr>
            <w:tcW w:w="1182" w:type="dxa"/>
            <w:hideMark/>
          </w:tcPr>
          <w:p w14:paraId="00A941A4"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10.328,9</w:t>
            </w:r>
          </w:p>
        </w:tc>
        <w:tc>
          <w:tcPr>
            <w:tcW w:w="1182" w:type="dxa"/>
            <w:hideMark/>
          </w:tcPr>
          <w:p w14:paraId="7847DEBB"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11.087,6</w:t>
            </w:r>
          </w:p>
        </w:tc>
        <w:tc>
          <w:tcPr>
            <w:tcW w:w="1183" w:type="dxa"/>
            <w:hideMark/>
          </w:tcPr>
          <w:p w14:paraId="7838A7F0"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11.993,1</w:t>
            </w:r>
          </w:p>
        </w:tc>
      </w:tr>
      <w:tr w:rsidR="005C4156" w:rsidRPr="00AD7E7D" w14:paraId="65E490C6" w14:textId="77777777" w:rsidTr="00EC3436">
        <w:trPr>
          <w:trHeight w:val="273"/>
        </w:trPr>
        <w:tc>
          <w:tcPr>
            <w:tcW w:w="2901" w:type="dxa"/>
            <w:hideMark/>
          </w:tcPr>
          <w:p w14:paraId="10DCED83" w14:textId="77777777" w:rsidR="005C4156" w:rsidRPr="00AD7E7D" w:rsidRDefault="005C4156" w:rsidP="005D223F">
            <w:pPr>
              <w:spacing w:before="0" w:after="0"/>
              <w:ind w:left="0" w:right="0"/>
              <w:jc w:val="left"/>
              <w:rPr>
                <w:rFonts w:eastAsia="Calibri" w:cs="Times New Roman"/>
                <w:bCs/>
                <w:szCs w:val="24"/>
              </w:rPr>
            </w:pPr>
            <w:r w:rsidRPr="00AD7E7D">
              <w:rPr>
                <w:rFonts w:eastAsia="Calibri" w:cs="Times New Roman"/>
                <w:bCs/>
                <w:szCs w:val="24"/>
                <w:lang w:val="sr-Cyrl-RS"/>
              </w:rPr>
              <w:t>Реални раст БДП, %</w:t>
            </w:r>
          </w:p>
        </w:tc>
        <w:tc>
          <w:tcPr>
            <w:tcW w:w="1296" w:type="dxa"/>
            <w:hideMark/>
          </w:tcPr>
          <w:p w14:paraId="069061DB"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3,8</w:t>
            </w:r>
          </w:p>
        </w:tc>
        <w:tc>
          <w:tcPr>
            <w:tcW w:w="861" w:type="dxa"/>
            <w:vMerge/>
            <w:hideMark/>
          </w:tcPr>
          <w:p w14:paraId="6C06C8ED" w14:textId="77777777" w:rsidR="005C4156" w:rsidRPr="00AD7E7D" w:rsidRDefault="005C4156" w:rsidP="00EC3436">
            <w:pPr>
              <w:spacing w:before="0" w:after="0"/>
              <w:ind w:left="0" w:right="0"/>
              <w:jc w:val="right"/>
              <w:rPr>
                <w:rFonts w:eastAsia="Calibri" w:cs="Times New Roman"/>
                <w:bCs/>
                <w:szCs w:val="24"/>
              </w:rPr>
            </w:pPr>
          </w:p>
        </w:tc>
        <w:tc>
          <w:tcPr>
            <w:tcW w:w="1182" w:type="dxa"/>
            <w:hideMark/>
          </w:tcPr>
          <w:p w14:paraId="5B57190B"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4,2</w:t>
            </w:r>
          </w:p>
        </w:tc>
        <w:tc>
          <w:tcPr>
            <w:tcW w:w="1182" w:type="dxa"/>
            <w:hideMark/>
          </w:tcPr>
          <w:p w14:paraId="37689908"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4,0</w:t>
            </w:r>
          </w:p>
        </w:tc>
        <w:tc>
          <w:tcPr>
            <w:tcW w:w="1183" w:type="dxa"/>
            <w:hideMark/>
          </w:tcPr>
          <w:p w14:paraId="42C3A02C"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5,0</w:t>
            </w:r>
          </w:p>
        </w:tc>
      </w:tr>
      <w:tr w:rsidR="005C4156" w:rsidRPr="00AD7E7D" w14:paraId="5EED6C32" w14:textId="77777777" w:rsidTr="00EC3436">
        <w:trPr>
          <w:trHeight w:val="273"/>
        </w:trPr>
        <w:tc>
          <w:tcPr>
            <w:tcW w:w="2901" w:type="dxa"/>
            <w:hideMark/>
          </w:tcPr>
          <w:p w14:paraId="0C92DF23" w14:textId="77777777" w:rsidR="005C4156" w:rsidRPr="00AD7E7D" w:rsidRDefault="005C4156" w:rsidP="005D223F">
            <w:pPr>
              <w:spacing w:before="0" w:after="0"/>
              <w:ind w:left="0" w:right="0"/>
              <w:jc w:val="left"/>
              <w:rPr>
                <w:rFonts w:eastAsia="Calibri" w:cs="Times New Roman"/>
                <w:bCs/>
                <w:szCs w:val="24"/>
              </w:rPr>
            </w:pPr>
            <w:r w:rsidRPr="00AD7E7D">
              <w:rPr>
                <w:rFonts w:eastAsia="Calibri" w:cs="Times New Roman"/>
                <w:bCs/>
                <w:szCs w:val="24"/>
                <w:lang w:val="sr-Cyrl-RS"/>
              </w:rPr>
              <w:t>Дефлатор БДП, %</w:t>
            </w:r>
          </w:p>
        </w:tc>
        <w:tc>
          <w:tcPr>
            <w:tcW w:w="1296" w:type="dxa"/>
            <w:hideMark/>
          </w:tcPr>
          <w:p w14:paraId="79870812"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5,0</w:t>
            </w:r>
          </w:p>
        </w:tc>
        <w:tc>
          <w:tcPr>
            <w:tcW w:w="861" w:type="dxa"/>
            <w:vMerge/>
            <w:hideMark/>
          </w:tcPr>
          <w:p w14:paraId="4C4D89E2" w14:textId="77777777" w:rsidR="005C4156" w:rsidRPr="00AD7E7D" w:rsidRDefault="005C4156" w:rsidP="00EC3436">
            <w:pPr>
              <w:spacing w:before="0" w:after="0"/>
              <w:ind w:left="0" w:right="0"/>
              <w:jc w:val="right"/>
              <w:rPr>
                <w:rFonts w:eastAsia="Calibri" w:cs="Times New Roman"/>
                <w:bCs/>
                <w:szCs w:val="24"/>
              </w:rPr>
            </w:pPr>
          </w:p>
        </w:tc>
        <w:tc>
          <w:tcPr>
            <w:tcW w:w="1182" w:type="dxa"/>
            <w:hideMark/>
          </w:tcPr>
          <w:p w14:paraId="55AF79F1"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3,2</w:t>
            </w:r>
          </w:p>
        </w:tc>
        <w:tc>
          <w:tcPr>
            <w:tcW w:w="1182" w:type="dxa"/>
            <w:hideMark/>
          </w:tcPr>
          <w:p w14:paraId="47E60065"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3,2</w:t>
            </w:r>
          </w:p>
        </w:tc>
        <w:tc>
          <w:tcPr>
            <w:tcW w:w="1183" w:type="dxa"/>
            <w:hideMark/>
          </w:tcPr>
          <w:p w14:paraId="5DAA0778"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3,0</w:t>
            </w:r>
          </w:p>
        </w:tc>
      </w:tr>
      <w:tr w:rsidR="005C4156" w:rsidRPr="00AD7E7D" w14:paraId="6B486470" w14:textId="77777777" w:rsidTr="00EC3436">
        <w:trPr>
          <w:trHeight w:val="273"/>
        </w:trPr>
        <w:tc>
          <w:tcPr>
            <w:tcW w:w="2901" w:type="dxa"/>
            <w:hideMark/>
          </w:tcPr>
          <w:p w14:paraId="555C9FB1" w14:textId="77777777" w:rsidR="005C4156" w:rsidRPr="00AD7E7D" w:rsidRDefault="005C4156" w:rsidP="005D223F">
            <w:pPr>
              <w:spacing w:before="0" w:after="0"/>
              <w:ind w:left="0" w:right="0"/>
              <w:jc w:val="left"/>
              <w:rPr>
                <w:rFonts w:eastAsia="Calibri" w:cs="Times New Roman"/>
                <w:bCs/>
                <w:szCs w:val="24"/>
              </w:rPr>
            </w:pPr>
            <w:r w:rsidRPr="00AD7E7D">
              <w:rPr>
                <w:rFonts w:eastAsia="Calibri" w:cs="Times New Roman"/>
                <w:bCs/>
                <w:szCs w:val="24"/>
                <w:lang w:val="sr-Cyrl-RS"/>
              </w:rPr>
              <w:t>Лична потрошња</w:t>
            </w:r>
          </w:p>
        </w:tc>
        <w:tc>
          <w:tcPr>
            <w:tcW w:w="1296" w:type="dxa"/>
            <w:hideMark/>
          </w:tcPr>
          <w:p w14:paraId="5D6727DC"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4,5</w:t>
            </w:r>
          </w:p>
        </w:tc>
        <w:tc>
          <w:tcPr>
            <w:tcW w:w="861" w:type="dxa"/>
            <w:vMerge/>
            <w:hideMark/>
          </w:tcPr>
          <w:p w14:paraId="5971059A" w14:textId="77777777" w:rsidR="005C4156" w:rsidRPr="00AD7E7D" w:rsidRDefault="005C4156" w:rsidP="00EC3436">
            <w:pPr>
              <w:spacing w:before="0" w:after="0"/>
              <w:ind w:left="0" w:right="0"/>
              <w:jc w:val="right"/>
              <w:rPr>
                <w:rFonts w:eastAsia="Calibri" w:cs="Times New Roman"/>
                <w:bCs/>
                <w:szCs w:val="24"/>
              </w:rPr>
            </w:pPr>
          </w:p>
        </w:tc>
        <w:tc>
          <w:tcPr>
            <w:tcW w:w="1182" w:type="dxa"/>
            <w:hideMark/>
          </w:tcPr>
          <w:p w14:paraId="5FF0C740"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4,1</w:t>
            </w:r>
          </w:p>
        </w:tc>
        <w:tc>
          <w:tcPr>
            <w:tcW w:w="1182" w:type="dxa"/>
            <w:hideMark/>
          </w:tcPr>
          <w:p w14:paraId="3318C814"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3,2</w:t>
            </w:r>
          </w:p>
        </w:tc>
        <w:tc>
          <w:tcPr>
            <w:tcW w:w="1183" w:type="dxa"/>
            <w:hideMark/>
          </w:tcPr>
          <w:p w14:paraId="58C07B55"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2,9</w:t>
            </w:r>
          </w:p>
        </w:tc>
      </w:tr>
      <w:tr w:rsidR="005C4156" w:rsidRPr="00AD7E7D" w14:paraId="7F7C9FF8" w14:textId="77777777" w:rsidTr="00EC3436">
        <w:trPr>
          <w:trHeight w:val="273"/>
        </w:trPr>
        <w:tc>
          <w:tcPr>
            <w:tcW w:w="2901" w:type="dxa"/>
            <w:hideMark/>
          </w:tcPr>
          <w:p w14:paraId="5342007E" w14:textId="77777777" w:rsidR="005C4156" w:rsidRPr="00AD7E7D" w:rsidRDefault="005C4156" w:rsidP="005D223F">
            <w:pPr>
              <w:spacing w:before="0" w:after="0"/>
              <w:ind w:left="0" w:right="0"/>
              <w:jc w:val="left"/>
              <w:rPr>
                <w:rFonts w:eastAsia="Calibri" w:cs="Times New Roman"/>
                <w:bCs/>
                <w:szCs w:val="24"/>
              </w:rPr>
            </w:pPr>
            <w:r w:rsidRPr="00AD7E7D">
              <w:rPr>
                <w:rFonts w:eastAsia="Calibri" w:cs="Times New Roman"/>
                <w:bCs/>
                <w:szCs w:val="24"/>
                <w:lang w:val="sr-Cyrl-RS"/>
              </w:rPr>
              <w:t>Државна потрошња</w:t>
            </w:r>
          </w:p>
        </w:tc>
        <w:tc>
          <w:tcPr>
            <w:tcW w:w="1296" w:type="dxa"/>
            <w:hideMark/>
          </w:tcPr>
          <w:p w14:paraId="2619B984"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3,1</w:t>
            </w:r>
          </w:p>
        </w:tc>
        <w:tc>
          <w:tcPr>
            <w:tcW w:w="861" w:type="dxa"/>
            <w:vMerge/>
            <w:hideMark/>
          </w:tcPr>
          <w:p w14:paraId="43EECB54" w14:textId="77777777" w:rsidR="005C4156" w:rsidRPr="00AD7E7D" w:rsidRDefault="005C4156" w:rsidP="00EC3436">
            <w:pPr>
              <w:spacing w:before="0" w:after="0"/>
              <w:ind w:left="0" w:right="0"/>
              <w:jc w:val="right"/>
              <w:rPr>
                <w:rFonts w:eastAsia="Calibri" w:cs="Times New Roman"/>
                <w:bCs/>
                <w:szCs w:val="24"/>
              </w:rPr>
            </w:pPr>
          </w:p>
        </w:tc>
        <w:tc>
          <w:tcPr>
            <w:tcW w:w="1182" w:type="dxa"/>
            <w:hideMark/>
          </w:tcPr>
          <w:p w14:paraId="3AFB2F35"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2,2</w:t>
            </w:r>
          </w:p>
        </w:tc>
        <w:tc>
          <w:tcPr>
            <w:tcW w:w="1182" w:type="dxa"/>
            <w:hideMark/>
          </w:tcPr>
          <w:p w14:paraId="514EC7FD"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2,2</w:t>
            </w:r>
          </w:p>
        </w:tc>
        <w:tc>
          <w:tcPr>
            <w:tcW w:w="1183" w:type="dxa"/>
            <w:hideMark/>
          </w:tcPr>
          <w:p w14:paraId="565B168A"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2,0</w:t>
            </w:r>
          </w:p>
        </w:tc>
      </w:tr>
      <w:tr w:rsidR="005C4156" w:rsidRPr="00AD7E7D" w14:paraId="2745806D" w14:textId="77777777" w:rsidTr="00EC3436">
        <w:trPr>
          <w:trHeight w:val="273"/>
        </w:trPr>
        <w:tc>
          <w:tcPr>
            <w:tcW w:w="2901" w:type="dxa"/>
            <w:hideMark/>
          </w:tcPr>
          <w:p w14:paraId="6B11E640" w14:textId="77777777" w:rsidR="005C4156" w:rsidRPr="00AD7E7D" w:rsidRDefault="005C4156" w:rsidP="005D223F">
            <w:pPr>
              <w:spacing w:before="0" w:after="0"/>
              <w:ind w:left="0" w:right="0"/>
              <w:jc w:val="left"/>
              <w:rPr>
                <w:rFonts w:eastAsia="Calibri" w:cs="Times New Roman"/>
                <w:bCs/>
                <w:szCs w:val="24"/>
              </w:rPr>
            </w:pPr>
            <w:r w:rsidRPr="00AD7E7D">
              <w:rPr>
                <w:rFonts w:eastAsia="Calibri" w:cs="Times New Roman"/>
                <w:bCs/>
                <w:szCs w:val="24"/>
                <w:lang w:val="sr-Cyrl-RS"/>
              </w:rPr>
              <w:t>Бруто инвестиције у основна средства</w:t>
            </w:r>
          </w:p>
        </w:tc>
        <w:tc>
          <w:tcPr>
            <w:tcW w:w="1296" w:type="dxa"/>
            <w:hideMark/>
          </w:tcPr>
          <w:p w14:paraId="28BB1A84"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9,2</w:t>
            </w:r>
          </w:p>
        </w:tc>
        <w:tc>
          <w:tcPr>
            <w:tcW w:w="861" w:type="dxa"/>
            <w:vMerge/>
            <w:hideMark/>
          </w:tcPr>
          <w:p w14:paraId="2CF4F7C5" w14:textId="77777777" w:rsidR="005C4156" w:rsidRPr="00AD7E7D" w:rsidRDefault="005C4156" w:rsidP="00EC3436">
            <w:pPr>
              <w:spacing w:before="0" w:after="0"/>
              <w:ind w:left="0" w:right="0"/>
              <w:jc w:val="right"/>
              <w:rPr>
                <w:rFonts w:eastAsia="Calibri" w:cs="Times New Roman"/>
                <w:bCs/>
                <w:szCs w:val="24"/>
              </w:rPr>
            </w:pPr>
          </w:p>
        </w:tc>
        <w:tc>
          <w:tcPr>
            <w:tcW w:w="1182" w:type="dxa"/>
            <w:hideMark/>
          </w:tcPr>
          <w:p w14:paraId="4CD214C9"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7,7</w:t>
            </w:r>
          </w:p>
        </w:tc>
        <w:tc>
          <w:tcPr>
            <w:tcW w:w="1182" w:type="dxa"/>
            <w:hideMark/>
          </w:tcPr>
          <w:p w14:paraId="32744327"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7,5</w:t>
            </w:r>
          </w:p>
        </w:tc>
        <w:tc>
          <w:tcPr>
            <w:tcW w:w="1183" w:type="dxa"/>
            <w:hideMark/>
          </w:tcPr>
          <w:p w14:paraId="31410ABB"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7,0</w:t>
            </w:r>
          </w:p>
        </w:tc>
      </w:tr>
      <w:tr w:rsidR="005C4156" w:rsidRPr="00AD7E7D" w14:paraId="5E2E6470" w14:textId="77777777" w:rsidTr="00EC3436">
        <w:trPr>
          <w:trHeight w:val="273"/>
        </w:trPr>
        <w:tc>
          <w:tcPr>
            <w:tcW w:w="2901" w:type="dxa"/>
            <w:hideMark/>
          </w:tcPr>
          <w:p w14:paraId="305C9CEE" w14:textId="77777777" w:rsidR="005C4156" w:rsidRPr="00AD7E7D" w:rsidRDefault="005C4156" w:rsidP="005D223F">
            <w:pPr>
              <w:spacing w:before="0" w:after="0"/>
              <w:ind w:left="0" w:right="0"/>
              <w:jc w:val="left"/>
              <w:rPr>
                <w:rFonts w:eastAsia="Calibri" w:cs="Times New Roman"/>
                <w:bCs/>
                <w:szCs w:val="24"/>
              </w:rPr>
            </w:pPr>
            <w:r w:rsidRPr="00AD7E7D">
              <w:rPr>
                <w:rFonts w:eastAsia="Calibri" w:cs="Times New Roman"/>
                <w:bCs/>
                <w:szCs w:val="24"/>
                <w:lang w:val="sr-Cyrl-RS"/>
              </w:rPr>
              <w:t>Извоз робе и услуга</w:t>
            </w:r>
          </w:p>
        </w:tc>
        <w:tc>
          <w:tcPr>
            <w:tcW w:w="1296" w:type="dxa"/>
            <w:hideMark/>
          </w:tcPr>
          <w:p w14:paraId="6BFD2D4D"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4,4</w:t>
            </w:r>
          </w:p>
        </w:tc>
        <w:tc>
          <w:tcPr>
            <w:tcW w:w="861" w:type="dxa"/>
            <w:vMerge/>
            <w:hideMark/>
          </w:tcPr>
          <w:p w14:paraId="6ABFD0D1" w14:textId="77777777" w:rsidR="005C4156" w:rsidRPr="00AD7E7D" w:rsidRDefault="005C4156" w:rsidP="00EC3436">
            <w:pPr>
              <w:spacing w:before="0" w:after="0"/>
              <w:ind w:left="0" w:right="0"/>
              <w:jc w:val="right"/>
              <w:rPr>
                <w:rFonts w:eastAsia="Calibri" w:cs="Times New Roman"/>
                <w:bCs/>
                <w:szCs w:val="24"/>
              </w:rPr>
            </w:pPr>
          </w:p>
        </w:tc>
        <w:tc>
          <w:tcPr>
            <w:tcW w:w="1182" w:type="dxa"/>
            <w:hideMark/>
          </w:tcPr>
          <w:p w14:paraId="5BBAC6DA"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5,9</w:t>
            </w:r>
          </w:p>
        </w:tc>
        <w:tc>
          <w:tcPr>
            <w:tcW w:w="1182" w:type="dxa"/>
            <w:hideMark/>
          </w:tcPr>
          <w:p w14:paraId="276B8CBD"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6,9</w:t>
            </w:r>
          </w:p>
        </w:tc>
        <w:tc>
          <w:tcPr>
            <w:tcW w:w="1183" w:type="dxa"/>
            <w:hideMark/>
          </w:tcPr>
          <w:p w14:paraId="6402E595"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9,9</w:t>
            </w:r>
          </w:p>
        </w:tc>
      </w:tr>
      <w:tr w:rsidR="005C4156" w:rsidRPr="00AD7E7D" w14:paraId="7E84CF22" w14:textId="77777777" w:rsidTr="00EC3436">
        <w:trPr>
          <w:trHeight w:val="273"/>
        </w:trPr>
        <w:tc>
          <w:tcPr>
            <w:tcW w:w="2901" w:type="dxa"/>
            <w:hideMark/>
          </w:tcPr>
          <w:p w14:paraId="34CFF853" w14:textId="77777777" w:rsidR="005C4156" w:rsidRPr="00AD7E7D" w:rsidRDefault="005C4156" w:rsidP="005D223F">
            <w:pPr>
              <w:spacing w:before="0" w:after="0"/>
              <w:ind w:left="0" w:right="0"/>
              <w:jc w:val="left"/>
              <w:rPr>
                <w:rFonts w:eastAsia="Calibri" w:cs="Times New Roman"/>
                <w:bCs/>
                <w:szCs w:val="24"/>
              </w:rPr>
            </w:pPr>
            <w:r w:rsidRPr="00AD7E7D">
              <w:rPr>
                <w:rFonts w:eastAsia="Calibri" w:cs="Times New Roman"/>
                <w:bCs/>
                <w:szCs w:val="24"/>
                <w:lang w:val="sr-Cyrl-RS"/>
              </w:rPr>
              <w:t>Увоз робе и услуга</w:t>
            </w:r>
          </w:p>
        </w:tc>
        <w:tc>
          <w:tcPr>
            <w:tcW w:w="1296" w:type="dxa"/>
            <w:hideMark/>
          </w:tcPr>
          <w:p w14:paraId="2976679D"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8,0</w:t>
            </w:r>
          </w:p>
        </w:tc>
        <w:tc>
          <w:tcPr>
            <w:tcW w:w="861" w:type="dxa"/>
            <w:vMerge/>
            <w:hideMark/>
          </w:tcPr>
          <w:p w14:paraId="3E71B53F" w14:textId="77777777" w:rsidR="005C4156" w:rsidRPr="00AD7E7D" w:rsidRDefault="005C4156" w:rsidP="00EC3436">
            <w:pPr>
              <w:spacing w:before="0" w:after="0"/>
              <w:ind w:left="0" w:right="0"/>
              <w:jc w:val="right"/>
              <w:rPr>
                <w:rFonts w:eastAsia="Calibri" w:cs="Times New Roman"/>
                <w:bCs/>
                <w:szCs w:val="24"/>
              </w:rPr>
            </w:pPr>
          </w:p>
        </w:tc>
        <w:tc>
          <w:tcPr>
            <w:tcW w:w="1182" w:type="dxa"/>
            <w:hideMark/>
          </w:tcPr>
          <w:p w14:paraId="2B43091B"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6,5</w:t>
            </w:r>
          </w:p>
        </w:tc>
        <w:tc>
          <w:tcPr>
            <w:tcW w:w="1182" w:type="dxa"/>
            <w:hideMark/>
          </w:tcPr>
          <w:p w14:paraId="45C114C5"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6,8</w:t>
            </w:r>
          </w:p>
        </w:tc>
        <w:tc>
          <w:tcPr>
            <w:tcW w:w="1183" w:type="dxa"/>
            <w:hideMark/>
          </w:tcPr>
          <w:p w14:paraId="1B4699BE" w14:textId="77777777" w:rsidR="005C4156" w:rsidRPr="00AD7E7D" w:rsidRDefault="005C4156" w:rsidP="00EC3436">
            <w:pPr>
              <w:spacing w:before="0" w:after="0"/>
              <w:ind w:left="0" w:right="0"/>
              <w:jc w:val="right"/>
              <w:rPr>
                <w:rFonts w:eastAsia="Calibri" w:cs="Times New Roman"/>
                <w:bCs/>
                <w:szCs w:val="24"/>
              </w:rPr>
            </w:pPr>
            <w:r w:rsidRPr="00AD7E7D">
              <w:rPr>
                <w:rFonts w:eastAsia="Calibri" w:cs="Times New Roman"/>
                <w:bCs/>
                <w:szCs w:val="24"/>
                <w:lang w:val="sr-Cyrl-RS"/>
              </w:rPr>
              <w:t>7,4</w:t>
            </w:r>
          </w:p>
        </w:tc>
      </w:tr>
    </w:tbl>
    <w:p w14:paraId="480B45A2" w14:textId="77777777" w:rsidR="003F01A2" w:rsidRPr="005D223F" w:rsidRDefault="00912CA5" w:rsidP="00E25CAC">
      <w:pPr>
        <w:spacing w:before="40" w:after="180"/>
        <w:rPr>
          <w:rFonts w:eastAsia="Calibri" w:cs="Times New Roman"/>
          <w:bCs/>
          <w:sz w:val="22"/>
          <w:szCs w:val="24"/>
          <w:lang w:val="sr-Cyrl-RS"/>
        </w:rPr>
      </w:pPr>
      <w:r w:rsidRPr="00AD7E7D">
        <w:rPr>
          <w:rFonts w:eastAsia="Calibri" w:cs="Times New Roman"/>
          <w:bCs/>
          <w:szCs w:val="24"/>
          <w:lang w:val="sr-Cyrl-RS"/>
        </w:rPr>
        <w:fldChar w:fldCharType="end"/>
      </w:r>
      <w:r w:rsidR="003F01A2" w:rsidRPr="005D223F">
        <w:rPr>
          <w:rFonts w:eastAsia="Calibri" w:cs="Times New Roman"/>
          <w:bCs/>
          <w:sz w:val="22"/>
          <w:szCs w:val="24"/>
          <w:lang w:val="sr-Cyrl-RS"/>
        </w:rPr>
        <w:t xml:space="preserve">Извор: </w:t>
      </w:r>
      <w:r w:rsidR="00CA10B2" w:rsidRPr="005D223F">
        <w:rPr>
          <w:rFonts w:eastAsia="Calibri" w:cs="Times New Roman"/>
          <w:bCs/>
          <w:sz w:val="22"/>
          <w:szCs w:val="24"/>
          <w:lang w:val="sr-Cyrl-RS"/>
        </w:rPr>
        <w:t>Министарство финансија</w:t>
      </w:r>
    </w:p>
    <w:p w14:paraId="737B4279" w14:textId="77777777" w:rsidR="0067024C" w:rsidRPr="00AD7E7D" w:rsidRDefault="000F7989" w:rsidP="000D46CB">
      <w:pPr>
        <w:rPr>
          <w:rFonts w:cs="Times New Roman"/>
          <w:bCs/>
          <w:szCs w:val="24"/>
          <w:lang w:val="sr-Cyrl-RS"/>
        </w:rPr>
      </w:pPr>
      <w:r w:rsidRPr="00AD7E7D">
        <w:rPr>
          <w:rFonts w:cs="Times New Roman"/>
          <w:bCs/>
          <w:szCs w:val="24"/>
          <w:lang w:val="sr-Cyrl-RS"/>
        </w:rPr>
        <w:t>Посматрано на страни понуде, услужни сектор и индустрија ће следствено највећем учешћу у БДП задржати улогу доминантних извора раста и повећавати креирану БДВ са просечним годишњим растом од 4,5% и 4,4%, респективно. Значајан позитиван допринос имаће и грађевинарство које ће у просеку забележити раст од 7,6% као резултат убрзања реализације инфраструктурних пројеката, као и започињања новог инвестиционог циклуса, али и убрзања приватних инвестиција. Достизање европских стандарда и подизање конкурентности у пољопривреди, требало би да смањи варијабилност производње овог сектора изазвану агрометеоролошким условима, али је и у овом макроекономском оквиру задржана претпоставка просечне пољопривредне сезоне.</w:t>
      </w:r>
    </w:p>
    <w:p w14:paraId="5AB20801" w14:textId="77777777" w:rsidR="00C4765D" w:rsidRPr="005D223F" w:rsidRDefault="00C4765D" w:rsidP="00B8525C">
      <w:pPr>
        <w:rPr>
          <w:rFonts w:eastAsia="Calibri" w:cs="Times New Roman"/>
          <w:bCs/>
          <w:i/>
          <w:szCs w:val="24"/>
          <w:lang w:val="sr-Cyrl-RS"/>
        </w:rPr>
      </w:pPr>
      <w:r w:rsidRPr="005D223F">
        <w:rPr>
          <w:rFonts w:eastAsia="Calibri" w:cs="Times New Roman"/>
          <w:bCs/>
          <w:i/>
          <w:szCs w:val="24"/>
          <w:lang w:val="sr-Cyrl-RS"/>
        </w:rPr>
        <w:t xml:space="preserve">Графикон </w:t>
      </w:r>
      <w:r w:rsidR="006C46A3">
        <w:rPr>
          <w:rFonts w:eastAsia="Calibri" w:cs="Times New Roman"/>
          <w:bCs/>
          <w:i/>
          <w:szCs w:val="24"/>
          <w:lang w:val="sr-Latn-RS"/>
        </w:rPr>
        <w:t>1</w:t>
      </w:r>
      <w:r w:rsidRPr="005D223F">
        <w:rPr>
          <w:rFonts w:eastAsia="Calibri" w:cs="Times New Roman"/>
          <w:bCs/>
          <w:i/>
          <w:szCs w:val="24"/>
          <w:lang w:val="sr-Cyrl-RS"/>
        </w:rPr>
        <w:t>. Доприноси стопи реалног раста БДП, производни и расходни приступ, п.п.</w:t>
      </w:r>
    </w:p>
    <w:p w14:paraId="7AE9E580" w14:textId="77777777" w:rsidR="006E3D67" w:rsidRPr="00AD7E7D" w:rsidRDefault="00CF6476" w:rsidP="006E3D67">
      <w:pPr>
        <w:spacing w:after="240"/>
        <w:rPr>
          <w:rFonts w:eastAsia="Calibri" w:cs="Times New Roman"/>
          <w:bCs/>
          <w:szCs w:val="24"/>
          <w:lang w:val="sr-Cyrl-RS"/>
        </w:rPr>
      </w:pPr>
      <w:r w:rsidRPr="00AD7E7D">
        <w:rPr>
          <w:rFonts w:eastAsia="Calibri" w:cs="Times New Roman"/>
          <w:bCs/>
          <w:szCs w:val="24"/>
          <w:lang w:val="sr-Cyrl-RS"/>
        </w:rPr>
        <w:t xml:space="preserve"> </w:t>
      </w:r>
      <w:r w:rsidR="000B3740" w:rsidRPr="00AD7E7D">
        <w:rPr>
          <w:rFonts w:cs="Times New Roman"/>
          <w:noProof/>
          <w:szCs w:val="24"/>
        </w:rPr>
        <w:drawing>
          <wp:inline distT="0" distB="0" distL="0" distR="0" wp14:anchorId="2D3B06D2" wp14:editId="4C816381">
            <wp:extent cx="2774950" cy="2286000"/>
            <wp:effectExtent l="0" t="0" r="6350" b="0"/>
            <wp:docPr id="95" name="Chart 95">
              <a:extLst xmlns:a="http://schemas.openxmlformats.org/drawingml/2006/main">
                <a:ext uri="{FF2B5EF4-FFF2-40B4-BE49-F238E27FC236}">
                  <a16:creationId xmlns:a16="http://schemas.microsoft.com/office/drawing/2014/main" id="{00000000-0008-0000-0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0B3740" w:rsidRPr="00AD7E7D">
        <w:rPr>
          <w:rFonts w:cs="Times New Roman"/>
          <w:noProof/>
          <w:szCs w:val="24"/>
        </w:rPr>
        <w:drawing>
          <wp:inline distT="0" distB="0" distL="0" distR="0" wp14:anchorId="1AD33511" wp14:editId="33A7818D">
            <wp:extent cx="2743200" cy="2313829"/>
            <wp:effectExtent l="0" t="0" r="0" b="0"/>
            <wp:docPr id="94" name="Chart 94">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A166937" w14:textId="77777777" w:rsidR="000B3740" w:rsidRPr="00AD7E7D" w:rsidRDefault="000B3740" w:rsidP="005D223F">
      <w:pPr>
        <w:rPr>
          <w:rFonts w:cs="Times New Roman"/>
          <w:szCs w:val="24"/>
          <w:lang w:val="sr-Cyrl-RS"/>
        </w:rPr>
      </w:pPr>
      <w:r w:rsidRPr="00AD7E7D">
        <w:rPr>
          <w:rFonts w:cs="Times New Roman"/>
          <w:szCs w:val="24"/>
          <w:lang w:val="sr-Cyrl-RS"/>
        </w:rPr>
        <w:t xml:space="preserve">Према централном сценарију, у средњорочном периоду очекује се наставак раста потенцијалног БДП по стопи од 4%. Реализација капиталних пројеката и наставак започетог инвестиционог циклуса подржани, како стабилним приливом СДИ, тако и улагањима у иновације и развој, обезбедиће све снажнији допринос капитала и факторске продуктивности расту потенцијалног БДП. Дигитализација ће значајно убрзати ове процесе и додатно подићи ефикасност искоришћености расположивих </w:t>
      </w:r>
      <w:r w:rsidRPr="00AD7E7D">
        <w:rPr>
          <w:rFonts w:cs="Times New Roman"/>
          <w:szCs w:val="24"/>
          <w:lang w:val="sr-Cyrl-RS"/>
        </w:rPr>
        <w:lastRenderedPageBreak/>
        <w:t>капацитета. Влада ће кроз значајна планирана улагања у енергетску инфраструктуру додатно утицати на подизање потенцијала привреде. Адекватна и кредибилна монетарна политика, уз даља унапређења финансијског система и повољнији инвестициони амбијент, трансфер знања и технологија из најразвијенијих земаља треба да обезбеде позитиван утицај на оба фактора производње. Са друге стране, јачање владавине закона, реформа законодавства из области привреде и пословања, убрзање процедура и подизање ефикасности администрације треба да обезбеде максимизацију факторске продуктивности у средњем року. Повољна кретања на тржишту рада ће такође допринети расту потенцијалног БДП, мада споријим темпом него у претходном периоду.</w:t>
      </w:r>
    </w:p>
    <w:p w14:paraId="48CF5DCA" w14:textId="77777777" w:rsidR="000B3740" w:rsidRPr="005D223F" w:rsidRDefault="003B248B" w:rsidP="002C5470">
      <w:pPr>
        <w:keepNext/>
        <w:rPr>
          <w:rFonts w:eastAsia="Calibri" w:cs="Times New Roman"/>
          <w:bCs/>
          <w:i/>
          <w:szCs w:val="24"/>
          <w:lang w:val="sr-Cyrl-RS"/>
        </w:rPr>
      </w:pPr>
      <w:r w:rsidRPr="005D223F">
        <w:rPr>
          <w:rFonts w:eastAsia="Calibri" w:cs="Times New Roman"/>
          <w:bCs/>
          <w:i/>
          <w:szCs w:val="24"/>
          <w:lang w:val="sr-Cyrl-RS"/>
        </w:rPr>
        <w:t xml:space="preserve">Графикон </w:t>
      </w:r>
      <w:r w:rsidR="006C46A3">
        <w:rPr>
          <w:rFonts w:eastAsia="Calibri" w:cs="Times New Roman"/>
          <w:bCs/>
          <w:i/>
          <w:szCs w:val="24"/>
          <w:lang w:val="sr-Latn-RS"/>
        </w:rPr>
        <w:t>2</w:t>
      </w:r>
      <w:r w:rsidRPr="005D223F">
        <w:rPr>
          <w:rFonts w:eastAsia="Calibri" w:cs="Times New Roman"/>
          <w:bCs/>
          <w:i/>
          <w:szCs w:val="24"/>
          <w:lang w:val="sr-Cyrl-RS"/>
        </w:rPr>
        <w:t>. Доприноси фактора производње потенцијалној стопи раста</w:t>
      </w:r>
    </w:p>
    <w:p w14:paraId="564DDD22" w14:textId="77777777" w:rsidR="003B248B" w:rsidRPr="00AD7E7D" w:rsidRDefault="000B3740" w:rsidP="000B3740">
      <w:pPr>
        <w:ind w:firstLine="720"/>
        <w:rPr>
          <w:rFonts w:eastAsia="Calibri" w:cs="Times New Roman"/>
          <w:szCs w:val="24"/>
          <w:lang w:val="sr-Cyrl-RS"/>
        </w:rPr>
      </w:pPr>
      <w:r w:rsidRPr="00AD7E7D">
        <w:rPr>
          <w:rFonts w:cs="Times New Roman"/>
          <w:noProof/>
          <w:szCs w:val="24"/>
        </w:rPr>
        <w:drawing>
          <wp:inline distT="0" distB="0" distL="0" distR="0" wp14:anchorId="3C21D6CA" wp14:editId="7939D1AE">
            <wp:extent cx="4505325" cy="1771650"/>
            <wp:effectExtent l="0" t="0" r="0" b="0"/>
            <wp:docPr id="97" name="Chart 97">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4293786" w14:textId="77777777" w:rsidR="000B3740" w:rsidRPr="00AD7E7D" w:rsidRDefault="002B14D4" w:rsidP="00E25CAC">
      <w:pPr>
        <w:rPr>
          <w:rFonts w:cs="Times New Roman"/>
          <w:szCs w:val="24"/>
          <w:lang w:val="sr-Cyrl-RS"/>
        </w:rPr>
      </w:pPr>
      <w:r w:rsidRPr="00AD7E7D">
        <w:rPr>
          <w:rFonts w:cs="Times New Roman"/>
          <w:b/>
          <w:szCs w:val="24"/>
          <w:lang w:val="sr-Cyrl-RS"/>
        </w:rPr>
        <w:t>Тржиште рада.</w:t>
      </w:r>
      <w:r w:rsidR="00C4765D" w:rsidRPr="00AD7E7D">
        <w:rPr>
          <w:rFonts w:cs="Times New Roman"/>
          <w:szCs w:val="24"/>
          <w:lang w:val="sr-Cyrl-RS"/>
        </w:rPr>
        <w:t xml:space="preserve"> </w:t>
      </w:r>
      <w:r w:rsidR="000B3740" w:rsidRPr="00AD7E7D">
        <w:rPr>
          <w:rFonts w:cs="Times New Roman"/>
          <w:szCs w:val="24"/>
          <w:lang w:val="sr-Cyrl-RS"/>
        </w:rPr>
        <w:t>У наредном периоду очекује се да ће тржиште рада задржати позитивне трендове, у складу са повољним макроекономским показатељима, као и услед подстицања предузетништва, модернизације образовног система и подршке запошљавању рањивих група. Повећање мобилности радне снаге и јачање сарадње између образовних институција и привреде допринеће даљем смањењу незапослености и повећању запослености, чиме ће се унапредити животни стандард становништва. Креатори јавних политика активно раде на мерама усмереним на унапређење квалитета радне снаге и улагање у људски капитал, како би се олакшало запошљавање, нарочито у секторима са већом додатом вредношћу. Наставиће се напори усмерени на смањивање запослених у сивој економији и њихов прелазак у формални сектор, што ће побољшати услове рада и позитивно утицати на приходе буџета. У средњорочном периоду, очекују се позитивни ефекти мера активне политике запошљавања, преквалификација и подршке социјалном предузетништву, које ће олакшати приступ радним местима социјално рањивим категоријама и осигурати инклузивност привредног раста. Пројекције указују на смањење стопе незапослености и наставак реалног раста зарада. У приватном сектору, очекује се да ће раст зарада бити у корелацији са растом продуктивности, док ће зараде у јавном сектору расти у складу са утврђеним фискалним правилима.</w:t>
      </w:r>
    </w:p>
    <w:p w14:paraId="3C43BECF" w14:textId="77777777" w:rsidR="001D58B7" w:rsidRPr="00AD7E7D" w:rsidRDefault="001D58B7" w:rsidP="00E25CAC">
      <w:pPr>
        <w:spacing w:before="180" w:after="180"/>
        <w:rPr>
          <w:rFonts w:cs="Times New Roman"/>
          <w:iCs/>
          <w:szCs w:val="24"/>
          <w:lang w:val="sr-Latn-RS"/>
        </w:rPr>
      </w:pPr>
      <w:r w:rsidRPr="00AD7E7D">
        <w:rPr>
          <w:rFonts w:cs="Times New Roman"/>
          <w:b/>
          <w:i/>
          <w:szCs w:val="24"/>
          <w:lang w:val="sr-Cyrl-RS"/>
        </w:rPr>
        <w:t>Монетарна политика, политика девизног курса</w:t>
      </w:r>
      <w:r w:rsidRPr="00AD7E7D">
        <w:rPr>
          <w:rFonts w:cs="Times New Roman"/>
          <w:szCs w:val="24"/>
          <w:lang w:val="sr-Cyrl-RS"/>
        </w:rPr>
        <w:t xml:space="preserve"> </w:t>
      </w:r>
      <w:r w:rsidRPr="00AD7E7D">
        <w:rPr>
          <w:rFonts w:cs="Times New Roman"/>
          <w:b/>
          <w:i/>
          <w:szCs w:val="24"/>
          <w:lang w:val="sr-Cyrl-RS"/>
        </w:rPr>
        <w:t>и инфлација</w:t>
      </w:r>
      <w:r w:rsidRPr="00AD7E7D">
        <w:rPr>
          <w:rFonts w:cs="Times New Roman"/>
          <w:b/>
          <w:i/>
          <w:szCs w:val="24"/>
          <w:lang w:val="sr-Latn-RS"/>
        </w:rPr>
        <w:t xml:space="preserve"> </w:t>
      </w:r>
    </w:p>
    <w:p w14:paraId="0DFBEEB5" w14:textId="77777777" w:rsidR="001D58B7" w:rsidRPr="00AD7E7D" w:rsidRDefault="001D58B7" w:rsidP="001D58B7">
      <w:pPr>
        <w:rPr>
          <w:rFonts w:cs="Times New Roman"/>
          <w:szCs w:val="24"/>
          <w:lang w:val="sr-Cyrl-RS"/>
        </w:rPr>
      </w:pPr>
      <w:r w:rsidRPr="00AD7E7D">
        <w:rPr>
          <w:rFonts w:cs="Times New Roman"/>
          <w:szCs w:val="24"/>
          <w:lang w:val="sr-Cyrl-RS"/>
        </w:rPr>
        <w:t xml:space="preserve">Народна банка Србије од 2009. године примењује </w:t>
      </w:r>
      <w:r w:rsidRPr="00AD7E7D">
        <w:rPr>
          <w:rFonts w:cs="Times New Roman"/>
          <w:b/>
          <w:bCs/>
          <w:i/>
          <w:iCs/>
          <w:szCs w:val="24"/>
          <w:lang w:val="sr-Cyrl-RS"/>
        </w:rPr>
        <w:t>режим циљања инфлације</w:t>
      </w:r>
      <w:r w:rsidRPr="00AD7E7D">
        <w:rPr>
          <w:rFonts w:cs="Times New Roman"/>
          <w:szCs w:val="24"/>
          <w:lang w:val="sr-Cyrl-RS"/>
        </w:rPr>
        <w:t xml:space="preserve"> као монетарну стратегију. Захваљујући постигнутој ценовној стабилности, усидрености инфлационих очекивања и знатном поправљању макроекономских показатеља и изгледа Србије за наредни период, а пре свега одрживом смањењу спољне и унутрашње неравнотеже, циљана стопа инфлације је снижена од 2017. године </w:t>
      </w:r>
      <w:r w:rsidRPr="00AD7E7D">
        <w:rPr>
          <w:rFonts w:cs="Times New Roman"/>
          <w:b/>
          <w:szCs w:val="24"/>
          <w:lang w:val="sr-Cyrl-RS"/>
        </w:rPr>
        <w:t>на ниво од 3%±1,5 п.п. и на том нивоу је утврђена до краја 2026. године</w:t>
      </w:r>
      <w:r w:rsidRPr="00AD7E7D">
        <w:rPr>
          <w:rFonts w:cs="Times New Roman"/>
          <w:szCs w:val="24"/>
          <w:lang w:val="sr-Cyrl-RS"/>
        </w:rPr>
        <w:t xml:space="preserve">. Тиме је потврђена одлучност Народне банке Србије и Владе Републике Србије да предузимају мере како би инфлација у средњем року остала ниска, стабилна и предвидива. </w:t>
      </w:r>
    </w:p>
    <w:p w14:paraId="150151A0" w14:textId="77777777" w:rsidR="001D58B7" w:rsidRPr="00AD7E7D" w:rsidRDefault="001D58B7" w:rsidP="001D58B7">
      <w:pPr>
        <w:rPr>
          <w:rFonts w:cs="Times New Roman"/>
          <w:szCs w:val="24"/>
          <w:lang w:val="sr-Cyrl-RS"/>
        </w:rPr>
      </w:pPr>
      <w:r w:rsidRPr="00AD7E7D">
        <w:rPr>
          <w:rFonts w:cs="Times New Roman"/>
          <w:szCs w:val="24"/>
          <w:lang w:val="sr-Cyrl-RS"/>
        </w:rPr>
        <w:lastRenderedPageBreak/>
        <w:t xml:space="preserve">Основни инструмент за постизање инфлационог циља јесте </w:t>
      </w:r>
      <w:r w:rsidRPr="00AD7E7D">
        <w:rPr>
          <w:rFonts w:cs="Times New Roman"/>
          <w:b/>
          <w:bCs/>
          <w:szCs w:val="24"/>
          <w:lang w:val="sr-Cyrl-RS"/>
        </w:rPr>
        <w:t>референтна каматна стопа</w:t>
      </w:r>
      <w:r w:rsidRPr="00AD7E7D">
        <w:rPr>
          <w:rFonts w:cs="Times New Roman"/>
          <w:szCs w:val="24"/>
          <w:lang w:val="sr-Cyrl-RS"/>
        </w:rPr>
        <w:t xml:space="preserve"> која се примењује у једнонедељним реверзним репо операцијама, док остали инструменти монетарне политике (кредитне и депозитне олакшице, обавезна резерва и интервенције на девизном тржишту) имају помоћну улогу. </w:t>
      </w:r>
    </w:p>
    <w:p w14:paraId="6EA51F9E" w14:textId="77777777" w:rsidR="001D58B7" w:rsidRPr="00AD7E7D" w:rsidRDefault="001D58B7" w:rsidP="001D58B7">
      <w:pPr>
        <w:rPr>
          <w:rFonts w:cs="Times New Roman"/>
          <w:szCs w:val="24"/>
          <w:lang w:val="sr-Cyrl-RS"/>
        </w:rPr>
      </w:pPr>
      <w:r w:rsidRPr="00AD7E7D">
        <w:rPr>
          <w:rFonts w:cs="Times New Roman"/>
          <w:szCs w:val="24"/>
          <w:lang w:val="sr-Cyrl-RS"/>
        </w:rPr>
        <w:t xml:space="preserve">У складу са изабраном монетарном стратегијом, Народна банка Србије </w:t>
      </w:r>
      <w:r w:rsidRPr="00AD7E7D">
        <w:rPr>
          <w:rFonts w:cs="Times New Roman"/>
          <w:b/>
          <w:bCs/>
          <w:szCs w:val="24"/>
          <w:lang w:val="sr-Cyrl-RS"/>
        </w:rPr>
        <w:t>наставиће да спроводи режим руковођено пливајућег девизног курса</w:t>
      </w:r>
      <w:r w:rsidRPr="00AD7E7D">
        <w:rPr>
          <w:rFonts w:cs="Times New Roman"/>
          <w:szCs w:val="24"/>
          <w:lang w:val="sr-Cyrl-RS"/>
        </w:rPr>
        <w:t xml:space="preserve">. Интервенције на девизном тржишту спроводиће ради ублажавања прекомерних краткорочних осцилација курса динара према евру, очувања стабилности цена и финансијског система и одржавања адекватног нивоа девизних резерви. </w:t>
      </w:r>
    </w:p>
    <w:p w14:paraId="4FBAEEF4" w14:textId="77777777" w:rsidR="001D58B7" w:rsidRPr="00AD7E7D" w:rsidRDefault="001D58B7" w:rsidP="001D58B7">
      <w:pPr>
        <w:rPr>
          <w:rFonts w:cs="Times New Roman"/>
          <w:szCs w:val="24"/>
          <w:lang w:val="sr-Cyrl-RS"/>
        </w:rPr>
      </w:pPr>
      <w:r w:rsidRPr="00AD7E7D">
        <w:rPr>
          <w:rFonts w:cs="Times New Roman"/>
          <w:szCs w:val="24"/>
          <w:lang w:val="sr-Cyrl-RS"/>
        </w:rPr>
        <w:t>У условима континуирано опадајуће путање домаће инфлације, њеног повратка у границе циља у мају 2024. године, као и очекиваног кретања инфлације и других макроекономских показатеља из домаћег и међународног окружења, Извршни одбор Народне банке Србије је на састанцима у јуну, јулу и септембру смањио референтну каматну стопу за по 25 б.п. на ниво од 5,75%. Стопе на депозитне и кредитне олакшице смањене су у истом обиму, на ниво од 4,50% и 7,00%, респективно.</w:t>
      </w:r>
    </w:p>
    <w:p w14:paraId="516DD889" w14:textId="77777777" w:rsidR="00CF6476" w:rsidRPr="00AD7E7D" w:rsidRDefault="001D58B7" w:rsidP="00137E4E">
      <w:pPr>
        <w:spacing w:after="180"/>
        <w:rPr>
          <w:rFonts w:cs="Times New Roman"/>
          <w:b/>
          <w:i/>
          <w:szCs w:val="24"/>
          <w:lang w:val="sr-Cyrl-RS"/>
        </w:rPr>
      </w:pPr>
      <w:r w:rsidRPr="00AD7E7D">
        <w:rPr>
          <w:rFonts w:cs="Times New Roman"/>
          <w:szCs w:val="24"/>
          <w:lang w:val="sr-Cyrl-RS"/>
        </w:rPr>
        <w:t xml:space="preserve">Поред тога, користећи флексибилност свог монетарног оквира, Народна банка Србије је почев од јуна одлучила да постепено смањи однос понуде на једнонедељним репо аукцијама према процењеној тражњи банака, што је, заједно са смањењем референтне каматне стопе, утицало да се просечна пондерисана репо стопа смањи на 4,52% (13. новембар) – тј. за 105 базних поена у поређењу са крајем маја, што представља веће смањење од смањења РКС (75 б.п.) у истом периоду. </w:t>
      </w:r>
    </w:p>
    <w:p w14:paraId="7E18EE0F" w14:textId="77777777" w:rsidR="001D58B7" w:rsidRPr="00E25CAC" w:rsidRDefault="001D58B7" w:rsidP="00E25CAC">
      <w:pPr>
        <w:spacing w:before="180" w:after="180"/>
        <w:rPr>
          <w:rFonts w:cs="Times New Roman"/>
          <w:b/>
          <w:i/>
          <w:szCs w:val="24"/>
          <w:lang w:val="sr-Cyrl-RS"/>
        </w:rPr>
      </w:pPr>
      <w:r w:rsidRPr="00AD7E7D">
        <w:rPr>
          <w:rFonts w:cs="Times New Roman"/>
          <w:b/>
          <w:i/>
          <w:szCs w:val="24"/>
          <w:lang w:val="sr-Cyrl-RS"/>
        </w:rPr>
        <w:t>Средњорочна пројекција инфлације</w:t>
      </w:r>
    </w:p>
    <w:p w14:paraId="1D71C40A" w14:textId="77777777" w:rsidR="001D58B7" w:rsidRPr="00AD7E7D" w:rsidRDefault="001D58B7" w:rsidP="001D58B7">
      <w:pPr>
        <w:rPr>
          <w:rFonts w:cs="Times New Roman"/>
          <w:szCs w:val="24"/>
          <w:lang w:val="en-GB"/>
        </w:rPr>
      </w:pPr>
      <w:bookmarkStart w:id="15" w:name="_Hlk120005795"/>
      <w:r w:rsidRPr="00AD7E7D">
        <w:rPr>
          <w:rFonts w:cs="Times New Roman"/>
          <w:szCs w:val="24"/>
          <w:lang w:val="sr-Cyrl-RS"/>
        </w:rPr>
        <w:t>Према новембарској пројекцији Народне банке Србије, међугодишња инфлација ће наставити да се креће у границама дозвољеног одступања од циља (3 ± 1,5%) и у наредне две године, што је временски хоризонт пројекције. Међугодишња инфлација би у наредном периоду требало постепено да успорава и да се крајем наредне године приближи централној вредности циља. Таквом кретању инфлације највише ће допринети и даље рестриктивни монетарни услови, усидравање не само средњорочних већ и краткорочних инфлационих очекивања у границама циља, као и нижа увозна инфлација и спорији привредни раст у зони евра. Такође, на опадајућу путању инфлације одразиће се и пројектовано успоравање раста реалних зарада</w:t>
      </w:r>
      <w:r w:rsidRPr="00AD7E7D">
        <w:rPr>
          <w:rFonts w:cs="Times New Roman"/>
          <w:szCs w:val="24"/>
          <w:lang w:val="en-GB"/>
        </w:rPr>
        <w:t xml:space="preserve"> </w:t>
      </w:r>
      <w:r w:rsidRPr="00AD7E7D">
        <w:rPr>
          <w:rFonts w:cs="Times New Roman"/>
          <w:szCs w:val="24"/>
          <w:lang w:val="sr-Cyrl-RS"/>
        </w:rPr>
        <w:t>и очекивани пад светске цене нафте у складу с фјучерсима</w:t>
      </w:r>
      <w:r w:rsidRPr="00AD7E7D">
        <w:rPr>
          <w:rFonts w:cs="Times New Roman"/>
          <w:szCs w:val="24"/>
          <w:lang w:val="en-GB"/>
        </w:rPr>
        <w:t>.</w:t>
      </w:r>
    </w:p>
    <w:p w14:paraId="307A8096" w14:textId="77777777" w:rsidR="001D58B7" w:rsidRPr="00AD7E7D" w:rsidRDefault="001D58B7" w:rsidP="00137E4E">
      <w:pPr>
        <w:spacing w:after="180"/>
        <w:rPr>
          <w:rFonts w:cs="Times New Roman"/>
          <w:szCs w:val="24"/>
          <w:lang w:val="sr-Cyrl-RS"/>
        </w:rPr>
      </w:pPr>
      <w:r w:rsidRPr="00AD7E7D">
        <w:rPr>
          <w:rFonts w:cs="Times New Roman"/>
          <w:szCs w:val="24"/>
          <w:lang w:val="sr-Cyrl-RS"/>
        </w:rPr>
        <w:t>Кључни ризици пројекције инфлације и даље се у највећој мери односе на факторе из међународног окружења, а првенствено геополитичке односе, протекционистичке мере и изгледе за глобални привредни раст, као и њихов утицај на светске цене енергената и других примарних производа. Од ризика из домаћег окружења, важан је утицај временских прилика на понуду и цене воћа и поврћа, као и брзина раста домаће тражње, пре свега инвестиционе, по основу висине прилива страних директних инвестиција и улагања у инфраструктуру и сектор енергетике. Укупно посматрано, ризике током хоризонта пројекције оцењујемо као симетричне.</w:t>
      </w:r>
    </w:p>
    <w:bookmarkEnd w:id="15"/>
    <w:p w14:paraId="66A3C2DF" w14:textId="77777777" w:rsidR="001D58B7" w:rsidRPr="00E25CAC" w:rsidRDefault="001D58B7" w:rsidP="00E25CAC">
      <w:pPr>
        <w:spacing w:before="180" w:after="180"/>
        <w:rPr>
          <w:rFonts w:cs="Times New Roman"/>
          <w:b/>
          <w:i/>
          <w:szCs w:val="24"/>
          <w:lang w:val="sr-Cyrl-RS"/>
        </w:rPr>
      </w:pPr>
      <w:r w:rsidRPr="00E25CAC">
        <w:rPr>
          <w:rFonts w:cs="Times New Roman"/>
          <w:b/>
          <w:i/>
          <w:szCs w:val="24"/>
          <w:lang w:val="sr-Cyrl-RS"/>
        </w:rPr>
        <w:t>Екстерни сектор и његова средњорочна одрживост</w:t>
      </w:r>
    </w:p>
    <w:p w14:paraId="3377D0AF" w14:textId="77777777" w:rsidR="001D58B7" w:rsidRPr="00AD7E7D" w:rsidRDefault="001D58B7" w:rsidP="001D58B7">
      <w:pPr>
        <w:rPr>
          <w:rFonts w:eastAsia="Times New Roman" w:cs="Times New Roman"/>
          <w:szCs w:val="24"/>
          <w:lang w:val="sr-Cyrl-RS"/>
        </w:rPr>
      </w:pPr>
      <w:r w:rsidRPr="00AD7E7D">
        <w:rPr>
          <w:rFonts w:eastAsia="Times New Roman" w:cs="Times New Roman"/>
          <w:szCs w:val="24"/>
          <w:lang w:val="sr-Cyrl-RS"/>
        </w:rPr>
        <w:t xml:space="preserve">Захваљујући </w:t>
      </w:r>
      <w:r w:rsidRPr="00AD7E7D">
        <w:rPr>
          <w:rFonts w:cs="Times New Roman"/>
          <w:szCs w:val="24"/>
          <w:lang w:val="sr-Cyrl-RS"/>
        </w:rPr>
        <w:t xml:space="preserve">приливу страних директних инвестиција у </w:t>
      </w:r>
      <w:r w:rsidRPr="00AD7E7D">
        <w:rPr>
          <w:rFonts w:eastAsia="Times New Roman" w:cs="Times New Roman"/>
          <w:szCs w:val="24"/>
          <w:lang w:val="sr-Cyrl-RS"/>
        </w:rPr>
        <w:t>извозно-оријентисане секторе, којем доприноси остварена маркоекономска стабилност, као и стимулативније пословно окружење, у претходних неколико година повећана је диверсификованост</w:t>
      </w:r>
      <w:r w:rsidRPr="00AD7E7D">
        <w:rPr>
          <w:rFonts w:cs="Times New Roman"/>
          <w:szCs w:val="24"/>
          <w:lang w:val="sr-Cyrl-RS"/>
        </w:rPr>
        <w:t xml:space="preserve"> извоза – и производно и географски посматрано. </w:t>
      </w:r>
      <w:r w:rsidRPr="00AD7E7D">
        <w:rPr>
          <w:rFonts w:eastAsia="Times New Roman" w:cs="Times New Roman"/>
          <w:szCs w:val="24"/>
          <w:lang w:val="sr-Cyrl-RS"/>
        </w:rPr>
        <w:t xml:space="preserve">На то указује смањење вредности индекса </w:t>
      </w:r>
      <w:r w:rsidRPr="00AD7E7D">
        <w:rPr>
          <w:rFonts w:eastAsia="Times New Roman" w:cs="Times New Roman"/>
          <w:i/>
          <w:szCs w:val="24"/>
          <w:lang w:val="sr-Cyrl-RS"/>
        </w:rPr>
        <w:t>HHI</w:t>
      </w:r>
      <w:r w:rsidRPr="00AD7E7D">
        <w:rPr>
          <w:rFonts w:eastAsia="Times New Roman" w:cs="Times New Roman"/>
          <w:szCs w:val="24"/>
          <w:lang w:val="sr-Cyrl-RS"/>
        </w:rPr>
        <w:t xml:space="preserve"> по </w:t>
      </w:r>
      <w:r w:rsidRPr="00AD7E7D">
        <w:rPr>
          <w:rFonts w:eastAsia="Times New Roman" w:cs="Times New Roman"/>
          <w:szCs w:val="24"/>
          <w:lang w:val="sr-Cyrl-RS"/>
        </w:rPr>
        <w:lastRenderedPageBreak/>
        <w:t>производима</w:t>
      </w:r>
      <w:r w:rsidR="00CF6476" w:rsidRPr="00AD7E7D">
        <w:rPr>
          <w:rFonts w:eastAsia="Times New Roman" w:cs="Times New Roman"/>
          <w:szCs w:val="24"/>
          <w:lang w:val="sr-Cyrl-RS"/>
        </w:rPr>
        <w:t xml:space="preserve"> </w:t>
      </w:r>
      <w:r w:rsidRPr="00AD7E7D">
        <w:rPr>
          <w:rFonts w:eastAsia="Times New Roman" w:cs="Times New Roman"/>
          <w:szCs w:val="24"/>
          <w:lang w:val="sr-Cyrl-RS"/>
        </w:rPr>
        <w:t>у протеклој деценији, са 0,22 у 2013. на 0,20 у 2024, а по земљама партнерима са 0,26 на 0,23.</w:t>
      </w:r>
    </w:p>
    <w:p w14:paraId="168DA417" w14:textId="77777777" w:rsidR="001D58B7" w:rsidRPr="00AD7E7D" w:rsidRDefault="001D58B7" w:rsidP="001D58B7">
      <w:pPr>
        <w:rPr>
          <w:rFonts w:cs="Times New Roman"/>
          <w:szCs w:val="24"/>
          <w:lang w:val="sr-Cyrl-RS"/>
        </w:rPr>
      </w:pPr>
      <w:r w:rsidRPr="00AD7E7D">
        <w:rPr>
          <w:rFonts w:cs="Times New Roman"/>
          <w:szCs w:val="24"/>
          <w:lang w:val="sr-Cyrl-RS"/>
        </w:rPr>
        <w:t xml:space="preserve">Посматрано према </w:t>
      </w:r>
      <w:r w:rsidRPr="00AD7E7D">
        <w:rPr>
          <w:rFonts w:cs="Times New Roman"/>
          <w:b/>
          <w:bCs/>
          <w:i/>
          <w:iCs/>
          <w:szCs w:val="24"/>
          <w:lang w:val="sr-Cyrl-RS"/>
        </w:rPr>
        <w:t>фазама прераде</w:t>
      </w:r>
      <w:r w:rsidRPr="00AD7E7D">
        <w:rPr>
          <w:rFonts w:cs="Times New Roman"/>
          <w:szCs w:val="24"/>
          <w:lang w:val="sr-Cyrl-RS"/>
        </w:rPr>
        <w:t>, у структури робног извоза највеће учешће у девет месеци 2024. имају производи средње фазе прераде (</w:t>
      </w:r>
      <w:r w:rsidRPr="00AD7E7D">
        <w:rPr>
          <w:rFonts w:cs="Times New Roman"/>
          <w:szCs w:val="24"/>
          <w:lang w:val="sr-Latn-RS"/>
        </w:rPr>
        <w:t>31,0</w:t>
      </w:r>
      <w:r w:rsidRPr="00AD7E7D">
        <w:rPr>
          <w:rFonts w:cs="Times New Roman"/>
          <w:szCs w:val="24"/>
          <w:lang w:val="sr-Cyrl-RS"/>
        </w:rPr>
        <w:t>%). На другом месту налазе се производи базирани на ресурсима (26,</w:t>
      </w:r>
      <w:r w:rsidRPr="00AD7E7D">
        <w:rPr>
          <w:rFonts w:cs="Times New Roman"/>
          <w:szCs w:val="24"/>
          <w:lang w:val="sr-Latn-RS"/>
        </w:rPr>
        <w:t>9</w:t>
      </w:r>
      <w:r w:rsidRPr="00AD7E7D">
        <w:rPr>
          <w:rFonts w:cs="Times New Roman"/>
          <w:szCs w:val="24"/>
          <w:lang w:val="sr-Cyrl-RS"/>
        </w:rPr>
        <w:t xml:space="preserve">%), затим производи ниже фазе прераде са учешћем од </w:t>
      </w:r>
      <w:r w:rsidRPr="00AD7E7D">
        <w:rPr>
          <w:rFonts w:cs="Times New Roman"/>
          <w:szCs w:val="24"/>
          <w:lang w:val="sr-Latn-RS"/>
        </w:rPr>
        <w:t>17,0</w:t>
      </w:r>
      <w:r w:rsidRPr="00AD7E7D">
        <w:rPr>
          <w:rFonts w:cs="Times New Roman"/>
          <w:szCs w:val="24"/>
          <w:lang w:val="sr-Cyrl-RS"/>
        </w:rPr>
        <w:t>% (намештај, производи од пластике, ваљани производи, производи од простих метала</w:t>
      </w:r>
      <w:r w:rsidRPr="00AD7E7D">
        <w:rPr>
          <w:rFonts w:cs="Times New Roman"/>
          <w:szCs w:val="24"/>
          <w:lang w:val="sr-Latn-RS"/>
        </w:rPr>
        <w:t xml:space="preserve">, </w:t>
      </w:r>
      <w:r w:rsidRPr="00AD7E7D">
        <w:rPr>
          <w:rFonts w:cs="Times New Roman"/>
          <w:szCs w:val="24"/>
          <w:lang w:val="sr-Cyrl-RS"/>
        </w:rPr>
        <w:t xml:space="preserve">обућа), док су примарни производи чинили </w:t>
      </w:r>
      <w:r w:rsidRPr="00AD7E7D">
        <w:rPr>
          <w:rFonts w:cs="Times New Roman"/>
          <w:szCs w:val="24"/>
          <w:lang w:val="sr-Latn-RS"/>
        </w:rPr>
        <w:t>13,3</w:t>
      </w:r>
      <w:r w:rsidRPr="00AD7E7D">
        <w:rPr>
          <w:rFonts w:cs="Times New Roman"/>
          <w:szCs w:val="24"/>
          <w:lang w:val="sr-Cyrl-RS"/>
        </w:rPr>
        <w:t>% укупног извоза. Учешће производа високе технологије (углавном електричних машина) у укупном извозу износило је 7,</w:t>
      </w:r>
      <w:r w:rsidRPr="00AD7E7D">
        <w:rPr>
          <w:rFonts w:cs="Times New Roman"/>
          <w:szCs w:val="24"/>
          <w:lang w:val="sr-Latn-RS"/>
        </w:rPr>
        <w:t>9</w:t>
      </w:r>
      <w:r w:rsidRPr="00AD7E7D">
        <w:rPr>
          <w:rFonts w:cs="Times New Roman"/>
          <w:szCs w:val="24"/>
          <w:lang w:val="sr-Cyrl-RS"/>
        </w:rPr>
        <w:t>% током девет месеци 202</w:t>
      </w:r>
      <w:r w:rsidRPr="00AD7E7D">
        <w:rPr>
          <w:rFonts w:cs="Times New Roman"/>
          <w:szCs w:val="24"/>
          <w:lang w:val="sr-Latn-RS"/>
        </w:rPr>
        <w:t>4</w:t>
      </w:r>
      <w:r w:rsidRPr="00AD7E7D">
        <w:rPr>
          <w:rFonts w:cs="Times New Roman"/>
          <w:szCs w:val="24"/>
          <w:lang w:val="sr-Cyrl-RS"/>
        </w:rPr>
        <w:t>, што представља раст за 3</w:t>
      </w:r>
      <w:r w:rsidRPr="00AD7E7D">
        <w:rPr>
          <w:rFonts w:cs="Times New Roman"/>
          <w:szCs w:val="24"/>
          <w:lang w:val="sr-Latn-RS"/>
        </w:rPr>
        <w:t>,1</w:t>
      </w:r>
      <w:r w:rsidRPr="00AD7E7D">
        <w:rPr>
          <w:rFonts w:cs="Times New Roman"/>
          <w:szCs w:val="24"/>
          <w:lang w:val="sr-Cyrl-RS"/>
        </w:rPr>
        <w:t xml:space="preserve"> п.п. у односу на 2013, када је учешће било 4,8%.</w:t>
      </w:r>
    </w:p>
    <w:p w14:paraId="52DCCA04" w14:textId="77777777" w:rsidR="001D58B7" w:rsidRPr="00AD7E7D" w:rsidRDefault="001D58B7" w:rsidP="001D58B7">
      <w:pPr>
        <w:rPr>
          <w:rFonts w:cs="Times New Roman"/>
          <w:szCs w:val="24"/>
          <w:lang w:val="sr-Cyrl-RS"/>
        </w:rPr>
      </w:pPr>
      <w:r w:rsidRPr="00AD7E7D">
        <w:rPr>
          <w:rFonts w:cs="Times New Roman"/>
          <w:szCs w:val="24"/>
          <w:lang w:val="sr-Cyrl-RS"/>
        </w:rPr>
        <w:t xml:space="preserve">Када је реч о </w:t>
      </w:r>
      <w:r w:rsidRPr="00AD7E7D">
        <w:rPr>
          <w:rFonts w:cs="Times New Roman"/>
          <w:b/>
          <w:i/>
          <w:szCs w:val="24"/>
          <w:lang w:val="sr-Cyrl-RS"/>
        </w:rPr>
        <w:t>показатељима ценовне конкурентности</w:t>
      </w:r>
      <w:r w:rsidRPr="00AD7E7D">
        <w:rPr>
          <w:rFonts w:cs="Times New Roman"/>
          <w:szCs w:val="24"/>
          <w:lang w:val="sr-Cyrl-RS"/>
        </w:rPr>
        <w:t>, важно је нагласити да је реални ефективни курс динара (рачунат на бази потрошачких цена према корпи валута коју чине евро и долар</w:t>
      </w:r>
      <w:r w:rsidRPr="00AD7E7D">
        <w:rPr>
          <w:rFonts w:cs="Times New Roman"/>
          <w:szCs w:val="24"/>
          <w:vertAlign w:val="superscript"/>
          <w:lang w:val="sr-Cyrl-RS"/>
        </w:rPr>
        <w:footnoteReference w:id="6"/>
      </w:r>
      <w:r w:rsidRPr="00AD7E7D">
        <w:rPr>
          <w:rFonts w:cs="Times New Roman"/>
          <w:szCs w:val="24"/>
          <w:lang w:val="sr-Cyrl-RS"/>
        </w:rPr>
        <w:t>) током осам година закључно са 2022, кумулативно посматрано, био готово непромењен. Под утицајем веће инфлације у Србији у односу на инфлацију у зони евра и САД, у 2023. забележена је реална ефективна апрецијација од 7,7%, док је у девет месеци 2024. просечна реална ефективана апрецијација динара износила 2,4% мг. Рачунат на бази јединичних трошкова рада, динар према евру реално апрецира од 2017. године, услед бржег раста јединичних трошкова рада у Србији у односу на ЕУ, а делом и због благе номиналне апрецијације динара према евру. Током 2024. зараде у Србији расле су брже од економске активности, тако да су јединични трошкови рада у Србији наставили раст, који је био израженији у односу на раст једничних трошкова рада у зони евра што је уз непромењену вредност динара према евру, резултирало реалном апрецијацијом динара која је</w:t>
      </w:r>
      <w:r w:rsidRPr="00AD7E7D">
        <w:rPr>
          <w:rFonts w:cs="Times New Roman"/>
          <w:szCs w:val="24"/>
        </w:rPr>
        <w:t>,</w:t>
      </w:r>
      <w:r w:rsidRPr="00AD7E7D">
        <w:rPr>
          <w:rFonts w:cs="Times New Roman"/>
          <w:szCs w:val="24"/>
          <w:lang w:val="sr-Cyrl-RS"/>
        </w:rPr>
        <w:t xml:space="preserve"> према тренутно расположивим подацима</w:t>
      </w:r>
      <w:r w:rsidRPr="00AD7E7D">
        <w:rPr>
          <w:rFonts w:cs="Times New Roman"/>
          <w:szCs w:val="24"/>
        </w:rPr>
        <w:t>,</w:t>
      </w:r>
      <w:r w:rsidRPr="00AD7E7D">
        <w:rPr>
          <w:rFonts w:cs="Times New Roman"/>
          <w:szCs w:val="24"/>
          <w:lang w:val="sr-Cyrl-RS"/>
        </w:rPr>
        <w:t xml:space="preserve"> у П1 износила око </w:t>
      </w:r>
      <w:r w:rsidRPr="00AD7E7D">
        <w:rPr>
          <w:rFonts w:cs="Times New Roman"/>
          <w:szCs w:val="24"/>
          <w:lang w:val="sr-Latn-RS"/>
        </w:rPr>
        <w:t>5</w:t>
      </w:r>
      <w:r w:rsidRPr="00AD7E7D">
        <w:rPr>
          <w:rFonts w:cs="Times New Roman"/>
          <w:szCs w:val="24"/>
          <w:lang w:val="sr-Cyrl-RS"/>
        </w:rPr>
        <w:t>% мг. Да трошковна конкурентност није фактор који значајније утиче на прилив страних директних инвестиција, већ очувана макроекономска стабилност и остварена структурна побољшања, говори податак да је прилив страних директних инвестиција од 2017. закључно са септембром ове године износио скоро 29,4 млрд евра (просечно годишње око 7,2% БДП-а), упркос пандемији, израженим геополитичким тензијама и другим изазовима из међународног окружења. Такође, извоз робе и услуга наставља да расте упркос и даље слабој екстерној тражњи, управо као резултат високих прилива страних директних инвестиције које су знатно повећале извозну понуду, тако да је извоз и у условима смањене екстерне тражње показао значајну отпорност.</w:t>
      </w:r>
    </w:p>
    <w:p w14:paraId="7B3ED61D" w14:textId="77777777" w:rsidR="001D58B7" w:rsidRPr="00AD7E7D" w:rsidRDefault="001D58B7" w:rsidP="001D58B7">
      <w:pPr>
        <w:rPr>
          <w:rFonts w:cs="Times New Roman"/>
          <w:b/>
          <w:szCs w:val="24"/>
          <w:lang w:val="sr-Cyrl-RS"/>
        </w:rPr>
      </w:pPr>
      <w:r w:rsidRPr="00AD7E7D">
        <w:rPr>
          <w:rFonts w:cs="Times New Roman"/>
          <w:b/>
          <w:i/>
          <w:szCs w:val="24"/>
          <w:lang w:val="sr-Cyrl-RS"/>
        </w:rPr>
        <w:t>Међународна инвестициона позиција.</w:t>
      </w:r>
      <w:r w:rsidRPr="00AD7E7D">
        <w:rPr>
          <w:rFonts w:cs="Times New Roman"/>
          <w:szCs w:val="24"/>
          <w:lang w:val="sr-Cyrl-RS"/>
        </w:rPr>
        <w:t xml:space="preserve"> На крају Т2 2024. негативна међународна инвестициона позиција (МИП) износила је 50,5 млрд евра (на крају 2023. износила је</w:t>
      </w:r>
      <w:r w:rsidRPr="00AD7E7D">
        <w:rPr>
          <w:rFonts w:cs="Times New Roman"/>
          <w:szCs w:val="24"/>
          <w:lang w:val="sr-Latn-RS"/>
        </w:rPr>
        <w:t xml:space="preserve"> 50,1 </w:t>
      </w:r>
      <w:r w:rsidRPr="00AD7E7D">
        <w:rPr>
          <w:rFonts w:cs="Times New Roman"/>
          <w:szCs w:val="24"/>
          <w:lang w:val="sr-Cyrl-RS"/>
        </w:rPr>
        <w:t xml:space="preserve">млрд евра или 66,6% БДП-а). На страни активе повећало се стање девизних резерви, депозита и портфолио и директних инвестиција резидената у иностранство, док је на страни обавеза дошло пре свега до раста стања страних директних инвестиција, портфолио инвестиција и финансијских кредита. </w:t>
      </w:r>
      <w:r w:rsidRPr="00AD7E7D">
        <w:rPr>
          <w:rFonts w:cs="Times New Roman"/>
          <w:b/>
          <w:bCs/>
          <w:szCs w:val="24"/>
          <w:lang w:val="sr-Cyrl-RS"/>
        </w:rPr>
        <w:t>Н</w:t>
      </w:r>
      <w:r w:rsidRPr="00AD7E7D">
        <w:rPr>
          <w:rFonts w:cs="Times New Roman"/>
          <w:b/>
          <w:szCs w:val="24"/>
          <w:lang w:val="sr-Cyrl-RS"/>
        </w:rPr>
        <w:t>а крају Т2 2024, нето стране директне инвестиције чиниле су око 104% нето МИП, што указује на изразито повољну структуру МИП-а са становишта екстерне одрживости.</w:t>
      </w:r>
    </w:p>
    <w:p w14:paraId="34A90E7F" w14:textId="77777777" w:rsidR="001D58B7" w:rsidRPr="00AD7E7D" w:rsidRDefault="001D58B7" w:rsidP="001D58B7">
      <w:pPr>
        <w:rPr>
          <w:rFonts w:cs="Times New Roman"/>
          <w:szCs w:val="24"/>
          <w:lang w:val="sr-Cyrl-RS"/>
        </w:rPr>
      </w:pPr>
      <w:r w:rsidRPr="00AD7E7D">
        <w:rPr>
          <w:rFonts w:cs="Times New Roman"/>
          <w:szCs w:val="24"/>
          <w:lang w:val="sr-Cyrl-RS"/>
        </w:rPr>
        <w:t xml:space="preserve">У структури пасиве МИП-а, учешће дужничких инструмената је износило око 52%, од чега су међукомпанијски кредити чинили </w:t>
      </w:r>
      <w:r w:rsidRPr="00AD7E7D">
        <w:rPr>
          <w:rFonts w:cs="Times New Roman"/>
          <w:szCs w:val="24"/>
          <w:lang w:val="sr-Latn-RS"/>
        </w:rPr>
        <w:t>23,1</w:t>
      </w:r>
      <w:r w:rsidRPr="00AD7E7D">
        <w:rPr>
          <w:rFonts w:cs="Times New Roman"/>
          <w:szCs w:val="24"/>
          <w:lang w:val="sr-Cyrl-RS"/>
        </w:rPr>
        <w:t xml:space="preserve">%. Око половине </w:t>
      </w:r>
      <w:r w:rsidRPr="00AD7E7D">
        <w:rPr>
          <w:rFonts w:cs="Times New Roman"/>
          <w:b/>
          <w:bCs/>
          <w:i/>
          <w:iCs/>
          <w:szCs w:val="24"/>
          <w:lang w:val="sr-Cyrl-RS"/>
        </w:rPr>
        <w:t>укупног</w:t>
      </w:r>
      <w:r w:rsidRPr="00AD7E7D">
        <w:rPr>
          <w:rFonts w:cs="Times New Roman"/>
          <w:szCs w:val="24"/>
          <w:lang w:val="sr-Cyrl-RS"/>
        </w:rPr>
        <w:t xml:space="preserve"> </w:t>
      </w:r>
      <w:r w:rsidRPr="00AD7E7D">
        <w:rPr>
          <w:rFonts w:cs="Times New Roman"/>
          <w:b/>
          <w:i/>
          <w:szCs w:val="24"/>
          <w:lang w:val="sr-Cyrl-RS"/>
        </w:rPr>
        <w:t>спољног дуга</w:t>
      </w:r>
      <w:r w:rsidRPr="00AD7E7D">
        <w:rPr>
          <w:rFonts w:cs="Times New Roman"/>
          <w:szCs w:val="24"/>
          <w:lang w:val="sr-Cyrl-RS"/>
        </w:rPr>
        <w:t xml:space="preserve"> односи се на дуг јавног сектора (54,7%). Посматрано по преосталој рочности, укупан спољни дуг јавног сектора (који чине општа држава и Народна банка Србије) је дугорочног карактера, а око 70,7% је уговорено по фиксној каматној стопи. У јавном спољном дугу доминирају две валуте – евро (70,8%) и долар (19,4%), а битно је истаћи </w:t>
      </w:r>
      <w:r w:rsidRPr="00AD7E7D">
        <w:rPr>
          <w:rFonts w:cs="Times New Roman"/>
          <w:szCs w:val="24"/>
          <w:lang w:val="sr-Cyrl-RS"/>
        </w:rPr>
        <w:lastRenderedPageBreak/>
        <w:t>да је учешће евра и долара у девизним резервама у великој мери усклађено са валутном структуром јавног спољног дуга.</w:t>
      </w:r>
    </w:p>
    <w:p w14:paraId="549DF0A2" w14:textId="77777777" w:rsidR="001D58B7" w:rsidRPr="00AD7E7D" w:rsidRDefault="001D58B7" w:rsidP="001D58B7">
      <w:pPr>
        <w:rPr>
          <w:rFonts w:cs="Times New Roman"/>
          <w:szCs w:val="24"/>
          <w:lang w:val="sr-Cyrl-RS"/>
        </w:rPr>
      </w:pPr>
      <w:r w:rsidRPr="00AD7E7D">
        <w:rPr>
          <w:rFonts w:cs="Times New Roman"/>
          <w:szCs w:val="24"/>
          <w:lang w:val="sr-Cyrl-RS"/>
        </w:rPr>
        <w:t xml:space="preserve">У структури спољног дуга приватног сектора највећи део односи се на дуг предузећа (око 83,7%). Преко 88% дуга предузећа деноминовано је у еврима, а због чињенице да се истовремено око 83% наплата извоза извршава у еврима, валутни ризик по основу спољног дуга предузећа је низак. Поред тога, 48,0% дуга је уговорено по фиксној каматној стопи. Посматрано према преосталој рочности, скоро 97% дуга предузећа је дугорочног карактера. Када се посматра спољни дуг банака, око 96% деноминовано је у еврима, а 91,8% уговорено је по варијабилној каматној стопи. Посматрано према преосталој рочности, скоро 89,5% спољног дуга банкарског сектора (ако се изузму депозити) је дугорочног карактера. </w:t>
      </w:r>
    </w:p>
    <w:p w14:paraId="4A25502A" w14:textId="77777777" w:rsidR="001D58B7" w:rsidRPr="00AD7E7D" w:rsidRDefault="001D58B7" w:rsidP="001D58B7">
      <w:pPr>
        <w:rPr>
          <w:rFonts w:cs="Times New Roman"/>
          <w:szCs w:val="24"/>
          <w:lang w:val="sr-Cyrl-RS"/>
        </w:rPr>
      </w:pPr>
      <w:r w:rsidRPr="00AD7E7D">
        <w:rPr>
          <w:rFonts w:cs="Times New Roman"/>
          <w:b/>
          <w:i/>
          <w:szCs w:val="24"/>
          <w:lang w:val="sr-Cyrl-RS"/>
        </w:rPr>
        <w:t>Средњорочна екстерна одрживост.</w:t>
      </w:r>
      <w:r w:rsidRPr="00AD7E7D">
        <w:rPr>
          <w:rFonts w:cs="Times New Roman"/>
          <w:szCs w:val="24"/>
          <w:lang w:val="sr-Cyrl-RS"/>
        </w:rPr>
        <w:t xml:space="preserve"> Дефицит текућег рачуна у средњем року пројектује се на нивоу од око 5% БДП-а, који ће и надаље бити у пуној или готово у пуној мери покривен нето приливима по основу СДИ. Кретање салда текућег рачуна платног биланса у средњем року у највећој мери биће одређено структурним факторима. Наставак раста инвестиција и реализација пројеката везаних за програм „Скок у будућност - Србија Eкспо 2027“ утицаће на раст увоза капиталних добара и репроматеријала, тако да се процењује да ће раст увоза робе и услуга износити између 7% и 9% годишње у наредним годинама. Истовремено, као резултат инвестиција из претходног периода у разменљиве секторе, а пре свега високог прилива СДИ, као и очекиваног опоравка екстерне тражње, очекујемо да ће и раст извоза робе и услуга у средњем року износити између 6% и 9% годишње. Према нашој пројекцији, суфицит секундарног дохотка стабилизоваће се у наредном периоду на око 7% БДП-а, док ће очекивана путања нето прилива СДИ од око 5% БДП-а утицати на то да принос по основу њиховог власништва остане солидна расходна ставка на рачуну примарног дохотка, чији ће се дефицит због тога умерено повећавати.</w:t>
      </w:r>
    </w:p>
    <w:p w14:paraId="148148E2" w14:textId="77777777" w:rsidR="001D58B7" w:rsidRPr="00AD7E7D" w:rsidRDefault="001D58B7" w:rsidP="001D58B7">
      <w:pPr>
        <w:rPr>
          <w:rFonts w:cs="Times New Roman"/>
          <w:szCs w:val="24"/>
          <w:lang w:val="sr-Cyrl-RS"/>
        </w:rPr>
      </w:pPr>
      <w:r w:rsidRPr="00AD7E7D">
        <w:rPr>
          <w:rFonts w:cs="Times New Roman"/>
          <w:szCs w:val="24"/>
          <w:lang w:val="sr-Cyrl-RS"/>
        </w:rPr>
        <w:t>И у средњем року се очекује задржавање девизних резерви на адекватном нивоу. Процењује се да ће покривеност просечног месечног увоза робе и услуга девизним резервама износити око 7 месеци, уз раст покривености краткорочног дуга (посматрано по преосталој рочности) девизним резервама.</w:t>
      </w:r>
    </w:p>
    <w:p w14:paraId="3ED5AF9D" w14:textId="77777777" w:rsidR="00E8578D" w:rsidRPr="00AD7E7D" w:rsidRDefault="001D58B7" w:rsidP="00137E4E">
      <w:pPr>
        <w:spacing w:after="180"/>
        <w:rPr>
          <w:rFonts w:cs="Times New Roman"/>
          <w:szCs w:val="24"/>
          <w:lang w:val="sr-Cyrl-RS"/>
        </w:rPr>
      </w:pPr>
      <w:r w:rsidRPr="00AD7E7D">
        <w:rPr>
          <w:rFonts w:cs="Times New Roman"/>
          <w:szCs w:val="24"/>
          <w:lang w:val="sr-Cyrl-RS"/>
        </w:rPr>
        <w:t xml:space="preserve">Анализа одрживости спољног дуга показује да ће се по свим макроекономсмким сценаријима (који претпостављају различиту стопу раста БДП-а, каматних стопа, као и девизног курса), осим сценарија са реалном депрецијацијом од 30% у 2025. години, </w:t>
      </w:r>
      <w:r w:rsidRPr="00AD7E7D">
        <w:rPr>
          <w:rFonts w:cs="Times New Roman"/>
          <w:b/>
          <w:bCs/>
          <w:szCs w:val="24"/>
          <w:lang w:val="sr-Cyrl-RS"/>
        </w:rPr>
        <w:t>спољни дуг у средњем року смањивати</w:t>
      </w:r>
      <w:r w:rsidRPr="00AD7E7D">
        <w:rPr>
          <w:rFonts w:cs="Times New Roman"/>
          <w:szCs w:val="24"/>
          <w:lang w:val="sr-Cyrl-RS"/>
        </w:rPr>
        <w:t xml:space="preserve">. </w:t>
      </w:r>
      <w:r w:rsidRPr="00AD7E7D">
        <w:rPr>
          <w:rFonts w:cs="Times New Roman"/>
          <w:b/>
          <w:bCs/>
          <w:szCs w:val="24"/>
          <w:lang w:val="sr-Cyrl-RS"/>
        </w:rPr>
        <w:t xml:space="preserve">Према основном сценарију, спољни дуг Србије би се на крају 2027. нашао на нивоу од око </w:t>
      </w:r>
      <w:r w:rsidRPr="00AD7E7D">
        <w:rPr>
          <w:rFonts w:cs="Times New Roman"/>
          <w:b/>
          <w:bCs/>
          <w:szCs w:val="24"/>
          <w:lang w:val="sr-Latn-RS"/>
        </w:rPr>
        <w:t>55</w:t>
      </w:r>
      <w:r w:rsidRPr="00AD7E7D">
        <w:rPr>
          <w:rFonts w:cs="Times New Roman"/>
          <w:b/>
          <w:bCs/>
          <w:szCs w:val="24"/>
          <w:lang w:val="sr-Cyrl-RS"/>
        </w:rPr>
        <w:t>% БДП-а</w:t>
      </w:r>
      <w:r w:rsidRPr="00AD7E7D">
        <w:rPr>
          <w:rFonts w:cs="Times New Roman"/>
          <w:szCs w:val="24"/>
          <w:lang w:val="sr-Cyrl-RS"/>
        </w:rPr>
        <w:t>. Један од основних фактора који ће допринети овом смањењу је повећање степена отворености српске економије (мерено као проценат извоза и увоза роба и услуга у БДП-у) на око 130% БДП-а у 2027. години. На повећање отворености српске економије и њену већу интеграцију у глобалне трговинске токове свакако утиче висок прилив страних директних инвестиција, који се ове и наредних година пројектује на нивоу од око 4,6 млрд евра, што је блиско нивоу из претходне године која је била рекордна по овом питању. С обзиром да је годинама највећи део инвестиција био усмерен у разменљиве секторе, међу највећим извозницима Србије се и налазе углавном компаније у страном власништву. Наставак ЕУ интеграција, заједно с билатералним споразумима о слободној трговини и споразумима са економским групацијама (ЦЕФТА, ЕФТА, евроазијска економска унија) које Влада Србије закључује и уз одржавање постигнуте макроекономске стабилности, довешће до даљег унапређења пословне климе, што ће омогућити већу међународну размену и наставак раста страних директних инвестиција.</w:t>
      </w:r>
    </w:p>
    <w:p w14:paraId="26BEE5A4" w14:textId="77777777" w:rsidR="00C4765D" w:rsidRPr="00915EC2" w:rsidRDefault="00137E4E" w:rsidP="00E25CAC">
      <w:pPr>
        <w:pStyle w:val="Heading11"/>
        <w:spacing w:before="180" w:after="180"/>
        <w:rPr>
          <w:rFonts w:ascii="Times New Roman" w:hAnsi="Times New Roman" w:cs="Times New Roman"/>
          <w:color w:val="auto"/>
          <w:sz w:val="24"/>
          <w:szCs w:val="24"/>
          <w:lang w:val="sr-Latn-RS"/>
        </w:rPr>
      </w:pPr>
      <w:bookmarkStart w:id="16" w:name="_Toc185342331"/>
      <w:r w:rsidRPr="00915EC2">
        <w:rPr>
          <w:rFonts w:ascii="Times New Roman" w:hAnsi="Times New Roman" w:cs="Times New Roman"/>
          <w:color w:val="auto"/>
          <w:sz w:val="24"/>
          <w:szCs w:val="24"/>
          <w:lang w:val="sr-Latn-RS"/>
        </w:rPr>
        <w:lastRenderedPageBreak/>
        <w:t>3.</w:t>
      </w:r>
      <w:r w:rsidR="00C4765D" w:rsidRPr="00915EC2">
        <w:rPr>
          <w:rFonts w:ascii="Times New Roman" w:hAnsi="Times New Roman" w:cs="Times New Roman"/>
          <w:color w:val="auto"/>
          <w:sz w:val="24"/>
          <w:szCs w:val="24"/>
          <w:lang w:val="sr-Latn-RS"/>
        </w:rPr>
        <w:t xml:space="preserve">4. </w:t>
      </w:r>
      <w:r w:rsidR="0047017C" w:rsidRPr="00915EC2">
        <w:rPr>
          <w:rFonts w:ascii="Times New Roman" w:hAnsi="Times New Roman" w:cs="Times New Roman"/>
          <w:color w:val="auto"/>
          <w:sz w:val="24"/>
          <w:szCs w:val="24"/>
          <w:lang w:val="sr-Latn-RS"/>
        </w:rPr>
        <w:t>АЛТЕРНАТИВНИ СЦЕНАРИО И РИЗИЦИ</w:t>
      </w:r>
      <w:bookmarkEnd w:id="16"/>
    </w:p>
    <w:p w14:paraId="047C829F" w14:textId="77777777" w:rsidR="00E925B8" w:rsidRPr="00AD7E7D" w:rsidRDefault="00740EE7" w:rsidP="00933940">
      <w:pPr>
        <w:autoSpaceDE w:val="0"/>
        <w:autoSpaceDN w:val="0"/>
        <w:adjustRightInd w:val="0"/>
        <w:spacing w:after="180"/>
        <w:rPr>
          <w:rFonts w:eastAsia="Constantia" w:cs="Times New Roman"/>
          <w:szCs w:val="24"/>
          <w:lang w:val="sr-Cyrl-RS"/>
        </w:rPr>
      </w:pPr>
      <w:r w:rsidRPr="00AD7E7D">
        <w:rPr>
          <w:rFonts w:cs="Times New Roman"/>
          <w:bCs/>
          <w:szCs w:val="24"/>
          <w:lang w:val="sr-Cyrl-RS"/>
        </w:rPr>
        <w:t xml:space="preserve">Средњорочни сценарио кретања привредне активности Републике Србије је и даље под утицајем бројних ризика, пре свега из међународног окружења. Ризици макроекономског оквира у највећој мери потичу од неизвесности у погледу развоја међународних економских и политичких односа. Даља геокономска фрагментација и ограничења трговинских односа могу још у већој мери утицати на обим глобалне трговине и глобалне економске изгледе. Ескалација сукоба у Украјини и на Блиском истоку може изазвати нагле скокове цена енергената и додатно повећати неизвесност и забринутост инвеститора, изазивајући снажније инфлаторне притиске и још спорији опоравак економија наших највећих спољнотрговинских партнера. Песимистичан сценарио полази од претпоставке материјализације негативних ризика из међународног окружења што би се неповољно одразило на извозну активност наше привреде, већу инфлацију услед шокова на тржишту енергената и мањи реални расположив доходак становништва и приватну потрошњу, као и на спорији раст инвестиција, пре свега приватних. Материјализација ових ризика имала би за последицу мању средњорочну стопу раста БДП у периоду 2025-2027. године за 1,3 п.п. просечно од оне у основном сценарију и износила би 3,1% просечно годишње. </w:t>
      </w:r>
    </w:p>
    <w:p w14:paraId="37ABD086" w14:textId="77777777" w:rsidR="00C4765D" w:rsidRPr="005D223F" w:rsidRDefault="009333E2" w:rsidP="0047017C">
      <w:pPr>
        <w:autoSpaceDE w:val="0"/>
        <w:autoSpaceDN w:val="0"/>
        <w:adjustRightInd w:val="0"/>
        <w:contextualSpacing/>
        <w:rPr>
          <w:rFonts w:eastAsia="Constantia" w:cs="Times New Roman"/>
          <w:i/>
          <w:szCs w:val="24"/>
          <w:lang w:val="sr-Cyrl-RS"/>
        </w:rPr>
      </w:pPr>
      <w:r w:rsidRPr="005D223F">
        <w:rPr>
          <w:rFonts w:eastAsia="Constantia" w:cs="Times New Roman"/>
          <w:i/>
          <w:szCs w:val="24"/>
          <w:lang w:val="sr-Cyrl-RS"/>
        </w:rPr>
        <w:t xml:space="preserve">Графикон </w:t>
      </w:r>
      <w:r w:rsidR="006C46A3">
        <w:rPr>
          <w:rFonts w:eastAsia="Constantia" w:cs="Times New Roman"/>
          <w:i/>
          <w:szCs w:val="24"/>
          <w:lang w:val="sr-Latn-RS"/>
        </w:rPr>
        <w:t>3</w:t>
      </w:r>
      <w:r w:rsidRPr="005D223F">
        <w:rPr>
          <w:rFonts w:eastAsia="Constantia" w:cs="Times New Roman"/>
          <w:i/>
          <w:szCs w:val="24"/>
          <w:lang w:val="sr-Cyrl-RS"/>
        </w:rPr>
        <w:t xml:space="preserve">. </w:t>
      </w:r>
      <w:r w:rsidR="00C4765D" w:rsidRPr="005D223F">
        <w:rPr>
          <w:rFonts w:eastAsia="Constantia" w:cs="Times New Roman"/>
          <w:i/>
          <w:szCs w:val="24"/>
          <w:lang w:val="sr-Cyrl-RS"/>
        </w:rPr>
        <w:t>Пројекција кретања БДП, међугодишње стопе раста, %</w:t>
      </w:r>
    </w:p>
    <w:p w14:paraId="556B7873" w14:textId="77777777" w:rsidR="009B402F" w:rsidRPr="00AD7E7D" w:rsidRDefault="00740EE7" w:rsidP="004C1702">
      <w:pPr>
        <w:autoSpaceDE w:val="0"/>
        <w:autoSpaceDN w:val="0"/>
        <w:adjustRightInd w:val="0"/>
        <w:spacing w:after="240"/>
        <w:rPr>
          <w:rFonts w:cs="Times New Roman"/>
          <w:szCs w:val="24"/>
          <w:lang w:val="sr-Cyrl-RS"/>
        </w:rPr>
      </w:pPr>
      <w:r w:rsidRPr="00AD7E7D">
        <w:rPr>
          <w:rFonts w:cs="Times New Roman"/>
          <w:noProof/>
          <w:szCs w:val="24"/>
        </w:rPr>
        <w:drawing>
          <wp:inline distT="0" distB="0" distL="0" distR="0" wp14:anchorId="3A2DF94C" wp14:editId="10C1A078">
            <wp:extent cx="5762625" cy="2305050"/>
            <wp:effectExtent l="0" t="0" r="0" b="0"/>
            <wp:docPr id="96" name="Chart 96">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F8B077" w14:textId="77777777" w:rsidR="00AC74BB" w:rsidRPr="005D223F" w:rsidRDefault="00F6081C" w:rsidP="00930E1A">
      <w:pPr>
        <w:autoSpaceDE w:val="0"/>
        <w:autoSpaceDN w:val="0"/>
        <w:adjustRightInd w:val="0"/>
        <w:rPr>
          <w:rFonts w:eastAsia="Constantia" w:cs="Times New Roman"/>
          <w:i/>
          <w:szCs w:val="24"/>
          <w:lang w:val="sr-Cyrl-RS"/>
        </w:rPr>
      </w:pPr>
      <w:r w:rsidRPr="005D223F">
        <w:rPr>
          <w:rFonts w:eastAsia="Constantia" w:cs="Times New Roman"/>
          <w:i/>
          <w:szCs w:val="24"/>
          <w:lang w:val="sr-Cyrl-RS"/>
        </w:rPr>
        <w:t>Табела 3. Алтернативни макроекономски сценарио</w:t>
      </w:r>
    </w:p>
    <w:tbl>
      <w:tblPr>
        <w:tblStyle w:val="TableGrid1"/>
        <w:tblW w:w="5003" w:type="pct"/>
        <w:tblLayout w:type="fixed"/>
        <w:tblLook w:val="04A0" w:firstRow="1" w:lastRow="0" w:firstColumn="1" w:lastColumn="0" w:noHBand="0" w:noVBand="1"/>
      </w:tblPr>
      <w:tblGrid>
        <w:gridCol w:w="4299"/>
        <w:gridCol w:w="1180"/>
        <w:gridCol w:w="1180"/>
        <w:gridCol w:w="1180"/>
        <w:gridCol w:w="1182"/>
      </w:tblGrid>
      <w:tr w:rsidR="000F4925" w:rsidRPr="00AD7E7D" w14:paraId="1FAC6677" w14:textId="77777777" w:rsidTr="000A518D">
        <w:trPr>
          <w:trHeight w:val="237"/>
        </w:trPr>
        <w:tc>
          <w:tcPr>
            <w:tcW w:w="2383" w:type="pct"/>
            <w:vMerge w:val="restart"/>
            <w:noWrap/>
            <w:hideMark/>
          </w:tcPr>
          <w:p w14:paraId="5D969328" w14:textId="77777777" w:rsidR="00BB0FE1" w:rsidRPr="00AD7E7D" w:rsidRDefault="00BB0FE1" w:rsidP="0061418F">
            <w:pPr>
              <w:spacing w:after="0"/>
              <w:rPr>
                <w:szCs w:val="24"/>
                <w:lang w:val="sr-Cyrl-RS"/>
              </w:rPr>
            </w:pPr>
          </w:p>
          <w:p w14:paraId="74983BC5" w14:textId="77777777" w:rsidR="00BB0FE1" w:rsidRPr="00AD7E7D" w:rsidRDefault="00BB0FE1" w:rsidP="0061418F">
            <w:pPr>
              <w:spacing w:after="0"/>
              <w:rPr>
                <w:szCs w:val="24"/>
                <w:lang w:val="sr-Cyrl-RS"/>
              </w:rPr>
            </w:pPr>
          </w:p>
        </w:tc>
        <w:tc>
          <w:tcPr>
            <w:tcW w:w="654" w:type="pct"/>
            <w:noWrap/>
            <w:hideMark/>
          </w:tcPr>
          <w:p w14:paraId="0F39F765" w14:textId="77777777" w:rsidR="00BB0FE1" w:rsidRPr="00AD7E7D" w:rsidRDefault="00BB0FE1" w:rsidP="000F4925">
            <w:pPr>
              <w:spacing w:after="0"/>
              <w:jc w:val="center"/>
              <w:rPr>
                <w:szCs w:val="24"/>
                <w:lang w:val="sr-Cyrl-RS"/>
              </w:rPr>
            </w:pPr>
            <w:r w:rsidRPr="00AD7E7D">
              <w:rPr>
                <w:szCs w:val="24"/>
                <w:lang w:val="sr-Cyrl-RS"/>
              </w:rPr>
              <w:t>Процена</w:t>
            </w:r>
          </w:p>
        </w:tc>
        <w:tc>
          <w:tcPr>
            <w:tcW w:w="1963" w:type="pct"/>
            <w:gridSpan w:val="3"/>
            <w:hideMark/>
          </w:tcPr>
          <w:p w14:paraId="3DD496DD" w14:textId="77777777" w:rsidR="00BB0FE1" w:rsidRPr="00AD7E7D" w:rsidRDefault="00BB0FE1" w:rsidP="000F4925">
            <w:pPr>
              <w:spacing w:after="0"/>
              <w:jc w:val="center"/>
              <w:rPr>
                <w:szCs w:val="24"/>
                <w:lang w:val="sr-Cyrl-RS"/>
              </w:rPr>
            </w:pPr>
            <w:r w:rsidRPr="00AD7E7D">
              <w:rPr>
                <w:szCs w:val="24"/>
                <w:lang w:val="sr-Cyrl-RS"/>
              </w:rPr>
              <w:t>Пројекција</w:t>
            </w:r>
          </w:p>
        </w:tc>
      </w:tr>
      <w:tr w:rsidR="000F4925" w:rsidRPr="00AD7E7D" w14:paraId="4653B117" w14:textId="77777777" w:rsidTr="00740EE7">
        <w:trPr>
          <w:trHeight w:val="196"/>
        </w:trPr>
        <w:tc>
          <w:tcPr>
            <w:tcW w:w="2383" w:type="pct"/>
            <w:vMerge/>
            <w:hideMark/>
          </w:tcPr>
          <w:p w14:paraId="33E3B654" w14:textId="77777777" w:rsidR="00BB0FE1" w:rsidRPr="00AD7E7D" w:rsidRDefault="00BB0FE1" w:rsidP="0061418F">
            <w:pPr>
              <w:spacing w:after="0"/>
              <w:rPr>
                <w:szCs w:val="24"/>
                <w:lang w:val="sr-Cyrl-RS"/>
              </w:rPr>
            </w:pPr>
          </w:p>
        </w:tc>
        <w:tc>
          <w:tcPr>
            <w:tcW w:w="654" w:type="pct"/>
            <w:noWrap/>
          </w:tcPr>
          <w:p w14:paraId="41D678DA" w14:textId="77777777" w:rsidR="00BB0FE1" w:rsidRPr="00AD7E7D" w:rsidRDefault="00740EE7" w:rsidP="000F4925">
            <w:pPr>
              <w:spacing w:after="0"/>
              <w:jc w:val="center"/>
              <w:rPr>
                <w:b/>
                <w:bCs/>
                <w:szCs w:val="24"/>
                <w:lang w:val="sr-Cyrl-RS"/>
              </w:rPr>
            </w:pPr>
            <w:r w:rsidRPr="00AD7E7D">
              <w:rPr>
                <w:b/>
                <w:bCs/>
                <w:szCs w:val="24"/>
                <w:lang w:val="sr-Cyrl-RS"/>
              </w:rPr>
              <w:t>2024</w:t>
            </w:r>
          </w:p>
        </w:tc>
        <w:tc>
          <w:tcPr>
            <w:tcW w:w="654" w:type="pct"/>
            <w:noWrap/>
          </w:tcPr>
          <w:p w14:paraId="5BE70FD8" w14:textId="77777777" w:rsidR="00BB0FE1" w:rsidRPr="00AD7E7D" w:rsidRDefault="00740EE7" w:rsidP="000F4925">
            <w:pPr>
              <w:spacing w:after="0"/>
              <w:jc w:val="center"/>
              <w:rPr>
                <w:b/>
                <w:bCs/>
                <w:szCs w:val="24"/>
                <w:lang w:val="sr-Cyrl-RS"/>
              </w:rPr>
            </w:pPr>
            <w:r w:rsidRPr="00AD7E7D">
              <w:rPr>
                <w:b/>
                <w:bCs/>
                <w:szCs w:val="24"/>
                <w:lang w:val="sr-Cyrl-RS"/>
              </w:rPr>
              <w:t>2025</w:t>
            </w:r>
          </w:p>
        </w:tc>
        <w:tc>
          <w:tcPr>
            <w:tcW w:w="654" w:type="pct"/>
            <w:noWrap/>
          </w:tcPr>
          <w:p w14:paraId="4A57CAB4" w14:textId="77777777" w:rsidR="00BB0FE1" w:rsidRPr="00AD7E7D" w:rsidRDefault="00740EE7" w:rsidP="000F4925">
            <w:pPr>
              <w:spacing w:after="0"/>
              <w:jc w:val="center"/>
              <w:rPr>
                <w:b/>
                <w:bCs/>
                <w:szCs w:val="24"/>
                <w:lang w:val="sr-Cyrl-RS"/>
              </w:rPr>
            </w:pPr>
            <w:r w:rsidRPr="00AD7E7D">
              <w:rPr>
                <w:b/>
                <w:bCs/>
                <w:szCs w:val="24"/>
                <w:lang w:val="sr-Cyrl-RS"/>
              </w:rPr>
              <w:t>2026</w:t>
            </w:r>
          </w:p>
        </w:tc>
        <w:tc>
          <w:tcPr>
            <w:tcW w:w="655" w:type="pct"/>
            <w:noWrap/>
          </w:tcPr>
          <w:p w14:paraId="2508312F" w14:textId="77777777" w:rsidR="00BB0FE1" w:rsidRPr="00AD7E7D" w:rsidRDefault="00740EE7" w:rsidP="000F4925">
            <w:pPr>
              <w:spacing w:after="0"/>
              <w:jc w:val="center"/>
              <w:rPr>
                <w:b/>
                <w:bCs/>
                <w:szCs w:val="24"/>
                <w:lang w:val="sr-Cyrl-RS"/>
              </w:rPr>
            </w:pPr>
            <w:r w:rsidRPr="00AD7E7D">
              <w:rPr>
                <w:b/>
                <w:bCs/>
                <w:szCs w:val="24"/>
                <w:lang w:val="sr-Cyrl-RS"/>
              </w:rPr>
              <w:t>2027</w:t>
            </w:r>
          </w:p>
        </w:tc>
      </w:tr>
      <w:tr w:rsidR="000F4925" w:rsidRPr="00AD7E7D" w14:paraId="273B4666" w14:textId="77777777" w:rsidTr="000F4925">
        <w:trPr>
          <w:trHeight w:val="237"/>
        </w:trPr>
        <w:tc>
          <w:tcPr>
            <w:tcW w:w="2383" w:type="pct"/>
            <w:noWrap/>
            <w:hideMark/>
          </w:tcPr>
          <w:p w14:paraId="13BD911B" w14:textId="77777777" w:rsidR="00BB0FE1" w:rsidRPr="00AD7E7D" w:rsidRDefault="00BB0FE1" w:rsidP="0061418F">
            <w:pPr>
              <w:spacing w:after="0"/>
              <w:rPr>
                <w:b/>
                <w:szCs w:val="24"/>
                <w:lang w:val="sr-Cyrl-RS"/>
              </w:rPr>
            </w:pPr>
            <w:r w:rsidRPr="00AD7E7D">
              <w:rPr>
                <w:b/>
                <w:szCs w:val="24"/>
                <w:lang w:val="sr-Cyrl-RS"/>
              </w:rPr>
              <w:t>БДП, млрд динара (текуће цене)</w:t>
            </w:r>
          </w:p>
        </w:tc>
        <w:tc>
          <w:tcPr>
            <w:tcW w:w="654" w:type="pct"/>
            <w:tcBorders>
              <w:top w:val="single" w:sz="4" w:space="0" w:color="002060"/>
            </w:tcBorders>
            <w:noWrap/>
          </w:tcPr>
          <w:p w14:paraId="6A7472CD" w14:textId="77777777" w:rsidR="00BB0FE1" w:rsidRPr="00AD7E7D" w:rsidRDefault="000A518D" w:rsidP="000F4925">
            <w:pPr>
              <w:spacing w:after="0"/>
              <w:jc w:val="center"/>
              <w:rPr>
                <w:b/>
                <w:bCs/>
                <w:szCs w:val="24"/>
                <w:lang w:val="sr-Cyrl-RS"/>
              </w:rPr>
            </w:pPr>
            <w:r w:rsidRPr="00AD7E7D">
              <w:rPr>
                <w:b/>
                <w:bCs/>
                <w:szCs w:val="24"/>
                <w:lang w:val="sr-Cyrl-RS"/>
              </w:rPr>
              <w:t>9</w:t>
            </w:r>
            <w:r w:rsidR="00BF37AF" w:rsidRPr="00AD7E7D">
              <w:rPr>
                <w:b/>
                <w:bCs/>
                <w:szCs w:val="24"/>
                <w:lang w:val="sr-Cyrl-RS"/>
              </w:rPr>
              <w:t>.</w:t>
            </w:r>
            <w:r w:rsidRPr="00AD7E7D">
              <w:rPr>
                <w:b/>
                <w:bCs/>
                <w:szCs w:val="24"/>
                <w:lang w:val="sr-Cyrl-RS"/>
              </w:rPr>
              <w:t>604,8</w:t>
            </w:r>
          </w:p>
        </w:tc>
        <w:tc>
          <w:tcPr>
            <w:tcW w:w="654" w:type="pct"/>
            <w:tcBorders>
              <w:top w:val="single" w:sz="4" w:space="0" w:color="002060"/>
            </w:tcBorders>
            <w:noWrap/>
          </w:tcPr>
          <w:p w14:paraId="106512F1" w14:textId="77777777" w:rsidR="00BB0FE1" w:rsidRPr="00AD7E7D" w:rsidRDefault="000A518D" w:rsidP="000F4925">
            <w:pPr>
              <w:spacing w:after="0"/>
              <w:jc w:val="center"/>
              <w:rPr>
                <w:b/>
                <w:bCs/>
                <w:szCs w:val="24"/>
                <w:lang w:val="sr-Cyrl-RS"/>
              </w:rPr>
            </w:pPr>
            <w:r w:rsidRPr="00AD7E7D">
              <w:rPr>
                <w:b/>
                <w:bCs/>
                <w:szCs w:val="24"/>
                <w:lang w:val="sr-Cyrl-RS"/>
              </w:rPr>
              <w:t>10</w:t>
            </w:r>
            <w:r w:rsidR="00BF37AF" w:rsidRPr="00AD7E7D">
              <w:rPr>
                <w:b/>
                <w:bCs/>
                <w:szCs w:val="24"/>
                <w:lang w:val="sr-Cyrl-RS"/>
              </w:rPr>
              <w:t>.</w:t>
            </w:r>
            <w:r w:rsidRPr="00AD7E7D">
              <w:rPr>
                <w:b/>
                <w:bCs/>
                <w:szCs w:val="24"/>
                <w:lang w:val="sr-Cyrl-RS"/>
              </w:rPr>
              <w:t>278,3</w:t>
            </w:r>
          </w:p>
        </w:tc>
        <w:tc>
          <w:tcPr>
            <w:tcW w:w="654" w:type="pct"/>
            <w:tcBorders>
              <w:top w:val="single" w:sz="4" w:space="0" w:color="002060"/>
            </w:tcBorders>
            <w:noWrap/>
          </w:tcPr>
          <w:p w14:paraId="109473AE" w14:textId="77777777" w:rsidR="00BB0FE1" w:rsidRPr="00AD7E7D" w:rsidRDefault="000A518D" w:rsidP="000F4925">
            <w:pPr>
              <w:spacing w:after="0"/>
              <w:jc w:val="center"/>
              <w:rPr>
                <w:b/>
                <w:bCs/>
                <w:szCs w:val="24"/>
                <w:lang w:val="sr-Cyrl-RS"/>
              </w:rPr>
            </w:pPr>
            <w:r w:rsidRPr="00AD7E7D">
              <w:rPr>
                <w:b/>
                <w:bCs/>
                <w:szCs w:val="24"/>
                <w:lang w:val="sr-Cyrl-RS"/>
              </w:rPr>
              <w:t>10</w:t>
            </w:r>
            <w:r w:rsidR="00BF37AF" w:rsidRPr="00AD7E7D">
              <w:rPr>
                <w:b/>
                <w:bCs/>
                <w:szCs w:val="24"/>
                <w:lang w:val="sr-Cyrl-RS"/>
              </w:rPr>
              <w:t>.</w:t>
            </w:r>
            <w:r w:rsidRPr="00AD7E7D">
              <w:rPr>
                <w:b/>
                <w:bCs/>
                <w:szCs w:val="24"/>
                <w:lang w:val="sr-Cyrl-RS"/>
              </w:rPr>
              <w:t>954,7</w:t>
            </w:r>
          </w:p>
        </w:tc>
        <w:tc>
          <w:tcPr>
            <w:tcW w:w="655" w:type="pct"/>
            <w:tcBorders>
              <w:top w:val="single" w:sz="4" w:space="0" w:color="002060"/>
            </w:tcBorders>
            <w:noWrap/>
          </w:tcPr>
          <w:p w14:paraId="2A26A2AB" w14:textId="77777777" w:rsidR="00BB0FE1" w:rsidRPr="00AD7E7D" w:rsidRDefault="000A518D" w:rsidP="000F4925">
            <w:pPr>
              <w:spacing w:after="0"/>
              <w:jc w:val="center"/>
              <w:rPr>
                <w:b/>
                <w:bCs/>
                <w:szCs w:val="24"/>
                <w:lang w:val="sr-Cyrl-RS"/>
              </w:rPr>
            </w:pPr>
            <w:r w:rsidRPr="00AD7E7D">
              <w:rPr>
                <w:b/>
                <w:bCs/>
                <w:szCs w:val="24"/>
                <w:lang w:val="sr-Cyrl-RS"/>
              </w:rPr>
              <w:t>11</w:t>
            </w:r>
            <w:r w:rsidR="00BF37AF" w:rsidRPr="00AD7E7D">
              <w:rPr>
                <w:b/>
                <w:bCs/>
                <w:szCs w:val="24"/>
                <w:lang w:val="sr-Cyrl-RS"/>
              </w:rPr>
              <w:t>.</w:t>
            </w:r>
            <w:r w:rsidRPr="00AD7E7D">
              <w:rPr>
                <w:b/>
                <w:bCs/>
                <w:szCs w:val="24"/>
                <w:lang w:val="sr-Cyrl-RS"/>
              </w:rPr>
              <w:t>705,7</w:t>
            </w:r>
          </w:p>
        </w:tc>
      </w:tr>
      <w:tr w:rsidR="000A518D" w:rsidRPr="00AD7E7D" w14:paraId="443EA934" w14:textId="77777777" w:rsidTr="00D2109C">
        <w:trPr>
          <w:trHeight w:val="162"/>
        </w:trPr>
        <w:tc>
          <w:tcPr>
            <w:tcW w:w="2383" w:type="pct"/>
            <w:noWrap/>
            <w:hideMark/>
          </w:tcPr>
          <w:p w14:paraId="28088D73" w14:textId="77777777" w:rsidR="000A518D" w:rsidRPr="00AD7E7D" w:rsidRDefault="000A518D" w:rsidP="000A518D">
            <w:pPr>
              <w:spacing w:after="0"/>
              <w:rPr>
                <w:szCs w:val="24"/>
                <w:lang w:val="sr-Cyrl-RS"/>
              </w:rPr>
            </w:pPr>
            <w:r w:rsidRPr="00AD7E7D">
              <w:rPr>
                <w:szCs w:val="24"/>
                <w:lang w:val="sr-Cyrl-RS"/>
              </w:rPr>
              <w:t>Реални раст БДП, %</w:t>
            </w:r>
          </w:p>
        </w:tc>
        <w:tc>
          <w:tcPr>
            <w:tcW w:w="654" w:type="pct"/>
            <w:tcBorders>
              <w:top w:val="single" w:sz="4" w:space="0" w:color="002060"/>
            </w:tcBorders>
            <w:noWrap/>
          </w:tcPr>
          <w:p w14:paraId="6B2738CF" w14:textId="77777777" w:rsidR="000A518D" w:rsidRPr="00AD7E7D" w:rsidRDefault="000A518D" w:rsidP="000A518D">
            <w:pPr>
              <w:spacing w:after="0"/>
              <w:jc w:val="center"/>
              <w:rPr>
                <w:bCs/>
                <w:szCs w:val="24"/>
                <w:lang w:val="sr-Cyrl-RS"/>
              </w:rPr>
            </w:pPr>
            <w:r w:rsidRPr="00AD7E7D">
              <w:rPr>
                <w:bCs/>
                <w:szCs w:val="24"/>
                <w:lang w:val="sr-Cyrl-RS"/>
              </w:rPr>
              <w:t>3,8</w:t>
            </w:r>
          </w:p>
        </w:tc>
        <w:tc>
          <w:tcPr>
            <w:tcW w:w="654" w:type="pct"/>
            <w:tcBorders>
              <w:top w:val="single" w:sz="4" w:space="0" w:color="002060"/>
            </w:tcBorders>
            <w:noWrap/>
          </w:tcPr>
          <w:p w14:paraId="5ABB5AB4" w14:textId="77777777" w:rsidR="000A518D" w:rsidRPr="00AD7E7D" w:rsidRDefault="000A518D" w:rsidP="000A518D">
            <w:pPr>
              <w:spacing w:after="0"/>
              <w:jc w:val="center"/>
              <w:rPr>
                <w:bCs/>
                <w:szCs w:val="24"/>
                <w:lang w:val="sr-Cyrl-RS"/>
              </w:rPr>
            </w:pPr>
            <w:r w:rsidRPr="00AD7E7D">
              <w:rPr>
                <w:bCs/>
                <w:szCs w:val="24"/>
                <w:lang w:val="sr-Cyrl-RS"/>
              </w:rPr>
              <w:t>3,1</w:t>
            </w:r>
          </w:p>
        </w:tc>
        <w:tc>
          <w:tcPr>
            <w:tcW w:w="654" w:type="pct"/>
            <w:tcBorders>
              <w:top w:val="single" w:sz="4" w:space="0" w:color="002060"/>
            </w:tcBorders>
            <w:noWrap/>
          </w:tcPr>
          <w:p w14:paraId="60938ED2" w14:textId="77777777" w:rsidR="000A518D" w:rsidRPr="00AD7E7D" w:rsidRDefault="000A518D" w:rsidP="000A518D">
            <w:pPr>
              <w:spacing w:after="0"/>
              <w:jc w:val="center"/>
              <w:rPr>
                <w:bCs/>
                <w:szCs w:val="24"/>
                <w:lang w:val="sr-Cyrl-RS"/>
              </w:rPr>
            </w:pPr>
            <w:r w:rsidRPr="00AD7E7D">
              <w:rPr>
                <w:bCs/>
                <w:szCs w:val="24"/>
                <w:lang w:val="sr-Cyrl-RS"/>
              </w:rPr>
              <w:t>2,9</w:t>
            </w:r>
          </w:p>
        </w:tc>
        <w:tc>
          <w:tcPr>
            <w:tcW w:w="655" w:type="pct"/>
            <w:tcBorders>
              <w:top w:val="single" w:sz="4" w:space="0" w:color="002060"/>
            </w:tcBorders>
            <w:noWrap/>
          </w:tcPr>
          <w:p w14:paraId="17DAE98E" w14:textId="77777777" w:rsidR="000A518D" w:rsidRPr="00AD7E7D" w:rsidRDefault="000A518D" w:rsidP="000A518D">
            <w:pPr>
              <w:spacing w:after="0"/>
              <w:jc w:val="center"/>
              <w:rPr>
                <w:bCs/>
                <w:szCs w:val="24"/>
                <w:lang w:val="sr-Cyrl-RS"/>
              </w:rPr>
            </w:pPr>
            <w:r w:rsidRPr="00AD7E7D">
              <w:rPr>
                <w:bCs/>
                <w:szCs w:val="24"/>
                <w:lang w:val="sr-Cyrl-RS"/>
              </w:rPr>
              <w:t>3,2</w:t>
            </w:r>
          </w:p>
        </w:tc>
      </w:tr>
      <w:tr w:rsidR="000A518D" w:rsidRPr="00AD7E7D" w14:paraId="24BE106F" w14:textId="77777777" w:rsidTr="000F4925">
        <w:trPr>
          <w:trHeight w:val="126"/>
        </w:trPr>
        <w:tc>
          <w:tcPr>
            <w:tcW w:w="2383" w:type="pct"/>
            <w:tcBorders>
              <w:bottom w:val="single" w:sz="4" w:space="0" w:color="000000"/>
            </w:tcBorders>
            <w:noWrap/>
            <w:hideMark/>
          </w:tcPr>
          <w:p w14:paraId="32EE07B5" w14:textId="77777777" w:rsidR="000A518D" w:rsidRPr="00AD7E7D" w:rsidRDefault="000A518D" w:rsidP="000A518D">
            <w:pPr>
              <w:spacing w:after="0"/>
              <w:rPr>
                <w:szCs w:val="24"/>
                <w:lang w:val="sr-Cyrl-RS"/>
              </w:rPr>
            </w:pPr>
            <w:r w:rsidRPr="00AD7E7D">
              <w:rPr>
                <w:szCs w:val="24"/>
                <w:lang w:val="sr-Cyrl-RS"/>
              </w:rPr>
              <w:t>Дефлатор БДП, %</w:t>
            </w:r>
          </w:p>
        </w:tc>
        <w:tc>
          <w:tcPr>
            <w:tcW w:w="654" w:type="pct"/>
            <w:tcBorders>
              <w:bottom w:val="single" w:sz="4" w:space="0" w:color="000000"/>
            </w:tcBorders>
            <w:noWrap/>
          </w:tcPr>
          <w:p w14:paraId="70AA8018" w14:textId="77777777" w:rsidR="000A518D" w:rsidRPr="00AD7E7D" w:rsidRDefault="000A518D" w:rsidP="000A518D">
            <w:pPr>
              <w:spacing w:after="0"/>
              <w:jc w:val="center"/>
              <w:rPr>
                <w:bCs/>
                <w:szCs w:val="24"/>
                <w:lang w:val="sr-Cyrl-RS"/>
              </w:rPr>
            </w:pPr>
            <w:r w:rsidRPr="00AD7E7D">
              <w:rPr>
                <w:bCs/>
                <w:szCs w:val="24"/>
                <w:lang w:val="sr-Cyrl-RS"/>
              </w:rPr>
              <w:t>5,0</w:t>
            </w:r>
          </w:p>
        </w:tc>
        <w:tc>
          <w:tcPr>
            <w:tcW w:w="654" w:type="pct"/>
            <w:tcBorders>
              <w:bottom w:val="single" w:sz="4" w:space="0" w:color="000000"/>
            </w:tcBorders>
            <w:noWrap/>
          </w:tcPr>
          <w:p w14:paraId="580114A6" w14:textId="77777777" w:rsidR="000A518D" w:rsidRPr="00AD7E7D" w:rsidRDefault="000A518D" w:rsidP="000A518D">
            <w:pPr>
              <w:spacing w:after="0"/>
              <w:jc w:val="center"/>
              <w:rPr>
                <w:bCs/>
                <w:szCs w:val="24"/>
                <w:lang w:val="sr-Cyrl-RS"/>
              </w:rPr>
            </w:pPr>
            <w:r w:rsidRPr="00AD7E7D">
              <w:rPr>
                <w:bCs/>
                <w:szCs w:val="24"/>
                <w:lang w:val="sr-Cyrl-RS"/>
              </w:rPr>
              <w:t>3,8</w:t>
            </w:r>
          </w:p>
        </w:tc>
        <w:tc>
          <w:tcPr>
            <w:tcW w:w="654" w:type="pct"/>
            <w:tcBorders>
              <w:bottom w:val="single" w:sz="4" w:space="0" w:color="000000"/>
            </w:tcBorders>
            <w:noWrap/>
          </w:tcPr>
          <w:p w14:paraId="3C820EEE" w14:textId="77777777" w:rsidR="000A518D" w:rsidRPr="00AD7E7D" w:rsidRDefault="000A518D" w:rsidP="000A518D">
            <w:pPr>
              <w:spacing w:after="0"/>
              <w:jc w:val="center"/>
              <w:rPr>
                <w:bCs/>
                <w:szCs w:val="24"/>
                <w:lang w:val="sr-Cyrl-RS"/>
              </w:rPr>
            </w:pPr>
            <w:r w:rsidRPr="00AD7E7D">
              <w:rPr>
                <w:bCs/>
                <w:szCs w:val="24"/>
                <w:lang w:val="sr-Cyrl-RS"/>
              </w:rPr>
              <w:t>3,6</w:t>
            </w:r>
          </w:p>
        </w:tc>
        <w:tc>
          <w:tcPr>
            <w:tcW w:w="655" w:type="pct"/>
            <w:tcBorders>
              <w:bottom w:val="single" w:sz="4" w:space="0" w:color="000000"/>
            </w:tcBorders>
            <w:noWrap/>
          </w:tcPr>
          <w:p w14:paraId="64838624" w14:textId="77777777" w:rsidR="000A518D" w:rsidRPr="00AD7E7D" w:rsidRDefault="000A518D" w:rsidP="000A518D">
            <w:pPr>
              <w:spacing w:after="0"/>
              <w:jc w:val="center"/>
              <w:rPr>
                <w:bCs/>
                <w:szCs w:val="24"/>
                <w:lang w:val="sr-Cyrl-RS"/>
              </w:rPr>
            </w:pPr>
            <w:r w:rsidRPr="00AD7E7D">
              <w:rPr>
                <w:bCs/>
                <w:szCs w:val="24"/>
                <w:lang w:val="sr-Cyrl-RS"/>
              </w:rPr>
              <w:t>3,5</w:t>
            </w:r>
          </w:p>
        </w:tc>
      </w:tr>
      <w:tr w:rsidR="000A518D" w:rsidRPr="00AD7E7D" w14:paraId="2DEDB831" w14:textId="77777777" w:rsidTr="000F4925">
        <w:trPr>
          <w:trHeight w:val="198"/>
        </w:trPr>
        <w:tc>
          <w:tcPr>
            <w:tcW w:w="2383" w:type="pct"/>
            <w:tcBorders>
              <w:right w:val="nil"/>
            </w:tcBorders>
            <w:noWrap/>
            <w:hideMark/>
          </w:tcPr>
          <w:p w14:paraId="2A8947BE" w14:textId="77777777" w:rsidR="000A518D" w:rsidRPr="00AD7E7D" w:rsidRDefault="000A518D" w:rsidP="000A518D">
            <w:pPr>
              <w:spacing w:after="0"/>
              <w:rPr>
                <w:i/>
                <w:iCs/>
                <w:szCs w:val="24"/>
                <w:lang w:val="sr-Cyrl-RS"/>
              </w:rPr>
            </w:pPr>
            <w:r w:rsidRPr="00AD7E7D">
              <w:rPr>
                <w:i/>
                <w:iCs/>
                <w:szCs w:val="24"/>
                <w:lang w:val="sr-Cyrl-RS"/>
              </w:rPr>
              <w:t>Реални раст појединих компоненти БДП, %</w:t>
            </w:r>
          </w:p>
        </w:tc>
        <w:tc>
          <w:tcPr>
            <w:tcW w:w="654" w:type="pct"/>
            <w:tcBorders>
              <w:left w:val="nil"/>
              <w:right w:val="nil"/>
            </w:tcBorders>
          </w:tcPr>
          <w:p w14:paraId="6F92208F" w14:textId="77777777" w:rsidR="000A518D" w:rsidRPr="00AD7E7D" w:rsidRDefault="000A518D" w:rsidP="000A518D">
            <w:pPr>
              <w:spacing w:after="0"/>
              <w:jc w:val="center"/>
              <w:rPr>
                <w:i/>
                <w:iCs/>
                <w:szCs w:val="24"/>
                <w:lang w:val="sr-Cyrl-RS"/>
              </w:rPr>
            </w:pPr>
          </w:p>
        </w:tc>
        <w:tc>
          <w:tcPr>
            <w:tcW w:w="654" w:type="pct"/>
            <w:tcBorders>
              <w:left w:val="nil"/>
              <w:right w:val="nil"/>
            </w:tcBorders>
          </w:tcPr>
          <w:p w14:paraId="53F7F44D" w14:textId="77777777" w:rsidR="000A518D" w:rsidRPr="00AD7E7D" w:rsidRDefault="000A518D" w:rsidP="000A518D">
            <w:pPr>
              <w:spacing w:after="0"/>
              <w:jc w:val="center"/>
              <w:rPr>
                <w:i/>
                <w:iCs/>
                <w:szCs w:val="24"/>
                <w:lang w:val="sr-Cyrl-RS"/>
              </w:rPr>
            </w:pPr>
          </w:p>
        </w:tc>
        <w:tc>
          <w:tcPr>
            <w:tcW w:w="654" w:type="pct"/>
            <w:tcBorders>
              <w:left w:val="nil"/>
              <w:right w:val="nil"/>
            </w:tcBorders>
          </w:tcPr>
          <w:p w14:paraId="6A640C9B" w14:textId="77777777" w:rsidR="000A518D" w:rsidRPr="00AD7E7D" w:rsidRDefault="000A518D" w:rsidP="000A518D">
            <w:pPr>
              <w:spacing w:after="0"/>
              <w:jc w:val="center"/>
              <w:rPr>
                <w:i/>
                <w:iCs/>
                <w:szCs w:val="24"/>
                <w:lang w:val="sr-Cyrl-RS"/>
              </w:rPr>
            </w:pPr>
          </w:p>
        </w:tc>
        <w:tc>
          <w:tcPr>
            <w:tcW w:w="655" w:type="pct"/>
            <w:tcBorders>
              <w:left w:val="nil"/>
            </w:tcBorders>
          </w:tcPr>
          <w:p w14:paraId="1B447FF6" w14:textId="77777777" w:rsidR="000A518D" w:rsidRPr="00AD7E7D" w:rsidRDefault="000A518D" w:rsidP="000A518D">
            <w:pPr>
              <w:spacing w:after="0"/>
              <w:jc w:val="center"/>
              <w:rPr>
                <w:i/>
                <w:iCs/>
                <w:szCs w:val="24"/>
                <w:lang w:val="sr-Cyrl-RS"/>
              </w:rPr>
            </w:pPr>
          </w:p>
        </w:tc>
      </w:tr>
      <w:tr w:rsidR="000A518D" w:rsidRPr="00AD7E7D" w14:paraId="3C14A14C" w14:textId="77777777" w:rsidTr="000F4925">
        <w:trPr>
          <w:trHeight w:val="162"/>
        </w:trPr>
        <w:tc>
          <w:tcPr>
            <w:tcW w:w="2383" w:type="pct"/>
            <w:noWrap/>
            <w:hideMark/>
          </w:tcPr>
          <w:p w14:paraId="13BFEFA5" w14:textId="77777777" w:rsidR="000A518D" w:rsidRPr="00AD7E7D" w:rsidRDefault="00CF6476" w:rsidP="000A518D">
            <w:pPr>
              <w:spacing w:after="0"/>
              <w:rPr>
                <w:szCs w:val="24"/>
                <w:lang w:val="sr-Cyrl-RS"/>
              </w:rPr>
            </w:pPr>
            <w:r w:rsidRPr="00AD7E7D">
              <w:rPr>
                <w:szCs w:val="24"/>
                <w:lang w:val="sr-Cyrl-RS"/>
              </w:rPr>
              <w:t xml:space="preserve"> </w:t>
            </w:r>
            <w:r w:rsidR="000A518D" w:rsidRPr="00AD7E7D">
              <w:rPr>
                <w:szCs w:val="24"/>
                <w:lang w:val="sr-Cyrl-RS"/>
              </w:rPr>
              <w:t xml:space="preserve"> Лична потрошња</w:t>
            </w:r>
          </w:p>
        </w:tc>
        <w:tc>
          <w:tcPr>
            <w:tcW w:w="654" w:type="pct"/>
            <w:noWrap/>
          </w:tcPr>
          <w:p w14:paraId="45593720" w14:textId="77777777" w:rsidR="000A518D" w:rsidRPr="00AD7E7D" w:rsidRDefault="000A518D" w:rsidP="000A518D">
            <w:pPr>
              <w:spacing w:after="0"/>
              <w:jc w:val="center"/>
              <w:rPr>
                <w:bCs/>
                <w:szCs w:val="24"/>
                <w:lang w:val="sr-Cyrl-RS"/>
              </w:rPr>
            </w:pPr>
            <w:r w:rsidRPr="00AD7E7D">
              <w:rPr>
                <w:bCs/>
                <w:szCs w:val="24"/>
                <w:lang w:val="sr-Cyrl-RS"/>
              </w:rPr>
              <w:t>4,5</w:t>
            </w:r>
          </w:p>
        </w:tc>
        <w:tc>
          <w:tcPr>
            <w:tcW w:w="654" w:type="pct"/>
            <w:noWrap/>
          </w:tcPr>
          <w:p w14:paraId="0AA4AA95" w14:textId="77777777" w:rsidR="000A518D" w:rsidRPr="00AD7E7D" w:rsidRDefault="000A518D" w:rsidP="000A518D">
            <w:pPr>
              <w:spacing w:after="0"/>
              <w:jc w:val="center"/>
              <w:rPr>
                <w:bCs/>
                <w:szCs w:val="24"/>
                <w:lang w:val="sr-Cyrl-RS"/>
              </w:rPr>
            </w:pPr>
            <w:r w:rsidRPr="00AD7E7D">
              <w:rPr>
                <w:bCs/>
                <w:szCs w:val="24"/>
                <w:lang w:val="sr-Cyrl-RS"/>
              </w:rPr>
              <w:t>2,8</w:t>
            </w:r>
          </w:p>
        </w:tc>
        <w:tc>
          <w:tcPr>
            <w:tcW w:w="654" w:type="pct"/>
            <w:noWrap/>
          </w:tcPr>
          <w:p w14:paraId="6A30D571" w14:textId="77777777" w:rsidR="000A518D" w:rsidRPr="00AD7E7D" w:rsidRDefault="000A518D" w:rsidP="000A518D">
            <w:pPr>
              <w:spacing w:after="0"/>
              <w:jc w:val="center"/>
              <w:rPr>
                <w:bCs/>
                <w:szCs w:val="24"/>
                <w:lang w:val="sr-Cyrl-RS"/>
              </w:rPr>
            </w:pPr>
            <w:r w:rsidRPr="00AD7E7D">
              <w:rPr>
                <w:bCs/>
                <w:szCs w:val="24"/>
                <w:lang w:val="sr-Cyrl-RS"/>
              </w:rPr>
              <w:t>2,6</w:t>
            </w:r>
          </w:p>
        </w:tc>
        <w:tc>
          <w:tcPr>
            <w:tcW w:w="655" w:type="pct"/>
            <w:noWrap/>
          </w:tcPr>
          <w:p w14:paraId="6E793C8B" w14:textId="77777777" w:rsidR="000A518D" w:rsidRPr="00AD7E7D" w:rsidRDefault="000A518D" w:rsidP="000A518D">
            <w:pPr>
              <w:spacing w:after="0"/>
              <w:jc w:val="center"/>
              <w:rPr>
                <w:bCs/>
                <w:szCs w:val="24"/>
                <w:lang w:val="sr-Cyrl-RS"/>
              </w:rPr>
            </w:pPr>
            <w:r w:rsidRPr="00AD7E7D">
              <w:rPr>
                <w:bCs/>
                <w:szCs w:val="24"/>
                <w:lang w:val="sr-Cyrl-RS"/>
              </w:rPr>
              <w:t>2,3</w:t>
            </w:r>
          </w:p>
        </w:tc>
      </w:tr>
      <w:tr w:rsidR="000A518D" w:rsidRPr="00AD7E7D" w14:paraId="150C1CAA" w14:textId="77777777" w:rsidTr="000F4925">
        <w:trPr>
          <w:trHeight w:val="135"/>
        </w:trPr>
        <w:tc>
          <w:tcPr>
            <w:tcW w:w="2383" w:type="pct"/>
            <w:noWrap/>
            <w:hideMark/>
          </w:tcPr>
          <w:p w14:paraId="7E7CC3BC" w14:textId="77777777" w:rsidR="000A518D" w:rsidRPr="00AD7E7D" w:rsidRDefault="00CF6476" w:rsidP="000A518D">
            <w:pPr>
              <w:spacing w:after="0"/>
              <w:rPr>
                <w:szCs w:val="24"/>
                <w:lang w:val="sr-Cyrl-RS"/>
              </w:rPr>
            </w:pPr>
            <w:r w:rsidRPr="00AD7E7D">
              <w:rPr>
                <w:szCs w:val="24"/>
                <w:lang w:val="sr-Cyrl-RS"/>
              </w:rPr>
              <w:t xml:space="preserve"> </w:t>
            </w:r>
            <w:r w:rsidR="000A518D" w:rsidRPr="00AD7E7D">
              <w:rPr>
                <w:szCs w:val="24"/>
                <w:lang w:val="sr-Cyrl-RS"/>
              </w:rPr>
              <w:t xml:space="preserve"> Државна потрошња</w:t>
            </w:r>
          </w:p>
        </w:tc>
        <w:tc>
          <w:tcPr>
            <w:tcW w:w="654" w:type="pct"/>
            <w:noWrap/>
          </w:tcPr>
          <w:p w14:paraId="136E0F6A" w14:textId="77777777" w:rsidR="000A518D" w:rsidRPr="00AD7E7D" w:rsidRDefault="000A518D" w:rsidP="000A518D">
            <w:pPr>
              <w:spacing w:after="0"/>
              <w:jc w:val="center"/>
              <w:rPr>
                <w:bCs/>
                <w:szCs w:val="24"/>
                <w:lang w:val="sr-Cyrl-RS"/>
              </w:rPr>
            </w:pPr>
            <w:r w:rsidRPr="00AD7E7D">
              <w:rPr>
                <w:bCs/>
                <w:szCs w:val="24"/>
                <w:lang w:val="sr-Cyrl-RS"/>
              </w:rPr>
              <w:t>3,1</w:t>
            </w:r>
          </w:p>
        </w:tc>
        <w:tc>
          <w:tcPr>
            <w:tcW w:w="654" w:type="pct"/>
            <w:noWrap/>
          </w:tcPr>
          <w:p w14:paraId="005222C3" w14:textId="77777777" w:rsidR="000A518D" w:rsidRPr="00AD7E7D" w:rsidRDefault="000A518D" w:rsidP="000A518D">
            <w:pPr>
              <w:spacing w:after="0"/>
              <w:jc w:val="center"/>
              <w:rPr>
                <w:bCs/>
                <w:szCs w:val="24"/>
                <w:lang w:val="sr-Cyrl-RS"/>
              </w:rPr>
            </w:pPr>
            <w:r w:rsidRPr="00AD7E7D">
              <w:rPr>
                <w:bCs/>
                <w:szCs w:val="24"/>
                <w:lang w:val="sr-Cyrl-RS"/>
              </w:rPr>
              <w:t>2,0</w:t>
            </w:r>
          </w:p>
        </w:tc>
        <w:tc>
          <w:tcPr>
            <w:tcW w:w="654" w:type="pct"/>
            <w:noWrap/>
          </w:tcPr>
          <w:p w14:paraId="6A0C50BA" w14:textId="77777777" w:rsidR="000A518D" w:rsidRPr="00AD7E7D" w:rsidRDefault="000A518D" w:rsidP="000A518D">
            <w:pPr>
              <w:spacing w:after="0"/>
              <w:jc w:val="center"/>
              <w:rPr>
                <w:bCs/>
                <w:szCs w:val="24"/>
                <w:lang w:val="sr-Cyrl-RS"/>
              </w:rPr>
            </w:pPr>
            <w:r w:rsidRPr="00AD7E7D">
              <w:rPr>
                <w:bCs/>
                <w:szCs w:val="24"/>
                <w:lang w:val="sr-Cyrl-RS"/>
              </w:rPr>
              <w:t>0,5</w:t>
            </w:r>
          </w:p>
        </w:tc>
        <w:tc>
          <w:tcPr>
            <w:tcW w:w="655" w:type="pct"/>
            <w:noWrap/>
          </w:tcPr>
          <w:p w14:paraId="7581F11F" w14:textId="77777777" w:rsidR="000A518D" w:rsidRPr="00AD7E7D" w:rsidRDefault="000A518D" w:rsidP="000A518D">
            <w:pPr>
              <w:spacing w:after="0"/>
              <w:jc w:val="center"/>
              <w:rPr>
                <w:bCs/>
                <w:szCs w:val="24"/>
                <w:lang w:val="sr-Cyrl-RS"/>
              </w:rPr>
            </w:pPr>
            <w:r w:rsidRPr="00AD7E7D">
              <w:rPr>
                <w:bCs/>
                <w:szCs w:val="24"/>
                <w:lang w:val="sr-Cyrl-RS"/>
              </w:rPr>
              <w:t>0,5</w:t>
            </w:r>
          </w:p>
        </w:tc>
      </w:tr>
      <w:tr w:rsidR="000A518D" w:rsidRPr="00AD7E7D" w14:paraId="3487A2D0" w14:textId="77777777" w:rsidTr="000F4925">
        <w:trPr>
          <w:trHeight w:val="237"/>
        </w:trPr>
        <w:tc>
          <w:tcPr>
            <w:tcW w:w="2383" w:type="pct"/>
            <w:noWrap/>
            <w:hideMark/>
          </w:tcPr>
          <w:p w14:paraId="0CB4568A" w14:textId="77777777" w:rsidR="000A518D" w:rsidRPr="00AD7E7D" w:rsidRDefault="00CF6476" w:rsidP="000A518D">
            <w:pPr>
              <w:spacing w:after="0"/>
              <w:rPr>
                <w:szCs w:val="24"/>
                <w:lang w:val="sr-Cyrl-RS"/>
              </w:rPr>
            </w:pPr>
            <w:r w:rsidRPr="00AD7E7D">
              <w:rPr>
                <w:szCs w:val="24"/>
                <w:lang w:val="sr-Cyrl-RS"/>
              </w:rPr>
              <w:t xml:space="preserve"> </w:t>
            </w:r>
            <w:r w:rsidR="000A518D" w:rsidRPr="00AD7E7D">
              <w:rPr>
                <w:szCs w:val="24"/>
                <w:lang w:val="sr-Cyrl-RS"/>
              </w:rPr>
              <w:t xml:space="preserve"> Бруто инвестиције у основна средства</w:t>
            </w:r>
          </w:p>
        </w:tc>
        <w:tc>
          <w:tcPr>
            <w:tcW w:w="654" w:type="pct"/>
            <w:noWrap/>
          </w:tcPr>
          <w:p w14:paraId="7D68A91F" w14:textId="77777777" w:rsidR="000A518D" w:rsidRPr="00AD7E7D" w:rsidRDefault="000A518D" w:rsidP="000A518D">
            <w:pPr>
              <w:spacing w:after="0"/>
              <w:jc w:val="center"/>
              <w:rPr>
                <w:bCs/>
                <w:szCs w:val="24"/>
                <w:lang w:val="sr-Cyrl-RS"/>
              </w:rPr>
            </w:pPr>
            <w:r w:rsidRPr="00AD7E7D">
              <w:rPr>
                <w:bCs/>
                <w:szCs w:val="24"/>
                <w:lang w:val="sr-Cyrl-RS"/>
              </w:rPr>
              <w:t>9,2</w:t>
            </w:r>
          </w:p>
        </w:tc>
        <w:tc>
          <w:tcPr>
            <w:tcW w:w="654" w:type="pct"/>
            <w:noWrap/>
          </w:tcPr>
          <w:p w14:paraId="332D04EC" w14:textId="77777777" w:rsidR="000A518D" w:rsidRPr="00AD7E7D" w:rsidRDefault="008B22E9" w:rsidP="000A518D">
            <w:pPr>
              <w:spacing w:after="0"/>
              <w:jc w:val="center"/>
              <w:rPr>
                <w:bCs/>
                <w:szCs w:val="24"/>
                <w:lang w:val="sr-Cyrl-RS"/>
              </w:rPr>
            </w:pPr>
            <w:r w:rsidRPr="00AD7E7D">
              <w:rPr>
                <w:bCs/>
                <w:szCs w:val="24"/>
                <w:lang w:val="sr-Cyrl-RS"/>
              </w:rPr>
              <w:t>4,3</w:t>
            </w:r>
          </w:p>
        </w:tc>
        <w:tc>
          <w:tcPr>
            <w:tcW w:w="654" w:type="pct"/>
            <w:noWrap/>
          </w:tcPr>
          <w:p w14:paraId="6122928C" w14:textId="77777777" w:rsidR="000A518D" w:rsidRPr="00AD7E7D" w:rsidRDefault="000A518D" w:rsidP="000A518D">
            <w:pPr>
              <w:spacing w:after="0"/>
              <w:jc w:val="center"/>
              <w:rPr>
                <w:bCs/>
                <w:szCs w:val="24"/>
                <w:lang w:val="sr-Cyrl-RS"/>
              </w:rPr>
            </w:pPr>
            <w:r w:rsidRPr="00AD7E7D">
              <w:rPr>
                <w:bCs/>
                <w:szCs w:val="24"/>
                <w:lang w:val="sr-Cyrl-RS"/>
              </w:rPr>
              <w:t>3,0</w:t>
            </w:r>
          </w:p>
        </w:tc>
        <w:tc>
          <w:tcPr>
            <w:tcW w:w="655" w:type="pct"/>
            <w:noWrap/>
          </w:tcPr>
          <w:p w14:paraId="065CE346" w14:textId="77777777" w:rsidR="000A518D" w:rsidRPr="00AD7E7D" w:rsidRDefault="000A518D" w:rsidP="000A518D">
            <w:pPr>
              <w:spacing w:after="0"/>
              <w:jc w:val="center"/>
              <w:rPr>
                <w:bCs/>
                <w:szCs w:val="24"/>
                <w:lang w:val="sr-Cyrl-RS"/>
              </w:rPr>
            </w:pPr>
            <w:r w:rsidRPr="00AD7E7D">
              <w:rPr>
                <w:bCs/>
                <w:szCs w:val="24"/>
                <w:lang w:val="sr-Cyrl-RS"/>
              </w:rPr>
              <w:t>3,0</w:t>
            </w:r>
          </w:p>
        </w:tc>
      </w:tr>
      <w:tr w:rsidR="000A518D" w:rsidRPr="00AD7E7D" w14:paraId="6F83E365" w14:textId="77777777" w:rsidTr="000F4925">
        <w:trPr>
          <w:trHeight w:val="135"/>
        </w:trPr>
        <w:tc>
          <w:tcPr>
            <w:tcW w:w="2383" w:type="pct"/>
            <w:noWrap/>
            <w:hideMark/>
          </w:tcPr>
          <w:p w14:paraId="527DC9BF" w14:textId="77777777" w:rsidR="000A518D" w:rsidRPr="00AD7E7D" w:rsidRDefault="00CF6476" w:rsidP="000A518D">
            <w:pPr>
              <w:spacing w:after="0"/>
              <w:rPr>
                <w:szCs w:val="24"/>
                <w:lang w:val="sr-Cyrl-RS"/>
              </w:rPr>
            </w:pPr>
            <w:r w:rsidRPr="00AD7E7D">
              <w:rPr>
                <w:szCs w:val="24"/>
                <w:lang w:val="sr-Cyrl-RS"/>
              </w:rPr>
              <w:t xml:space="preserve"> </w:t>
            </w:r>
            <w:r w:rsidR="000A518D" w:rsidRPr="00AD7E7D">
              <w:rPr>
                <w:szCs w:val="24"/>
                <w:lang w:val="sr-Cyrl-RS"/>
              </w:rPr>
              <w:t xml:space="preserve"> Извоз робе и услуга</w:t>
            </w:r>
          </w:p>
        </w:tc>
        <w:tc>
          <w:tcPr>
            <w:tcW w:w="654" w:type="pct"/>
            <w:noWrap/>
          </w:tcPr>
          <w:p w14:paraId="3EB18977" w14:textId="77777777" w:rsidR="000A518D" w:rsidRPr="00AD7E7D" w:rsidRDefault="000A518D" w:rsidP="000A518D">
            <w:pPr>
              <w:spacing w:after="0"/>
              <w:jc w:val="center"/>
              <w:rPr>
                <w:bCs/>
                <w:szCs w:val="24"/>
                <w:lang w:val="sr-Cyrl-RS"/>
              </w:rPr>
            </w:pPr>
            <w:r w:rsidRPr="00AD7E7D">
              <w:rPr>
                <w:bCs/>
                <w:szCs w:val="24"/>
                <w:lang w:val="sr-Cyrl-RS"/>
              </w:rPr>
              <w:t>4,4</w:t>
            </w:r>
          </w:p>
        </w:tc>
        <w:tc>
          <w:tcPr>
            <w:tcW w:w="654" w:type="pct"/>
            <w:noWrap/>
          </w:tcPr>
          <w:p w14:paraId="3BF37558" w14:textId="77777777" w:rsidR="000A518D" w:rsidRPr="00AD7E7D" w:rsidRDefault="000A518D" w:rsidP="000A518D">
            <w:pPr>
              <w:spacing w:after="0"/>
              <w:jc w:val="center"/>
              <w:rPr>
                <w:bCs/>
                <w:szCs w:val="24"/>
                <w:lang w:val="sr-Cyrl-RS"/>
              </w:rPr>
            </w:pPr>
            <w:r w:rsidRPr="00AD7E7D">
              <w:rPr>
                <w:bCs/>
                <w:szCs w:val="24"/>
                <w:lang w:val="sr-Cyrl-RS"/>
              </w:rPr>
              <w:t>3,3</w:t>
            </w:r>
          </w:p>
        </w:tc>
        <w:tc>
          <w:tcPr>
            <w:tcW w:w="654" w:type="pct"/>
            <w:noWrap/>
          </w:tcPr>
          <w:p w14:paraId="05E98604" w14:textId="77777777" w:rsidR="000A518D" w:rsidRPr="00AD7E7D" w:rsidRDefault="000A518D" w:rsidP="000A518D">
            <w:pPr>
              <w:spacing w:after="0"/>
              <w:jc w:val="center"/>
              <w:rPr>
                <w:bCs/>
                <w:szCs w:val="24"/>
                <w:lang w:val="sr-Cyrl-RS"/>
              </w:rPr>
            </w:pPr>
            <w:r w:rsidRPr="00AD7E7D">
              <w:rPr>
                <w:bCs/>
                <w:szCs w:val="24"/>
                <w:lang w:val="sr-Cyrl-RS"/>
              </w:rPr>
              <w:t>3,9</w:t>
            </w:r>
          </w:p>
        </w:tc>
        <w:tc>
          <w:tcPr>
            <w:tcW w:w="655" w:type="pct"/>
            <w:noWrap/>
          </w:tcPr>
          <w:p w14:paraId="6AC70125" w14:textId="77777777" w:rsidR="000A518D" w:rsidRPr="00AD7E7D" w:rsidRDefault="000A518D" w:rsidP="000A518D">
            <w:pPr>
              <w:spacing w:after="0"/>
              <w:jc w:val="center"/>
              <w:rPr>
                <w:bCs/>
                <w:szCs w:val="24"/>
                <w:lang w:val="sr-Cyrl-RS"/>
              </w:rPr>
            </w:pPr>
            <w:r w:rsidRPr="00AD7E7D">
              <w:rPr>
                <w:bCs/>
                <w:szCs w:val="24"/>
                <w:lang w:val="sr-Cyrl-RS"/>
              </w:rPr>
              <w:t>5,2</w:t>
            </w:r>
          </w:p>
        </w:tc>
      </w:tr>
      <w:tr w:rsidR="000A518D" w:rsidRPr="00AD7E7D" w14:paraId="3DCE5FD3" w14:textId="77777777" w:rsidTr="000F4925">
        <w:trPr>
          <w:trHeight w:val="99"/>
        </w:trPr>
        <w:tc>
          <w:tcPr>
            <w:tcW w:w="2383" w:type="pct"/>
            <w:noWrap/>
            <w:hideMark/>
          </w:tcPr>
          <w:p w14:paraId="31B79CBE" w14:textId="77777777" w:rsidR="000A518D" w:rsidRPr="00AD7E7D" w:rsidRDefault="00CF6476" w:rsidP="000A518D">
            <w:pPr>
              <w:spacing w:after="0"/>
              <w:rPr>
                <w:szCs w:val="24"/>
                <w:lang w:val="sr-Cyrl-RS"/>
              </w:rPr>
            </w:pPr>
            <w:r w:rsidRPr="00AD7E7D">
              <w:rPr>
                <w:szCs w:val="24"/>
                <w:lang w:val="sr-Cyrl-RS"/>
              </w:rPr>
              <w:t xml:space="preserve"> </w:t>
            </w:r>
            <w:r w:rsidR="000A518D" w:rsidRPr="00AD7E7D">
              <w:rPr>
                <w:szCs w:val="24"/>
                <w:lang w:val="sr-Cyrl-RS"/>
              </w:rPr>
              <w:t xml:space="preserve"> Увоз робе и услуга</w:t>
            </w:r>
          </w:p>
        </w:tc>
        <w:tc>
          <w:tcPr>
            <w:tcW w:w="654" w:type="pct"/>
            <w:noWrap/>
          </w:tcPr>
          <w:p w14:paraId="6C04F305" w14:textId="77777777" w:rsidR="000A518D" w:rsidRPr="00AD7E7D" w:rsidRDefault="000A518D" w:rsidP="000A518D">
            <w:pPr>
              <w:spacing w:after="0"/>
              <w:jc w:val="center"/>
              <w:rPr>
                <w:bCs/>
                <w:szCs w:val="24"/>
                <w:lang w:val="sr-Cyrl-RS"/>
              </w:rPr>
            </w:pPr>
            <w:r w:rsidRPr="00AD7E7D">
              <w:rPr>
                <w:bCs/>
                <w:szCs w:val="24"/>
                <w:lang w:val="sr-Cyrl-RS"/>
              </w:rPr>
              <w:t>8,0</w:t>
            </w:r>
          </w:p>
        </w:tc>
        <w:tc>
          <w:tcPr>
            <w:tcW w:w="654" w:type="pct"/>
            <w:noWrap/>
          </w:tcPr>
          <w:p w14:paraId="14EC0A65" w14:textId="77777777" w:rsidR="000A518D" w:rsidRPr="00AD7E7D" w:rsidRDefault="000A518D" w:rsidP="000A518D">
            <w:pPr>
              <w:spacing w:after="0"/>
              <w:jc w:val="center"/>
              <w:rPr>
                <w:bCs/>
                <w:szCs w:val="24"/>
                <w:lang w:val="sr-Cyrl-RS"/>
              </w:rPr>
            </w:pPr>
            <w:r w:rsidRPr="00AD7E7D">
              <w:rPr>
                <w:bCs/>
                <w:szCs w:val="24"/>
                <w:lang w:val="sr-Cyrl-RS"/>
              </w:rPr>
              <w:t>3,1</w:t>
            </w:r>
          </w:p>
        </w:tc>
        <w:tc>
          <w:tcPr>
            <w:tcW w:w="654" w:type="pct"/>
            <w:noWrap/>
          </w:tcPr>
          <w:p w14:paraId="3E5776AB" w14:textId="77777777" w:rsidR="000A518D" w:rsidRPr="00AD7E7D" w:rsidRDefault="000A518D" w:rsidP="000A518D">
            <w:pPr>
              <w:spacing w:after="0"/>
              <w:jc w:val="center"/>
              <w:rPr>
                <w:bCs/>
                <w:szCs w:val="24"/>
                <w:lang w:val="sr-Cyrl-RS"/>
              </w:rPr>
            </w:pPr>
            <w:r w:rsidRPr="00AD7E7D">
              <w:rPr>
                <w:bCs/>
                <w:szCs w:val="24"/>
                <w:lang w:val="sr-Cyrl-RS"/>
              </w:rPr>
              <w:t>3,0</w:t>
            </w:r>
          </w:p>
        </w:tc>
        <w:tc>
          <w:tcPr>
            <w:tcW w:w="655" w:type="pct"/>
            <w:noWrap/>
          </w:tcPr>
          <w:p w14:paraId="3C705DE1" w14:textId="77777777" w:rsidR="000A518D" w:rsidRPr="00AD7E7D" w:rsidRDefault="000A518D" w:rsidP="000A518D">
            <w:pPr>
              <w:spacing w:after="0"/>
              <w:jc w:val="center"/>
              <w:rPr>
                <w:bCs/>
                <w:szCs w:val="24"/>
                <w:lang w:val="sr-Cyrl-RS"/>
              </w:rPr>
            </w:pPr>
            <w:r w:rsidRPr="00AD7E7D">
              <w:rPr>
                <w:bCs/>
                <w:szCs w:val="24"/>
                <w:lang w:val="sr-Cyrl-RS"/>
              </w:rPr>
              <w:t>3,0</w:t>
            </w:r>
          </w:p>
        </w:tc>
      </w:tr>
    </w:tbl>
    <w:p w14:paraId="313EE863" w14:textId="77777777" w:rsidR="00DA545E" w:rsidRPr="00AD7E7D" w:rsidRDefault="00DA545E" w:rsidP="00F16F51">
      <w:pPr>
        <w:rPr>
          <w:rFonts w:cs="Times New Roman"/>
          <w:szCs w:val="24"/>
          <w:lang w:val="sr-Cyrl-RS" w:eastAsia="ja-JP"/>
        </w:rPr>
      </w:pPr>
    </w:p>
    <w:p w14:paraId="5565E36C" w14:textId="77777777" w:rsidR="00056C94" w:rsidRDefault="00056C94" w:rsidP="00F16F51">
      <w:pPr>
        <w:rPr>
          <w:rFonts w:cs="Times New Roman"/>
          <w:szCs w:val="24"/>
          <w:lang w:val="sr-Cyrl-RS" w:eastAsia="ja-JP"/>
        </w:rPr>
      </w:pPr>
      <w:r>
        <w:rPr>
          <w:rFonts w:cs="Times New Roman"/>
          <w:szCs w:val="24"/>
          <w:lang w:val="sr-Cyrl-RS" w:eastAsia="ja-JP"/>
        </w:rPr>
        <w:br w:type="page"/>
      </w:r>
    </w:p>
    <w:p w14:paraId="40D28EAF" w14:textId="77777777" w:rsidR="006D0778" w:rsidRPr="00933940" w:rsidRDefault="00933940" w:rsidP="005D223F">
      <w:pPr>
        <w:pStyle w:val="Heading1"/>
        <w:spacing w:before="0" w:after="240"/>
        <w:rPr>
          <w:rFonts w:ascii="Times New Roman" w:eastAsiaTheme="minorHAnsi" w:hAnsi="Times New Roman" w:cs="Times New Roman"/>
          <w:b/>
          <w:color w:val="auto"/>
          <w:sz w:val="24"/>
          <w:szCs w:val="24"/>
          <w:lang w:val="sr-Latn-RS"/>
        </w:rPr>
      </w:pPr>
      <w:bookmarkStart w:id="17" w:name="_Toc530635103"/>
      <w:bookmarkStart w:id="18" w:name="_Toc185342332"/>
      <w:r w:rsidRPr="00E25CAC">
        <w:rPr>
          <w:rFonts w:ascii="Times New Roman" w:eastAsiaTheme="minorHAnsi" w:hAnsi="Times New Roman" w:cs="Times New Roman"/>
          <w:b/>
          <w:color w:val="auto"/>
          <w:sz w:val="24"/>
          <w:szCs w:val="24"/>
          <w:lang w:val="sr-Latn-RS"/>
        </w:rPr>
        <w:lastRenderedPageBreak/>
        <w:t>4</w:t>
      </w:r>
      <w:r w:rsidR="006D0778" w:rsidRPr="00933940">
        <w:rPr>
          <w:rFonts w:ascii="Times New Roman" w:eastAsiaTheme="minorHAnsi" w:hAnsi="Times New Roman" w:cs="Times New Roman"/>
          <w:b/>
          <w:color w:val="auto"/>
          <w:sz w:val="24"/>
          <w:szCs w:val="24"/>
          <w:lang w:val="sr-Latn-RS"/>
        </w:rPr>
        <w:t>. ФИСКАЛНИ ОКВИР ЗА ПЕРИОД ОД 2025. ДО 2027. ГОДИНЕ</w:t>
      </w:r>
      <w:bookmarkEnd w:id="17"/>
      <w:bookmarkEnd w:id="18"/>
    </w:p>
    <w:p w14:paraId="68B8B15A" w14:textId="77777777" w:rsidR="006D0778" w:rsidRPr="00915EC2" w:rsidRDefault="00933940" w:rsidP="00E25CAC">
      <w:pPr>
        <w:pStyle w:val="Heading11"/>
        <w:spacing w:before="180" w:after="180"/>
        <w:rPr>
          <w:rFonts w:ascii="Times New Roman" w:hAnsi="Times New Roman" w:cs="Times New Roman"/>
          <w:color w:val="auto"/>
          <w:sz w:val="24"/>
          <w:szCs w:val="24"/>
          <w:lang w:val="sr-Latn-RS"/>
        </w:rPr>
      </w:pPr>
      <w:bookmarkStart w:id="19" w:name="_Toc185342333"/>
      <w:r w:rsidRPr="00915EC2">
        <w:rPr>
          <w:rFonts w:ascii="Times New Roman" w:hAnsi="Times New Roman" w:cs="Times New Roman"/>
          <w:color w:val="auto"/>
          <w:sz w:val="24"/>
          <w:szCs w:val="24"/>
          <w:lang w:val="sr-Latn-RS"/>
        </w:rPr>
        <w:t>4.</w:t>
      </w:r>
      <w:r w:rsidR="006D0778" w:rsidRPr="00915EC2">
        <w:rPr>
          <w:rFonts w:ascii="Times New Roman" w:hAnsi="Times New Roman" w:cs="Times New Roman"/>
          <w:color w:val="auto"/>
          <w:sz w:val="24"/>
          <w:szCs w:val="24"/>
          <w:lang w:val="sr-Latn-RS"/>
        </w:rPr>
        <w:t>1. СТРАТЕГИЈА ЈАВНЕ ПОЛИТИКЕ И СРЕДЊОРОЧНИ ЦИЉЕВИ</w:t>
      </w:r>
      <w:bookmarkEnd w:id="19"/>
    </w:p>
    <w:p w14:paraId="1078CB79" w14:textId="77777777" w:rsidR="006D0778" w:rsidRPr="00AD7E7D" w:rsidRDefault="006D0778" w:rsidP="006D0778">
      <w:pPr>
        <w:rPr>
          <w:rFonts w:cs="Times New Roman"/>
          <w:bCs/>
          <w:szCs w:val="24"/>
          <w:lang w:val="sr-Cyrl-RS" w:eastAsia="ja-JP"/>
        </w:rPr>
      </w:pPr>
      <w:bookmarkStart w:id="20" w:name="_Toc530635106"/>
      <w:r w:rsidRPr="00AD7E7D">
        <w:rPr>
          <w:rFonts w:cs="Times New Roman"/>
          <w:bCs/>
          <w:szCs w:val="24"/>
          <w:lang w:val="sr-Cyrl-RS" w:eastAsia="ja-JP"/>
        </w:rPr>
        <w:t>Смиривање пандемије коронавируса, висока инфлација изазвана кризом на међународним тржиштима енергије и сировина и сукоб у Украјини обележили су претходни период у свету, уз неизвесност која би могла да потраје дужи временски период. У таквој ситуацији задатак економске и фискалне политике био је да обезбеди стабилност привредних токова и очува стандард грађана.</w:t>
      </w:r>
    </w:p>
    <w:p w14:paraId="0522AB84" w14:textId="77777777" w:rsidR="006D0778" w:rsidRPr="00AD7E7D" w:rsidRDefault="006D0778" w:rsidP="006D0778">
      <w:pPr>
        <w:rPr>
          <w:rFonts w:cs="Times New Roman"/>
          <w:bCs/>
          <w:szCs w:val="24"/>
          <w:lang w:val="sr-Cyrl-RS" w:eastAsia="ja-JP"/>
        </w:rPr>
      </w:pPr>
      <w:r w:rsidRPr="00AD7E7D">
        <w:rPr>
          <w:rFonts w:cs="Times New Roman"/>
          <w:bCs/>
          <w:szCs w:val="24"/>
          <w:lang w:val="sr-Cyrl-RS" w:eastAsia="ja-JP"/>
        </w:rPr>
        <w:t>Претходна година је, ипак, била релативно стабилна у економском смислу, са очекиваном динамиком макроекономских кретања и нешто бољим резултатима фискалних агрегата. Повољни фискални трендови оличени у бољој наплати прихода од очекиване и уштедама на средствима која су намењена превазилажењу енергетске кризe довели су до нижих нивоа дефицита и дуга. Овакав развој догађаја омогућава бољу фискалну слику у средњорочном периоду, брже снижавање нивоа јавног дуга и већи фискални простор.</w:t>
      </w:r>
    </w:p>
    <w:p w14:paraId="1E1A902B" w14:textId="77777777" w:rsidR="006D0778" w:rsidRPr="00AD7E7D" w:rsidRDefault="006D0778" w:rsidP="006D0778">
      <w:pPr>
        <w:rPr>
          <w:rFonts w:cs="Times New Roman"/>
          <w:bCs/>
          <w:szCs w:val="24"/>
          <w:lang w:val="sr-Cyrl-RS" w:eastAsia="ja-JP"/>
        </w:rPr>
      </w:pPr>
      <w:r w:rsidRPr="00AD7E7D">
        <w:rPr>
          <w:rFonts w:cs="Times New Roman"/>
          <w:bCs/>
          <w:szCs w:val="24"/>
          <w:lang w:val="sr-Cyrl-RS" w:eastAsia="ja-JP"/>
        </w:rPr>
        <w:t>Већи фискални простор, односно целокупна добра фискална позиција уз очекивана повољна макроекономска кретања омогућавају нови инвестициони циклус оличен у програму „Скок у будућност - Србија 2027” и изложби ЕКСПО 2027. Овај програм ће бити окосница економског и друштвеног развоја државе у наредном периоду. С обзиром на предвиђена велика улагања у склопу програма и припрема за Експо привремено се очекује издашнија фискална политика, али уз поштовање принципа снижавања нивоа јавног дуга. Битно је да ће повећање дефицита бити резултат раста капиталних издатака, што ће додатно да помогне макроекономским токовима и убрза раст економије. Паралелно са тим потребно је обезбедити простор за правовремену реакцију фискалне политике на економске шокове. Међународно окружење је и даље неизвесно у погледу глобалних економских токова тако да би евентуална фискална интервенција државе у циљу минимизирања негативних екстерних ефеката свакако била комбинована са настојањима да се наставе развојни програми и инфраструктурни пројекти финансирани из буџета.</w:t>
      </w:r>
    </w:p>
    <w:p w14:paraId="7C197159" w14:textId="77777777" w:rsidR="006D0778" w:rsidRPr="00AD7E7D" w:rsidRDefault="006D0778" w:rsidP="006D0778">
      <w:pPr>
        <w:rPr>
          <w:rFonts w:cs="Times New Roman"/>
          <w:bCs/>
          <w:szCs w:val="24"/>
          <w:lang w:val="sr-Cyrl-RS" w:eastAsia="ja-JP"/>
        </w:rPr>
      </w:pPr>
      <w:r w:rsidRPr="00AD7E7D">
        <w:rPr>
          <w:rFonts w:cs="Times New Roman"/>
          <w:bCs/>
          <w:szCs w:val="24"/>
          <w:lang w:val="sr-Cyrl-RS" w:eastAsia="ja-JP"/>
        </w:rPr>
        <w:t>С обзиром на неизвесну економску ситуацију, буџет ће свакако представљати „сигурносну мрежу” у случају ескалације неповољних кретања. Са једне стране обезбедиће се континуитет развојних и социјалних програма, а са друге стране одрживост јавних финансија и наставак смањења нивоа јавног дуга у смислу учешћа у БДП. Имајући у виду очекивана макроекономска кретања, предвиђени годишњи фискални дефицити омогућавају смањење учешћа дуга сектора државе у БДП и у наредном периоду.</w:t>
      </w:r>
    </w:p>
    <w:p w14:paraId="771E5838" w14:textId="77777777" w:rsidR="006D0778" w:rsidRPr="00AD7E7D" w:rsidRDefault="006D0778" w:rsidP="006D0778">
      <w:pPr>
        <w:rPr>
          <w:rFonts w:cs="Times New Roman"/>
          <w:bCs/>
          <w:szCs w:val="24"/>
          <w:lang w:val="sr-Cyrl-RS" w:eastAsia="ja-JP"/>
        </w:rPr>
      </w:pPr>
      <w:r w:rsidRPr="00AD7E7D">
        <w:rPr>
          <w:rFonts w:cs="Times New Roman"/>
          <w:bCs/>
          <w:szCs w:val="24"/>
          <w:lang w:val="sr-Cyrl-RS" w:eastAsia="ja-JP"/>
        </w:rPr>
        <w:t>Фискална политика ће у наредном периоду бити фокусирана, у складу са расположивим фискалним простором, и на даље смањење укупног пореског оптерећења рада чиме се додатно растерећује привреда, односно повећава конкурентност приватног сектора. На расходној страни, осим инфраструктурних и капиталних пројеката, приоритет ће бити политика пензија и плата, како би се наставио раст животног стандарда становништва.</w:t>
      </w:r>
    </w:p>
    <w:p w14:paraId="622B43F8" w14:textId="77777777" w:rsidR="006D0778" w:rsidRPr="00AD7E7D" w:rsidRDefault="006D0778" w:rsidP="006D0778">
      <w:pPr>
        <w:rPr>
          <w:rFonts w:cs="Times New Roman"/>
          <w:bCs/>
          <w:szCs w:val="24"/>
          <w:lang w:val="sr-Cyrl-RS" w:eastAsia="ja-JP"/>
        </w:rPr>
      </w:pPr>
      <w:r w:rsidRPr="00AD7E7D">
        <w:rPr>
          <w:rFonts w:cs="Times New Roman"/>
          <w:bCs/>
          <w:szCs w:val="24"/>
          <w:lang w:val="sr-Cyrl-RS" w:eastAsia="ja-JP"/>
        </w:rPr>
        <w:t xml:space="preserve"> </w:t>
      </w:r>
    </w:p>
    <w:p w14:paraId="30DB6307" w14:textId="77777777" w:rsidR="006D0778" w:rsidRPr="00915EC2" w:rsidRDefault="00933940" w:rsidP="005D223F">
      <w:pPr>
        <w:pStyle w:val="Heading11"/>
        <w:spacing w:before="0" w:after="180"/>
        <w:rPr>
          <w:rFonts w:ascii="Times New Roman" w:hAnsi="Times New Roman" w:cs="Times New Roman"/>
          <w:color w:val="auto"/>
          <w:sz w:val="24"/>
          <w:szCs w:val="24"/>
          <w:lang w:val="sr-Latn-RS"/>
        </w:rPr>
      </w:pPr>
      <w:bookmarkStart w:id="21" w:name="_Toc185342334"/>
      <w:r w:rsidRPr="00915EC2">
        <w:rPr>
          <w:rFonts w:ascii="Times New Roman" w:hAnsi="Times New Roman" w:cs="Times New Roman"/>
          <w:color w:val="auto"/>
          <w:sz w:val="24"/>
          <w:szCs w:val="24"/>
          <w:lang w:val="sr-Latn-RS"/>
        </w:rPr>
        <w:lastRenderedPageBreak/>
        <w:t>4.</w:t>
      </w:r>
      <w:r w:rsidR="006D0778" w:rsidRPr="00915EC2">
        <w:rPr>
          <w:rFonts w:ascii="Times New Roman" w:hAnsi="Times New Roman" w:cs="Times New Roman"/>
          <w:color w:val="auto"/>
          <w:sz w:val="24"/>
          <w:szCs w:val="24"/>
          <w:lang w:val="sr-Latn-RS"/>
        </w:rPr>
        <w:t xml:space="preserve">2. </w:t>
      </w:r>
      <w:bookmarkEnd w:id="20"/>
      <w:r w:rsidR="006D0778" w:rsidRPr="00915EC2">
        <w:rPr>
          <w:rFonts w:ascii="Times New Roman" w:hAnsi="Times New Roman" w:cs="Times New Roman"/>
          <w:color w:val="auto"/>
          <w:sz w:val="24"/>
          <w:szCs w:val="24"/>
          <w:lang w:val="sr-Latn-RS"/>
        </w:rPr>
        <w:t>ИЗВРШЕЊЕ БУЏЕТА У 2024. ГОДИНИ</w:t>
      </w:r>
      <w:bookmarkEnd w:id="21"/>
    </w:p>
    <w:p w14:paraId="6B72C687" w14:textId="77777777" w:rsidR="006D0778" w:rsidRPr="00AD7E7D" w:rsidRDefault="006D0778" w:rsidP="006D0778">
      <w:pPr>
        <w:keepNext/>
        <w:keepLines/>
        <w:rPr>
          <w:rFonts w:cs="Times New Roman"/>
          <w:bCs/>
          <w:szCs w:val="24"/>
          <w:lang w:val="sr-Cyrl-RS" w:eastAsia="ja-JP"/>
        </w:rPr>
      </w:pPr>
      <w:r w:rsidRPr="00AD7E7D">
        <w:rPr>
          <w:rFonts w:cs="Times New Roman"/>
          <w:bCs/>
          <w:szCs w:val="24"/>
          <w:lang w:val="sr-Cyrl-RS" w:eastAsia="ja-JP"/>
        </w:rPr>
        <w:t>Фискални оквир за 2024. годину планиран је узимајући у обзир неизвесност како на домаћем тржишту, тако и у међународном окружењу. Планирању се приступило опрезно, како би се оставио неопходан простор за буџетске интервенције у случају неповољних догађаја. Макроекономским оквиром за 2024. годину било је предвиђено умерено убрзање економске активности, у односу на 2023. годину, уз постепено смиривање стопе инфлације, што би, поред осталог, деловало и на повећање реалне потрошње.</w:t>
      </w:r>
    </w:p>
    <w:p w14:paraId="2D3711B8" w14:textId="77777777" w:rsidR="006D0778" w:rsidRPr="00AD7E7D" w:rsidRDefault="006D0778" w:rsidP="006D0778">
      <w:pPr>
        <w:keepNext/>
        <w:keepLines/>
        <w:rPr>
          <w:rFonts w:cs="Times New Roman"/>
          <w:bCs/>
          <w:szCs w:val="24"/>
          <w:lang w:val="sr-Cyrl-RS" w:eastAsia="ja-JP"/>
        </w:rPr>
      </w:pPr>
      <w:r w:rsidRPr="00AD7E7D">
        <w:rPr>
          <w:rFonts w:cs="Times New Roman"/>
          <w:bCs/>
          <w:szCs w:val="24"/>
          <w:lang w:val="sr-Cyrl-RS" w:eastAsia="ja-JP"/>
        </w:rPr>
        <w:t xml:space="preserve"> Мере спроведене крајем 2023. утицале су на планирање фискалног оквира за 2024. годину. Крајем претходне године спроведено је повећање зарада запосленима у просвети и делу здравства од 5,5%, ванредно повећање пензија од 5,5%, а почетком 2024. године, у складу са законском формулом за усклађивање, пензије су повећане за 14,8%. У циљу одржања стандарда и куповне моћи становништва усвојене су следеће мере: подизање минималне зараде у 2024. години за 17,8%, повећање зарада у јавном сектору од 10%, уз даље смањење пореског оптерећења зарада испод 60%. Ове мере делују на повећање личне потрошње и последично, на приходе од пореза на потрошњу. Очекиван је и позитиван тренд кретања прихода од опорезивања рада и поред смањења пореског оптерећења, услед дејства предложених мера на запосленост и зараде у приватном сектору. У 2024. години планирана су значајна средстава за интервенцију на тржишту енергије, међутим услед стабилизације цена и расположивости енергената, део неутрошених средстава је пренамењен.</w:t>
      </w:r>
    </w:p>
    <w:p w14:paraId="34AF903E" w14:textId="77777777" w:rsidR="006D0778" w:rsidRPr="00AD7E7D" w:rsidRDefault="006D0778" w:rsidP="006D0778">
      <w:pPr>
        <w:keepNext/>
        <w:keepLines/>
        <w:rPr>
          <w:rFonts w:cs="Times New Roman"/>
          <w:bCs/>
          <w:szCs w:val="24"/>
          <w:lang w:val="sr-Cyrl-RS" w:eastAsia="ja-JP"/>
        </w:rPr>
      </w:pPr>
      <w:r w:rsidRPr="00AD7E7D">
        <w:rPr>
          <w:rFonts w:cs="Times New Roman"/>
          <w:bCs/>
          <w:szCs w:val="24"/>
          <w:lang w:val="sr-Cyrl-RS" w:eastAsia="ja-JP"/>
        </w:rPr>
        <w:t>Акцизна политика враћена је у редовне токове, укључујући и делимично подизање реалних износа акцизних стопа. Усвојеном законском регулативом крајем претходне године, поред осталог, извршено је повећање износа акциза за 8%, и планирано додатно усклађивање са оствареном инфлацијом у 2023. години, почетком 2024. године. Овим повећањима се само делимично надокнађује реална вредност износа акциза, у поређењу са периодом пре избијања енергетске кризе и убрзаног раста инфлације, те висина акцизних стопа остаје 13% нижа у односу на стопу која би била у примени са редовном индексацијом у протеклом периоду. Процењени губитак прихода у 2022. и 2023. години, изостанком редовне индексације, износио је преко 100 млрд динара односно 1,3% БДП. Почетком 2024. године донета је одлука да се предвиђено усклађивање са инфлацијом одложи за три месеца, услед тога што је забележен солидан раст прихода од акциза крајем претходне године, а и како би се делимично ублажио и одложио инфлаторни ефекат подизања акциза.</w:t>
      </w:r>
    </w:p>
    <w:p w14:paraId="4E3D708A" w14:textId="77777777" w:rsidR="006D0778" w:rsidRPr="00AD7E7D" w:rsidRDefault="006D0778" w:rsidP="006D0778">
      <w:pPr>
        <w:keepNext/>
        <w:keepLines/>
        <w:rPr>
          <w:rFonts w:cs="Times New Roman"/>
          <w:bCs/>
          <w:szCs w:val="24"/>
          <w:lang w:val="sr-Cyrl-RS" w:eastAsia="ja-JP"/>
        </w:rPr>
      </w:pPr>
      <w:r w:rsidRPr="00AD7E7D">
        <w:rPr>
          <w:rFonts w:cs="Times New Roman"/>
          <w:bCs/>
          <w:szCs w:val="24"/>
          <w:lang w:val="sr-Cyrl-RS" w:eastAsia="ja-JP"/>
        </w:rPr>
        <w:t>Ризици који су узети у обзир приликом планирања фискалног оквира за ову годину су и даље присутни, али са нешто мањим интензитетом. Раст економске активности и инфлације били су у нивоу пројектоване кварталне динамике. Процена привредног раста за ову годину благо је ревидирана навише у односу на оригиналну буџетску процену, а непромењена у односу на пролећну Фискалну стратегију.</w:t>
      </w:r>
    </w:p>
    <w:p w14:paraId="26134C0E" w14:textId="77777777" w:rsidR="006D0778" w:rsidRPr="00AD7E7D" w:rsidRDefault="006D0778" w:rsidP="006D0778">
      <w:pPr>
        <w:keepNext/>
        <w:keepLines/>
        <w:rPr>
          <w:rFonts w:cs="Times New Roman"/>
          <w:bCs/>
          <w:szCs w:val="24"/>
          <w:lang w:val="sr-Cyrl-RS" w:eastAsia="ja-JP"/>
        </w:rPr>
      </w:pPr>
      <w:r w:rsidRPr="00AD7E7D">
        <w:rPr>
          <w:rFonts w:cs="Times New Roman"/>
          <w:bCs/>
          <w:szCs w:val="24"/>
          <w:lang w:val="sr-Cyrl-RS" w:eastAsia="ja-JP"/>
        </w:rPr>
        <w:lastRenderedPageBreak/>
        <w:t>Остварење прихода у првих девет месеци текуће године боље је од оригинално планираног. Кретања на тржишту рада су изнад очекивања, што, уз истовремени раст реалног дохотка, позитивно утиче на наплату свих прихода од пореза на потрошњу. Остварена профитабилност привредних друштава у 2023. години и наплата пореза на добит у првих девет месеци текуће године су значајан фактор ревизије прихода у 2024. години навише. Одлука о одлагању индексације акциза није имала негативан утицај на износ наплате овог пореског облика, пре свега због опоравка потрошње у последњем кварталу претходне и првој половини текуће године. Уобичајено, непланирани ванредни непорески приходи, наплаћени у протеклом периоду, као и боља реализација редовних прихода укључени су у ревидирану процену непореских прихода. Боље остварење на крају претходне године, такође је значајан фактор који је довео до ревизије прихода навише.</w:t>
      </w:r>
    </w:p>
    <w:p w14:paraId="4D597A78" w14:textId="77777777" w:rsidR="006D0778" w:rsidRPr="00AD7E7D" w:rsidRDefault="006D0778" w:rsidP="006D0778">
      <w:pPr>
        <w:keepNext/>
        <w:keepLines/>
        <w:rPr>
          <w:rFonts w:cs="Times New Roman"/>
          <w:bCs/>
          <w:szCs w:val="24"/>
          <w:lang w:val="sr-Cyrl-RS" w:eastAsia="ja-JP"/>
        </w:rPr>
      </w:pPr>
      <w:r w:rsidRPr="00AD7E7D">
        <w:rPr>
          <w:rFonts w:cs="Times New Roman"/>
          <w:bCs/>
          <w:szCs w:val="24"/>
          <w:lang w:val="sr-Cyrl-RS" w:eastAsia="ja-JP"/>
        </w:rPr>
        <w:t>Ревидирани фискални оквир за 2024. годину, у складу са усвојеним ребалансом буџета, предвиђа фискални дефицит од 2,7% БДП, што је 0,6 п.п. више у односу на оригинални буџетски план. Учешће јавног дуга у БДП на крају 2024. године износиће 47,9%. Приходна страна повећана је за 166 млрд, а расходна страна за 232,1 млрд динара. Виши приходи и расходи, уз прерасподелу средстава предвиђених за енергетику, обезбедили су фискални простор за значајно повећање јавних инвестиција, као и појединих категорија текућих расхода (социјална помоћ и трансфери становништву). На овај начин, поред очувања и повећања животног стандарда појединих категорија становништва, убрзава се развој инфраструктуре и повећава привредни потенцијал земље. Спровођење ових мера уз остварење предвиђеног фискалног резултата сектора државе, неће нарушити успостављену путању смањења учешћа јавног дуга у БДП која је присутна од 2016 године. Анализом структурног фискалног резултата у 2024. години, идентификовано је да се око 0,47% БДП односи на једнократне и привремене ефекте на приходној и расходној страни.</w:t>
      </w:r>
    </w:p>
    <w:p w14:paraId="7CBC2F12" w14:textId="77777777" w:rsidR="006D0778" w:rsidRPr="005D223F" w:rsidRDefault="006D0778" w:rsidP="006D0778">
      <w:pPr>
        <w:keepNext/>
        <w:keepLines/>
        <w:rPr>
          <w:rFonts w:eastAsia="Calibri" w:cs="Times New Roman"/>
          <w:i/>
          <w:spacing w:val="-4"/>
          <w:szCs w:val="24"/>
          <w:lang w:val="sr-Cyrl-RS"/>
        </w:rPr>
      </w:pPr>
      <w:r w:rsidRPr="005D223F">
        <w:rPr>
          <w:rFonts w:eastAsia="Calibri" w:cs="Times New Roman"/>
          <w:i/>
          <w:spacing w:val="-4"/>
          <w:szCs w:val="24"/>
          <w:lang w:val="sr-Cyrl-RS"/>
        </w:rPr>
        <w:t xml:space="preserve">Графикон </w:t>
      </w:r>
      <w:r w:rsidR="006C46A3">
        <w:rPr>
          <w:rFonts w:eastAsia="Calibri" w:cs="Times New Roman"/>
          <w:i/>
          <w:spacing w:val="-4"/>
          <w:szCs w:val="24"/>
          <w:lang w:val="sr-Latn-RS"/>
        </w:rPr>
        <w:t>4</w:t>
      </w:r>
      <w:r w:rsidRPr="005D223F">
        <w:rPr>
          <w:rFonts w:eastAsia="Calibri" w:cs="Times New Roman"/>
          <w:i/>
          <w:spacing w:val="-4"/>
          <w:szCs w:val="24"/>
          <w:lang w:val="sr-Cyrl-RS"/>
        </w:rPr>
        <w:t>. Фискални резултат сектора државе у периоду од 2015. до 2024. године, % БДП</w:t>
      </w:r>
    </w:p>
    <w:p w14:paraId="5A66D1CE" w14:textId="77777777" w:rsidR="006D0778" w:rsidRPr="00AD7E7D" w:rsidRDefault="006D0778" w:rsidP="006D0778">
      <w:pPr>
        <w:spacing w:after="0" w:line="276" w:lineRule="auto"/>
        <w:jc w:val="center"/>
        <w:rPr>
          <w:rFonts w:eastAsia="Calibri" w:cs="Times New Roman"/>
          <w:szCs w:val="24"/>
          <w:lang w:val="sr-Cyrl-RS"/>
        </w:rPr>
      </w:pPr>
      <w:r w:rsidRPr="00AD7E7D">
        <w:rPr>
          <w:rFonts w:cs="Times New Roman"/>
          <w:noProof/>
          <w:szCs w:val="24"/>
        </w:rPr>
        <w:drawing>
          <wp:inline distT="0" distB="0" distL="0" distR="0" wp14:anchorId="6F35D67C" wp14:editId="7F724A67">
            <wp:extent cx="5429250" cy="305752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58BA6E0" w14:textId="77777777" w:rsidR="006D0778" w:rsidRPr="00AD7E7D" w:rsidRDefault="006D0778" w:rsidP="006D0778">
      <w:pPr>
        <w:spacing w:after="0"/>
        <w:rPr>
          <w:rFonts w:eastAsia="Calibri" w:cs="Times New Roman"/>
          <w:bCs/>
          <w:szCs w:val="24"/>
          <w:lang w:val="sr-Cyrl-RS"/>
        </w:rPr>
      </w:pPr>
    </w:p>
    <w:p w14:paraId="498DAD73" w14:textId="77777777" w:rsidR="006D0778" w:rsidRPr="00BF5A92" w:rsidRDefault="006D0778" w:rsidP="006D0778">
      <w:pPr>
        <w:spacing w:after="0"/>
        <w:rPr>
          <w:rFonts w:eastAsia="Calibri" w:cs="Times New Roman"/>
          <w:bCs/>
          <w:sz w:val="22"/>
          <w:szCs w:val="24"/>
          <w:lang w:val="sr-Cyrl-RS"/>
        </w:rPr>
      </w:pPr>
      <w:r w:rsidRPr="00BF5A92">
        <w:rPr>
          <w:rFonts w:eastAsia="Calibri" w:cs="Times New Roman"/>
          <w:bCs/>
          <w:sz w:val="22"/>
          <w:szCs w:val="24"/>
          <w:lang w:val="sr-Cyrl-RS"/>
        </w:rPr>
        <w:t>Извор: Министарство финансија</w:t>
      </w:r>
    </w:p>
    <w:p w14:paraId="5B43F8F5" w14:textId="77777777" w:rsidR="006D0778" w:rsidRPr="00AD7E7D" w:rsidRDefault="006D0778" w:rsidP="006D0778">
      <w:pPr>
        <w:spacing w:after="0"/>
        <w:rPr>
          <w:rFonts w:eastAsia="Calibri" w:cs="Times New Roman"/>
          <w:bCs/>
          <w:szCs w:val="24"/>
          <w:lang w:val="sr-Cyrl-RS"/>
        </w:rPr>
      </w:pPr>
    </w:p>
    <w:p w14:paraId="59B2A339" w14:textId="77777777" w:rsidR="006D0778" w:rsidRPr="00BF5A92" w:rsidRDefault="006D0778" w:rsidP="003637A3">
      <w:pPr>
        <w:spacing w:before="240"/>
        <w:rPr>
          <w:rFonts w:eastAsia="MS PGothic" w:cs="Times New Roman"/>
          <w:i/>
          <w:szCs w:val="24"/>
          <w:lang w:val="sr-Cyrl-RS" w:eastAsia="ja-JP"/>
        </w:rPr>
      </w:pPr>
      <w:r w:rsidRPr="00BF5A92">
        <w:rPr>
          <w:rFonts w:eastAsia="MS PGothic" w:cs="Times New Roman"/>
          <w:i/>
          <w:szCs w:val="24"/>
          <w:lang w:val="sr-Cyrl-RS" w:eastAsia="ja-JP"/>
        </w:rPr>
        <w:lastRenderedPageBreak/>
        <w:t>Табела 4. Приходи, расходи и резултат сектора државе у 2024. години, у млрд динара</w:t>
      </w:r>
    </w:p>
    <w:tbl>
      <w:tblPr>
        <w:tblW w:w="5000" w:type="pct"/>
        <w:jc w:val="center"/>
        <w:tblLook w:val="04A0" w:firstRow="1" w:lastRow="0" w:firstColumn="1" w:lastColumn="0" w:noHBand="0" w:noVBand="1"/>
      </w:tblPr>
      <w:tblGrid>
        <w:gridCol w:w="3236"/>
        <w:gridCol w:w="131"/>
        <w:gridCol w:w="936"/>
        <w:gridCol w:w="991"/>
        <w:gridCol w:w="991"/>
        <w:gridCol w:w="991"/>
        <w:gridCol w:w="1013"/>
        <w:gridCol w:w="737"/>
      </w:tblGrid>
      <w:tr w:rsidR="006D0778" w:rsidRPr="00AD7E7D" w14:paraId="4DBDECE5" w14:textId="77777777" w:rsidTr="003637A3">
        <w:trPr>
          <w:trHeight w:val="1300"/>
          <w:tblHeader/>
          <w:jc w:val="center"/>
        </w:trPr>
        <w:tc>
          <w:tcPr>
            <w:tcW w:w="1798" w:type="pct"/>
            <w:gridSpan w:val="2"/>
            <w:tcBorders>
              <w:top w:val="single" w:sz="4" w:space="0" w:color="002060"/>
            </w:tcBorders>
            <w:shd w:val="clear" w:color="auto" w:fill="auto"/>
            <w:noWrap/>
            <w:vAlign w:val="center"/>
            <w:hideMark/>
          </w:tcPr>
          <w:p w14:paraId="352CA1D7" w14:textId="77777777" w:rsidR="006D0778" w:rsidRPr="00AD7E7D" w:rsidRDefault="006D0778" w:rsidP="006D0778">
            <w:pPr>
              <w:spacing w:after="0"/>
              <w:jc w:val="center"/>
              <w:rPr>
                <w:rFonts w:eastAsia="Times New Roman" w:cs="Times New Roman"/>
                <w:bCs/>
                <w:szCs w:val="24"/>
                <w:lang w:eastAsia="sr-Cyrl-RS"/>
              </w:rPr>
            </w:pPr>
            <w:r w:rsidRPr="00AD7E7D">
              <w:rPr>
                <w:rFonts w:eastAsia="MS PGothic" w:cs="Times New Roman"/>
                <w:szCs w:val="24"/>
                <w:lang w:eastAsia="ja-JP"/>
              </w:rPr>
              <w:t> </w:t>
            </w:r>
          </w:p>
        </w:tc>
        <w:tc>
          <w:tcPr>
            <w:tcW w:w="503" w:type="pct"/>
            <w:tcBorders>
              <w:top w:val="single" w:sz="4" w:space="0" w:color="002060"/>
              <w:bottom w:val="single" w:sz="4" w:space="0" w:color="002060"/>
            </w:tcBorders>
            <w:shd w:val="clear" w:color="auto" w:fill="auto"/>
            <w:vAlign w:val="center"/>
            <w:hideMark/>
          </w:tcPr>
          <w:p w14:paraId="0C4990AC" w14:textId="77777777" w:rsidR="006D0778" w:rsidRPr="003637A3" w:rsidRDefault="006D0778" w:rsidP="006D0778">
            <w:pPr>
              <w:spacing w:after="0"/>
              <w:jc w:val="center"/>
              <w:rPr>
                <w:rFonts w:eastAsia="MS PGothic" w:cs="Times New Roman"/>
                <w:sz w:val="22"/>
                <w:lang w:eastAsia="ja-JP"/>
              </w:rPr>
            </w:pPr>
            <w:r w:rsidRPr="003637A3">
              <w:rPr>
                <w:rFonts w:eastAsia="MS PGothic" w:cs="Times New Roman"/>
                <w:sz w:val="22"/>
                <w:lang w:eastAsia="ja-JP"/>
              </w:rPr>
              <w:t>буџет 2024*</w:t>
            </w:r>
          </w:p>
        </w:tc>
        <w:tc>
          <w:tcPr>
            <w:tcW w:w="566" w:type="pct"/>
            <w:tcBorders>
              <w:top w:val="single" w:sz="4" w:space="0" w:color="002060"/>
              <w:bottom w:val="single" w:sz="4" w:space="0" w:color="002060"/>
            </w:tcBorders>
            <w:vAlign w:val="center"/>
          </w:tcPr>
          <w:p w14:paraId="7D3FC89C" w14:textId="77777777" w:rsidR="006D0778" w:rsidRPr="003637A3" w:rsidRDefault="006D0778" w:rsidP="006D0778">
            <w:pPr>
              <w:spacing w:after="0"/>
              <w:jc w:val="center"/>
              <w:rPr>
                <w:rFonts w:eastAsia="MS PGothic" w:cs="Times New Roman"/>
                <w:sz w:val="22"/>
                <w:lang w:eastAsia="ja-JP"/>
              </w:rPr>
            </w:pPr>
            <w:r w:rsidRPr="003637A3">
              <w:rPr>
                <w:rFonts w:eastAsia="MS PGothic" w:cs="Times New Roman"/>
                <w:sz w:val="22"/>
                <w:lang w:eastAsia="ja-JP"/>
              </w:rPr>
              <w:t>процена мај 2024</w:t>
            </w:r>
          </w:p>
        </w:tc>
        <w:tc>
          <w:tcPr>
            <w:tcW w:w="566" w:type="pct"/>
            <w:tcBorders>
              <w:top w:val="single" w:sz="4" w:space="0" w:color="002060"/>
              <w:bottom w:val="single" w:sz="4" w:space="0" w:color="002060"/>
            </w:tcBorders>
            <w:vAlign w:val="center"/>
          </w:tcPr>
          <w:p w14:paraId="12FFF65F" w14:textId="77777777" w:rsidR="006D0778" w:rsidRPr="003637A3" w:rsidRDefault="006D0778" w:rsidP="006D0778">
            <w:pPr>
              <w:spacing w:after="0"/>
              <w:jc w:val="center"/>
              <w:rPr>
                <w:rFonts w:eastAsia="MS PGothic" w:cs="Times New Roman"/>
                <w:sz w:val="22"/>
                <w:lang w:eastAsia="ja-JP"/>
              </w:rPr>
            </w:pPr>
            <w:r w:rsidRPr="003637A3">
              <w:rPr>
                <w:rFonts w:eastAsia="MS PGothic" w:cs="Times New Roman"/>
                <w:sz w:val="22"/>
                <w:lang w:eastAsia="ja-JP"/>
              </w:rPr>
              <w:t>нова процена 2024</w:t>
            </w:r>
          </w:p>
        </w:tc>
        <w:tc>
          <w:tcPr>
            <w:tcW w:w="566" w:type="pct"/>
            <w:tcBorders>
              <w:top w:val="single" w:sz="4" w:space="0" w:color="002060"/>
              <w:bottom w:val="single" w:sz="4" w:space="0" w:color="002060"/>
            </w:tcBorders>
            <w:shd w:val="clear" w:color="auto" w:fill="auto"/>
            <w:vAlign w:val="center"/>
            <w:hideMark/>
          </w:tcPr>
          <w:p w14:paraId="009B4AFF" w14:textId="77777777" w:rsidR="006D0778" w:rsidRPr="003637A3" w:rsidRDefault="006D0778" w:rsidP="006D0778">
            <w:pPr>
              <w:spacing w:after="0"/>
              <w:jc w:val="center"/>
              <w:rPr>
                <w:rFonts w:eastAsia="MS PGothic" w:cs="Times New Roman"/>
                <w:sz w:val="22"/>
                <w:lang w:eastAsia="ja-JP"/>
              </w:rPr>
            </w:pPr>
            <w:r w:rsidRPr="003637A3">
              <w:rPr>
                <w:rFonts w:eastAsia="MS PGothic" w:cs="Times New Roman"/>
                <w:sz w:val="22"/>
                <w:lang w:eastAsia="ja-JP"/>
              </w:rPr>
              <w:t>разлика нова процена /буџет</w:t>
            </w:r>
          </w:p>
        </w:tc>
        <w:tc>
          <w:tcPr>
            <w:tcW w:w="578" w:type="pct"/>
            <w:tcBorders>
              <w:top w:val="single" w:sz="4" w:space="0" w:color="002060"/>
              <w:bottom w:val="single" w:sz="4" w:space="0" w:color="002060"/>
            </w:tcBorders>
            <w:shd w:val="clear" w:color="auto" w:fill="auto"/>
            <w:vAlign w:val="center"/>
            <w:hideMark/>
          </w:tcPr>
          <w:p w14:paraId="6098B9C1" w14:textId="77777777" w:rsidR="006D0778" w:rsidRPr="003637A3" w:rsidRDefault="006D0778" w:rsidP="006D0778">
            <w:pPr>
              <w:spacing w:after="0"/>
              <w:jc w:val="center"/>
              <w:rPr>
                <w:rFonts w:eastAsia="MS PGothic" w:cs="Times New Roman"/>
                <w:sz w:val="22"/>
                <w:lang w:eastAsia="ja-JP"/>
              </w:rPr>
            </w:pPr>
            <w:r w:rsidRPr="003637A3">
              <w:rPr>
                <w:rFonts w:eastAsia="MS PGothic" w:cs="Times New Roman"/>
                <w:sz w:val="22"/>
                <w:lang w:eastAsia="ja-JP"/>
              </w:rPr>
              <w:t>% промена</w:t>
            </w:r>
          </w:p>
        </w:tc>
        <w:tc>
          <w:tcPr>
            <w:tcW w:w="423" w:type="pct"/>
            <w:tcBorders>
              <w:top w:val="single" w:sz="4" w:space="0" w:color="002060"/>
              <w:bottom w:val="single" w:sz="4" w:space="0" w:color="002060"/>
            </w:tcBorders>
            <w:shd w:val="clear" w:color="auto" w:fill="auto"/>
            <w:vAlign w:val="center"/>
            <w:hideMark/>
          </w:tcPr>
          <w:p w14:paraId="5E1B05E4" w14:textId="77777777" w:rsidR="006D0778" w:rsidRPr="003637A3" w:rsidRDefault="006D0778" w:rsidP="006D0778">
            <w:pPr>
              <w:spacing w:after="0"/>
              <w:jc w:val="center"/>
              <w:rPr>
                <w:rFonts w:eastAsia="MS PGothic" w:cs="Times New Roman"/>
                <w:sz w:val="22"/>
                <w:lang w:eastAsia="ja-JP"/>
              </w:rPr>
            </w:pPr>
            <w:r w:rsidRPr="003637A3">
              <w:rPr>
                <w:rFonts w:eastAsia="MS PGothic" w:cs="Times New Roman"/>
                <w:sz w:val="22"/>
                <w:lang w:eastAsia="ja-JP"/>
              </w:rPr>
              <w:t>2024 нова пр. % БДП</w:t>
            </w:r>
          </w:p>
        </w:tc>
      </w:tr>
      <w:tr w:rsidR="006D0778" w:rsidRPr="00AD7E7D" w14:paraId="7CA7B24A" w14:textId="77777777" w:rsidTr="003637A3">
        <w:trPr>
          <w:trHeight w:val="224"/>
          <w:jc w:val="center"/>
        </w:trPr>
        <w:tc>
          <w:tcPr>
            <w:tcW w:w="1728" w:type="pct"/>
            <w:shd w:val="clear" w:color="auto" w:fill="E7E6E6" w:themeFill="background2"/>
            <w:noWrap/>
            <w:vAlign w:val="center"/>
            <w:hideMark/>
          </w:tcPr>
          <w:p w14:paraId="0A35EAB5" w14:textId="77777777" w:rsidR="006D0778" w:rsidRPr="00AD7E7D" w:rsidRDefault="006D0778" w:rsidP="006D0778">
            <w:pPr>
              <w:spacing w:after="0"/>
              <w:jc w:val="left"/>
              <w:rPr>
                <w:rFonts w:cs="Times New Roman"/>
                <w:szCs w:val="24"/>
              </w:rPr>
            </w:pPr>
            <w:r w:rsidRPr="00AD7E7D">
              <w:rPr>
                <w:rFonts w:eastAsia="MS PGothic" w:cs="Times New Roman"/>
                <w:szCs w:val="24"/>
                <w:lang w:eastAsia="ja-JP"/>
              </w:rPr>
              <w:t>ЈАВНИ ПРИХОДИ</w:t>
            </w:r>
          </w:p>
        </w:tc>
        <w:tc>
          <w:tcPr>
            <w:tcW w:w="573" w:type="pct"/>
            <w:gridSpan w:val="2"/>
            <w:tcBorders>
              <w:top w:val="single" w:sz="4" w:space="0" w:color="002060"/>
            </w:tcBorders>
            <w:shd w:val="clear" w:color="auto" w:fill="E7E6E6" w:themeFill="background2"/>
            <w:hideMark/>
          </w:tcPr>
          <w:p w14:paraId="5179C93E"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3.756,1</w:t>
            </w:r>
          </w:p>
        </w:tc>
        <w:tc>
          <w:tcPr>
            <w:tcW w:w="566" w:type="pct"/>
            <w:tcBorders>
              <w:top w:val="single" w:sz="4" w:space="0" w:color="002060"/>
            </w:tcBorders>
            <w:shd w:val="clear" w:color="auto" w:fill="E7E6E6" w:themeFill="background2"/>
          </w:tcPr>
          <w:p w14:paraId="482A1ECC"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3.823,0</w:t>
            </w:r>
          </w:p>
        </w:tc>
        <w:tc>
          <w:tcPr>
            <w:tcW w:w="566" w:type="pct"/>
            <w:tcBorders>
              <w:top w:val="single" w:sz="4" w:space="0" w:color="002060"/>
            </w:tcBorders>
            <w:shd w:val="clear" w:color="auto" w:fill="E7E6E6" w:themeFill="background2"/>
          </w:tcPr>
          <w:p w14:paraId="12EC58B2"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3.922,2</w:t>
            </w:r>
          </w:p>
        </w:tc>
        <w:tc>
          <w:tcPr>
            <w:tcW w:w="566" w:type="pct"/>
            <w:tcBorders>
              <w:top w:val="single" w:sz="4" w:space="0" w:color="002060"/>
            </w:tcBorders>
            <w:shd w:val="clear" w:color="auto" w:fill="E7E6E6" w:themeFill="background2"/>
            <w:hideMark/>
          </w:tcPr>
          <w:p w14:paraId="10135D50"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166,0</w:t>
            </w:r>
          </w:p>
        </w:tc>
        <w:tc>
          <w:tcPr>
            <w:tcW w:w="578" w:type="pct"/>
            <w:tcBorders>
              <w:top w:val="single" w:sz="4" w:space="0" w:color="002060"/>
            </w:tcBorders>
            <w:shd w:val="clear" w:color="auto" w:fill="E7E6E6" w:themeFill="background2"/>
            <w:hideMark/>
          </w:tcPr>
          <w:p w14:paraId="51EF85D3"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4,4</w:t>
            </w:r>
          </w:p>
        </w:tc>
        <w:tc>
          <w:tcPr>
            <w:tcW w:w="423" w:type="pct"/>
            <w:tcBorders>
              <w:top w:val="single" w:sz="4" w:space="0" w:color="002060"/>
            </w:tcBorders>
            <w:shd w:val="clear" w:color="auto" w:fill="E7E6E6" w:themeFill="background2"/>
            <w:noWrap/>
            <w:hideMark/>
          </w:tcPr>
          <w:p w14:paraId="6CEDDF98"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40,8</w:t>
            </w:r>
          </w:p>
        </w:tc>
      </w:tr>
      <w:tr w:rsidR="006D0778" w:rsidRPr="00AD7E7D" w14:paraId="7B367464" w14:textId="77777777" w:rsidTr="003637A3">
        <w:trPr>
          <w:trHeight w:val="224"/>
          <w:jc w:val="center"/>
        </w:trPr>
        <w:tc>
          <w:tcPr>
            <w:tcW w:w="1798" w:type="pct"/>
            <w:gridSpan w:val="2"/>
            <w:shd w:val="clear" w:color="auto" w:fill="auto"/>
            <w:noWrap/>
            <w:vAlign w:val="center"/>
            <w:hideMark/>
          </w:tcPr>
          <w:p w14:paraId="486FCCA0" w14:textId="77777777" w:rsidR="006D0778" w:rsidRPr="00AD7E7D" w:rsidRDefault="006D0778" w:rsidP="006D0778">
            <w:pPr>
              <w:spacing w:after="0"/>
              <w:jc w:val="left"/>
              <w:rPr>
                <w:rFonts w:eastAsia="MS PGothic" w:cs="Times New Roman"/>
                <w:szCs w:val="24"/>
                <w:lang w:eastAsia="ja-JP"/>
              </w:rPr>
            </w:pPr>
            <w:r w:rsidRPr="00AD7E7D">
              <w:rPr>
                <w:rFonts w:eastAsia="MS PGothic" w:cs="Times New Roman"/>
                <w:szCs w:val="24"/>
                <w:lang w:eastAsia="ja-JP"/>
              </w:rPr>
              <w:t>Текући приходи</w:t>
            </w:r>
          </w:p>
        </w:tc>
        <w:tc>
          <w:tcPr>
            <w:tcW w:w="503" w:type="pct"/>
            <w:shd w:val="clear" w:color="auto" w:fill="auto"/>
            <w:hideMark/>
          </w:tcPr>
          <w:p w14:paraId="0409E6D4"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3.717,0</w:t>
            </w:r>
          </w:p>
        </w:tc>
        <w:tc>
          <w:tcPr>
            <w:tcW w:w="566" w:type="pct"/>
          </w:tcPr>
          <w:p w14:paraId="0AE8F82F"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3.784,0</w:t>
            </w:r>
          </w:p>
        </w:tc>
        <w:tc>
          <w:tcPr>
            <w:tcW w:w="566" w:type="pct"/>
          </w:tcPr>
          <w:p w14:paraId="2685DA26"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3.885,9</w:t>
            </w:r>
          </w:p>
        </w:tc>
        <w:tc>
          <w:tcPr>
            <w:tcW w:w="566" w:type="pct"/>
            <w:shd w:val="clear" w:color="auto" w:fill="auto"/>
            <w:hideMark/>
          </w:tcPr>
          <w:p w14:paraId="780EAAAF"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168,8</w:t>
            </w:r>
          </w:p>
        </w:tc>
        <w:tc>
          <w:tcPr>
            <w:tcW w:w="578" w:type="pct"/>
            <w:shd w:val="clear" w:color="auto" w:fill="auto"/>
            <w:hideMark/>
          </w:tcPr>
          <w:p w14:paraId="65B6F555"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4,5</w:t>
            </w:r>
          </w:p>
        </w:tc>
        <w:tc>
          <w:tcPr>
            <w:tcW w:w="423" w:type="pct"/>
            <w:shd w:val="clear" w:color="auto" w:fill="auto"/>
            <w:noWrap/>
            <w:hideMark/>
          </w:tcPr>
          <w:p w14:paraId="36EE9E2A"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40,5</w:t>
            </w:r>
          </w:p>
        </w:tc>
      </w:tr>
      <w:tr w:rsidR="006D0778" w:rsidRPr="00AD7E7D" w14:paraId="40ED5D77" w14:textId="77777777" w:rsidTr="003637A3">
        <w:trPr>
          <w:trHeight w:val="224"/>
          <w:jc w:val="center"/>
        </w:trPr>
        <w:tc>
          <w:tcPr>
            <w:tcW w:w="1798" w:type="pct"/>
            <w:gridSpan w:val="2"/>
            <w:shd w:val="clear" w:color="auto" w:fill="auto"/>
            <w:noWrap/>
            <w:vAlign w:val="center"/>
            <w:hideMark/>
          </w:tcPr>
          <w:p w14:paraId="731C16F0" w14:textId="77777777" w:rsidR="006D0778" w:rsidRPr="00AD7E7D" w:rsidRDefault="006D0778" w:rsidP="006D0778">
            <w:pPr>
              <w:spacing w:after="0"/>
              <w:jc w:val="left"/>
              <w:rPr>
                <w:rFonts w:eastAsia="MS PGothic" w:cs="Times New Roman"/>
                <w:szCs w:val="24"/>
                <w:lang w:eastAsia="ja-JP"/>
              </w:rPr>
            </w:pPr>
            <w:r w:rsidRPr="00AD7E7D">
              <w:rPr>
                <w:rFonts w:eastAsia="MS PGothic" w:cs="Times New Roman"/>
                <w:szCs w:val="24"/>
                <w:lang w:eastAsia="ja-JP"/>
              </w:rPr>
              <w:t xml:space="preserve"> Порески приходи</w:t>
            </w:r>
          </w:p>
        </w:tc>
        <w:tc>
          <w:tcPr>
            <w:tcW w:w="503" w:type="pct"/>
            <w:shd w:val="clear" w:color="auto" w:fill="auto"/>
            <w:hideMark/>
          </w:tcPr>
          <w:p w14:paraId="17A8E3B6"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3.330,5</w:t>
            </w:r>
          </w:p>
        </w:tc>
        <w:tc>
          <w:tcPr>
            <w:tcW w:w="566" w:type="pct"/>
          </w:tcPr>
          <w:p w14:paraId="45346D99"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3.392,2</w:t>
            </w:r>
          </w:p>
        </w:tc>
        <w:tc>
          <w:tcPr>
            <w:tcW w:w="566" w:type="pct"/>
          </w:tcPr>
          <w:p w14:paraId="075D4E11"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3.478,9</w:t>
            </w:r>
          </w:p>
        </w:tc>
        <w:tc>
          <w:tcPr>
            <w:tcW w:w="566" w:type="pct"/>
            <w:shd w:val="clear" w:color="auto" w:fill="auto"/>
            <w:hideMark/>
          </w:tcPr>
          <w:p w14:paraId="2188A098"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148,3</w:t>
            </w:r>
          </w:p>
        </w:tc>
        <w:tc>
          <w:tcPr>
            <w:tcW w:w="578" w:type="pct"/>
            <w:shd w:val="clear" w:color="auto" w:fill="auto"/>
            <w:hideMark/>
          </w:tcPr>
          <w:p w14:paraId="1185A676"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4,5</w:t>
            </w:r>
          </w:p>
        </w:tc>
        <w:tc>
          <w:tcPr>
            <w:tcW w:w="423" w:type="pct"/>
            <w:shd w:val="clear" w:color="auto" w:fill="auto"/>
            <w:noWrap/>
            <w:hideMark/>
          </w:tcPr>
          <w:p w14:paraId="4F4FBC08"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36,2</w:t>
            </w:r>
          </w:p>
        </w:tc>
      </w:tr>
      <w:tr w:rsidR="006D0778" w:rsidRPr="00AD7E7D" w14:paraId="070CEA4B" w14:textId="77777777" w:rsidTr="003637A3">
        <w:trPr>
          <w:trHeight w:val="224"/>
          <w:jc w:val="center"/>
        </w:trPr>
        <w:tc>
          <w:tcPr>
            <w:tcW w:w="1798" w:type="pct"/>
            <w:gridSpan w:val="2"/>
            <w:shd w:val="clear" w:color="auto" w:fill="auto"/>
            <w:noWrap/>
            <w:vAlign w:val="center"/>
            <w:hideMark/>
          </w:tcPr>
          <w:p w14:paraId="6D2780E9" w14:textId="77777777" w:rsidR="006D0778" w:rsidRPr="00AD7E7D" w:rsidRDefault="00CF6476" w:rsidP="006D0778">
            <w:pPr>
              <w:spacing w:after="0"/>
              <w:jc w:val="left"/>
              <w:rPr>
                <w:rFonts w:eastAsia="MS PGothic" w:cs="Times New Roman"/>
                <w:szCs w:val="24"/>
                <w:lang w:eastAsia="ja-JP"/>
              </w:rPr>
            </w:pPr>
            <w:r w:rsidRPr="00AD7E7D">
              <w:rPr>
                <w:rFonts w:eastAsia="MS PGothic" w:cs="Times New Roman"/>
                <w:szCs w:val="24"/>
                <w:lang w:eastAsia="ja-JP"/>
              </w:rPr>
              <w:t xml:space="preserve"> </w:t>
            </w:r>
            <w:r w:rsidR="006D0778" w:rsidRPr="00AD7E7D">
              <w:rPr>
                <w:rFonts w:eastAsia="MS PGothic" w:cs="Times New Roman"/>
                <w:szCs w:val="24"/>
                <w:lang w:eastAsia="ja-JP"/>
              </w:rPr>
              <w:t>Порез на доходак грађана</w:t>
            </w:r>
          </w:p>
        </w:tc>
        <w:tc>
          <w:tcPr>
            <w:tcW w:w="503" w:type="pct"/>
            <w:shd w:val="clear" w:color="auto" w:fill="auto"/>
            <w:hideMark/>
          </w:tcPr>
          <w:p w14:paraId="1F894CF4"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378,6</w:t>
            </w:r>
          </w:p>
        </w:tc>
        <w:tc>
          <w:tcPr>
            <w:tcW w:w="566" w:type="pct"/>
          </w:tcPr>
          <w:p w14:paraId="7159EC1A"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382,0</w:t>
            </w:r>
          </w:p>
        </w:tc>
        <w:tc>
          <w:tcPr>
            <w:tcW w:w="566" w:type="pct"/>
          </w:tcPr>
          <w:p w14:paraId="21C39BE1"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396,3</w:t>
            </w:r>
          </w:p>
        </w:tc>
        <w:tc>
          <w:tcPr>
            <w:tcW w:w="566" w:type="pct"/>
            <w:shd w:val="clear" w:color="auto" w:fill="auto"/>
            <w:hideMark/>
          </w:tcPr>
          <w:p w14:paraId="683FD915"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17,7</w:t>
            </w:r>
          </w:p>
        </w:tc>
        <w:tc>
          <w:tcPr>
            <w:tcW w:w="578" w:type="pct"/>
            <w:shd w:val="clear" w:color="auto" w:fill="auto"/>
            <w:hideMark/>
          </w:tcPr>
          <w:p w14:paraId="7477EC5E"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4,7</w:t>
            </w:r>
          </w:p>
        </w:tc>
        <w:tc>
          <w:tcPr>
            <w:tcW w:w="423" w:type="pct"/>
            <w:shd w:val="clear" w:color="auto" w:fill="auto"/>
            <w:noWrap/>
            <w:hideMark/>
          </w:tcPr>
          <w:p w14:paraId="37B3C803"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4,1</w:t>
            </w:r>
          </w:p>
        </w:tc>
      </w:tr>
      <w:tr w:rsidR="006D0778" w:rsidRPr="00AD7E7D" w14:paraId="411026D0" w14:textId="77777777" w:rsidTr="003637A3">
        <w:trPr>
          <w:trHeight w:val="224"/>
          <w:jc w:val="center"/>
        </w:trPr>
        <w:tc>
          <w:tcPr>
            <w:tcW w:w="1798" w:type="pct"/>
            <w:gridSpan w:val="2"/>
            <w:shd w:val="clear" w:color="auto" w:fill="auto"/>
            <w:noWrap/>
            <w:vAlign w:val="center"/>
            <w:hideMark/>
          </w:tcPr>
          <w:p w14:paraId="1584F280" w14:textId="77777777" w:rsidR="006D0778" w:rsidRPr="00AD7E7D" w:rsidRDefault="00CF6476" w:rsidP="006D0778">
            <w:pPr>
              <w:spacing w:after="0"/>
              <w:jc w:val="left"/>
              <w:rPr>
                <w:rFonts w:eastAsia="MS PGothic" w:cs="Times New Roman"/>
                <w:szCs w:val="24"/>
                <w:lang w:eastAsia="ja-JP"/>
              </w:rPr>
            </w:pPr>
            <w:r w:rsidRPr="00AD7E7D">
              <w:rPr>
                <w:rFonts w:eastAsia="MS PGothic" w:cs="Times New Roman"/>
                <w:szCs w:val="24"/>
                <w:lang w:eastAsia="ja-JP"/>
              </w:rPr>
              <w:t xml:space="preserve"> </w:t>
            </w:r>
            <w:r w:rsidR="006D0778" w:rsidRPr="00AD7E7D">
              <w:rPr>
                <w:rFonts w:eastAsia="MS PGothic" w:cs="Times New Roman"/>
                <w:szCs w:val="24"/>
                <w:lang w:eastAsia="ja-JP"/>
              </w:rPr>
              <w:t>Порез на добит правних лица</w:t>
            </w:r>
          </w:p>
        </w:tc>
        <w:tc>
          <w:tcPr>
            <w:tcW w:w="503" w:type="pct"/>
            <w:shd w:val="clear" w:color="auto" w:fill="auto"/>
            <w:hideMark/>
          </w:tcPr>
          <w:p w14:paraId="2857D545"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256,7</w:t>
            </w:r>
          </w:p>
        </w:tc>
        <w:tc>
          <w:tcPr>
            <w:tcW w:w="566" w:type="pct"/>
          </w:tcPr>
          <w:p w14:paraId="4C9D7775"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256,7</w:t>
            </w:r>
          </w:p>
        </w:tc>
        <w:tc>
          <w:tcPr>
            <w:tcW w:w="566" w:type="pct"/>
          </w:tcPr>
          <w:p w14:paraId="4FFC909B"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292,2</w:t>
            </w:r>
          </w:p>
        </w:tc>
        <w:tc>
          <w:tcPr>
            <w:tcW w:w="566" w:type="pct"/>
            <w:shd w:val="clear" w:color="auto" w:fill="auto"/>
            <w:hideMark/>
          </w:tcPr>
          <w:p w14:paraId="274460A1"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35,5</w:t>
            </w:r>
          </w:p>
        </w:tc>
        <w:tc>
          <w:tcPr>
            <w:tcW w:w="578" w:type="pct"/>
            <w:shd w:val="clear" w:color="auto" w:fill="auto"/>
            <w:hideMark/>
          </w:tcPr>
          <w:p w14:paraId="053BBD8F"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13,8</w:t>
            </w:r>
          </w:p>
        </w:tc>
        <w:tc>
          <w:tcPr>
            <w:tcW w:w="423" w:type="pct"/>
            <w:shd w:val="clear" w:color="auto" w:fill="auto"/>
            <w:noWrap/>
            <w:hideMark/>
          </w:tcPr>
          <w:p w14:paraId="5FE3CBD9"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3,0</w:t>
            </w:r>
          </w:p>
        </w:tc>
      </w:tr>
      <w:tr w:rsidR="006D0778" w:rsidRPr="00AD7E7D" w14:paraId="334810EF" w14:textId="77777777" w:rsidTr="003637A3">
        <w:trPr>
          <w:trHeight w:val="224"/>
          <w:jc w:val="center"/>
        </w:trPr>
        <w:tc>
          <w:tcPr>
            <w:tcW w:w="1798" w:type="pct"/>
            <w:gridSpan w:val="2"/>
            <w:shd w:val="clear" w:color="auto" w:fill="auto"/>
            <w:noWrap/>
            <w:vAlign w:val="center"/>
            <w:hideMark/>
          </w:tcPr>
          <w:p w14:paraId="23ADD161" w14:textId="77777777" w:rsidR="006D0778" w:rsidRPr="00AD7E7D" w:rsidRDefault="00CF6476" w:rsidP="006D0778">
            <w:pPr>
              <w:spacing w:after="0"/>
              <w:jc w:val="left"/>
              <w:rPr>
                <w:rFonts w:eastAsia="MS PGothic" w:cs="Times New Roman"/>
                <w:szCs w:val="24"/>
                <w:lang w:eastAsia="ja-JP"/>
              </w:rPr>
            </w:pPr>
            <w:r w:rsidRPr="00AD7E7D">
              <w:rPr>
                <w:rFonts w:eastAsia="MS PGothic" w:cs="Times New Roman"/>
                <w:szCs w:val="24"/>
                <w:lang w:eastAsia="ja-JP"/>
              </w:rPr>
              <w:t xml:space="preserve"> </w:t>
            </w:r>
            <w:r w:rsidR="006D0778" w:rsidRPr="00AD7E7D">
              <w:rPr>
                <w:rFonts w:eastAsia="MS PGothic" w:cs="Times New Roman"/>
                <w:szCs w:val="24"/>
                <w:lang w:eastAsia="ja-JP"/>
              </w:rPr>
              <w:t>ПДВ</w:t>
            </w:r>
          </w:p>
        </w:tc>
        <w:tc>
          <w:tcPr>
            <w:tcW w:w="503" w:type="pct"/>
            <w:shd w:val="clear" w:color="auto" w:fill="auto"/>
            <w:hideMark/>
          </w:tcPr>
          <w:p w14:paraId="5E464B95"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908,0</w:t>
            </w:r>
          </w:p>
        </w:tc>
        <w:tc>
          <w:tcPr>
            <w:tcW w:w="566" w:type="pct"/>
          </w:tcPr>
          <w:p w14:paraId="49CE68B2"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950,0</w:t>
            </w:r>
          </w:p>
        </w:tc>
        <w:tc>
          <w:tcPr>
            <w:tcW w:w="566" w:type="pct"/>
          </w:tcPr>
          <w:p w14:paraId="0E935F24"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960,0</w:t>
            </w:r>
          </w:p>
        </w:tc>
        <w:tc>
          <w:tcPr>
            <w:tcW w:w="566" w:type="pct"/>
            <w:shd w:val="clear" w:color="auto" w:fill="auto"/>
            <w:hideMark/>
          </w:tcPr>
          <w:p w14:paraId="46B59FD3"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52,0</w:t>
            </w:r>
          </w:p>
        </w:tc>
        <w:tc>
          <w:tcPr>
            <w:tcW w:w="578" w:type="pct"/>
            <w:shd w:val="clear" w:color="auto" w:fill="auto"/>
            <w:hideMark/>
          </w:tcPr>
          <w:p w14:paraId="40C140E3"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5,7</w:t>
            </w:r>
          </w:p>
        </w:tc>
        <w:tc>
          <w:tcPr>
            <w:tcW w:w="423" w:type="pct"/>
            <w:shd w:val="clear" w:color="auto" w:fill="auto"/>
            <w:noWrap/>
            <w:hideMark/>
          </w:tcPr>
          <w:p w14:paraId="50E31922"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10,0</w:t>
            </w:r>
          </w:p>
        </w:tc>
      </w:tr>
      <w:tr w:rsidR="006D0778" w:rsidRPr="00AD7E7D" w14:paraId="49759373" w14:textId="77777777" w:rsidTr="003637A3">
        <w:trPr>
          <w:trHeight w:val="224"/>
          <w:jc w:val="center"/>
        </w:trPr>
        <w:tc>
          <w:tcPr>
            <w:tcW w:w="1798" w:type="pct"/>
            <w:gridSpan w:val="2"/>
            <w:shd w:val="clear" w:color="auto" w:fill="auto"/>
            <w:noWrap/>
            <w:vAlign w:val="center"/>
            <w:hideMark/>
          </w:tcPr>
          <w:p w14:paraId="6EBE63A8" w14:textId="77777777" w:rsidR="006D0778" w:rsidRPr="00AD7E7D" w:rsidRDefault="00CF6476" w:rsidP="006D0778">
            <w:pPr>
              <w:spacing w:after="0"/>
              <w:jc w:val="left"/>
              <w:rPr>
                <w:rFonts w:eastAsia="MS PGothic" w:cs="Times New Roman"/>
                <w:szCs w:val="24"/>
                <w:lang w:eastAsia="ja-JP"/>
              </w:rPr>
            </w:pPr>
            <w:r w:rsidRPr="00AD7E7D">
              <w:rPr>
                <w:rFonts w:eastAsia="MS PGothic" w:cs="Times New Roman"/>
                <w:szCs w:val="24"/>
                <w:lang w:eastAsia="ja-JP"/>
              </w:rPr>
              <w:t xml:space="preserve"> </w:t>
            </w:r>
            <w:r w:rsidR="006D0778" w:rsidRPr="00AD7E7D">
              <w:rPr>
                <w:rFonts w:eastAsia="MS PGothic" w:cs="Times New Roman"/>
                <w:szCs w:val="24"/>
                <w:lang w:eastAsia="ja-JP"/>
              </w:rPr>
              <w:t>Акцизе</w:t>
            </w:r>
          </w:p>
        </w:tc>
        <w:tc>
          <w:tcPr>
            <w:tcW w:w="503" w:type="pct"/>
            <w:shd w:val="clear" w:color="auto" w:fill="auto"/>
            <w:hideMark/>
          </w:tcPr>
          <w:p w14:paraId="19022523"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395,0</w:t>
            </w:r>
          </w:p>
        </w:tc>
        <w:tc>
          <w:tcPr>
            <w:tcW w:w="566" w:type="pct"/>
          </w:tcPr>
          <w:p w14:paraId="025761FF"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400,0</w:t>
            </w:r>
          </w:p>
        </w:tc>
        <w:tc>
          <w:tcPr>
            <w:tcW w:w="566" w:type="pct"/>
          </w:tcPr>
          <w:p w14:paraId="6D57228A"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407,0</w:t>
            </w:r>
          </w:p>
        </w:tc>
        <w:tc>
          <w:tcPr>
            <w:tcW w:w="566" w:type="pct"/>
            <w:shd w:val="clear" w:color="auto" w:fill="auto"/>
            <w:hideMark/>
          </w:tcPr>
          <w:p w14:paraId="42D4FD19"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12,0</w:t>
            </w:r>
          </w:p>
        </w:tc>
        <w:tc>
          <w:tcPr>
            <w:tcW w:w="578" w:type="pct"/>
            <w:shd w:val="clear" w:color="auto" w:fill="auto"/>
            <w:hideMark/>
          </w:tcPr>
          <w:p w14:paraId="7FFE8750"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3,0</w:t>
            </w:r>
          </w:p>
        </w:tc>
        <w:tc>
          <w:tcPr>
            <w:tcW w:w="423" w:type="pct"/>
            <w:shd w:val="clear" w:color="auto" w:fill="auto"/>
            <w:noWrap/>
            <w:hideMark/>
          </w:tcPr>
          <w:p w14:paraId="629A0318"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4,2</w:t>
            </w:r>
          </w:p>
        </w:tc>
      </w:tr>
      <w:tr w:rsidR="006D0778" w:rsidRPr="00AD7E7D" w14:paraId="00A46CAD" w14:textId="77777777" w:rsidTr="003637A3">
        <w:trPr>
          <w:trHeight w:val="224"/>
          <w:jc w:val="center"/>
        </w:trPr>
        <w:tc>
          <w:tcPr>
            <w:tcW w:w="1798" w:type="pct"/>
            <w:gridSpan w:val="2"/>
            <w:shd w:val="clear" w:color="auto" w:fill="auto"/>
            <w:noWrap/>
            <w:vAlign w:val="center"/>
            <w:hideMark/>
          </w:tcPr>
          <w:p w14:paraId="3EA6738D" w14:textId="77777777" w:rsidR="006D0778" w:rsidRPr="00AD7E7D" w:rsidRDefault="00CF6476" w:rsidP="006D0778">
            <w:pPr>
              <w:spacing w:after="0"/>
              <w:jc w:val="left"/>
              <w:rPr>
                <w:rFonts w:eastAsia="MS PGothic" w:cs="Times New Roman"/>
                <w:szCs w:val="24"/>
                <w:lang w:eastAsia="ja-JP"/>
              </w:rPr>
            </w:pPr>
            <w:r w:rsidRPr="00AD7E7D">
              <w:rPr>
                <w:rFonts w:eastAsia="MS PGothic" w:cs="Times New Roman"/>
                <w:szCs w:val="24"/>
                <w:lang w:eastAsia="ja-JP"/>
              </w:rPr>
              <w:t xml:space="preserve"> </w:t>
            </w:r>
            <w:r w:rsidR="006D0778" w:rsidRPr="00AD7E7D">
              <w:rPr>
                <w:rFonts w:eastAsia="MS PGothic" w:cs="Times New Roman"/>
                <w:szCs w:val="24"/>
                <w:lang w:eastAsia="ja-JP"/>
              </w:rPr>
              <w:t>Царине</w:t>
            </w:r>
          </w:p>
        </w:tc>
        <w:tc>
          <w:tcPr>
            <w:tcW w:w="503" w:type="pct"/>
            <w:shd w:val="clear" w:color="auto" w:fill="auto"/>
            <w:hideMark/>
          </w:tcPr>
          <w:p w14:paraId="12ABBAB9"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88,0</w:t>
            </w:r>
          </w:p>
        </w:tc>
        <w:tc>
          <w:tcPr>
            <w:tcW w:w="566" w:type="pct"/>
          </w:tcPr>
          <w:p w14:paraId="6126FE28"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89,0</w:t>
            </w:r>
          </w:p>
        </w:tc>
        <w:tc>
          <w:tcPr>
            <w:tcW w:w="566" w:type="pct"/>
          </w:tcPr>
          <w:p w14:paraId="2FF13227"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88,0</w:t>
            </w:r>
          </w:p>
        </w:tc>
        <w:tc>
          <w:tcPr>
            <w:tcW w:w="566" w:type="pct"/>
            <w:shd w:val="clear" w:color="auto" w:fill="auto"/>
            <w:hideMark/>
          </w:tcPr>
          <w:p w14:paraId="531DD20A"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0,0</w:t>
            </w:r>
          </w:p>
        </w:tc>
        <w:tc>
          <w:tcPr>
            <w:tcW w:w="578" w:type="pct"/>
            <w:shd w:val="clear" w:color="auto" w:fill="auto"/>
            <w:hideMark/>
          </w:tcPr>
          <w:p w14:paraId="3A0FBB99"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0,0</w:t>
            </w:r>
          </w:p>
        </w:tc>
        <w:tc>
          <w:tcPr>
            <w:tcW w:w="423" w:type="pct"/>
            <w:shd w:val="clear" w:color="auto" w:fill="auto"/>
            <w:noWrap/>
            <w:hideMark/>
          </w:tcPr>
          <w:p w14:paraId="089CC0FD"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0,9</w:t>
            </w:r>
          </w:p>
        </w:tc>
      </w:tr>
      <w:tr w:rsidR="006D0778" w:rsidRPr="00AD7E7D" w14:paraId="27C52321" w14:textId="77777777" w:rsidTr="003637A3">
        <w:trPr>
          <w:trHeight w:val="224"/>
          <w:jc w:val="center"/>
        </w:trPr>
        <w:tc>
          <w:tcPr>
            <w:tcW w:w="1798" w:type="pct"/>
            <w:gridSpan w:val="2"/>
            <w:shd w:val="clear" w:color="auto" w:fill="auto"/>
            <w:noWrap/>
            <w:vAlign w:val="center"/>
            <w:hideMark/>
          </w:tcPr>
          <w:p w14:paraId="3EE9D641" w14:textId="77777777" w:rsidR="006D0778" w:rsidRPr="00AD7E7D" w:rsidRDefault="00CF6476" w:rsidP="006D0778">
            <w:pPr>
              <w:spacing w:after="0"/>
              <w:jc w:val="left"/>
              <w:rPr>
                <w:rFonts w:eastAsia="MS PGothic" w:cs="Times New Roman"/>
                <w:szCs w:val="24"/>
                <w:lang w:eastAsia="ja-JP"/>
              </w:rPr>
            </w:pPr>
            <w:r w:rsidRPr="00AD7E7D">
              <w:rPr>
                <w:rFonts w:eastAsia="MS PGothic" w:cs="Times New Roman"/>
                <w:szCs w:val="24"/>
                <w:lang w:eastAsia="ja-JP"/>
              </w:rPr>
              <w:t xml:space="preserve"> </w:t>
            </w:r>
            <w:r w:rsidR="006D0778" w:rsidRPr="00AD7E7D">
              <w:rPr>
                <w:rFonts w:eastAsia="MS PGothic" w:cs="Times New Roman"/>
                <w:szCs w:val="24"/>
                <w:lang w:eastAsia="ja-JP"/>
              </w:rPr>
              <w:t>Остали порески приходи</w:t>
            </w:r>
          </w:p>
        </w:tc>
        <w:tc>
          <w:tcPr>
            <w:tcW w:w="503" w:type="pct"/>
            <w:shd w:val="clear" w:color="auto" w:fill="auto"/>
            <w:hideMark/>
          </w:tcPr>
          <w:p w14:paraId="2BCD584D"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114,0</w:t>
            </w:r>
          </w:p>
        </w:tc>
        <w:tc>
          <w:tcPr>
            <w:tcW w:w="566" w:type="pct"/>
          </w:tcPr>
          <w:p w14:paraId="7FC15B5C"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114,5</w:t>
            </w:r>
          </w:p>
        </w:tc>
        <w:tc>
          <w:tcPr>
            <w:tcW w:w="566" w:type="pct"/>
          </w:tcPr>
          <w:p w14:paraId="37DACD03"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115,2</w:t>
            </w:r>
          </w:p>
        </w:tc>
        <w:tc>
          <w:tcPr>
            <w:tcW w:w="566" w:type="pct"/>
            <w:shd w:val="clear" w:color="auto" w:fill="auto"/>
            <w:hideMark/>
          </w:tcPr>
          <w:p w14:paraId="5FF7B7D7"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1,2</w:t>
            </w:r>
          </w:p>
        </w:tc>
        <w:tc>
          <w:tcPr>
            <w:tcW w:w="578" w:type="pct"/>
            <w:shd w:val="clear" w:color="auto" w:fill="auto"/>
            <w:hideMark/>
          </w:tcPr>
          <w:p w14:paraId="3D54A572"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1,1</w:t>
            </w:r>
          </w:p>
        </w:tc>
        <w:tc>
          <w:tcPr>
            <w:tcW w:w="423" w:type="pct"/>
            <w:shd w:val="clear" w:color="auto" w:fill="auto"/>
            <w:noWrap/>
            <w:hideMark/>
          </w:tcPr>
          <w:p w14:paraId="735BE74B"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1,2</w:t>
            </w:r>
          </w:p>
        </w:tc>
      </w:tr>
      <w:tr w:rsidR="006D0778" w:rsidRPr="00AD7E7D" w14:paraId="104EA8AD" w14:textId="77777777" w:rsidTr="003637A3">
        <w:trPr>
          <w:trHeight w:val="224"/>
          <w:jc w:val="center"/>
        </w:trPr>
        <w:tc>
          <w:tcPr>
            <w:tcW w:w="1798" w:type="pct"/>
            <w:gridSpan w:val="2"/>
            <w:shd w:val="clear" w:color="auto" w:fill="auto"/>
            <w:noWrap/>
            <w:vAlign w:val="center"/>
            <w:hideMark/>
          </w:tcPr>
          <w:p w14:paraId="50E17EA1" w14:textId="77777777" w:rsidR="006D0778" w:rsidRPr="00AD7E7D" w:rsidRDefault="00CF6476" w:rsidP="006D0778">
            <w:pPr>
              <w:spacing w:after="0"/>
              <w:jc w:val="left"/>
              <w:rPr>
                <w:rFonts w:eastAsia="MS PGothic" w:cs="Times New Roman"/>
                <w:szCs w:val="24"/>
                <w:lang w:eastAsia="ja-JP"/>
              </w:rPr>
            </w:pPr>
            <w:r w:rsidRPr="00AD7E7D">
              <w:rPr>
                <w:rFonts w:eastAsia="MS PGothic" w:cs="Times New Roman"/>
                <w:szCs w:val="24"/>
                <w:lang w:eastAsia="ja-JP"/>
              </w:rPr>
              <w:t xml:space="preserve"> </w:t>
            </w:r>
            <w:r w:rsidR="006D0778" w:rsidRPr="00AD7E7D">
              <w:rPr>
                <w:rFonts w:eastAsia="MS PGothic" w:cs="Times New Roman"/>
                <w:szCs w:val="24"/>
                <w:lang w:eastAsia="ja-JP"/>
              </w:rPr>
              <w:t>Доприноси</w:t>
            </w:r>
          </w:p>
        </w:tc>
        <w:tc>
          <w:tcPr>
            <w:tcW w:w="503" w:type="pct"/>
            <w:shd w:val="clear" w:color="auto" w:fill="auto"/>
            <w:hideMark/>
          </w:tcPr>
          <w:p w14:paraId="75C3D7ED"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1.190,2</w:t>
            </w:r>
          </w:p>
        </w:tc>
        <w:tc>
          <w:tcPr>
            <w:tcW w:w="566" w:type="pct"/>
          </w:tcPr>
          <w:p w14:paraId="753F9F72"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1.200,0</w:t>
            </w:r>
          </w:p>
        </w:tc>
        <w:tc>
          <w:tcPr>
            <w:tcW w:w="566" w:type="pct"/>
          </w:tcPr>
          <w:p w14:paraId="24D4DE76"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1.220,1</w:t>
            </w:r>
          </w:p>
        </w:tc>
        <w:tc>
          <w:tcPr>
            <w:tcW w:w="566" w:type="pct"/>
            <w:shd w:val="clear" w:color="auto" w:fill="auto"/>
            <w:hideMark/>
          </w:tcPr>
          <w:p w14:paraId="15672D10"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30,0</w:t>
            </w:r>
          </w:p>
        </w:tc>
        <w:tc>
          <w:tcPr>
            <w:tcW w:w="578" w:type="pct"/>
            <w:shd w:val="clear" w:color="auto" w:fill="auto"/>
            <w:hideMark/>
          </w:tcPr>
          <w:p w14:paraId="32386A46"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2,5</w:t>
            </w:r>
          </w:p>
        </w:tc>
        <w:tc>
          <w:tcPr>
            <w:tcW w:w="423" w:type="pct"/>
            <w:shd w:val="clear" w:color="auto" w:fill="auto"/>
            <w:noWrap/>
            <w:hideMark/>
          </w:tcPr>
          <w:p w14:paraId="3951C065"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12,7</w:t>
            </w:r>
          </w:p>
        </w:tc>
      </w:tr>
      <w:tr w:rsidR="006D0778" w:rsidRPr="00AD7E7D" w14:paraId="706123E6" w14:textId="77777777" w:rsidTr="003637A3">
        <w:trPr>
          <w:trHeight w:val="224"/>
          <w:jc w:val="center"/>
        </w:trPr>
        <w:tc>
          <w:tcPr>
            <w:tcW w:w="1798" w:type="pct"/>
            <w:gridSpan w:val="2"/>
            <w:shd w:val="clear" w:color="auto" w:fill="auto"/>
            <w:noWrap/>
            <w:vAlign w:val="center"/>
            <w:hideMark/>
          </w:tcPr>
          <w:p w14:paraId="34A9C15A" w14:textId="77777777" w:rsidR="006D0778" w:rsidRPr="00AD7E7D" w:rsidRDefault="006D0778" w:rsidP="006D0778">
            <w:pPr>
              <w:spacing w:after="0"/>
              <w:jc w:val="left"/>
              <w:rPr>
                <w:rFonts w:eastAsia="MS PGothic" w:cs="Times New Roman"/>
                <w:szCs w:val="24"/>
                <w:lang w:eastAsia="ja-JP"/>
              </w:rPr>
            </w:pPr>
            <w:r w:rsidRPr="00AD7E7D">
              <w:rPr>
                <w:rFonts w:eastAsia="MS PGothic" w:cs="Times New Roman"/>
                <w:szCs w:val="24"/>
                <w:lang w:eastAsia="ja-JP"/>
              </w:rPr>
              <w:t xml:space="preserve"> Непорески приходи</w:t>
            </w:r>
          </w:p>
        </w:tc>
        <w:tc>
          <w:tcPr>
            <w:tcW w:w="503" w:type="pct"/>
            <w:shd w:val="clear" w:color="auto" w:fill="auto"/>
            <w:hideMark/>
          </w:tcPr>
          <w:p w14:paraId="6F6B5EA0"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386,5</w:t>
            </w:r>
          </w:p>
        </w:tc>
        <w:tc>
          <w:tcPr>
            <w:tcW w:w="566" w:type="pct"/>
          </w:tcPr>
          <w:p w14:paraId="051A2487"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391,8</w:t>
            </w:r>
          </w:p>
        </w:tc>
        <w:tc>
          <w:tcPr>
            <w:tcW w:w="566" w:type="pct"/>
          </w:tcPr>
          <w:p w14:paraId="56F80105"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407,0</w:t>
            </w:r>
          </w:p>
        </w:tc>
        <w:tc>
          <w:tcPr>
            <w:tcW w:w="566" w:type="pct"/>
            <w:shd w:val="clear" w:color="auto" w:fill="auto"/>
            <w:hideMark/>
          </w:tcPr>
          <w:p w14:paraId="034BFC94"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20,5</w:t>
            </w:r>
          </w:p>
        </w:tc>
        <w:tc>
          <w:tcPr>
            <w:tcW w:w="578" w:type="pct"/>
            <w:shd w:val="clear" w:color="auto" w:fill="auto"/>
            <w:hideMark/>
          </w:tcPr>
          <w:p w14:paraId="1525727D"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5,3</w:t>
            </w:r>
          </w:p>
        </w:tc>
        <w:tc>
          <w:tcPr>
            <w:tcW w:w="423" w:type="pct"/>
            <w:shd w:val="clear" w:color="auto" w:fill="auto"/>
            <w:noWrap/>
            <w:hideMark/>
          </w:tcPr>
          <w:p w14:paraId="58A5EC25"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4,2</w:t>
            </w:r>
          </w:p>
        </w:tc>
      </w:tr>
      <w:tr w:rsidR="006D0778" w:rsidRPr="00AD7E7D" w14:paraId="29059DC9" w14:textId="77777777" w:rsidTr="003637A3">
        <w:trPr>
          <w:trHeight w:val="224"/>
          <w:jc w:val="center"/>
        </w:trPr>
        <w:tc>
          <w:tcPr>
            <w:tcW w:w="1798" w:type="pct"/>
            <w:gridSpan w:val="2"/>
            <w:shd w:val="clear" w:color="auto" w:fill="auto"/>
            <w:noWrap/>
            <w:vAlign w:val="center"/>
            <w:hideMark/>
          </w:tcPr>
          <w:p w14:paraId="59AB344D" w14:textId="77777777" w:rsidR="006D0778" w:rsidRPr="00AD7E7D" w:rsidRDefault="006D0778" w:rsidP="006D0778">
            <w:pPr>
              <w:spacing w:after="0"/>
              <w:jc w:val="left"/>
              <w:rPr>
                <w:rFonts w:eastAsia="MS PGothic" w:cs="Times New Roman"/>
                <w:szCs w:val="24"/>
                <w:lang w:eastAsia="ja-JP"/>
              </w:rPr>
            </w:pPr>
            <w:r w:rsidRPr="00AD7E7D">
              <w:rPr>
                <w:rFonts w:eastAsia="MS PGothic" w:cs="Times New Roman"/>
                <w:szCs w:val="24"/>
                <w:lang w:eastAsia="ja-JP"/>
              </w:rPr>
              <w:t xml:space="preserve"> Донације</w:t>
            </w:r>
          </w:p>
        </w:tc>
        <w:tc>
          <w:tcPr>
            <w:tcW w:w="503" w:type="pct"/>
            <w:shd w:val="clear" w:color="auto" w:fill="auto"/>
            <w:hideMark/>
          </w:tcPr>
          <w:p w14:paraId="180250A8"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39,1</w:t>
            </w:r>
          </w:p>
        </w:tc>
        <w:tc>
          <w:tcPr>
            <w:tcW w:w="566" w:type="pct"/>
          </w:tcPr>
          <w:p w14:paraId="2BDCF8FA"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39,1</w:t>
            </w:r>
          </w:p>
        </w:tc>
        <w:tc>
          <w:tcPr>
            <w:tcW w:w="566" w:type="pct"/>
          </w:tcPr>
          <w:p w14:paraId="57484E49"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36,3</w:t>
            </w:r>
          </w:p>
        </w:tc>
        <w:tc>
          <w:tcPr>
            <w:tcW w:w="566" w:type="pct"/>
            <w:shd w:val="clear" w:color="auto" w:fill="auto"/>
            <w:hideMark/>
          </w:tcPr>
          <w:p w14:paraId="0BF01A98"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-2,8</w:t>
            </w:r>
          </w:p>
        </w:tc>
        <w:tc>
          <w:tcPr>
            <w:tcW w:w="578" w:type="pct"/>
            <w:shd w:val="clear" w:color="auto" w:fill="auto"/>
            <w:hideMark/>
          </w:tcPr>
          <w:p w14:paraId="1538E50E"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-7,2</w:t>
            </w:r>
          </w:p>
        </w:tc>
        <w:tc>
          <w:tcPr>
            <w:tcW w:w="423" w:type="pct"/>
            <w:shd w:val="clear" w:color="auto" w:fill="auto"/>
            <w:noWrap/>
            <w:hideMark/>
          </w:tcPr>
          <w:p w14:paraId="42B80787"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0,4</w:t>
            </w:r>
          </w:p>
        </w:tc>
      </w:tr>
      <w:tr w:rsidR="006D0778" w:rsidRPr="00AD7E7D" w14:paraId="42E3DF38" w14:textId="77777777" w:rsidTr="003637A3">
        <w:trPr>
          <w:trHeight w:val="224"/>
          <w:jc w:val="center"/>
        </w:trPr>
        <w:tc>
          <w:tcPr>
            <w:tcW w:w="1798" w:type="pct"/>
            <w:gridSpan w:val="2"/>
            <w:shd w:val="clear" w:color="auto" w:fill="E7E6E6" w:themeFill="background2"/>
            <w:noWrap/>
            <w:vAlign w:val="center"/>
            <w:hideMark/>
          </w:tcPr>
          <w:p w14:paraId="5782F665" w14:textId="77777777" w:rsidR="006D0778" w:rsidRPr="00AD7E7D" w:rsidRDefault="006D0778" w:rsidP="006D0778">
            <w:pPr>
              <w:spacing w:after="0"/>
              <w:jc w:val="left"/>
              <w:rPr>
                <w:rFonts w:cs="Times New Roman"/>
                <w:szCs w:val="24"/>
              </w:rPr>
            </w:pPr>
            <w:r w:rsidRPr="00AD7E7D">
              <w:rPr>
                <w:rFonts w:eastAsia="MS PGothic" w:cs="Times New Roman"/>
                <w:szCs w:val="24"/>
                <w:lang w:eastAsia="ja-JP"/>
              </w:rPr>
              <w:t>ЈАВНИ РАСХОДИ</w:t>
            </w:r>
          </w:p>
        </w:tc>
        <w:tc>
          <w:tcPr>
            <w:tcW w:w="503" w:type="pct"/>
            <w:shd w:val="clear" w:color="auto" w:fill="E7E6E6" w:themeFill="background2"/>
            <w:hideMark/>
          </w:tcPr>
          <w:p w14:paraId="56335A61"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3.953,1</w:t>
            </w:r>
          </w:p>
        </w:tc>
        <w:tc>
          <w:tcPr>
            <w:tcW w:w="566" w:type="pct"/>
            <w:shd w:val="clear" w:color="auto" w:fill="E7E6E6" w:themeFill="background2"/>
          </w:tcPr>
          <w:p w14:paraId="0B1F2557"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4.020,0</w:t>
            </w:r>
          </w:p>
        </w:tc>
        <w:tc>
          <w:tcPr>
            <w:tcW w:w="566" w:type="pct"/>
            <w:shd w:val="clear" w:color="auto" w:fill="E7E6E6" w:themeFill="background2"/>
          </w:tcPr>
          <w:p w14:paraId="44E835E0"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4.185,2</w:t>
            </w:r>
          </w:p>
        </w:tc>
        <w:tc>
          <w:tcPr>
            <w:tcW w:w="566" w:type="pct"/>
            <w:shd w:val="clear" w:color="auto" w:fill="E7E6E6" w:themeFill="background2"/>
            <w:hideMark/>
          </w:tcPr>
          <w:p w14:paraId="1B679FDA"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232,1</w:t>
            </w:r>
          </w:p>
        </w:tc>
        <w:tc>
          <w:tcPr>
            <w:tcW w:w="578" w:type="pct"/>
            <w:shd w:val="clear" w:color="auto" w:fill="E7E6E6" w:themeFill="background2"/>
            <w:hideMark/>
          </w:tcPr>
          <w:p w14:paraId="716C40FD"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5,9</w:t>
            </w:r>
          </w:p>
        </w:tc>
        <w:tc>
          <w:tcPr>
            <w:tcW w:w="423" w:type="pct"/>
            <w:shd w:val="clear" w:color="auto" w:fill="E7E6E6" w:themeFill="background2"/>
            <w:noWrap/>
            <w:hideMark/>
          </w:tcPr>
          <w:p w14:paraId="61061F19"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43,6</w:t>
            </w:r>
          </w:p>
        </w:tc>
      </w:tr>
      <w:tr w:rsidR="006D0778" w:rsidRPr="00AD7E7D" w14:paraId="79ED92D1" w14:textId="77777777" w:rsidTr="003637A3">
        <w:trPr>
          <w:trHeight w:val="224"/>
          <w:jc w:val="center"/>
        </w:trPr>
        <w:tc>
          <w:tcPr>
            <w:tcW w:w="1798" w:type="pct"/>
            <w:gridSpan w:val="2"/>
            <w:shd w:val="clear" w:color="auto" w:fill="auto"/>
            <w:noWrap/>
            <w:vAlign w:val="center"/>
            <w:hideMark/>
          </w:tcPr>
          <w:p w14:paraId="3AF738B7" w14:textId="77777777" w:rsidR="006D0778" w:rsidRPr="00AD7E7D" w:rsidRDefault="006D0778" w:rsidP="006D0778">
            <w:pPr>
              <w:spacing w:after="0"/>
              <w:jc w:val="left"/>
              <w:rPr>
                <w:rFonts w:eastAsia="MS PGothic" w:cs="Times New Roman"/>
                <w:szCs w:val="24"/>
                <w:lang w:eastAsia="ja-JP"/>
              </w:rPr>
            </w:pPr>
            <w:r w:rsidRPr="00AD7E7D">
              <w:rPr>
                <w:rFonts w:eastAsia="MS PGothic" w:cs="Times New Roman"/>
                <w:szCs w:val="24"/>
                <w:lang w:eastAsia="ja-JP"/>
              </w:rPr>
              <w:t>Текући расходи</w:t>
            </w:r>
          </w:p>
        </w:tc>
        <w:tc>
          <w:tcPr>
            <w:tcW w:w="503" w:type="pct"/>
            <w:shd w:val="clear" w:color="auto" w:fill="auto"/>
            <w:hideMark/>
          </w:tcPr>
          <w:p w14:paraId="3947A85C"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3.283,5</w:t>
            </w:r>
          </w:p>
        </w:tc>
        <w:tc>
          <w:tcPr>
            <w:tcW w:w="566" w:type="pct"/>
          </w:tcPr>
          <w:p w14:paraId="0D12B022"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3.318,1</w:t>
            </w:r>
          </w:p>
        </w:tc>
        <w:tc>
          <w:tcPr>
            <w:tcW w:w="566" w:type="pct"/>
          </w:tcPr>
          <w:p w14:paraId="20FBD29C"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3.431,6</w:t>
            </w:r>
          </w:p>
        </w:tc>
        <w:tc>
          <w:tcPr>
            <w:tcW w:w="566" w:type="pct"/>
            <w:shd w:val="clear" w:color="auto" w:fill="auto"/>
            <w:hideMark/>
          </w:tcPr>
          <w:p w14:paraId="77CB5E5F"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148,1</w:t>
            </w:r>
          </w:p>
        </w:tc>
        <w:tc>
          <w:tcPr>
            <w:tcW w:w="578" w:type="pct"/>
            <w:shd w:val="clear" w:color="auto" w:fill="auto"/>
            <w:hideMark/>
          </w:tcPr>
          <w:p w14:paraId="4FF04917"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4,5</w:t>
            </w:r>
          </w:p>
        </w:tc>
        <w:tc>
          <w:tcPr>
            <w:tcW w:w="423" w:type="pct"/>
            <w:shd w:val="clear" w:color="auto" w:fill="auto"/>
            <w:noWrap/>
            <w:hideMark/>
          </w:tcPr>
          <w:p w14:paraId="5030C475"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35,7</w:t>
            </w:r>
          </w:p>
        </w:tc>
      </w:tr>
      <w:tr w:rsidR="006D0778" w:rsidRPr="00AD7E7D" w14:paraId="01F2014D" w14:textId="77777777" w:rsidTr="003637A3">
        <w:trPr>
          <w:trHeight w:val="224"/>
          <w:jc w:val="center"/>
        </w:trPr>
        <w:tc>
          <w:tcPr>
            <w:tcW w:w="1798" w:type="pct"/>
            <w:gridSpan w:val="2"/>
            <w:shd w:val="clear" w:color="auto" w:fill="auto"/>
            <w:noWrap/>
            <w:vAlign w:val="center"/>
            <w:hideMark/>
          </w:tcPr>
          <w:p w14:paraId="2A2665B8" w14:textId="77777777" w:rsidR="006D0778" w:rsidRPr="00AD7E7D" w:rsidRDefault="006D0778" w:rsidP="006D0778">
            <w:pPr>
              <w:spacing w:after="0"/>
              <w:jc w:val="left"/>
              <w:rPr>
                <w:rFonts w:eastAsia="MS PGothic" w:cs="Times New Roman"/>
                <w:szCs w:val="24"/>
                <w:lang w:eastAsia="ja-JP"/>
              </w:rPr>
            </w:pPr>
            <w:r w:rsidRPr="00AD7E7D">
              <w:rPr>
                <w:rFonts w:eastAsia="MS PGothic" w:cs="Times New Roman"/>
                <w:szCs w:val="24"/>
                <w:lang w:eastAsia="ja-JP"/>
              </w:rPr>
              <w:t xml:space="preserve"> Расходи за запослене</w:t>
            </w:r>
          </w:p>
        </w:tc>
        <w:tc>
          <w:tcPr>
            <w:tcW w:w="503" w:type="pct"/>
            <w:shd w:val="clear" w:color="auto" w:fill="auto"/>
            <w:hideMark/>
          </w:tcPr>
          <w:p w14:paraId="1E191F2F"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890,7</w:t>
            </w:r>
          </w:p>
        </w:tc>
        <w:tc>
          <w:tcPr>
            <w:tcW w:w="566" w:type="pct"/>
          </w:tcPr>
          <w:p w14:paraId="44CE11A9"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900,7</w:t>
            </w:r>
          </w:p>
        </w:tc>
        <w:tc>
          <w:tcPr>
            <w:tcW w:w="566" w:type="pct"/>
          </w:tcPr>
          <w:p w14:paraId="30885417"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911,3</w:t>
            </w:r>
          </w:p>
        </w:tc>
        <w:tc>
          <w:tcPr>
            <w:tcW w:w="566" w:type="pct"/>
            <w:shd w:val="clear" w:color="auto" w:fill="auto"/>
            <w:hideMark/>
          </w:tcPr>
          <w:p w14:paraId="790ECC12"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20,7</w:t>
            </w:r>
          </w:p>
        </w:tc>
        <w:tc>
          <w:tcPr>
            <w:tcW w:w="578" w:type="pct"/>
            <w:shd w:val="clear" w:color="auto" w:fill="auto"/>
            <w:hideMark/>
          </w:tcPr>
          <w:p w14:paraId="47B7C6F3"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2,3</w:t>
            </w:r>
          </w:p>
        </w:tc>
        <w:tc>
          <w:tcPr>
            <w:tcW w:w="423" w:type="pct"/>
            <w:shd w:val="clear" w:color="auto" w:fill="auto"/>
            <w:noWrap/>
            <w:hideMark/>
          </w:tcPr>
          <w:p w14:paraId="70582E38"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9,5</w:t>
            </w:r>
          </w:p>
        </w:tc>
      </w:tr>
      <w:tr w:rsidR="006D0778" w:rsidRPr="00AD7E7D" w14:paraId="7622FB00" w14:textId="77777777" w:rsidTr="003637A3">
        <w:trPr>
          <w:trHeight w:val="224"/>
          <w:jc w:val="center"/>
        </w:trPr>
        <w:tc>
          <w:tcPr>
            <w:tcW w:w="1798" w:type="pct"/>
            <w:gridSpan w:val="2"/>
            <w:shd w:val="clear" w:color="auto" w:fill="auto"/>
            <w:noWrap/>
            <w:vAlign w:val="center"/>
            <w:hideMark/>
          </w:tcPr>
          <w:p w14:paraId="3C288A44" w14:textId="77777777" w:rsidR="006D0778" w:rsidRPr="00AD7E7D" w:rsidRDefault="006D0778" w:rsidP="006D0778">
            <w:pPr>
              <w:spacing w:after="0"/>
              <w:jc w:val="left"/>
              <w:rPr>
                <w:rFonts w:eastAsia="MS PGothic" w:cs="Times New Roman"/>
                <w:szCs w:val="24"/>
                <w:lang w:eastAsia="ja-JP"/>
              </w:rPr>
            </w:pPr>
            <w:r w:rsidRPr="00AD7E7D">
              <w:rPr>
                <w:rFonts w:eastAsia="MS PGothic" w:cs="Times New Roman"/>
                <w:szCs w:val="24"/>
                <w:lang w:eastAsia="ja-JP"/>
              </w:rPr>
              <w:t xml:space="preserve"> Куповина робе и услуга</w:t>
            </w:r>
          </w:p>
        </w:tc>
        <w:tc>
          <w:tcPr>
            <w:tcW w:w="503" w:type="pct"/>
            <w:shd w:val="clear" w:color="auto" w:fill="auto"/>
            <w:hideMark/>
          </w:tcPr>
          <w:p w14:paraId="7A4D1B62"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672,6</w:t>
            </w:r>
          </w:p>
        </w:tc>
        <w:tc>
          <w:tcPr>
            <w:tcW w:w="566" w:type="pct"/>
          </w:tcPr>
          <w:p w14:paraId="7B2076C9"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672,6</w:t>
            </w:r>
          </w:p>
        </w:tc>
        <w:tc>
          <w:tcPr>
            <w:tcW w:w="566" w:type="pct"/>
          </w:tcPr>
          <w:p w14:paraId="2779E459"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706,7</w:t>
            </w:r>
          </w:p>
        </w:tc>
        <w:tc>
          <w:tcPr>
            <w:tcW w:w="566" w:type="pct"/>
            <w:shd w:val="clear" w:color="auto" w:fill="auto"/>
            <w:hideMark/>
          </w:tcPr>
          <w:p w14:paraId="0A39F065"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34,1</w:t>
            </w:r>
          </w:p>
        </w:tc>
        <w:tc>
          <w:tcPr>
            <w:tcW w:w="578" w:type="pct"/>
            <w:shd w:val="clear" w:color="auto" w:fill="auto"/>
            <w:hideMark/>
          </w:tcPr>
          <w:p w14:paraId="6BC7FFCC"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5,1</w:t>
            </w:r>
          </w:p>
        </w:tc>
        <w:tc>
          <w:tcPr>
            <w:tcW w:w="423" w:type="pct"/>
            <w:shd w:val="clear" w:color="auto" w:fill="auto"/>
            <w:noWrap/>
            <w:hideMark/>
          </w:tcPr>
          <w:p w14:paraId="72AD1C48"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7,4</w:t>
            </w:r>
          </w:p>
        </w:tc>
      </w:tr>
      <w:tr w:rsidR="006D0778" w:rsidRPr="00AD7E7D" w14:paraId="308568D4" w14:textId="77777777" w:rsidTr="003637A3">
        <w:trPr>
          <w:trHeight w:val="224"/>
          <w:jc w:val="center"/>
        </w:trPr>
        <w:tc>
          <w:tcPr>
            <w:tcW w:w="1798" w:type="pct"/>
            <w:gridSpan w:val="2"/>
            <w:shd w:val="clear" w:color="auto" w:fill="auto"/>
            <w:noWrap/>
            <w:vAlign w:val="center"/>
            <w:hideMark/>
          </w:tcPr>
          <w:p w14:paraId="37043127" w14:textId="77777777" w:rsidR="006D0778" w:rsidRPr="00AD7E7D" w:rsidRDefault="006D0778" w:rsidP="006D0778">
            <w:pPr>
              <w:spacing w:after="0"/>
              <w:jc w:val="left"/>
              <w:rPr>
                <w:rFonts w:eastAsia="MS PGothic" w:cs="Times New Roman"/>
                <w:szCs w:val="24"/>
                <w:lang w:eastAsia="ja-JP"/>
              </w:rPr>
            </w:pPr>
            <w:r w:rsidRPr="00AD7E7D">
              <w:rPr>
                <w:rFonts w:eastAsia="MS PGothic" w:cs="Times New Roman"/>
                <w:szCs w:val="24"/>
                <w:lang w:eastAsia="ja-JP"/>
              </w:rPr>
              <w:t xml:space="preserve"> Отплата камата</w:t>
            </w:r>
          </w:p>
        </w:tc>
        <w:tc>
          <w:tcPr>
            <w:tcW w:w="503" w:type="pct"/>
            <w:shd w:val="clear" w:color="auto" w:fill="auto"/>
            <w:hideMark/>
          </w:tcPr>
          <w:p w14:paraId="36DE6C47"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185,9</w:t>
            </w:r>
          </w:p>
        </w:tc>
        <w:tc>
          <w:tcPr>
            <w:tcW w:w="566" w:type="pct"/>
          </w:tcPr>
          <w:p w14:paraId="0DECA1BC"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186,0</w:t>
            </w:r>
          </w:p>
        </w:tc>
        <w:tc>
          <w:tcPr>
            <w:tcW w:w="566" w:type="pct"/>
          </w:tcPr>
          <w:p w14:paraId="4A0556C7"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187,6</w:t>
            </w:r>
          </w:p>
        </w:tc>
        <w:tc>
          <w:tcPr>
            <w:tcW w:w="566" w:type="pct"/>
            <w:shd w:val="clear" w:color="auto" w:fill="auto"/>
            <w:hideMark/>
          </w:tcPr>
          <w:p w14:paraId="49DEF3F3"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1,7</w:t>
            </w:r>
          </w:p>
        </w:tc>
        <w:tc>
          <w:tcPr>
            <w:tcW w:w="578" w:type="pct"/>
            <w:shd w:val="clear" w:color="auto" w:fill="auto"/>
            <w:hideMark/>
          </w:tcPr>
          <w:p w14:paraId="09417B16"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0,9</w:t>
            </w:r>
          </w:p>
        </w:tc>
        <w:tc>
          <w:tcPr>
            <w:tcW w:w="423" w:type="pct"/>
            <w:shd w:val="clear" w:color="auto" w:fill="auto"/>
            <w:noWrap/>
            <w:hideMark/>
          </w:tcPr>
          <w:p w14:paraId="301BAB3F"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2,0</w:t>
            </w:r>
          </w:p>
        </w:tc>
      </w:tr>
      <w:tr w:rsidR="006D0778" w:rsidRPr="00AD7E7D" w14:paraId="26794CB3" w14:textId="77777777" w:rsidTr="003637A3">
        <w:trPr>
          <w:trHeight w:val="224"/>
          <w:jc w:val="center"/>
        </w:trPr>
        <w:tc>
          <w:tcPr>
            <w:tcW w:w="1798" w:type="pct"/>
            <w:gridSpan w:val="2"/>
            <w:shd w:val="clear" w:color="auto" w:fill="auto"/>
            <w:noWrap/>
            <w:vAlign w:val="center"/>
            <w:hideMark/>
          </w:tcPr>
          <w:p w14:paraId="091357CC" w14:textId="77777777" w:rsidR="006D0778" w:rsidRPr="00AD7E7D" w:rsidRDefault="006D0778" w:rsidP="006D0778">
            <w:pPr>
              <w:spacing w:after="0"/>
              <w:jc w:val="left"/>
              <w:rPr>
                <w:rFonts w:eastAsia="MS PGothic" w:cs="Times New Roman"/>
                <w:szCs w:val="24"/>
                <w:lang w:eastAsia="ja-JP"/>
              </w:rPr>
            </w:pPr>
            <w:r w:rsidRPr="00AD7E7D">
              <w:rPr>
                <w:rFonts w:eastAsia="MS PGothic" w:cs="Times New Roman"/>
                <w:szCs w:val="24"/>
                <w:lang w:eastAsia="ja-JP"/>
              </w:rPr>
              <w:t xml:space="preserve"> Субвенције</w:t>
            </w:r>
          </w:p>
        </w:tc>
        <w:tc>
          <w:tcPr>
            <w:tcW w:w="503" w:type="pct"/>
            <w:shd w:val="clear" w:color="auto" w:fill="auto"/>
            <w:hideMark/>
          </w:tcPr>
          <w:p w14:paraId="461BEB3A"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209,9</w:t>
            </w:r>
          </w:p>
        </w:tc>
        <w:tc>
          <w:tcPr>
            <w:tcW w:w="566" w:type="pct"/>
          </w:tcPr>
          <w:p w14:paraId="381BD9CD"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210,0</w:t>
            </w:r>
          </w:p>
        </w:tc>
        <w:tc>
          <w:tcPr>
            <w:tcW w:w="566" w:type="pct"/>
          </w:tcPr>
          <w:p w14:paraId="1F7F5D20"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243,6</w:t>
            </w:r>
          </w:p>
        </w:tc>
        <w:tc>
          <w:tcPr>
            <w:tcW w:w="566" w:type="pct"/>
            <w:shd w:val="clear" w:color="auto" w:fill="auto"/>
            <w:hideMark/>
          </w:tcPr>
          <w:p w14:paraId="74244B52"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33,7</w:t>
            </w:r>
          </w:p>
        </w:tc>
        <w:tc>
          <w:tcPr>
            <w:tcW w:w="578" w:type="pct"/>
            <w:shd w:val="clear" w:color="auto" w:fill="auto"/>
            <w:hideMark/>
          </w:tcPr>
          <w:p w14:paraId="2F6A798F"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16,1</w:t>
            </w:r>
          </w:p>
        </w:tc>
        <w:tc>
          <w:tcPr>
            <w:tcW w:w="423" w:type="pct"/>
            <w:shd w:val="clear" w:color="auto" w:fill="auto"/>
            <w:noWrap/>
            <w:hideMark/>
          </w:tcPr>
          <w:p w14:paraId="22C624AA"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2,5</w:t>
            </w:r>
          </w:p>
        </w:tc>
      </w:tr>
      <w:tr w:rsidR="006D0778" w:rsidRPr="00AD7E7D" w14:paraId="70B8C239" w14:textId="77777777" w:rsidTr="003637A3">
        <w:trPr>
          <w:trHeight w:val="224"/>
          <w:jc w:val="center"/>
        </w:trPr>
        <w:tc>
          <w:tcPr>
            <w:tcW w:w="1798" w:type="pct"/>
            <w:gridSpan w:val="2"/>
            <w:shd w:val="clear" w:color="auto" w:fill="auto"/>
            <w:noWrap/>
            <w:vAlign w:val="center"/>
            <w:hideMark/>
          </w:tcPr>
          <w:p w14:paraId="168038AF" w14:textId="77777777" w:rsidR="006D0778" w:rsidRPr="00AD7E7D" w:rsidRDefault="006D0778" w:rsidP="006D0778">
            <w:pPr>
              <w:spacing w:after="0"/>
              <w:jc w:val="left"/>
              <w:rPr>
                <w:rFonts w:eastAsia="MS PGothic" w:cs="Times New Roman"/>
                <w:szCs w:val="24"/>
                <w:lang w:eastAsia="ja-JP"/>
              </w:rPr>
            </w:pPr>
            <w:r w:rsidRPr="00AD7E7D">
              <w:rPr>
                <w:rFonts w:eastAsia="MS PGothic" w:cs="Times New Roman"/>
                <w:szCs w:val="24"/>
                <w:lang w:eastAsia="ja-JP"/>
              </w:rPr>
              <w:t xml:space="preserve"> Социјална помоћ и трансфери</w:t>
            </w:r>
          </w:p>
        </w:tc>
        <w:tc>
          <w:tcPr>
            <w:tcW w:w="503" w:type="pct"/>
            <w:shd w:val="clear" w:color="auto" w:fill="auto"/>
            <w:hideMark/>
          </w:tcPr>
          <w:p w14:paraId="500B5A41"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1.212,5</w:t>
            </w:r>
          </w:p>
        </w:tc>
        <w:tc>
          <w:tcPr>
            <w:tcW w:w="566" w:type="pct"/>
          </w:tcPr>
          <w:p w14:paraId="5E9250CB"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1.234,7</w:t>
            </w:r>
          </w:p>
        </w:tc>
        <w:tc>
          <w:tcPr>
            <w:tcW w:w="566" w:type="pct"/>
          </w:tcPr>
          <w:p w14:paraId="2E326C24"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1.250,0</w:t>
            </w:r>
          </w:p>
        </w:tc>
        <w:tc>
          <w:tcPr>
            <w:tcW w:w="566" w:type="pct"/>
            <w:shd w:val="clear" w:color="auto" w:fill="auto"/>
            <w:hideMark/>
          </w:tcPr>
          <w:p w14:paraId="5F6B663C"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37,5</w:t>
            </w:r>
          </w:p>
        </w:tc>
        <w:tc>
          <w:tcPr>
            <w:tcW w:w="578" w:type="pct"/>
            <w:shd w:val="clear" w:color="auto" w:fill="auto"/>
            <w:hideMark/>
          </w:tcPr>
          <w:p w14:paraId="363DFEBD"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3,1</w:t>
            </w:r>
          </w:p>
        </w:tc>
        <w:tc>
          <w:tcPr>
            <w:tcW w:w="423" w:type="pct"/>
            <w:shd w:val="clear" w:color="auto" w:fill="auto"/>
            <w:noWrap/>
            <w:hideMark/>
          </w:tcPr>
          <w:p w14:paraId="03626491"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13,0</w:t>
            </w:r>
          </w:p>
        </w:tc>
      </w:tr>
      <w:tr w:rsidR="006D0778" w:rsidRPr="00AD7E7D" w14:paraId="38BDF993" w14:textId="77777777" w:rsidTr="003637A3">
        <w:trPr>
          <w:trHeight w:val="224"/>
          <w:jc w:val="center"/>
        </w:trPr>
        <w:tc>
          <w:tcPr>
            <w:tcW w:w="1798" w:type="pct"/>
            <w:gridSpan w:val="2"/>
            <w:shd w:val="clear" w:color="auto" w:fill="auto"/>
            <w:noWrap/>
            <w:vAlign w:val="center"/>
            <w:hideMark/>
          </w:tcPr>
          <w:p w14:paraId="7B0003B5" w14:textId="77777777" w:rsidR="006D0778" w:rsidRPr="00AD7E7D" w:rsidRDefault="00CF6476" w:rsidP="006D0778">
            <w:pPr>
              <w:spacing w:after="0"/>
              <w:jc w:val="left"/>
              <w:rPr>
                <w:rFonts w:eastAsia="MS PGothic" w:cs="Times New Roman"/>
                <w:i/>
                <w:szCs w:val="24"/>
                <w:lang w:eastAsia="ja-JP"/>
              </w:rPr>
            </w:pPr>
            <w:r w:rsidRPr="00AD7E7D">
              <w:rPr>
                <w:rFonts w:eastAsia="MS PGothic" w:cs="Times New Roman"/>
                <w:i/>
                <w:szCs w:val="24"/>
                <w:lang w:eastAsia="ja-JP"/>
              </w:rPr>
              <w:t xml:space="preserve"> </w:t>
            </w:r>
            <w:r w:rsidR="006D0778" w:rsidRPr="00AD7E7D">
              <w:rPr>
                <w:rFonts w:eastAsia="MS PGothic" w:cs="Times New Roman"/>
                <w:i/>
                <w:szCs w:val="24"/>
                <w:lang w:eastAsia="ja-JP"/>
              </w:rPr>
              <w:t>од чега пензије</w:t>
            </w:r>
          </w:p>
        </w:tc>
        <w:tc>
          <w:tcPr>
            <w:tcW w:w="503" w:type="pct"/>
            <w:shd w:val="clear" w:color="auto" w:fill="auto"/>
            <w:hideMark/>
          </w:tcPr>
          <w:p w14:paraId="4A9B3276"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926,7</w:t>
            </w:r>
          </w:p>
        </w:tc>
        <w:tc>
          <w:tcPr>
            <w:tcW w:w="566" w:type="pct"/>
          </w:tcPr>
          <w:p w14:paraId="3EEBAE83"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926,7</w:t>
            </w:r>
          </w:p>
        </w:tc>
        <w:tc>
          <w:tcPr>
            <w:tcW w:w="566" w:type="pct"/>
          </w:tcPr>
          <w:p w14:paraId="7292A2AA"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930,6</w:t>
            </w:r>
          </w:p>
        </w:tc>
        <w:tc>
          <w:tcPr>
            <w:tcW w:w="566" w:type="pct"/>
            <w:shd w:val="clear" w:color="auto" w:fill="auto"/>
            <w:hideMark/>
          </w:tcPr>
          <w:p w14:paraId="7E77541B"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3,9</w:t>
            </w:r>
          </w:p>
        </w:tc>
        <w:tc>
          <w:tcPr>
            <w:tcW w:w="578" w:type="pct"/>
            <w:shd w:val="clear" w:color="auto" w:fill="auto"/>
            <w:hideMark/>
          </w:tcPr>
          <w:p w14:paraId="42E295DB"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0,4</w:t>
            </w:r>
          </w:p>
        </w:tc>
        <w:tc>
          <w:tcPr>
            <w:tcW w:w="423" w:type="pct"/>
            <w:shd w:val="clear" w:color="auto" w:fill="auto"/>
            <w:noWrap/>
            <w:hideMark/>
          </w:tcPr>
          <w:p w14:paraId="099BCAC1"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9,7</w:t>
            </w:r>
          </w:p>
        </w:tc>
      </w:tr>
      <w:tr w:rsidR="006D0778" w:rsidRPr="00AD7E7D" w14:paraId="2758A5D6" w14:textId="77777777" w:rsidTr="003637A3">
        <w:trPr>
          <w:trHeight w:val="224"/>
          <w:jc w:val="center"/>
        </w:trPr>
        <w:tc>
          <w:tcPr>
            <w:tcW w:w="1798" w:type="pct"/>
            <w:gridSpan w:val="2"/>
            <w:shd w:val="clear" w:color="auto" w:fill="auto"/>
            <w:noWrap/>
            <w:vAlign w:val="center"/>
            <w:hideMark/>
          </w:tcPr>
          <w:p w14:paraId="6B1C3D5D" w14:textId="77777777" w:rsidR="006D0778" w:rsidRPr="00AD7E7D" w:rsidRDefault="006D0778" w:rsidP="006D0778">
            <w:pPr>
              <w:spacing w:after="0"/>
              <w:jc w:val="left"/>
              <w:rPr>
                <w:rFonts w:eastAsia="MS PGothic" w:cs="Times New Roman"/>
                <w:szCs w:val="24"/>
                <w:lang w:eastAsia="ja-JP"/>
              </w:rPr>
            </w:pPr>
            <w:r w:rsidRPr="00AD7E7D">
              <w:rPr>
                <w:rFonts w:eastAsia="MS PGothic" w:cs="Times New Roman"/>
                <w:szCs w:val="24"/>
                <w:lang w:eastAsia="ja-JP"/>
              </w:rPr>
              <w:t xml:space="preserve"> Остали текући расходи</w:t>
            </w:r>
          </w:p>
        </w:tc>
        <w:tc>
          <w:tcPr>
            <w:tcW w:w="503" w:type="pct"/>
            <w:shd w:val="clear" w:color="auto" w:fill="auto"/>
            <w:hideMark/>
          </w:tcPr>
          <w:p w14:paraId="356B0522"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111,9</w:t>
            </w:r>
          </w:p>
        </w:tc>
        <w:tc>
          <w:tcPr>
            <w:tcW w:w="566" w:type="pct"/>
          </w:tcPr>
          <w:p w14:paraId="65B0B600"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114,1</w:t>
            </w:r>
          </w:p>
        </w:tc>
        <w:tc>
          <w:tcPr>
            <w:tcW w:w="566" w:type="pct"/>
          </w:tcPr>
          <w:p w14:paraId="4743173C"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132,4</w:t>
            </w:r>
          </w:p>
        </w:tc>
        <w:tc>
          <w:tcPr>
            <w:tcW w:w="566" w:type="pct"/>
            <w:shd w:val="clear" w:color="auto" w:fill="auto"/>
            <w:hideMark/>
          </w:tcPr>
          <w:p w14:paraId="73DF2E96"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20,5</w:t>
            </w:r>
          </w:p>
        </w:tc>
        <w:tc>
          <w:tcPr>
            <w:tcW w:w="578" w:type="pct"/>
            <w:shd w:val="clear" w:color="auto" w:fill="auto"/>
            <w:hideMark/>
          </w:tcPr>
          <w:p w14:paraId="540B2FDF"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18,3</w:t>
            </w:r>
          </w:p>
        </w:tc>
        <w:tc>
          <w:tcPr>
            <w:tcW w:w="423" w:type="pct"/>
            <w:shd w:val="clear" w:color="auto" w:fill="auto"/>
            <w:noWrap/>
            <w:hideMark/>
          </w:tcPr>
          <w:p w14:paraId="4C384FC2"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1,4</w:t>
            </w:r>
          </w:p>
        </w:tc>
      </w:tr>
      <w:tr w:rsidR="006D0778" w:rsidRPr="00AD7E7D" w14:paraId="6CEE66C6" w14:textId="77777777" w:rsidTr="003637A3">
        <w:trPr>
          <w:trHeight w:val="224"/>
          <w:jc w:val="center"/>
        </w:trPr>
        <w:tc>
          <w:tcPr>
            <w:tcW w:w="1798" w:type="pct"/>
            <w:gridSpan w:val="2"/>
            <w:shd w:val="clear" w:color="auto" w:fill="auto"/>
            <w:noWrap/>
            <w:vAlign w:val="center"/>
            <w:hideMark/>
          </w:tcPr>
          <w:p w14:paraId="0EDECCD9" w14:textId="77777777" w:rsidR="006D0778" w:rsidRPr="00AD7E7D" w:rsidRDefault="006D0778" w:rsidP="006D0778">
            <w:pPr>
              <w:spacing w:after="0"/>
              <w:jc w:val="left"/>
              <w:rPr>
                <w:rFonts w:eastAsia="MS PGothic" w:cs="Times New Roman"/>
                <w:szCs w:val="24"/>
                <w:lang w:eastAsia="ja-JP"/>
              </w:rPr>
            </w:pPr>
            <w:r w:rsidRPr="00AD7E7D">
              <w:rPr>
                <w:rFonts w:eastAsia="MS PGothic" w:cs="Times New Roman"/>
                <w:szCs w:val="24"/>
                <w:lang w:eastAsia="ja-JP"/>
              </w:rPr>
              <w:t>Капитални расходи</w:t>
            </w:r>
          </w:p>
        </w:tc>
        <w:tc>
          <w:tcPr>
            <w:tcW w:w="503" w:type="pct"/>
            <w:shd w:val="clear" w:color="auto" w:fill="auto"/>
            <w:hideMark/>
          </w:tcPr>
          <w:p w14:paraId="14656CF6"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595,2</w:t>
            </w:r>
          </w:p>
        </w:tc>
        <w:tc>
          <w:tcPr>
            <w:tcW w:w="566" w:type="pct"/>
          </w:tcPr>
          <w:p w14:paraId="1211E1D3"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652,3</w:t>
            </w:r>
          </w:p>
        </w:tc>
        <w:tc>
          <w:tcPr>
            <w:tcW w:w="566" w:type="pct"/>
          </w:tcPr>
          <w:p w14:paraId="531127EE"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706,3</w:t>
            </w:r>
          </w:p>
        </w:tc>
        <w:tc>
          <w:tcPr>
            <w:tcW w:w="566" w:type="pct"/>
            <w:shd w:val="clear" w:color="auto" w:fill="auto"/>
            <w:hideMark/>
          </w:tcPr>
          <w:p w14:paraId="5435ABDA"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111,1</w:t>
            </w:r>
          </w:p>
        </w:tc>
        <w:tc>
          <w:tcPr>
            <w:tcW w:w="578" w:type="pct"/>
            <w:shd w:val="clear" w:color="auto" w:fill="auto"/>
            <w:hideMark/>
          </w:tcPr>
          <w:p w14:paraId="2A0EB498"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18,7</w:t>
            </w:r>
          </w:p>
        </w:tc>
        <w:tc>
          <w:tcPr>
            <w:tcW w:w="423" w:type="pct"/>
            <w:shd w:val="clear" w:color="auto" w:fill="auto"/>
            <w:noWrap/>
            <w:hideMark/>
          </w:tcPr>
          <w:p w14:paraId="1133025D"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7,4</w:t>
            </w:r>
          </w:p>
        </w:tc>
      </w:tr>
      <w:tr w:rsidR="006D0778" w:rsidRPr="00AD7E7D" w14:paraId="2919B40B" w14:textId="77777777" w:rsidTr="003637A3">
        <w:trPr>
          <w:trHeight w:val="224"/>
          <w:jc w:val="center"/>
        </w:trPr>
        <w:tc>
          <w:tcPr>
            <w:tcW w:w="1798" w:type="pct"/>
            <w:gridSpan w:val="2"/>
            <w:shd w:val="clear" w:color="auto" w:fill="auto"/>
            <w:noWrap/>
            <w:vAlign w:val="center"/>
            <w:hideMark/>
          </w:tcPr>
          <w:p w14:paraId="10E9B497" w14:textId="77777777" w:rsidR="006D0778" w:rsidRPr="00AD7E7D" w:rsidRDefault="006D0778" w:rsidP="006D0778">
            <w:pPr>
              <w:spacing w:after="0"/>
              <w:jc w:val="left"/>
              <w:rPr>
                <w:rFonts w:eastAsia="MS PGothic" w:cs="Times New Roman"/>
                <w:szCs w:val="24"/>
                <w:lang w:eastAsia="ja-JP"/>
              </w:rPr>
            </w:pPr>
            <w:r w:rsidRPr="00AD7E7D">
              <w:rPr>
                <w:rFonts w:eastAsia="MS PGothic" w:cs="Times New Roman"/>
                <w:szCs w:val="24"/>
                <w:lang w:eastAsia="ja-JP"/>
              </w:rPr>
              <w:t>Нето буџетске позајмице</w:t>
            </w:r>
          </w:p>
        </w:tc>
        <w:tc>
          <w:tcPr>
            <w:tcW w:w="503" w:type="pct"/>
            <w:shd w:val="clear" w:color="auto" w:fill="auto"/>
            <w:hideMark/>
          </w:tcPr>
          <w:p w14:paraId="70C1C5AA"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46,9</w:t>
            </w:r>
          </w:p>
        </w:tc>
        <w:tc>
          <w:tcPr>
            <w:tcW w:w="566" w:type="pct"/>
          </w:tcPr>
          <w:p w14:paraId="54C90F88"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20,1</w:t>
            </w:r>
          </w:p>
        </w:tc>
        <w:tc>
          <w:tcPr>
            <w:tcW w:w="566" w:type="pct"/>
          </w:tcPr>
          <w:p w14:paraId="4065A927"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18,7</w:t>
            </w:r>
          </w:p>
        </w:tc>
        <w:tc>
          <w:tcPr>
            <w:tcW w:w="566" w:type="pct"/>
            <w:shd w:val="clear" w:color="auto" w:fill="auto"/>
            <w:hideMark/>
          </w:tcPr>
          <w:p w14:paraId="1717015B"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-28,2</w:t>
            </w:r>
          </w:p>
        </w:tc>
        <w:tc>
          <w:tcPr>
            <w:tcW w:w="578" w:type="pct"/>
            <w:shd w:val="clear" w:color="auto" w:fill="auto"/>
            <w:hideMark/>
          </w:tcPr>
          <w:p w14:paraId="689BBEC5"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-60,1</w:t>
            </w:r>
          </w:p>
        </w:tc>
        <w:tc>
          <w:tcPr>
            <w:tcW w:w="423" w:type="pct"/>
            <w:shd w:val="clear" w:color="auto" w:fill="auto"/>
            <w:noWrap/>
            <w:hideMark/>
          </w:tcPr>
          <w:p w14:paraId="39F28D0B"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0,2</w:t>
            </w:r>
          </w:p>
        </w:tc>
      </w:tr>
      <w:tr w:rsidR="006D0778" w:rsidRPr="00AD7E7D" w14:paraId="6CE5F3BA" w14:textId="77777777" w:rsidTr="003637A3">
        <w:trPr>
          <w:trHeight w:val="224"/>
          <w:jc w:val="center"/>
        </w:trPr>
        <w:tc>
          <w:tcPr>
            <w:tcW w:w="1798" w:type="pct"/>
            <w:gridSpan w:val="2"/>
            <w:shd w:val="clear" w:color="auto" w:fill="auto"/>
            <w:noWrap/>
            <w:vAlign w:val="center"/>
            <w:hideMark/>
          </w:tcPr>
          <w:p w14:paraId="5A1CC3B1" w14:textId="77777777" w:rsidR="006D0778" w:rsidRPr="00AD7E7D" w:rsidRDefault="006D0778" w:rsidP="006D0778">
            <w:pPr>
              <w:spacing w:after="0"/>
              <w:jc w:val="left"/>
              <w:rPr>
                <w:rFonts w:eastAsia="MS PGothic" w:cs="Times New Roman"/>
                <w:szCs w:val="24"/>
                <w:lang w:eastAsia="ja-JP"/>
              </w:rPr>
            </w:pPr>
            <w:r w:rsidRPr="00AD7E7D">
              <w:rPr>
                <w:rFonts w:eastAsia="MS PGothic" w:cs="Times New Roman"/>
                <w:szCs w:val="24"/>
                <w:lang w:eastAsia="ja-JP"/>
              </w:rPr>
              <w:t>Активиране гаранције</w:t>
            </w:r>
          </w:p>
        </w:tc>
        <w:tc>
          <w:tcPr>
            <w:tcW w:w="503" w:type="pct"/>
            <w:shd w:val="clear" w:color="auto" w:fill="auto"/>
            <w:hideMark/>
          </w:tcPr>
          <w:p w14:paraId="1C8C31E6"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27,5</w:t>
            </w:r>
          </w:p>
        </w:tc>
        <w:tc>
          <w:tcPr>
            <w:tcW w:w="566" w:type="pct"/>
          </w:tcPr>
          <w:p w14:paraId="4962FACD"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29,5</w:t>
            </w:r>
          </w:p>
        </w:tc>
        <w:tc>
          <w:tcPr>
            <w:tcW w:w="566" w:type="pct"/>
          </w:tcPr>
          <w:p w14:paraId="753C77CA"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28,5</w:t>
            </w:r>
          </w:p>
        </w:tc>
        <w:tc>
          <w:tcPr>
            <w:tcW w:w="566" w:type="pct"/>
            <w:shd w:val="clear" w:color="auto" w:fill="auto"/>
            <w:hideMark/>
          </w:tcPr>
          <w:p w14:paraId="2BCC811C"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1,0</w:t>
            </w:r>
          </w:p>
        </w:tc>
        <w:tc>
          <w:tcPr>
            <w:tcW w:w="578" w:type="pct"/>
            <w:shd w:val="clear" w:color="auto" w:fill="auto"/>
            <w:hideMark/>
          </w:tcPr>
          <w:p w14:paraId="5F81EB68"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3,6</w:t>
            </w:r>
          </w:p>
        </w:tc>
        <w:tc>
          <w:tcPr>
            <w:tcW w:w="423" w:type="pct"/>
            <w:shd w:val="clear" w:color="auto" w:fill="auto"/>
            <w:noWrap/>
            <w:hideMark/>
          </w:tcPr>
          <w:p w14:paraId="1630E5A0"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0,3</w:t>
            </w:r>
          </w:p>
        </w:tc>
      </w:tr>
      <w:tr w:rsidR="006D0778" w:rsidRPr="00AD7E7D" w14:paraId="3E4CD644" w14:textId="77777777" w:rsidTr="003637A3">
        <w:trPr>
          <w:trHeight w:val="224"/>
          <w:jc w:val="center"/>
        </w:trPr>
        <w:tc>
          <w:tcPr>
            <w:tcW w:w="1798" w:type="pct"/>
            <w:gridSpan w:val="2"/>
            <w:shd w:val="clear" w:color="auto" w:fill="E7E6E6" w:themeFill="background2"/>
            <w:noWrap/>
            <w:vAlign w:val="center"/>
            <w:hideMark/>
          </w:tcPr>
          <w:p w14:paraId="4CC42726" w14:textId="77777777" w:rsidR="006D0778" w:rsidRPr="00AD7E7D" w:rsidRDefault="006D0778" w:rsidP="006D0778">
            <w:pPr>
              <w:spacing w:after="0"/>
              <w:jc w:val="left"/>
              <w:rPr>
                <w:rFonts w:cs="Times New Roman"/>
                <w:szCs w:val="24"/>
              </w:rPr>
            </w:pPr>
            <w:r w:rsidRPr="00AD7E7D">
              <w:rPr>
                <w:rFonts w:eastAsia="MS PGothic" w:cs="Times New Roman"/>
                <w:szCs w:val="24"/>
                <w:lang w:eastAsia="ja-JP"/>
              </w:rPr>
              <w:t>Резултат</w:t>
            </w:r>
          </w:p>
        </w:tc>
        <w:tc>
          <w:tcPr>
            <w:tcW w:w="503" w:type="pct"/>
            <w:shd w:val="clear" w:color="auto" w:fill="E7E6E6" w:themeFill="background2"/>
            <w:hideMark/>
          </w:tcPr>
          <w:p w14:paraId="1C1EAAF5"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-197,0</w:t>
            </w:r>
          </w:p>
        </w:tc>
        <w:tc>
          <w:tcPr>
            <w:tcW w:w="566" w:type="pct"/>
            <w:shd w:val="clear" w:color="auto" w:fill="E7E6E6" w:themeFill="background2"/>
          </w:tcPr>
          <w:p w14:paraId="5F913DC9"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-197,0</w:t>
            </w:r>
          </w:p>
        </w:tc>
        <w:tc>
          <w:tcPr>
            <w:tcW w:w="566" w:type="pct"/>
            <w:shd w:val="clear" w:color="auto" w:fill="E7E6E6" w:themeFill="background2"/>
          </w:tcPr>
          <w:p w14:paraId="61FC3E7B"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-263,0</w:t>
            </w:r>
          </w:p>
        </w:tc>
        <w:tc>
          <w:tcPr>
            <w:tcW w:w="566" w:type="pct"/>
            <w:shd w:val="clear" w:color="auto" w:fill="E7E6E6" w:themeFill="background2"/>
            <w:hideMark/>
          </w:tcPr>
          <w:p w14:paraId="24F5D531"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-66,0</w:t>
            </w:r>
          </w:p>
        </w:tc>
        <w:tc>
          <w:tcPr>
            <w:tcW w:w="578" w:type="pct"/>
            <w:shd w:val="clear" w:color="auto" w:fill="E7E6E6" w:themeFill="background2"/>
            <w:hideMark/>
          </w:tcPr>
          <w:p w14:paraId="060090D8" w14:textId="77777777" w:rsidR="006D0778" w:rsidRPr="00AD7E7D" w:rsidRDefault="006D0778" w:rsidP="006D0778">
            <w:pPr>
              <w:spacing w:after="0"/>
              <w:jc w:val="right"/>
              <w:rPr>
                <w:rFonts w:eastAsia="MS PGothic" w:cs="Times New Roman"/>
                <w:szCs w:val="24"/>
                <w:lang w:eastAsia="ja-JP"/>
              </w:rPr>
            </w:pPr>
          </w:p>
        </w:tc>
        <w:tc>
          <w:tcPr>
            <w:tcW w:w="423" w:type="pct"/>
            <w:shd w:val="clear" w:color="auto" w:fill="E7E6E6" w:themeFill="background2"/>
            <w:noWrap/>
            <w:hideMark/>
          </w:tcPr>
          <w:p w14:paraId="5EC1725A"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-2,7</w:t>
            </w:r>
          </w:p>
        </w:tc>
      </w:tr>
      <w:tr w:rsidR="006D0778" w:rsidRPr="00AD7E7D" w14:paraId="7EA0C3F4" w14:textId="77777777" w:rsidTr="003637A3">
        <w:trPr>
          <w:trHeight w:val="224"/>
          <w:jc w:val="center"/>
        </w:trPr>
        <w:tc>
          <w:tcPr>
            <w:tcW w:w="1798" w:type="pct"/>
            <w:gridSpan w:val="2"/>
            <w:tcBorders>
              <w:bottom w:val="single" w:sz="4" w:space="0" w:color="002060"/>
            </w:tcBorders>
            <w:shd w:val="clear" w:color="auto" w:fill="auto"/>
            <w:noWrap/>
            <w:vAlign w:val="center"/>
            <w:hideMark/>
          </w:tcPr>
          <w:p w14:paraId="24C4B3F0" w14:textId="77777777" w:rsidR="006D0778" w:rsidRPr="00AD7E7D" w:rsidRDefault="006D0778" w:rsidP="006D0778">
            <w:pPr>
              <w:spacing w:after="0"/>
              <w:jc w:val="left"/>
              <w:rPr>
                <w:rFonts w:cs="Times New Roman"/>
                <w:szCs w:val="24"/>
              </w:rPr>
            </w:pPr>
            <w:r w:rsidRPr="00AD7E7D">
              <w:rPr>
                <w:rFonts w:eastAsia="MS PGothic" w:cs="Times New Roman"/>
                <w:szCs w:val="24"/>
                <w:lang w:eastAsia="ja-JP"/>
              </w:rPr>
              <w:t>Резултат у % БДП**</w:t>
            </w:r>
          </w:p>
        </w:tc>
        <w:tc>
          <w:tcPr>
            <w:tcW w:w="503" w:type="pct"/>
            <w:tcBorders>
              <w:bottom w:val="single" w:sz="4" w:space="0" w:color="002060"/>
            </w:tcBorders>
            <w:shd w:val="clear" w:color="auto" w:fill="auto"/>
            <w:hideMark/>
          </w:tcPr>
          <w:p w14:paraId="2937D1BC"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-2,1</w:t>
            </w:r>
          </w:p>
        </w:tc>
        <w:tc>
          <w:tcPr>
            <w:tcW w:w="566" w:type="pct"/>
            <w:tcBorders>
              <w:bottom w:val="single" w:sz="4" w:space="0" w:color="002060"/>
            </w:tcBorders>
          </w:tcPr>
          <w:p w14:paraId="5D75E114"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-2,1</w:t>
            </w:r>
          </w:p>
        </w:tc>
        <w:tc>
          <w:tcPr>
            <w:tcW w:w="566" w:type="pct"/>
            <w:tcBorders>
              <w:bottom w:val="single" w:sz="4" w:space="0" w:color="002060"/>
            </w:tcBorders>
          </w:tcPr>
          <w:p w14:paraId="0E48968F"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-2,7</w:t>
            </w:r>
          </w:p>
        </w:tc>
        <w:tc>
          <w:tcPr>
            <w:tcW w:w="566" w:type="pct"/>
            <w:tcBorders>
              <w:bottom w:val="single" w:sz="4" w:space="0" w:color="002060"/>
            </w:tcBorders>
            <w:shd w:val="clear" w:color="auto" w:fill="auto"/>
            <w:hideMark/>
          </w:tcPr>
          <w:p w14:paraId="11C49AB5" w14:textId="77777777" w:rsidR="006D0778" w:rsidRPr="00AD7E7D" w:rsidRDefault="006D0778" w:rsidP="006D0778">
            <w:pPr>
              <w:spacing w:after="0"/>
              <w:jc w:val="right"/>
              <w:rPr>
                <w:rFonts w:eastAsia="MS PGothic" w:cs="Times New Roman"/>
                <w:szCs w:val="24"/>
                <w:lang w:eastAsia="ja-JP"/>
              </w:rPr>
            </w:pPr>
            <w:r w:rsidRPr="00AD7E7D">
              <w:rPr>
                <w:rFonts w:eastAsia="MS PGothic" w:cs="Times New Roman"/>
                <w:szCs w:val="24"/>
                <w:lang w:eastAsia="ja-JP"/>
              </w:rPr>
              <w:t>-0,6</w:t>
            </w:r>
          </w:p>
        </w:tc>
        <w:tc>
          <w:tcPr>
            <w:tcW w:w="578" w:type="pct"/>
            <w:tcBorders>
              <w:bottom w:val="single" w:sz="4" w:space="0" w:color="002060"/>
            </w:tcBorders>
            <w:shd w:val="clear" w:color="auto" w:fill="auto"/>
            <w:hideMark/>
          </w:tcPr>
          <w:p w14:paraId="3E6FD26B" w14:textId="77777777" w:rsidR="006D0778" w:rsidRPr="00AD7E7D" w:rsidRDefault="006D0778" w:rsidP="006D0778">
            <w:pPr>
              <w:spacing w:after="0"/>
              <w:ind w:right="284"/>
              <w:jc w:val="right"/>
              <w:rPr>
                <w:rFonts w:eastAsia="MS PGothic" w:cs="Times New Roman"/>
                <w:szCs w:val="24"/>
                <w:lang w:eastAsia="ja-JP"/>
              </w:rPr>
            </w:pPr>
          </w:p>
        </w:tc>
        <w:tc>
          <w:tcPr>
            <w:tcW w:w="423" w:type="pct"/>
            <w:tcBorders>
              <w:bottom w:val="single" w:sz="4" w:space="0" w:color="002060"/>
            </w:tcBorders>
            <w:shd w:val="clear" w:color="auto" w:fill="auto"/>
            <w:hideMark/>
          </w:tcPr>
          <w:p w14:paraId="62E82358" w14:textId="77777777" w:rsidR="006D0778" w:rsidRPr="00AD7E7D" w:rsidRDefault="006D0778" w:rsidP="006D0778">
            <w:pPr>
              <w:spacing w:after="0"/>
              <w:ind w:right="284"/>
              <w:jc w:val="right"/>
              <w:rPr>
                <w:rFonts w:eastAsia="MS PGothic" w:cs="Times New Roman"/>
                <w:szCs w:val="24"/>
                <w:lang w:eastAsia="ja-JP"/>
              </w:rPr>
            </w:pPr>
          </w:p>
        </w:tc>
      </w:tr>
    </w:tbl>
    <w:p w14:paraId="788A5170" w14:textId="77777777" w:rsidR="006D0778" w:rsidRPr="00BF5A92" w:rsidRDefault="006D0778" w:rsidP="00BF5A92">
      <w:pPr>
        <w:spacing w:before="40" w:after="180"/>
        <w:rPr>
          <w:rFonts w:eastAsia="Calibri" w:cs="Times New Roman"/>
          <w:sz w:val="22"/>
          <w:szCs w:val="24"/>
          <w:lang w:val="sr-Cyrl-RS"/>
        </w:rPr>
      </w:pPr>
      <w:r w:rsidRPr="00BF5A92">
        <w:rPr>
          <w:rFonts w:eastAsia="Calibri" w:cs="Times New Roman"/>
          <w:bCs/>
          <w:sz w:val="22"/>
          <w:szCs w:val="24"/>
          <w:lang w:val="sr-Cyrl-RS" w:eastAsia="ja-JP"/>
        </w:rPr>
        <w:t xml:space="preserve">Извор: </w:t>
      </w:r>
      <w:r w:rsidRPr="00BF5A92">
        <w:rPr>
          <w:rFonts w:eastAsia="Calibri" w:cs="Times New Roman"/>
          <w:sz w:val="22"/>
          <w:szCs w:val="24"/>
          <w:lang w:val="sr-Cyrl-RS"/>
        </w:rPr>
        <w:t>Министарство финансија</w:t>
      </w:r>
    </w:p>
    <w:p w14:paraId="6D6321CE" w14:textId="77777777" w:rsidR="006D0778" w:rsidRPr="00BF5A92" w:rsidRDefault="006D0778" w:rsidP="00BF5A92">
      <w:pPr>
        <w:rPr>
          <w:rFonts w:cs="Times New Roman"/>
          <w:sz w:val="22"/>
          <w:szCs w:val="24"/>
        </w:rPr>
      </w:pPr>
      <w:r w:rsidRPr="00BF5A92">
        <w:rPr>
          <w:rFonts w:cs="Times New Roman"/>
          <w:sz w:val="22"/>
          <w:szCs w:val="24"/>
          <w:lang w:val="sr-Cyrl-RS"/>
        </w:rPr>
        <w:t xml:space="preserve">* </w:t>
      </w:r>
      <w:r w:rsidRPr="00BF5A92">
        <w:rPr>
          <w:rFonts w:cs="Times New Roman"/>
          <w:sz w:val="22"/>
          <w:szCs w:val="24"/>
        </w:rPr>
        <w:t>Оригинални буџет за 2024. годину је, у сврхе упоредивости са новом проценом за текућу годину, коригован за износе настале проширењем обухвата сектора државе који се односи на укључивање и извештавање о сопственим средствима (приходи и расходи) ванбуџетских корисника (јавне агенције и институти). Укупан обим тих средстава износи 20,2 млрд и на приходној и расходној страни.</w:t>
      </w:r>
    </w:p>
    <w:p w14:paraId="0F14E03D" w14:textId="77777777" w:rsidR="006D0778" w:rsidRPr="00BF5A92" w:rsidRDefault="006D0778" w:rsidP="006D0778">
      <w:pPr>
        <w:spacing w:after="0"/>
        <w:rPr>
          <w:rFonts w:cs="Times New Roman"/>
          <w:sz w:val="22"/>
          <w:szCs w:val="24"/>
          <w:lang w:val="sr-Cyrl-RS"/>
        </w:rPr>
      </w:pPr>
      <w:r w:rsidRPr="00BF5A92">
        <w:rPr>
          <w:rFonts w:cs="Times New Roman"/>
          <w:sz w:val="22"/>
          <w:szCs w:val="24"/>
        </w:rPr>
        <w:t>**</w:t>
      </w:r>
      <w:r w:rsidR="00CF6476" w:rsidRPr="00BF5A92">
        <w:rPr>
          <w:rFonts w:cs="Times New Roman"/>
          <w:sz w:val="22"/>
          <w:szCs w:val="24"/>
        </w:rPr>
        <w:t xml:space="preserve"> </w:t>
      </w:r>
      <w:r w:rsidRPr="00BF5A92">
        <w:rPr>
          <w:rFonts w:cs="Times New Roman"/>
          <w:sz w:val="22"/>
          <w:szCs w:val="24"/>
          <w:lang w:val="sr-Cyrl-RS"/>
        </w:rPr>
        <w:t>Р</w:t>
      </w:r>
      <w:r w:rsidRPr="00BF5A92">
        <w:rPr>
          <w:rFonts w:cs="Times New Roman"/>
          <w:sz w:val="22"/>
          <w:szCs w:val="24"/>
        </w:rPr>
        <w:t>ади лакше упоредивости, а услед значајне статистичке ревизије номиналног износа БДП, сва учешћа изражена су као проценат тренутне процене висине БДП за 2024. годину</w:t>
      </w:r>
      <w:r w:rsidRPr="00BF5A92">
        <w:rPr>
          <w:rFonts w:cs="Times New Roman"/>
          <w:sz w:val="22"/>
          <w:szCs w:val="24"/>
          <w:lang w:val="sr-Cyrl-RS"/>
        </w:rPr>
        <w:t>.</w:t>
      </w:r>
    </w:p>
    <w:p w14:paraId="2EEB3624" w14:textId="77777777" w:rsidR="006D0778" w:rsidRDefault="006D0778" w:rsidP="006D0778">
      <w:pPr>
        <w:rPr>
          <w:rFonts w:eastAsia="Calibri" w:cs="Times New Roman"/>
          <w:szCs w:val="24"/>
          <w:lang w:val="sr-Cyrl-RS"/>
        </w:rPr>
      </w:pPr>
    </w:p>
    <w:p w14:paraId="1088BC7A" w14:textId="77777777" w:rsidR="003637A3" w:rsidRDefault="003637A3" w:rsidP="006D0778">
      <w:pPr>
        <w:rPr>
          <w:rFonts w:eastAsia="Calibri" w:cs="Times New Roman"/>
          <w:szCs w:val="24"/>
          <w:lang w:val="sr-Cyrl-RS"/>
        </w:rPr>
      </w:pPr>
    </w:p>
    <w:p w14:paraId="68B34D0A" w14:textId="77777777" w:rsidR="003637A3" w:rsidRDefault="003637A3" w:rsidP="006D0778">
      <w:pPr>
        <w:rPr>
          <w:rFonts w:eastAsia="Calibri" w:cs="Times New Roman"/>
          <w:szCs w:val="24"/>
          <w:lang w:val="sr-Cyrl-RS"/>
        </w:rPr>
      </w:pPr>
    </w:p>
    <w:p w14:paraId="419F65BB" w14:textId="77777777" w:rsidR="003637A3" w:rsidRDefault="003637A3" w:rsidP="006D0778">
      <w:pPr>
        <w:rPr>
          <w:rFonts w:eastAsia="Calibri" w:cs="Times New Roman"/>
          <w:szCs w:val="24"/>
          <w:lang w:val="sr-Cyrl-RS"/>
        </w:rPr>
      </w:pPr>
    </w:p>
    <w:p w14:paraId="1B0E7C65" w14:textId="77777777" w:rsidR="003637A3" w:rsidRDefault="003637A3" w:rsidP="006D0778">
      <w:pPr>
        <w:rPr>
          <w:rFonts w:eastAsia="Calibri" w:cs="Times New Roman"/>
          <w:szCs w:val="24"/>
          <w:lang w:val="sr-Cyrl-RS"/>
        </w:rPr>
      </w:pPr>
    </w:p>
    <w:p w14:paraId="15C6F0C8" w14:textId="77777777" w:rsidR="003637A3" w:rsidRPr="00AD7E7D" w:rsidRDefault="003637A3" w:rsidP="006D0778">
      <w:pPr>
        <w:rPr>
          <w:rFonts w:eastAsia="Calibri" w:cs="Times New Roman"/>
          <w:szCs w:val="24"/>
          <w:lang w:val="sr-Cyrl-RS"/>
        </w:rPr>
      </w:pPr>
    </w:p>
    <w:p w14:paraId="0C0FE414" w14:textId="77777777" w:rsidR="006D0778" w:rsidRPr="00AD7E7D" w:rsidRDefault="006D0778" w:rsidP="006D0778">
      <w:pPr>
        <w:rPr>
          <w:rFonts w:eastAsia="MS PGothic" w:cs="Times New Roman"/>
          <w:szCs w:val="24"/>
          <w:lang w:eastAsia="ja-JP"/>
        </w:rPr>
      </w:pPr>
      <w:r w:rsidRPr="00AD7E7D">
        <w:rPr>
          <w:rFonts w:eastAsia="MS PGothic" w:cs="Times New Roman"/>
          <w:szCs w:val="24"/>
          <w:lang w:eastAsia="ja-JP"/>
        </w:rPr>
        <w:lastRenderedPageBreak/>
        <w:t>Пројекција прихода сектора државе овим фискалним оквиром повећана је за 166 млрд динара (4,4%) у односу на оригиналну. Све категорије прихода, осим прихода од царина и донација ревидиране су навише у односу на оригиналну пројекцију. Највећу процентуалну промену навише бележе приходи од пореза на добит, а у апсолутном износу приходи од ПДВ. Поред тога значајно су повећани и непорески приходи и приходи од акциза. Најважнији фактори који су довели до измене у висини и структури прихода сектора државе су:</w:t>
      </w:r>
    </w:p>
    <w:p w14:paraId="58AD8850" w14:textId="77777777" w:rsidR="006D0778" w:rsidRPr="00AD7E7D" w:rsidRDefault="006D0778" w:rsidP="006D0778">
      <w:pPr>
        <w:numPr>
          <w:ilvl w:val="0"/>
          <w:numId w:val="31"/>
        </w:numPr>
        <w:spacing w:after="160" w:line="259" w:lineRule="auto"/>
        <w:contextualSpacing/>
        <w:rPr>
          <w:rFonts w:eastAsia="MS PGothic" w:cs="Times New Roman"/>
          <w:szCs w:val="24"/>
          <w:lang w:eastAsia="ja-JP"/>
        </w:rPr>
      </w:pPr>
      <w:r w:rsidRPr="00AD7E7D">
        <w:rPr>
          <w:rFonts w:eastAsia="MS PGothic" w:cs="Times New Roman"/>
          <w:szCs w:val="24"/>
          <w:lang w:eastAsia="ja-JP"/>
        </w:rPr>
        <w:t>базни ефекат (остварење на крају претходне године) и остварење у периоду јануар–</w:t>
      </w:r>
      <w:r w:rsidRPr="00AD7E7D">
        <w:rPr>
          <w:rFonts w:eastAsia="MS PGothic" w:cs="Times New Roman"/>
          <w:szCs w:val="24"/>
          <w:lang w:val="sr-Cyrl-RS" w:eastAsia="ja-JP"/>
        </w:rPr>
        <w:t>септембар</w:t>
      </w:r>
      <w:r w:rsidRPr="00AD7E7D">
        <w:rPr>
          <w:rFonts w:eastAsia="MS PGothic" w:cs="Times New Roman"/>
          <w:szCs w:val="24"/>
          <w:lang w:eastAsia="ja-JP"/>
        </w:rPr>
        <w:t xml:space="preserve"> 2024. године;</w:t>
      </w:r>
    </w:p>
    <w:p w14:paraId="145355FC" w14:textId="77777777" w:rsidR="006D0778" w:rsidRPr="00AD7E7D" w:rsidRDefault="006D0778" w:rsidP="006D0778">
      <w:pPr>
        <w:numPr>
          <w:ilvl w:val="0"/>
          <w:numId w:val="31"/>
        </w:numPr>
        <w:spacing w:after="160" w:line="259" w:lineRule="auto"/>
        <w:contextualSpacing/>
        <w:rPr>
          <w:rFonts w:eastAsia="MS PGothic" w:cs="Times New Roman"/>
          <w:szCs w:val="24"/>
          <w:lang w:eastAsia="ja-JP"/>
        </w:rPr>
      </w:pPr>
      <w:r w:rsidRPr="00AD7E7D">
        <w:rPr>
          <w:rFonts w:eastAsia="MS PGothic" w:cs="Times New Roman"/>
          <w:szCs w:val="24"/>
          <w:lang w:eastAsia="ja-JP"/>
        </w:rPr>
        <w:t>корпоративна профитабилност у 2023. години;</w:t>
      </w:r>
    </w:p>
    <w:p w14:paraId="5C164DC2" w14:textId="77777777" w:rsidR="006D0778" w:rsidRPr="00AD7E7D" w:rsidRDefault="006D0778" w:rsidP="006D0778">
      <w:pPr>
        <w:numPr>
          <w:ilvl w:val="0"/>
          <w:numId w:val="31"/>
        </w:numPr>
        <w:spacing w:after="160" w:line="259" w:lineRule="auto"/>
        <w:contextualSpacing/>
        <w:rPr>
          <w:rFonts w:eastAsia="MS PGothic" w:cs="Times New Roman"/>
          <w:szCs w:val="24"/>
          <w:lang w:eastAsia="ja-JP"/>
        </w:rPr>
      </w:pPr>
      <w:r w:rsidRPr="00AD7E7D">
        <w:rPr>
          <w:rFonts w:eastAsia="MS PGothic" w:cs="Times New Roman"/>
          <w:szCs w:val="24"/>
          <w:lang w:eastAsia="ja-JP"/>
        </w:rPr>
        <w:t>бржи раст личне потрошње од предвиђеног;</w:t>
      </w:r>
    </w:p>
    <w:p w14:paraId="5EB1E191" w14:textId="77777777" w:rsidR="006D0778" w:rsidRPr="00AD7E7D" w:rsidRDefault="006D0778" w:rsidP="006D0778">
      <w:pPr>
        <w:numPr>
          <w:ilvl w:val="0"/>
          <w:numId w:val="31"/>
        </w:numPr>
        <w:spacing w:after="160" w:line="259" w:lineRule="auto"/>
        <w:contextualSpacing/>
        <w:rPr>
          <w:rFonts w:eastAsia="MS PGothic" w:cs="Times New Roman"/>
          <w:szCs w:val="24"/>
          <w:lang w:eastAsia="ja-JP"/>
        </w:rPr>
      </w:pPr>
      <w:r w:rsidRPr="00AD7E7D">
        <w:rPr>
          <w:rFonts w:eastAsia="MS PGothic" w:cs="Times New Roman"/>
          <w:szCs w:val="24"/>
          <w:lang w:eastAsia="ja-JP"/>
        </w:rPr>
        <w:t>већа потрошња акцизних производа;</w:t>
      </w:r>
    </w:p>
    <w:p w14:paraId="69276C90" w14:textId="77777777" w:rsidR="006D0778" w:rsidRPr="00AD7E7D" w:rsidRDefault="006D0778" w:rsidP="006D0778">
      <w:pPr>
        <w:numPr>
          <w:ilvl w:val="0"/>
          <w:numId w:val="31"/>
        </w:numPr>
        <w:spacing w:after="160" w:line="259" w:lineRule="auto"/>
        <w:contextualSpacing/>
        <w:rPr>
          <w:rFonts w:eastAsia="MS PGothic" w:cs="Times New Roman"/>
          <w:szCs w:val="24"/>
          <w:lang w:eastAsia="ja-JP"/>
        </w:rPr>
      </w:pPr>
      <w:r w:rsidRPr="00AD7E7D">
        <w:rPr>
          <w:rFonts w:eastAsia="MS PGothic" w:cs="Times New Roman"/>
          <w:szCs w:val="24"/>
          <w:lang w:eastAsia="ja-JP"/>
        </w:rPr>
        <w:t>снажнији раст наплате редовних непореских прихода, и уплата одређених ванредних и једнократних непореских прихода;</w:t>
      </w:r>
    </w:p>
    <w:p w14:paraId="287CB7F1" w14:textId="77777777" w:rsidR="00BF5A92" w:rsidRPr="00BF5A92" w:rsidRDefault="006D0778" w:rsidP="00BF5A92">
      <w:pPr>
        <w:numPr>
          <w:ilvl w:val="0"/>
          <w:numId w:val="31"/>
        </w:numPr>
        <w:spacing w:line="259" w:lineRule="auto"/>
        <w:ind w:left="714" w:hanging="357"/>
        <w:rPr>
          <w:rFonts w:eastAsia="MS PGothic" w:cs="Times New Roman"/>
          <w:szCs w:val="24"/>
          <w:lang w:eastAsia="ja-JP"/>
        </w:rPr>
      </w:pPr>
      <w:r w:rsidRPr="00AD7E7D">
        <w:rPr>
          <w:rFonts w:eastAsia="MS PGothic" w:cs="Times New Roman"/>
          <w:szCs w:val="24"/>
          <w:lang w:eastAsia="ja-JP"/>
        </w:rPr>
        <w:t>повољнија кретања на тржишту рада.</w:t>
      </w:r>
    </w:p>
    <w:p w14:paraId="53A9540B" w14:textId="77777777" w:rsidR="006D0778" w:rsidRPr="00AD7E7D" w:rsidRDefault="006D0778" w:rsidP="00BF5A92">
      <w:pPr>
        <w:widowControl w:val="0"/>
        <w:spacing w:before="120"/>
        <w:rPr>
          <w:rFonts w:eastAsia="MS PGothic" w:cs="Times New Roman"/>
          <w:szCs w:val="24"/>
          <w:lang w:eastAsia="ja-JP"/>
        </w:rPr>
      </w:pPr>
      <w:r w:rsidRPr="00AD7E7D">
        <w:rPr>
          <w:rFonts w:eastAsia="MS PGothic" w:cs="Times New Roman"/>
          <w:szCs w:val="24"/>
          <w:lang w:eastAsia="ja-JP"/>
        </w:rPr>
        <w:t>Пројекција прихода од пореза на доходак грађана повећана је за 17,7 млрд динара у односу на буџетски износ, док је пројекција прихода од социјалних доприноса увећана 30 млрд динара. Претпоставке оригиналне пројекције ових прихода, кретања просечних зарада и запослености, током протеклог дела 2024. године, су изнад очекиваних. У обзир су узете и процене ефеката смањења пореског оптерећења зарада у 2024. години. Основни разлог за повећање пројекције пореза на зараде и социјалних доприноса је базни ефекат, као и кретања на тржишту рада у протеклом делу године.</w:t>
      </w:r>
      <w:r w:rsidRPr="00AD7E7D">
        <w:rPr>
          <w:rFonts w:eastAsia="Times New Roman" w:cs="Times New Roman"/>
          <w:szCs w:val="24"/>
        </w:rPr>
        <w:t xml:space="preserve"> </w:t>
      </w:r>
      <w:r w:rsidRPr="00AD7E7D">
        <w:rPr>
          <w:rFonts w:eastAsia="MS PGothic" w:cs="Times New Roman"/>
          <w:szCs w:val="24"/>
          <w:lang w:eastAsia="ja-JP"/>
        </w:rPr>
        <w:t>Други приходи, изузев пореза на зараде, који припадају категорији пореза на доходак (порез на дивиденде, порез на приходе од камата, годишњи порез на доходак, порез на приходе од закупа непокретности и др.)</w:t>
      </w:r>
      <w:r w:rsidRPr="00AD7E7D">
        <w:rPr>
          <w:rFonts w:cs="Times New Roman"/>
          <w:szCs w:val="24"/>
        </w:rPr>
        <w:t xml:space="preserve"> ревидирани су навише, такође због утицаја базног ефекта и </w:t>
      </w:r>
      <w:r w:rsidRPr="00AD7E7D">
        <w:rPr>
          <w:rFonts w:eastAsia="MS PGothic" w:cs="Times New Roman"/>
          <w:szCs w:val="24"/>
          <w:lang w:eastAsia="ja-JP"/>
        </w:rPr>
        <w:t>бољег остварења у протеклом делу године, пре свега код наплате годишњег пореза на доходак грађана.</w:t>
      </w:r>
    </w:p>
    <w:p w14:paraId="220A0C61" w14:textId="77777777" w:rsidR="006D0778" w:rsidRPr="00AD7E7D" w:rsidRDefault="006D0778" w:rsidP="00E417E0">
      <w:pPr>
        <w:widowControl w:val="0"/>
        <w:rPr>
          <w:rFonts w:eastAsia="MS PGothic" w:cs="Times New Roman"/>
          <w:szCs w:val="24"/>
          <w:lang w:eastAsia="ja-JP"/>
        </w:rPr>
      </w:pPr>
      <w:r w:rsidRPr="00AD7E7D">
        <w:rPr>
          <w:rFonts w:eastAsia="MS PGothic" w:cs="Times New Roman"/>
          <w:szCs w:val="24"/>
          <w:lang w:eastAsia="ja-JP"/>
        </w:rPr>
        <w:t>Процена прихода од пореза на добит, за разлику од претходне ревизије, знатно је повећана у односу на оригиналну процену. При томе је процентуално повећање од 13,8% највише од свих пореских облика, док апсолутни износ повећања износи 35,5 млрд динара. Коначни подаци о профитабилности нису познати у тренутку планирања буџета, те се ови приходи планирају конзервативно.</w:t>
      </w:r>
      <w:r w:rsidR="00CF6476" w:rsidRPr="00AD7E7D">
        <w:rPr>
          <w:rFonts w:eastAsia="MS PGothic" w:cs="Times New Roman"/>
          <w:szCs w:val="24"/>
          <w:lang w:eastAsia="ja-JP"/>
        </w:rPr>
        <w:t xml:space="preserve"> </w:t>
      </w:r>
      <w:r w:rsidRPr="00AD7E7D">
        <w:rPr>
          <w:rFonts w:eastAsia="MS PGothic" w:cs="Times New Roman"/>
          <w:szCs w:val="24"/>
          <w:lang w:eastAsia="ja-JP"/>
        </w:rPr>
        <w:t>Висок износ пореза на добит, који је остварен у 2022. и 2023. години, довео је до повећања учешћа овог пореза у БДП (око 3%) изнад просечних вредности забележених у претходном периоду. Водећи се принципом опрезности, приликом првобитне пројекције предвиђено је постепено смањење учешћа овог пореског облика у БДП, тј. враћање на просечан ниво претходног периода. Након уплате пореза на добит по коначном обрачуну за 2023. годину (крај јуна текуће године), ревидирана је и годишња процена овог пореза. Добит привредних друштава, која су пословала позитивно, у 2023. години, према објављеним подацима АПР, износила је 1.297 млрд динара и већа је за 3,6% у односу на 2022. годину. Остварена нето добит износила је 972,4 млрд динара што представља раст од 12,3%.</w:t>
      </w:r>
    </w:p>
    <w:p w14:paraId="7689ABAB" w14:textId="77777777" w:rsidR="006D0778" w:rsidRPr="00AD7E7D" w:rsidRDefault="006D0778" w:rsidP="00E417E0">
      <w:pPr>
        <w:widowControl w:val="0"/>
        <w:rPr>
          <w:rFonts w:eastAsia="MS PGothic" w:cs="Times New Roman"/>
          <w:bCs/>
          <w:szCs w:val="24"/>
          <w:lang w:eastAsia="ja-JP"/>
        </w:rPr>
      </w:pPr>
      <w:r w:rsidRPr="00AD7E7D">
        <w:rPr>
          <w:rFonts w:eastAsia="MS PGothic" w:cs="Times New Roman"/>
          <w:bCs/>
          <w:szCs w:val="24"/>
          <w:lang w:eastAsia="ja-JP"/>
        </w:rPr>
        <w:t xml:space="preserve">Приходи од пореза на додату вредност су ревидирани навише за 52 млрд динара, односно 5,7% у односу на буџетски план. Крајем претходне године забележена је значајно већа наплата ПДВ од планиране, која је служила као основа за планирање текуће године. Боље остварење дугује се значајнијем опоравку личне потрошње у последњем кварталу 2023. године. Овај тренд се наставља и у 2024. години. За разлику од претходне две године, у којима је услед различитих фактора („панична” потрошња, </w:t>
      </w:r>
      <w:r w:rsidRPr="00AD7E7D">
        <w:rPr>
          <w:rFonts w:eastAsia="MS PGothic" w:cs="Times New Roman"/>
          <w:bCs/>
          <w:szCs w:val="24"/>
          <w:lang w:eastAsia="ja-JP"/>
        </w:rPr>
        <w:lastRenderedPageBreak/>
        <w:t xml:space="preserve">потрошња нерезидената итд.) дошло до нарушавања устаљене динамике потрошње и наплате ПДВ, он се сада креће у очекиваним обрасцима. Реалан раст дохотка становништва кључно доприноси расту личне потрошње и снажнијем расту прихода од ПДВ. </w:t>
      </w:r>
    </w:p>
    <w:p w14:paraId="1A8BB56F" w14:textId="77777777" w:rsidR="006D0778" w:rsidRPr="00AD7E7D" w:rsidRDefault="006D0778" w:rsidP="00E417E0">
      <w:pPr>
        <w:widowControl w:val="0"/>
        <w:rPr>
          <w:rFonts w:eastAsia="MS PGothic" w:cs="Times New Roman"/>
          <w:bCs/>
          <w:szCs w:val="24"/>
          <w:lang w:eastAsia="ja-JP"/>
        </w:rPr>
      </w:pPr>
      <w:r w:rsidRPr="00AD7E7D">
        <w:rPr>
          <w:rFonts w:eastAsia="MS PGothic" w:cs="Times New Roman"/>
          <w:bCs/>
          <w:szCs w:val="24"/>
          <w:lang w:eastAsia="ja-JP"/>
        </w:rPr>
        <w:t xml:space="preserve">Приходи од царина остају на нивоу планираном буџетом за 2024. годину. Реализација прихода током 2024. године у складу је са очекиваном. Ови приходи у највећој мери, иако не у потпуности, прате динамику ПДВ из увоза. У </w:t>
      </w:r>
      <w:r w:rsidRPr="00AD7E7D">
        <w:rPr>
          <w:rFonts w:eastAsia="MS PGothic" w:cs="Times New Roman"/>
          <w:bCs/>
          <w:szCs w:val="24"/>
          <w:lang w:val="sr-Cyrl-RS" w:eastAsia="ja-JP"/>
        </w:rPr>
        <w:t>последње две године,</w:t>
      </w:r>
      <w:r w:rsidRPr="00AD7E7D">
        <w:rPr>
          <w:rFonts w:eastAsia="MS PGothic" w:cs="Times New Roman"/>
          <w:bCs/>
          <w:szCs w:val="24"/>
          <w:lang w:eastAsia="ja-JP"/>
        </w:rPr>
        <w:t xml:space="preserve"> међутим</w:t>
      </w:r>
      <w:r w:rsidRPr="00AD7E7D">
        <w:rPr>
          <w:rFonts w:eastAsia="MS PGothic" w:cs="Times New Roman"/>
          <w:bCs/>
          <w:szCs w:val="24"/>
          <w:lang w:val="sr-Cyrl-RS" w:eastAsia="ja-JP"/>
        </w:rPr>
        <w:t>,</w:t>
      </w:r>
      <w:r w:rsidRPr="00AD7E7D">
        <w:rPr>
          <w:rFonts w:eastAsia="MS PGothic" w:cs="Times New Roman"/>
          <w:bCs/>
          <w:szCs w:val="24"/>
          <w:lang w:eastAsia="ja-JP"/>
        </w:rPr>
        <w:t xml:space="preserve"> долази до измена у структури увозне тражње (врста робе, географско подручје) чиме је овај однос у одређеној мери измењен, па приходи од царина бележе више стопе раста од увозног ПДВ.</w:t>
      </w:r>
    </w:p>
    <w:p w14:paraId="7CBC35F7" w14:textId="77777777" w:rsidR="006D0778" w:rsidRPr="00AD7E7D" w:rsidRDefault="006D0778" w:rsidP="00E417E0">
      <w:pPr>
        <w:widowControl w:val="0"/>
        <w:rPr>
          <w:rFonts w:eastAsia="MS PGothic" w:cs="Times New Roman"/>
          <w:bCs/>
          <w:szCs w:val="24"/>
          <w:lang w:eastAsia="ja-JP"/>
        </w:rPr>
      </w:pPr>
      <w:r w:rsidRPr="00AD7E7D">
        <w:rPr>
          <w:rFonts w:eastAsia="MS PGothic" w:cs="Times New Roman"/>
          <w:bCs/>
          <w:szCs w:val="24"/>
          <w:lang w:eastAsia="ja-JP"/>
        </w:rPr>
        <w:t>Процена прихода од акциза повећана је за 12 млрд динара у односу на буџетски план. Акцизе на деривате нафте су повећане за 5,5 млрд динара, акцизе на дуванске производе за 5 млрд динара, док је пројекција прихода од осталих акциза увећана за 1,5 млрд динара. Приходи од акциза на деривате нафте увећани су првенствено по основу знатно бољег извршења на крају претходне године. Овај тренд кретања наплате и потрошње се наставља код већине акцизних производа и током 2024. године. За разлику од претходне две године, када су акцизном политиком смиривани инфлаторни притисци, у овој години се она враћа у редовне токове. Укинута су привремена смањења акциза на нафтне деривате, крајем прошле године номинални износи акциза су повећани за 8%, док је за почетак 2024. године било предвиђено усклађивање износа акциза са оствареном инфлацијом из 2023. године. Ова последња мера је одложена за три месеца, како би се додатно утицало на ублажавање инфлаторних притисака. Такође у 2024. години предвиђено је поновно успостављање механизма рефакција акциза на нафтне деривате који се користе у пољопривреди. Повећање прихода од акциза на дуван резултат је, у мањој мери, боље наплате од очекиване крајем претходне године, као и кретања потрошње дуванских производа током 2024. године. Приликом припреме буџета, претпостављен је пад потрошње који је присутан већ дужи низ година. Међутим, кретања на тржишту показују да до очекиваног пада потрошње дуванских производа, према подацима за првих шест месеци ове године, није дошло. Пројекција прихода од осталих акцизних производа (електрична енергија, алкохол и кафа) повећана је услед нешто бољег остварења акцизних прихода код све три категорије производа у односу на план.</w:t>
      </w:r>
    </w:p>
    <w:p w14:paraId="5B6F5258" w14:textId="77777777" w:rsidR="006D0778" w:rsidRPr="00AD7E7D" w:rsidRDefault="006D0778" w:rsidP="00E417E0">
      <w:pPr>
        <w:rPr>
          <w:rFonts w:eastAsia="MS PGothic" w:cs="Times New Roman"/>
          <w:szCs w:val="24"/>
          <w:lang w:eastAsia="ja-JP"/>
        </w:rPr>
      </w:pPr>
      <w:r w:rsidRPr="00AD7E7D">
        <w:rPr>
          <w:rFonts w:eastAsia="MS PGothic" w:cs="Times New Roman"/>
          <w:bCs/>
          <w:szCs w:val="24"/>
          <w:lang w:eastAsia="ja-JP"/>
        </w:rPr>
        <w:t>Непорески приходи ревидирани су навише за 20,5 млрд динара, у складу са досадашњим кретањем како редовних, тако и ванредних непореских прихода.</w:t>
      </w:r>
      <w:r w:rsidRPr="00AD7E7D">
        <w:rPr>
          <w:rFonts w:eastAsia="MS PGothic" w:cs="Times New Roman"/>
          <w:szCs w:val="24"/>
          <w:lang w:eastAsia="ja-JP"/>
        </w:rPr>
        <w:t xml:space="preserve"> У редовне непореске приходе спадају различите таксе, накнаде (укључујући и путарине), казне, приходи органа и организација и сви остали приходи који се остварују устаљеном динамиком током године, уз одређене сезонске варијације. Повећање пројекције ових прихода, у највећој мери је</w:t>
      </w:r>
      <w:r w:rsidR="00CF6476" w:rsidRPr="00AD7E7D">
        <w:rPr>
          <w:rFonts w:eastAsia="MS PGothic" w:cs="Times New Roman"/>
          <w:szCs w:val="24"/>
          <w:lang w:eastAsia="ja-JP"/>
        </w:rPr>
        <w:t xml:space="preserve"> </w:t>
      </w:r>
      <w:r w:rsidRPr="00AD7E7D">
        <w:rPr>
          <w:rFonts w:eastAsia="MS PGothic" w:cs="Times New Roman"/>
          <w:szCs w:val="24"/>
          <w:lang w:eastAsia="ja-JP"/>
        </w:rPr>
        <w:t>услед раста прихода од камата на орочена средства и прихода од накнада за коришћење јавних добара. Ванредне непореске приходе чине уплате добити јавних предузећа и агенција, дивиденде буџета, приходи по основу наплаћених потраживања Агенције за осигурање депозита, емисионе премије, камате итд.</w:t>
      </w:r>
      <w:r w:rsidR="00CF6476" w:rsidRPr="00AD7E7D">
        <w:rPr>
          <w:rFonts w:eastAsia="MS PGothic" w:cs="Times New Roman"/>
          <w:szCs w:val="24"/>
          <w:lang w:eastAsia="ja-JP"/>
        </w:rPr>
        <w:t xml:space="preserve"> </w:t>
      </w:r>
      <w:r w:rsidRPr="00AD7E7D">
        <w:rPr>
          <w:rFonts w:eastAsia="MS PGothic" w:cs="Times New Roman"/>
          <w:szCs w:val="24"/>
          <w:lang w:eastAsia="ja-JP"/>
        </w:rPr>
        <w:t>Ова група непореских прихода коригована је навише због реализоване уплате прихода који нису били укључени у оригинални буџетски план (добит НБС, дивиденде буџета, емисиона премија).</w:t>
      </w:r>
    </w:p>
    <w:p w14:paraId="58B6DF7F" w14:textId="77777777" w:rsidR="006D0778" w:rsidRPr="00BF5A92" w:rsidRDefault="006D0778" w:rsidP="00BF5A92">
      <w:pPr>
        <w:rPr>
          <w:rFonts w:eastAsia="MS PGothic" w:cs="Times New Roman"/>
          <w:szCs w:val="24"/>
          <w:lang w:eastAsia="ja-JP"/>
        </w:rPr>
      </w:pPr>
      <w:r w:rsidRPr="00AD7E7D">
        <w:rPr>
          <w:rFonts w:eastAsia="MS PGothic" w:cs="Times New Roman"/>
          <w:szCs w:val="24"/>
          <w:lang w:eastAsia="ja-JP"/>
        </w:rPr>
        <w:t xml:space="preserve">Као део свеобухватног </w:t>
      </w:r>
      <w:r w:rsidRPr="00AD7E7D">
        <w:rPr>
          <w:rFonts w:eastAsia="Calibri" w:cs="Times New Roman"/>
          <w:szCs w:val="24"/>
          <w:lang w:eastAsia="ja-JP"/>
        </w:rPr>
        <w:t>побољшања квалитета и транспарентности статистике државних финансија</w:t>
      </w:r>
      <w:r w:rsidRPr="00AD7E7D">
        <w:rPr>
          <w:rFonts w:eastAsia="MS PGothic" w:cs="Times New Roman"/>
          <w:szCs w:val="24"/>
          <w:lang w:eastAsia="ja-JP"/>
        </w:rPr>
        <w:t xml:space="preserve">, и током 2024. године проширен је статистички обухват сектора државе, у складу са динамиком предвиђеном Законом о буџетском систему. Током претходне године обухват је проширен укључивањем здравствених установа са свим изворима </w:t>
      </w:r>
      <w:r w:rsidRPr="00AD7E7D">
        <w:rPr>
          <w:rFonts w:eastAsia="MS PGothic" w:cs="Times New Roman"/>
          <w:szCs w:val="24"/>
          <w:lang w:eastAsia="ja-JP"/>
        </w:rPr>
        <w:lastRenderedPageBreak/>
        <w:t xml:space="preserve">финансирања, док је током 2024. године у систем извештавања укључен </w:t>
      </w:r>
      <w:r w:rsidRPr="00AD7E7D">
        <w:rPr>
          <w:rFonts w:cs="Times New Roman"/>
          <w:szCs w:val="24"/>
          <w:lang w:eastAsia="ja-JP"/>
        </w:rPr>
        <w:t>један број ванбуџетских корисника (јавних агенција, научних института и др)</w:t>
      </w:r>
      <w:r w:rsidRPr="00AD7E7D">
        <w:rPr>
          <w:rFonts w:eastAsia="MS PGothic" w:cs="Times New Roman"/>
          <w:szCs w:val="24"/>
          <w:lang w:eastAsia="ja-JP"/>
        </w:rPr>
        <w:t xml:space="preserve">. По том основу у овој години, статистички обухват прихода и расхода сектора државе увећан је за 20,2 млрд динара. На приходној страни то се односи искључиво на категорију непореских прихода, док се на расходној страни највећи део увећања односи на расходе за запослене, а остатак на остале категорије. Због упоредивости, за исти износ коригован је и оригинални план, имајући у виду да се овде не ради о бољем остварењу прихода од плана, односно прекорачења плана код расхода, већ само о проширеном обухвату прихода и расхода које остварују наведене установе. </w:t>
      </w:r>
      <w:r w:rsidRPr="00AD7E7D">
        <w:rPr>
          <w:rFonts w:eastAsia="MS PGothic" w:cs="Times New Roman"/>
          <w:bCs/>
          <w:szCs w:val="24"/>
          <w:lang w:eastAsia="ja-JP"/>
        </w:rPr>
        <w:t xml:space="preserve">На овај начин, а према планираној динамици усклађивања обухвата сектора државе са међународним стандардима, поред повећања обима долази и до тачнијег приказа потрошње код крајњих корисника. </w:t>
      </w:r>
      <w:r w:rsidRPr="00AD7E7D">
        <w:rPr>
          <w:rFonts w:eastAsia="MS PGothic" w:cs="Times New Roman"/>
          <w:szCs w:val="24"/>
          <w:lang w:eastAsia="ja-JP"/>
        </w:rPr>
        <w:t>Поједине категорије расхода сада су обухваћене на економским класифика</w:t>
      </w:r>
      <w:r w:rsidR="00BF5A92">
        <w:rPr>
          <w:rFonts w:eastAsia="MS PGothic" w:cs="Times New Roman"/>
          <w:szCs w:val="24"/>
          <w:lang w:eastAsia="ja-JP"/>
        </w:rPr>
        <w:t>цијама на којима су и извршене.</w:t>
      </w:r>
    </w:p>
    <w:p w14:paraId="7AA8E9B1" w14:textId="77777777" w:rsidR="006D0778" w:rsidRPr="00BF5A92" w:rsidRDefault="006D0778" w:rsidP="006D0778">
      <w:pPr>
        <w:keepLines/>
        <w:widowControl w:val="0"/>
        <w:rPr>
          <w:rFonts w:eastAsia="Calibri" w:cs="Times New Roman"/>
          <w:i/>
          <w:szCs w:val="24"/>
          <w:lang w:val="sr-Cyrl-RS"/>
        </w:rPr>
      </w:pPr>
      <w:r w:rsidRPr="00BF5A92">
        <w:rPr>
          <w:rFonts w:eastAsia="Calibri" w:cs="Times New Roman"/>
          <w:i/>
          <w:szCs w:val="24"/>
          <w:lang w:val="sr-Cyrl-RS"/>
        </w:rPr>
        <w:t xml:space="preserve">Графикон </w:t>
      </w:r>
      <w:r w:rsidR="006C46A3">
        <w:rPr>
          <w:rFonts w:eastAsia="Calibri" w:cs="Times New Roman"/>
          <w:i/>
          <w:szCs w:val="24"/>
          <w:lang w:val="sr-Latn-RS"/>
        </w:rPr>
        <w:t>5</w:t>
      </w:r>
      <w:r w:rsidRPr="00BF5A92">
        <w:rPr>
          <w:rFonts w:eastAsia="Calibri" w:cs="Times New Roman"/>
          <w:i/>
          <w:szCs w:val="24"/>
          <w:lang w:val="sr-Cyrl-RS"/>
        </w:rPr>
        <w:t>. Допринос појединачних фактора корекцији фискалног резултата у односу на план за 2024. годину, % БДП</w:t>
      </w:r>
    </w:p>
    <w:p w14:paraId="3D1A3458" w14:textId="77777777" w:rsidR="006D0778" w:rsidRPr="00AD7E7D" w:rsidRDefault="006D0778" w:rsidP="006D0778">
      <w:pPr>
        <w:keepLines/>
        <w:widowControl w:val="0"/>
        <w:rPr>
          <w:rFonts w:eastAsia="Calibri" w:cs="Times New Roman"/>
          <w:szCs w:val="24"/>
          <w:lang w:val="sr-Cyrl-RS"/>
        </w:rPr>
      </w:pPr>
      <w:r w:rsidRPr="00AD7E7D">
        <w:rPr>
          <w:rFonts w:cs="Times New Roman"/>
          <w:noProof/>
          <w:szCs w:val="24"/>
        </w:rPr>
        <w:drawing>
          <wp:inline distT="0" distB="0" distL="0" distR="0" wp14:anchorId="5E9D5F41" wp14:editId="565C3AF8">
            <wp:extent cx="5829300" cy="4586605"/>
            <wp:effectExtent l="0" t="0" r="0" b="4445"/>
            <wp:docPr id="15" name="Chart 1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156F65A" w14:textId="77777777" w:rsidR="006D0778" w:rsidRPr="00AD7E7D" w:rsidRDefault="006D0778" w:rsidP="006D0778">
      <w:pPr>
        <w:rPr>
          <w:rFonts w:eastAsia="MS PGothic" w:cs="Times New Roman"/>
          <w:bCs/>
          <w:szCs w:val="24"/>
          <w:lang w:eastAsia="ja-JP"/>
        </w:rPr>
      </w:pPr>
      <w:r w:rsidRPr="00AD7E7D">
        <w:rPr>
          <w:rFonts w:eastAsia="MS PGothic" w:cs="Times New Roman"/>
          <w:szCs w:val="24"/>
          <w:lang w:eastAsia="ja-JP"/>
        </w:rPr>
        <w:t xml:space="preserve">Процена расхода сектора државе ревидираним фискалним оквиром повећана је за 232,1 млрд динара у односу на буџетски план. </w:t>
      </w:r>
      <w:r w:rsidRPr="00AD7E7D">
        <w:rPr>
          <w:rFonts w:eastAsia="MS PGothic" w:cs="Times New Roman"/>
          <w:bCs/>
          <w:szCs w:val="24"/>
          <w:lang w:eastAsia="ja-JP"/>
        </w:rPr>
        <w:t>При томе највеће је повећање капиталних расхода, док се највеће смањење односи на буџетске позајмице, где су планирана интервенцијска средства за енергетски сектор.</w:t>
      </w:r>
    </w:p>
    <w:p w14:paraId="7035A120" w14:textId="77777777" w:rsidR="006D0778" w:rsidRPr="00AD7E7D" w:rsidRDefault="006D0778" w:rsidP="006D0778">
      <w:pPr>
        <w:rPr>
          <w:rFonts w:eastAsia="MS PGothic" w:cs="Times New Roman"/>
          <w:szCs w:val="24"/>
          <w:lang w:eastAsia="ja-JP"/>
        </w:rPr>
      </w:pPr>
      <w:r w:rsidRPr="00AD7E7D">
        <w:rPr>
          <w:rFonts w:eastAsia="MS PGothic" w:cs="Times New Roman"/>
          <w:bCs/>
          <w:szCs w:val="24"/>
          <w:lang w:eastAsia="ja-JP"/>
        </w:rPr>
        <w:t xml:space="preserve">Процена расхода за запослене у 2024. години ревидирана је навише за 20,7 млрд динара. Ово је у највећој мери резултат измена начина обрачуна зарада запослених у просвети и Министарству унутрашњих послова. У ову процену (као и у оригинални план) укључени </w:t>
      </w:r>
      <w:r w:rsidRPr="00AD7E7D">
        <w:rPr>
          <w:rFonts w:eastAsia="MS PGothic" w:cs="Times New Roman"/>
          <w:bCs/>
          <w:szCs w:val="24"/>
          <w:lang w:eastAsia="ja-JP"/>
        </w:rPr>
        <w:lastRenderedPageBreak/>
        <w:t>су расходи за зараде који се финансирају из сопствених прихода јавних агенција и института, у износу од 17 млрд динара.</w:t>
      </w:r>
      <w:r w:rsidRPr="00AD7E7D">
        <w:rPr>
          <w:rFonts w:eastAsia="MS PGothic" w:cs="Times New Roman"/>
          <w:szCs w:val="24"/>
          <w:lang w:eastAsia="ja-JP"/>
        </w:rPr>
        <w:t xml:space="preserve"> Ова промена ће у складу са Законом о буџетском систему и посебним фискалним правилима, довести и до померања горње дозвољене границе учешћа расхода за зараде у БДП.</w:t>
      </w:r>
    </w:p>
    <w:p w14:paraId="54733EF0" w14:textId="77777777" w:rsidR="006D0778" w:rsidRPr="00AD7E7D" w:rsidRDefault="006D0778" w:rsidP="006D0778">
      <w:pPr>
        <w:rPr>
          <w:rFonts w:eastAsia="MS PGothic" w:cs="Times New Roman"/>
          <w:spacing w:val="2"/>
          <w:szCs w:val="24"/>
          <w:lang w:eastAsia="ja-JP"/>
        </w:rPr>
      </w:pPr>
      <w:r w:rsidRPr="00AD7E7D">
        <w:rPr>
          <w:rFonts w:eastAsia="MS PGothic" w:cs="Times New Roman"/>
          <w:spacing w:val="2"/>
          <w:szCs w:val="24"/>
          <w:lang w:eastAsia="ja-JP"/>
        </w:rPr>
        <w:t xml:space="preserve">Расходи за робе и услуге ревидирани су навише </w:t>
      </w:r>
      <w:r w:rsidRPr="00AD7E7D">
        <w:rPr>
          <w:rFonts w:eastAsia="MS PGothic" w:cs="Times New Roman"/>
          <w:spacing w:val="2"/>
          <w:szCs w:val="24"/>
          <w:lang w:val="sr-Cyrl-RS" w:eastAsia="ja-JP"/>
        </w:rPr>
        <w:t>з</w:t>
      </w:r>
      <w:r w:rsidRPr="00AD7E7D">
        <w:rPr>
          <w:rFonts w:eastAsia="MS PGothic" w:cs="Times New Roman"/>
          <w:spacing w:val="2"/>
          <w:szCs w:val="24"/>
          <w:lang w:eastAsia="ja-JP"/>
        </w:rPr>
        <w:t>а 34,1 млрд динара. Од тога се 15 млрд односи на повећање расхода РФЗО, 15 млрд на нивоу буџета Републике, док се остатак повећања односи на друге нивое власти.</w:t>
      </w:r>
      <w:r w:rsidR="00CF6476" w:rsidRPr="00AD7E7D">
        <w:rPr>
          <w:rFonts w:eastAsia="MS PGothic" w:cs="Times New Roman"/>
          <w:spacing w:val="2"/>
          <w:szCs w:val="24"/>
          <w:lang w:eastAsia="ja-JP"/>
        </w:rPr>
        <w:t xml:space="preserve"> </w:t>
      </w:r>
      <w:r w:rsidRPr="00AD7E7D">
        <w:rPr>
          <w:rFonts w:eastAsia="MS PGothic" w:cs="Times New Roman"/>
          <w:color w:val="FF0000"/>
          <w:spacing w:val="2"/>
          <w:szCs w:val="24"/>
          <w:lang w:eastAsia="ja-JP"/>
        </w:rPr>
        <w:t xml:space="preserve"> </w:t>
      </w:r>
      <w:r w:rsidRPr="00AD7E7D">
        <w:rPr>
          <w:rFonts w:eastAsia="MS PGothic" w:cs="Times New Roman"/>
          <w:spacing w:val="2"/>
          <w:szCs w:val="24"/>
          <w:lang w:eastAsia="ja-JP"/>
        </w:rPr>
        <w:t>Извршено је и укључивање расхода настало проширењем обухвата сектора државе, у износу од око 0,3 млрд динара.</w:t>
      </w:r>
    </w:p>
    <w:p w14:paraId="64424FD5" w14:textId="77777777" w:rsidR="006D0778" w:rsidRPr="00AD7E7D" w:rsidRDefault="006D0778" w:rsidP="006D0778">
      <w:pPr>
        <w:rPr>
          <w:rFonts w:eastAsia="MS PGothic" w:cs="Times New Roman"/>
          <w:spacing w:val="2"/>
          <w:szCs w:val="24"/>
          <w:lang w:eastAsia="ja-JP"/>
        </w:rPr>
      </w:pPr>
      <w:r w:rsidRPr="00AD7E7D">
        <w:rPr>
          <w:rFonts w:eastAsia="MS PGothic" w:cs="Times New Roman"/>
          <w:spacing w:val="2"/>
          <w:szCs w:val="24"/>
          <w:lang w:eastAsia="ja-JP"/>
        </w:rPr>
        <w:t>Процена расхода за камате ревидирана је овим фискалним оквиром навише за 1,7 млрд у односу на оригинални план.</w:t>
      </w:r>
    </w:p>
    <w:p w14:paraId="5EFD85A1" w14:textId="77777777" w:rsidR="006D0778" w:rsidRPr="00AD7E7D" w:rsidRDefault="006D0778" w:rsidP="006D0778">
      <w:pPr>
        <w:rPr>
          <w:rFonts w:eastAsia="MS PGothic" w:cs="Times New Roman"/>
          <w:szCs w:val="24"/>
          <w:lang w:eastAsia="ja-JP"/>
        </w:rPr>
      </w:pPr>
      <w:r w:rsidRPr="00AD7E7D">
        <w:rPr>
          <w:rFonts w:eastAsia="MS PGothic" w:cs="Times New Roman"/>
          <w:spacing w:val="2"/>
          <w:szCs w:val="24"/>
          <w:lang w:eastAsia="ja-JP"/>
        </w:rPr>
        <w:t>Расходи за субвенције значајно су ревидирани овим фискалним оквиром и то за 33,7 млрд динара</w:t>
      </w:r>
      <w:r w:rsidRPr="00AD7E7D">
        <w:rPr>
          <w:rFonts w:eastAsia="MS PGothic" w:cs="Times New Roman"/>
          <w:szCs w:val="24"/>
          <w:lang w:eastAsia="ja-JP"/>
        </w:rPr>
        <w:t>. Највећи део повећања односи се на субвенције у пољопривреди које су увећане за 17,6 млрд динара. Ово повећање обухвата веће исплате у сточарству, пчеларству и другим областима. Значајан део повећања износа субвенција односи се и на област енергетике, око 12 млрд динара, и то за модернизацију система за мерење потрошње електричне енергије. Остатак повећања односи се на област туризма,</w:t>
      </w:r>
      <w:r w:rsidR="002B1F9D" w:rsidRPr="00AD7E7D">
        <w:rPr>
          <w:rFonts w:eastAsia="MS PGothic" w:cs="Times New Roman"/>
          <w:szCs w:val="24"/>
          <w:lang w:val="sr-Cyrl-RS" w:eastAsia="ja-JP"/>
        </w:rPr>
        <w:t xml:space="preserve"> </w:t>
      </w:r>
      <w:r w:rsidRPr="00AD7E7D">
        <w:rPr>
          <w:rFonts w:eastAsia="MS PGothic" w:cs="Times New Roman"/>
          <w:szCs w:val="24"/>
          <w:lang w:eastAsia="ja-JP"/>
        </w:rPr>
        <w:t>заштите животне средине и спорта. По основу проширења обухвата сектора, у оквиру ове категорије расхода, приказано је 1,7 млрд динара.</w:t>
      </w:r>
    </w:p>
    <w:p w14:paraId="3EFC56DE" w14:textId="77777777" w:rsidR="006D0778" w:rsidRPr="00AD7E7D" w:rsidRDefault="006D0778" w:rsidP="006D0778">
      <w:pPr>
        <w:rPr>
          <w:rFonts w:eastAsia="MS PGothic" w:cs="Times New Roman"/>
          <w:szCs w:val="24"/>
          <w:lang w:eastAsia="ja-JP"/>
        </w:rPr>
      </w:pPr>
      <w:r w:rsidRPr="00AD7E7D">
        <w:rPr>
          <w:rFonts w:eastAsia="MS PGothic" w:cs="Times New Roman"/>
          <w:bCs/>
          <w:szCs w:val="24"/>
          <w:lang w:eastAsia="ja-JP"/>
        </w:rPr>
        <w:t>Расходи за социјалну заштиту ревидирани су навише за 37,5 млрд динара у односу на оригинални план. Значајан део повећања односи се на исплату обештећења породиљама по основу одлуке Уставног суда о начину обрачуна накнаде плате за време породиљског одсуства</w:t>
      </w:r>
      <w:r w:rsidRPr="00AD7E7D">
        <w:rPr>
          <w:rFonts w:eastAsia="MS PGothic" w:cs="Times New Roman"/>
          <w:szCs w:val="24"/>
          <w:lang w:eastAsia="ja-JP"/>
        </w:rPr>
        <w:t>. Ефекти ове одлуке имају и једнократни утицај за ретроактивну исплату по основу обрачуна овог права од 2018. године, али и трајни ефекат по основу повећања права за будуће породиље. Такођe усвојене су и измене регулативе финансијске подршке породици са децом, којима су значајно увећана давања по основу родитељског додатка. Део повећања је и резултат већег извршења ове категорије расхода током 2023. године.</w:t>
      </w:r>
    </w:p>
    <w:p w14:paraId="719D5345" w14:textId="77777777" w:rsidR="006D0778" w:rsidRPr="00AD7E7D" w:rsidRDefault="006D0778" w:rsidP="006D0778">
      <w:pPr>
        <w:rPr>
          <w:rFonts w:eastAsia="MS PGothic" w:cs="Times New Roman"/>
          <w:szCs w:val="24"/>
          <w:lang w:eastAsia="ja-JP"/>
        </w:rPr>
      </w:pPr>
      <w:r w:rsidRPr="00AD7E7D">
        <w:rPr>
          <w:rFonts w:eastAsia="MS PGothic" w:cs="Times New Roman"/>
          <w:bCs/>
          <w:szCs w:val="24"/>
          <w:lang w:eastAsia="ja-JP"/>
        </w:rPr>
        <w:t>Процена осталих текућих расхода у 2024. години у односу на оригинални план, о</w:t>
      </w:r>
      <w:r w:rsidR="002B1F9D" w:rsidRPr="00AD7E7D">
        <w:rPr>
          <w:rFonts w:eastAsia="MS PGothic" w:cs="Times New Roman"/>
          <w:bCs/>
          <w:szCs w:val="24"/>
          <w:lang w:eastAsia="ja-JP"/>
        </w:rPr>
        <w:t>вим оквиром повећана је за 20,5</w:t>
      </w:r>
      <w:r w:rsidRPr="00AD7E7D">
        <w:rPr>
          <w:rFonts w:eastAsia="MS PGothic" w:cs="Times New Roman"/>
          <w:bCs/>
          <w:szCs w:val="24"/>
          <w:lang w:eastAsia="ja-JP"/>
        </w:rPr>
        <w:t xml:space="preserve"> млрд динара у највећој мери због повећане процене извршења ове категорије расхода на нивоу буџета Републике.</w:t>
      </w:r>
      <w:r w:rsidR="00CF6476" w:rsidRPr="00AD7E7D">
        <w:rPr>
          <w:rFonts w:eastAsia="MS PGothic" w:cs="Times New Roman"/>
          <w:bCs/>
          <w:szCs w:val="24"/>
          <w:lang w:eastAsia="ja-JP"/>
        </w:rPr>
        <w:t xml:space="preserve"> </w:t>
      </w:r>
      <w:r w:rsidRPr="00AD7E7D">
        <w:rPr>
          <w:rFonts w:eastAsia="MS PGothic" w:cs="Times New Roman"/>
          <w:bCs/>
          <w:szCs w:val="24"/>
          <w:lang w:eastAsia="ja-JP"/>
        </w:rPr>
        <w:t>По основу проширења обухвата сектора државе</w:t>
      </w:r>
      <w:r w:rsidRPr="00AD7E7D">
        <w:rPr>
          <w:rFonts w:eastAsia="MS PGothic" w:cs="Times New Roman"/>
          <w:szCs w:val="24"/>
          <w:lang w:eastAsia="ja-JP"/>
        </w:rPr>
        <w:t>, у оквиру ове категорије расхода, приказано је 1,7 млрд динара.</w:t>
      </w:r>
    </w:p>
    <w:p w14:paraId="3B9068FD" w14:textId="77777777" w:rsidR="006D0778" w:rsidRPr="00AD7E7D" w:rsidRDefault="006D0778" w:rsidP="006D0778">
      <w:pPr>
        <w:rPr>
          <w:rFonts w:eastAsia="MS PGothic" w:cs="Times New Roman"/>
          <w:szCs w:val="24"/>
          <w:lang w:eastAsia="ja-JP"/>
        </w:rPr>
      </w:pPr>
      <w:r w:rsidRPr="00AD7E7D">
        <w:rPr>
          <w:rFonts w:eastAsia="MS PGothic" w:cs="Times New Roman"/>
          <w:bCs/>
          <w:szCs w:val="24"/>
          <w:lang w:eastAsia="ja-JP"/>
        </w:rPr>
        <w:t xml:space="preserve">Процењује се да ће реализација јавних инвестиција бити већа за 111,1 млрд динара од првобитног плана. Од тога се већина односи на инфраструктурне пројекте, односно изградњу путне и железничке инфраструктуре, као и за набавку опреме у сектору безбедности. Према проценама капитални расходи достижу ниво од 7,4% БДП у 2024. години. </w:t>
      </w:r>
      <w:r w:rsidRPr="00AD7E7D">
        <w:rPr>
          <w:rFonts w:eastAsia="MS PGothic" w:cs="Times New Roman"/>
          <w:szCs w:val="24"/>
          <w:lang w:eastAsia="ja-JP"/>
        </w:rPr>
        <w:t>Укључивање капиталних расхода јавних агенција и института довело је до повећања и оригиналног и ревидираног плана за 1,5 млрд динара.</w:t>
      </w:r>
    </w:p>
    <w:p w14:paraId="2E18938B" w14:textId="77777777" w:rsidR="006D0778" w:rsidRPr="00AD7E7D" w:rsidRDefault="006D0778" w:rsidP="006D0778">
      <w:pPr>
        <w:spacing w:after="240"/>
        <w:rPr>
          <w:rFonts w:eastAsia="MS PGothic" w:cs="Times New Roman"/>
          <w:bCs/>
          <w:szCs w:val="24"/>
          <w:lang w:val="sr-Cyrl-RS" w:eastAsia="ja-JP"/>
        </w:rPr>
      </w:pPr>
      <w:r w:rsidRPr="00AD7E7D">
        <w:rPr>
          <w:rFonts w:eastAsia="MS PGothic" w:cs="Times New Roman"/>
          <w:bCs/>
          <w:szCs w:val="24"/>
          <w:lang w:eastAsia="ja-JP"/>
        </w:rPr>
        <w:t>Планирани износ буџетских позајмица, у оквиру којих су предвиђена средстава за набавку енергената, значајно је ревидиран наниже у износу од 28,2 млрд динара. Проширење обухвата сектора државе деловало је и на ову категорију расхода, у смислу рекласификације дела расхода, који се извршава преко Фонда за развој, у износу од 2 млрд динара на друге категорије</w:t>
      </w:r>
    </w:p>
    <w:p w14:paraId="7FE108F8" w14:textId="77777777" w:rsidR="006D0778" w:rsidRPr="00BF5A92" w:rsidRDefault="006D0778" w:rsidP="006D0778">
      <w:pPr>
        <w:keepNext/>
        <w:rPr>
          <w:rFonts w:eastAsia="MS PGothic" w:cs="Times New Roman"/>
          <w:i/>
          <w:szCs w:val="24"/>
          <w:lang w:val="sr-Cyrl-RS" w:eastAsia="ja-JP"/>
        </w:rPr>
      </w:pPr>
      <w:r w:rsidRPr="00BF5A92">
        <w:rPr>
          <w:rFonts w:eastAsia="MS PGothic" w:cs="Times New Roman"/>
          <w:i/>
          <w:szCs w:val="24"/>
          <w:lang w:val="sr-Cyrl-RS" w:eastAsia="ja-JP"/>
        </w:rPr>
        <w:lastRenderedPageBreak/>
        <w:t>Табела 5. Приходи, расходи и резултат сектора државе, јануар–септембар, у млрд динара</w:t>
      </w:r>
    </w:p>
    <w:tbl>
      <w:tblPr>
        <w:tblW w:w="5000" w:type="pct"/>
        <w:jc w:val="right"/>
        <w:tblLook w:val="04A0" w:firstRow="1" w:lastRow="0" w:firstColumn="1" w:lastColumn="0" w:noHBand="0" w:noVBand="1"/>
      </w:tblPr>
      <w:tblGrid>
        <w:gridCol w:w="3800"/>
        <w:gridCol w:w="1258"/>
        <w:gridCol w:w="1625"/>
        <w:gridCol w:w="2343"/>
      </w:tblGrid>
      <w:tr w:rsidR="006D0778" w:rsidRPr="00AD7E7D" w14:paraId="4BA5B59F" w14:textId="77777777" w:rsidTr="00D2109C">
        <w:trPr>
          <w:trHeight w:val="242"/>
          <w:tblHeader/>
          <w:jc w:val="right"/>
        </w:trPr>
        <w:tc>
          <w:tcPr>
            <w:tcW w:w="2105" w:type="pct"/>
            <w:tcBorders>
              <w:top w:val="single" w:sz="4" w:space="0" w:color="002060"/>
            </w:tcBorders>
            <w:shd w:val="clear" w:color="auto" w:fill="auto"/>
            <w:noWrap/>
            <w:vAlign w:val="center"/>
            <w:hideMark/>
          </w:tcPr>
          <w:p w14:paraId="77220B40" w14:textId="77777777" w:rsidR="006D0778" w:rsidRPr="00AD7E7D" w:rsidRDefault="006D0778" w:rsidP="006D0778">
            <w:pPr>
              <w:spacing w:after="0"/>
              <w:rPr>
                <w:rFonts w:cs="Times New Roman"/>
                <w:szCs w:val="24"/>
              </w:rPr>
            </w:pPr>
          </w:p>
        </w:tc>
        <w:tc>
          <w:tcPr>
            <w:tcW w:w="697" w:type="pct"/>
            <w:tcBorders>
              <w:top w:val="single" w:sz="4" w:space="0" w:color="002060"/>
              <w:bottom w:val="single" w:sz="4" w:space="0" w:color="002060"/>
            </w:tcBorders>
            <w:shd w:val="clear" w:color="auto" w:fill="auto"/>
            <w:vAlign w:val="center"/>
            <w:hideMark/>
          </w:tcPr>
          <w:p w14:paraId="70168B83" w14:textId="77777777" w:rsidR="006D0778" w:rsidRPr="00AD7E7D" w:rsidRDefault="006D0778" w:rsidP="006D0778">
            <w:pPr>
              <w:spacing w:after="0"/>
              <w:jc w:val="center"/>
              <w:rPr>
                <w:rFonts w:eastAsia="MS PGothic" w:cs="Times New Roman"/>
                <w:szCs w:val="24"/>
                <w:lang w:eastAsia="ja-JP"/>
              </w:rPr>
            </w:pPr>
            <w:r w:rsidRPr="00AD7E7D">
              <w:rPr>
                <w:rFonts w:eastAsia="MS PGothic" w:cs="Times New Roman"/>
                <w:szCs w:val="24"/>
                <w:lang w:eastAsia="ja-JP"/>
              </w:rPr>
              <w:t xml:space="preserve"> I–I</w:t>
            </w:r>
            <w:r w:rsidRPr="00AD7E7D">
              <w:rPr>
                <w:rFonts w:eastAsia="MS PGothic" w:cs="Times New Roman"/>
                <w:szCs w:val="24"/>
                <w:lang w:val="sr-Latn-RS" w:eastAsia="ja-JP"/>
              </w:rPr>
              <w:t>X</w:t>
            </w:r>
            <w:r w:rsidRPr="00AD7E7D">
              <w:rPr>
                <w:rFonts w:eastAsia="MS PGothic" w:cs="Times New Roman"/>
                <w:szCs w:val="24"/>
                <w:lang w:eastAsia="ja-JP"/>
              </w:rPr>
              <w:t xml:space="preserve"> 2023</w:t>
            </w:r>
          </w:p>
        </w:tc>
        <w:tc>
          <w:tcPr>
            <w:tcW w:w="900" w:type="pct"/>
            <w:tcBorders>
              <w:top w:val="single" w:sz="4" w:space="0" w:color="002060"/>
              <w:bottom w:val="single" w:sz="4" w:space="0" w:color="002060"/>
            </w:tcBorders>
            <w:shd w:val="clear" w:color="auto" w:fill="auto"/>
            <w:vAlign w:val="center"/>
            <w:hideMark/>
          </w:tcPr>
          <w:p w14:paraId="2BF304C5" w14:textId="77777777" w:rsidR="006D0778" w:rsidRPr="00AD7E7D" w:rsidRDefault="006D0778" w:rsidP="006D0778">
            <w:pPr>
              <w:spacing w:after="0"/>
              <w:jc w:val="center"/>
              <w:rPr>
                <w:rFonts w:eastAsia="MS PGothic" w:cs="Times New Roman"/>
                <w:szCs w:val="24"/>
                <w:lang w:eastAsia="ja-JP"/>
              </w:rPr>
            </w:pPr>
            <w:r w:rsidRPr="00AD7E7D">
              <w:rPr>
                <w:rFonts w:eastAsia="MS PGothic" w:cs="Times New Roman"/>
                <w:szCs w:val="24"/>
                <w:lang w:eastAsia="ja-JP"/>
              </w:rPr>
              <w:t>I–IX 2024*</w:t>
            </w:r>
          </w:p>
        </w:tc>
        <w:tc>
          <w:tcPr>
            <w:tcW w:w="1298" w:type="pct"/>
            <w:tcBorders>
              <w:top w:val="single" w:sz="4" w:space="0" w:color="002060"/>
              <w:bottom w:val="single" w:sz="4" w:space="0" w:color="002060"/>
            </w:tcBorders>
            <w:shd w:val="clear" w:color="auto" w:fill="auto"/>
            <w:vAlign w:val="center"/>
            <w:hideMark/>
          </w:tcPr>
          <w:p w14:paraId="250ACDDD" w14:textId="77777777" w:rsidR="006D0778" w:rsidRPr="00AD7E7D" w:rsidRDefault="006D0778" w:rsidP="006D0778">
            <w:pPr>
              <w:spacing w:after="0"/>
              <w:jc w:val="center"/>
              <w:rPr>
                <w:rFonts w:eastAsia="MS PGothic" w:cs="Times New Roman"/>
                <w:szCs w:val="24"/>
                <w:lang w:eastAsia="ja-JP"/>
              </w:rPr>
            </w:pPr>
            <w:r w:rsidRPr="00AD7E7D">
              <w:rPr>
                <w:rFonts w:eastAsia="MS PGothic" w:cs="Times New Roman"/>
                <w:szCs w:val="24"/>
                <w:lang w:eastAsia="ja-JP"/>
              </w:rPr>
              <w:t xml:space="preserve">I-IX 2024/I-IX 2023 </w:t>
            </w:r>
          </w:p>
          <w:p w14:paraId="2A885806" w14:textId="77777777" w:rsidR="006D0778" w:rsidRPr="00AD7E7D" w:rsidRDefault="006D0778" w:rsidP="006D0778">
            <w:pPr>
              <w:spacing w:after="0"/>
              <w:jc w:val="center"/>
              <w:rPr>
                <w:rFonts w:eastAsia="MS PGothic" w:cs="Times New Roman"/>
                <w:szCs w:val="24"/>
                <w:lang w:eastAsia="ja-JP"/>
              </w:rPr>
            </w:pPr>
            <w:r w:rsidRPr="00AD7E7D">
              <w:rPr>
                <w:rFonts w:eastAsia="MS PGothic" w:cs="Times New Roman"/>
                <w:szCs w:val="24"/>
                <w:lang w:eastAsia="ja-JP"/>
              </w:rPr>
              <w:t>стопа раста у %</w:t>
            </w:r>
          </w:p>
        </w:tc>
      </w:tr>
      <w:tr w:rsidR="006D0778" w:rsidRPr="00AD7E7D" w14:paraId="6488A0A0" w14:textId="77777777" w:rsidTr="00D2109C">
        <w:trPr>
          <w:trHeight w:val="242"/>
          <w:tblHeader/>
          <w:jc w:val="right"/>
        </w:trPr>
        <w:tc>
          <w:tcPr>
            <w:tcW w:w="2105" w:type="pct"/>
            <w:shd w:val="clear" w:color="auto" w:fill="E7E6E6" w:themeFill="background2"/>
            <w:noWrap/>
            <w:vAlign w:val="center"/>
            <w:hideMark/>
          </w:tcPr>
          <w:p w14:paraId="2F356DA1" w14:textId="77777777" w:rsidR="006D0778" w:rsidRPr="00AD7E7D" w:rsidRDefault="006D0778" w:rsidP="006D0778">
            <w:pPr>
              <w:spacing w:after="0"/>
              <w:jc w:val="left"/>
              <w:rPr>
                <w:rFonts w:cs="Times New Roman"/>
                <w:szCs w:val="24"/>
              </w:rPr>
            </w:pPr>
            <w:r w:rsidRPr="00AD7E7D">
              <w:rPr>
                <w:rFonts w:eastAsia="MS PGothic" w:cs="Times New Roman"/>
                <w:szCs w:val="24"/>
                <w:lang w:eastAsia="ja-JP"/>
              </w:rPr>
              <w:t>ЈАВНИ ПРИХОДИ</w:t>
            </w:r>
          </w:p>
        </w:tc>
        <w:tc>
          <w:tcPr>
            <w:tcW w:w="697" w:type="pct"/>
            <w:tcBorders>
              <w:top w:val="single" w:sz="4" w:space="0" w:color="002060"/>
            </w:tcBorders>
            <w:shd w:val="clear" w:color="auto" w:fill="E7E6E6" w:themeFill="background2"/>
            <w:hideMark/>
          </w:tcPr>
          <w:p w14:paraId="2FBB7D4D"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2.516,7</w:t>
            </w:r>
          </w:p>
        </w:tc>
        <w:tc>
          <w:tcPr>
            <w:tcW w:w="900" w:type="pct"/>
            <w:tcBorders>
              <w:top w:val="single" w:sz="4" w:space="0" w:color="002060"/>
            </w:tcBorders>
            <w:shd w:val="clear" w:color="auto" w:fill="E7E6E6" w:themeFill="background2"/>
            <w:hideMark/>
          </w:tcPr>
          <w:p w14:paraId="46C2B536"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2.878,3</w:t>
            </w:r>
          </w:p>
        </w:tc>
        <w:tc>
          <w:tcPr>
            <w:tcW w:w="1298" w:type="pct"/>
            <w:tcBorders>
              <w:top w:val="single" w:sz="4" w:space="0" w:color="002060"/>
            </w:tcBorders>
            <w:shd w:val="clear" w:color="auto" w:fill="E7E6E6" w:themeFill="background2"/>
            <w:hideMark/>
          </w:tcPr>
          <w:p w14:paraId="36AEA1F9"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14,4</w:t>
            </w:r>
          </w:p>
        </w:tc>
      </w:tr>
      <w:tr w:rsidR="006D0778" w:rsidRPr="00AD7E7D" w14:paraId="20D563B1" w14:textId="77777777" w:rsidTr="00D2109C">
        <w:trPr>
          <w:trHeight w:val="242"/>
          <w:tblHeader/>
          <w:jc w:val="right"/>
        </w:trPr>
        <w:tc>
          <w:tcPr>
            <w:tcW w:w="2105" w:type="pct"/>
            <w:shd w:val="clear" w:color="auto" w:fill="auto"/>
            <w:noWrap/>
            <w:vAlign w:val="center"/>
            <w:hideMark/>
          </w:tcPr>
          <w:p w14:paraId="68870BCA" w14:textId="77777777" w:rsidR="006D0778" w:rsidRPr="00AD7E7D" w:rsidRDefault="006D0778" w:rsidP="006D0778">
            <w:pPr>
              <w:spacing w:after="0"/>
              <w:jc w:val="left"/>
              <w:rPr>
                <w:rFonts w:eastAsia="MS PGothic" w:cs="Times New Roman"/>
                <w:szCs w:val="24"/>
                <w:lang w:eastAsia="ja-JP"/>
              </w:rPr>
            </w:pPr>
            <w:r w:rsidRPr="00AD7E7D">
              <w:rPr>
                <w:rFonts w:eastAsia="MS PGothic" w:cs="Times New Roman"/>
                <w:szCs w:val="24"/>
                <w:lang w:eastAsia="ja-JP"/>
              </w:rPr>
              <w:t>Текући приходи</w:t>
            </w:r>
          </w:p>
        </w:tc>
        <w:tc>
          <w:tcPr>
            <w:tcW w:w="697" w:type="pct"/>
            <w:shd w:val="clear" w:color="auto" w:fill="auto"/>
            <w:hideMark/>
          </w:tcPr>
          <w:p w14:paraId="1FDC3347"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2.486,7</w:t>
            </w:r>
          </w:p>
        </w:tc>
        <w:tc>
          <w:tcPr>
            <w:tcW w:w="900" w:type="pct"/>
            <w:shd w:val="clear" w:color="auto" w:fill="auto"/>
            <w:noWrap/>
            <w:hideMark/>
          </w:tcPr>
          <w:p w14:paraId="5DA7FE09"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2.866,0</w:t>
            </w:r>
          </w:p>
        </w:tc>
        <w:tc>
          <w:tcPr>
            <w:tcW w:w="1298" w:type="pct"/>
            <w:shd w:val="clear" w:color="auto" w:fill="auto"/>
            <w:hideMark/>
          </w:tcPr>
          <w:p w14:paraId="10C997E8"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15,3</w:t>
            </w:r>
          </w:p>
        </w:tc>
      </w:tr>
      <w:tr w:rsidR="006D0778" w:rsidRPr="00AD7E7D" w14:paraId="57C8DB34" w14:textId="77777777" w:rsidTr="00D2109C">
        <w:trPr>
          <w:trHeight w:val="242"/>
          <w:tblHeader/>
          <w:jc w:val="right"/>
        </w:trPr>
        <w:tc>
          <w:tcPr>
            <w:tcW w:w="2105" w:type="pct"/>
            <w:shd w:val="clear" w:color="auto" w:fill="auto"/>
            <w:noWrap/>
            <w:vAlign w:val="center"/>
            <w:hideMark/>
          </w:tcPr>
          <w:p w14:paraId="355E50EC" w14:textId="77777777" w:rsidR="006D0778" w:rsidRPr="00AD7E7D" w:rsidRDefault="006D0778" w:rsidP="006D0778">
            <w:pPr>
              <w:spacing w:after="0"/>
              <w:jc w:val="left"/>
              <w:rPr>
                <w:rFonts w:eastAsia="MS PGothic" w:cs="Times New Roman"/>
                <w:szCs w:val="24"/>
                <w:lang w:eastAsia="ja-JP"/>
              </w:rPr>
            </w:pPr>
            <w:r w:rsidRPr="00AD7E7D">
              <w:rPr>
                <w:rFonts w:eastAsia="MS PGothic" w:cs="Times New Roman"/>
                <w:szCs w:val="24"/>
                <w:lang w:eastAsia="ja-JP"/>
              </w:rPr>
              <w:t xml:space="preserve"> Порески приходи</w:t>
            </w:r>
          </w:p>
        </w:tc>
        <w:tc>
          <w:tcPr>
            <w:tcW w:w="697" w:type="pct"/>
            <w:shd w:val="clear" w:color="auto" w:fill="auto"/>
            <w:hideMark/>
          </w:tcPr>
          <w:p w14:paraId="7E533C7B"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2.244,3</w:t>
            </w:r>
          </w:p>
        </w:tc>
        <w:tc>
          <w:tcPr>
            <w:tcW w:w="900" w:type="pct"/>
            <w:shd w:val="clear" w:color="auto" w:fill="auto"/>
            <w:hideMark/>
          </w:tcPr>
          <w:p w14:paraId="5A443737"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2.573,6</w:t>
            </w:r>
          </w:p>
        </w:tc>
        <w:tc>
          <w:tcPr>
            <w:tcW w:w="1298" w:type="pct"/>
            <w:shd w:val="clear" w:color="auto" w:fill="auto"/>
            <w:hideMark/>
          </w:tcPr>
          <w:p w14:paraId="06070EA1"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14,7</w:t>
            </w:r>
          </w:p>
        </w:tc>
      </w:tr>
      <w:tr w:rsidR="006D0778" w:rsidRPr="00AD7E7D" w14:paraId="345E761B" w14:textId="77777777" w:rsidTr="00D2109C">
        <w:trPr>
          <w:trHeight w:val="242"/>
          <w:tblHeader/>
          <w:jc w:val="right"/>
        </w:trPr>
        <w:tc>
          <w:tcPr>
            <w:tcW w:w="2105" w:type="pct"/>
            <w:shd w:val="clear" w:color="auto" w:fill="auto"/>
            <w:noWrap/>
            <w:vAlign w:val="center"/>
            <w:hideMark/>
          </w:tcPr>
          <w:p w14:paraId="4F8E33E1" w14:textId="77777777" w:rsidR="006D0778" w:rsidRPr="00AD7E7D" w:rsidRDefault="00CF6476" w:rsidP="006D0778">
            <w:pPr>
              <w:spacing w:after="0"/>
              <w:jc w:val="left"/>
              <w:rPr>
                <w:rFonts w:eastAsia="MS PGothic" w:cs="Times New Roman"/>
                <w:szCs w:val="24"/>
                <w:lang w:eastAsia="ja-JP"/>
              </w:rPr>
            </w:pPr>
            <w:r w:rsidRPr="00AD7E7D">
              <w:rPr>
                <w:rFonts w:eastAsia="MS PGothic" w:cs="Times New Roman"/>
                <w:szCs w:val="24"/>
                <w:lang w:eastAsia="ja-JP"/>
              </w:rPr>
              <w:t xml:space="preserve"> </w:t>
            </w:r>
            <w:r w:rsidR="006D0778" w:rsidRPr="00AD7E7D">
              <w:rPr>
                <w:rFonts w:eastAsia="MS PGothic" w:cs="Times New Roman"/>
                <w:szCs w:val="24"/>
                <w:lang w:eastAsia="ja-JP"/>
              </w:rPr>
              <w:t>Порез на доходак грађана</w:t>
            </w:r>
          </w:p>
        </w:tc>
        <w:tc>
          <w:tcPr>
            <w:tcW w:w="697" w:type="pct"/>
            <w:shd w:val="clear" w:color="auto" w:fill="auto"/>
            <w:hideMark/>
          </w:tcPr>
          <w:p w14:paraId="1D691E59"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251,5</w:t>
            </w:r>
          </w:p>
        </w:tc>
        <w:tc>
          <w:tcPr>
            <w:tcW w:w="900" w:type="pct"/>
            <w:shd w:val="clear" w:color="auto" w:fill="auto"/>
            <w:hideMark/>
          </w:tcPr>
          <w:p w14:paraId="64BE0D7A"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290,9</w:t>
            </w:r>
          </w:p>
        </w:tc>
        <w:tc>
          <w:tcPr>
            <w:tcW w:w="1298" w:type="pct"/>
            <w:shd w:val="clear" w:color="auto" w:fill="auto"/>
            <w:hideMark/>
          </w:tcPr>
          <w:p w14:paraId="6A17F6A8"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15,7</w:t>
            </w:r>
          </w:p>
        </w:tc>
      </w:tr>
      <w:tr w:rsidR="006D0778" w:rsidRPr="00AD7E7D" w14:paraId="654537EF" w14:textId="77777777" w:rsidTr="00D2109C">
        <w:trPr>
          <w:trHeight w:val="242"/>
          <w:tblHeader/>
          <w:jc w:val="right"/>
        </w:trPr>
        <w:tc>
          <w:tcPr>
            <w:tcW w:w="2105" w:type="pct"/>
            <w:shd w:val="clear" w:color="auto" w:fill="auto"/>
            <w:noWrap/>
            <w:vAlign w:val="center"/>
            <w:hideMark/>
          </w:tcPr>
          <w:p w14:paraId="26E5B2F1" w14:textId="77777777" w:rsidR="006D0778" w:rsidRPr="00AD7E7D" w:rsidRDefault="00CF6476" w:rsidP="006D0778">
            <w:pPr>
              <w:spacing w:after="0"/>
              <w:jc w:val="left"/>
              <w:rPr>
                <w:rFonts w:eastAsia="MS PGothic" w:cs="Times New Roman"/>
                <w:szCs w:val="24"/>
                <w:lang w:eastAsia="ja-JP"/>
              </w:rPr>
            </w:pPr>
            <w:r w:rsidRPr="00AD7E7D">
              <w:rPr>
                <w:rFonts w:eastAsia="MS PGothic" w:cs="Times New Roman"/>
                <w:szCs w:val="24"/>
                <w:lang w:eastAsia="ja-JP"/>
              </w:rPr>
              <w:t xml:space="preserve"> </w:t>
            </w:r>
            <w:r w:rsidR="006D0778" w:rsidRPr="00AD7E7D">
              <w:rPr>
                <w:rFonts w:eastAsia="MS PGothic" w:cs="Times New Roman"/>
                <w:szCs w:val="24"/>
                <w:lang w:eastAsia="ja-JP"/>
              </w:rPr>
              <w:t>Порез на добит правних лица</w:t>
            </w:r>
          </w:p>
        </w:tc>
        <w:tc>
          <w:tcPr>
            <w:tcW w:w="697" w:type="pct"/>
            <w:shd w:val="clear" w:color="auto" w:fill="auto"/>
            <w:hideMark/>
          </w:tcPr>
          <w:p w14:paraId="550E85D1"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220,6</w:t>
            </w:r>
          </w:p>
        </w:tc>
        <w:tc>
          <w:tcPr>
            <w:tcW w:w="900" w:type="pct"/>
            <w:shd w:val="clear" w:color="auto" w:fill="auto"/>
            <w:hideMark/>
          </w:tcPr>
          <w:p w14:paraId="29307A98"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245,1</w:t>
            </w:r>
          </w:p>
        </w:tc>
        <w:tc>
          <w:tcPr>
            <w:tcW w:w="1298" w:type="pct"/>
            <w:shd w:val="clear" w:color="auto" w:fill="auto"/>
            <w:hideMark/>
          </w:tcPr>
          <w:p w14:paraId="43DBE0A0"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11,1</w:t>
            </w:r>
          </w:p>
        </w:tc>
      </w:tr>
      <w:tr w:rsidR="006D0778" w:rsidRPr="00AD7E7D" w14:paraId="76A44EB6" w14:textId="77777777" w:rsidTr="00D2109C">
        <w:trPr>
          <w:trHeight w:val="242"/>
          <w:tblHeader/>
          <w:jc w:val="right"/>
        </w:trPr>
        <w:tc>
          <w:tcPr>
            <w:tcW w:w="2105" w:type="pct"/>
            <w:shd w:val="clear" w:color="auto" w:fill="auto"/>
            <w:noWrap/>
            <w:vAlign w:val="center"/>
            <w:hideMark/>
          </w:tcPr>
          <w:p w14:paraId="2B7FB58D" w14:textId="77777777" w:rsidR="006D0778" w:rsidRPr="00AD7E7D" w:rsidRDefault="00CF6476" w:rsidP="006D0778">
            <w:pPr>
              <w:spacing w:after="0"/>
              <w:jc w:val="left"/>
              <w:rPr>
                <w:rFonts w:eastAsia="MS PGothic" w:cs="Times New Roman"/>
                <w:szCs w:val="24"/>
                <w:lang w:eastAsia="ja-JP"/>
              </w:rPr>
            </w:pPr>
            <w:r w:rsidRPr="00AD7E7D">
              <w:rPr>
                <w:rFonts w:eastAsia="MS PGothic" w:cs="Times New Roman"/>
                <w:szCs w:val="24"/>
                <w:lang w:eastAsia="ja-JP"/>
              </w:rPr>
              <w:t xml:space="preserve"> </w:t>
            </w:r>
            <w:r w:rsidR="006D0778" w:rsidRPr="00AD7E7D">
              <w:rPr>
                <w:rFonts w:eastAsia="MS PGothic" w:cs="Times New Roman"/>
                <w:szCs w:val="24"/>
                <w:lang w:eastAsia="ja-JP"/>
              </w:rPr>
              <w:t>ПДВ</w:t>
            </w:r>
          </w:p>
        </w:tc>
        <w:tc>
          <w:tcPr>
            <w:tcW w:w="697" w:type="pct"/>
            <w:shd w:val="clear" w:color="auto" w:fill="auto"/>
            <w:hideMark/>
          </w:tcPr>
          <w:p w14:paraId="5D64A103"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598,6</w:t>
            </w:r>
          </w:p>
        </w:tc>
        <w:tc>
          <w:tcPr>
            <w:tcW w:w="900" w:type="pct"/>
            <w:shd w:val="clear" w:color="auto" w:fill="auto"/>
            <w:hideMark/>
          </w:tcPr>
          <w:p w14:paraId="7881D22B"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697,7</w:t>
            </w:r>
          </w:p>
        </w:tc>
        <w:tc>
          <w:tcPr>
            <w:tcW w:w="1298" w:type="pct"/>
            <w:shd w:val="clear" w:color="auto" w:fill="auto"/>
            <w:hideMark/>
          </w:tcPr>
          <w:p w14:paraId="2768B2E9"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16,6</w:t>
            </w:r>
          </w:p>
        </w:tc>
      </w:tr>
      <w:tr w:rsidR="006D0778" w:rsidRPr="00AD7E7D" w14:paraId="263B1DE1" w14:textId="77777777" w:rsidTr="00D2109C">
        <w:trPr>
          <w:trHeight w:val="242"/>
          <w:tblHeader/>
          <w:jc w:val="right"/>
        </w:trPr>
        <w:tc>
          <w:tcPr>
            <w:tcW w:w="2105" w:type="pct"/>
            <w:shd w:val="clear" w:color="auto" w:fill="auto"/>
            <w:noWrap/>
            <w:vAlign w:val="center"/>
            <w:hideMark/>
          </w:tcPr>
          <w:p w14:paraId="186C938E" w14:textId="77777777" w:rsidR="006D0778" w:rsidRPr="00AD7E7D" w:rsidRDefault="00CF6476" w:rsidP="006D0778">
            <w:pPr>
              <w:spacing w:after="0"/>
              <w:jc w:val="left"/>
              <w:rPr>
                <w:rFonts w:eastAsia="MS PGothic" w:cs="Times New Roman"/>
                <w:szCs w:val="24"/>
                <w:lang w:eastAsia="ja-JP"/>
              </w:rPr>
            </w:pPr>
            <w:r w:rsidRPr="00AD7E7D">
              <w:rPr>
                <w:rFonts w:eastAsia="MS PGothic" w:cs="Times New Roman"/>
                <w:szCs w:val="24"/>
                <w:lang w:eastAsia="ja-JP"/>
              </w:rPr>
              <w:t xml:space="preserve"> </w:t>
            </w:r>
            <w:r w:rsidR="006D0778" w:rsidRPr="00AD7E7D">
              <w:rPr>
                <w:rFonts w:eastAsia="MS PGothic" w:cs="Times New Roman"/>
                <w:szCs w:val="24"/>
                <w:lang w:eastAsia="ja-JP"/>
              </w:rPr>
              <w:t>Акцизе</w:t>
            </w:r>
          </w:p>
        </w:tc>
        <w:tc>
          <w:tcPr>
            <w:tcW w:w="697" w:type="pct"/>
            <w:shd w:val="clear" w:color="auto" w:fill="auto"/>
            <w:hideMark/>
          </w:tcPr>
          <w:p w14:paraId="186576BF"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269,4</w:t>
            </w:r>
          </w:p>
        </w:tc>
        <w:tc>
          <w:tcPr>
            <w:tcW w:w="900" w:type="pct"/>
            <w:shd w:val="clear" w:color="auto" w:fill="auto"/>
            <w:hideMark/>
          </w:tcPr>
          <w:p w14:paraId="07892DCB"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306,5</w:t>
            </w:r>
          </w:p>
        </w:tc>
        <w:tc>
          <w:tcPr>
            <w:tcW w:w="1298" w:type="pct"/>
            <w:shd w:val="clear" w:color="auto" w:fill="auto"/>
            <w:hideMark/>
          </w:tcPr>
          <w:p w14:paraId="34AE8543"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13,7</w:t>
            </w:r>
          </w:p>
        </w:tc>
      </w:tr>
      <w:tr w:rsidR="006D0778" w:rsidRPr="00AD7E7D" w14:paraId="1C42B0B1" w14:textId="77777777" w:rsidTr="00D2109C">
        <w:trPr>
          <w:trHeight w:val="242"/>
          <w:tblHeader/>
          <w:jc w:val="right"/>
        </w:trPr>
        <w:tc>
          <w:tcPr>
            <w:tcW w:w="2105" w:type="pct"/>
            <w:shd w:val="clear" w:color="auto" w:fill="auto"/>
            <w:noWrap/>
            <w:vAlign w:val="center"/>
            <w:hideMark/>
          </w:tcPr>
          <w:p w14:paraId="44F5FF9A" w14:textId="77777777" w:rsidR="006D0778" w:rsidRPr="00AD7E7D" w:rsidRDefault="00CF6476" w:rsidP="006D0778">
            <w:pPr>
              <w:spacing w:after="0"/>
              <w:jc w:val="left"/>
              <w:rPr>
                <w:rFonts w:eastAsia="MS PGothic" w:cs="Times New Roman"/>
                <w:szCs w:val="24"/>
                <w:lang w:eastAsia="ja-JP"/>
              </w:rPr>
            </w:pPr>
            <w:r w:rsidRPr="00AD7E7D">
              <w:rPr>
                <w:rFonts w:eastAsia="MS PGothic" w:cs="Times New Roman"/>
                <w:szCs w:val="24"/>
                <w:lang w:eastAsia="ja-JP"/>
              </w:rPr>
              <w:t xml:space="preserve"> </w:t>
            </w:r>
            <w:r w:rsidR="006D0778" w:rsidRPr="00AD7E7D">
              <w:rPr>
                <w:rFonts w:eastAsia="MS PGothic" w:cs="Times New Roman"/>
                <w:szCs w:val="24"/>
                <w:lang w:eastAsia="ja-JP"/>
              </w:rPr>
              <w:t>Царине</w:t>
            </w:r>
          </w:p>
        </w:tc>
        <w:tc>
          <w:tcPr>
            <w:tcW w:w="697" w:type="pct"/>
            <w:shd w:val="clear" w:color="auto" w:fill="auto"/>
            <w:hideMark/>
          </w:tcPr>
          <w:p w14:paraId="2C5B9FFF"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59,1</w:t>
            </w:r>
          </w:p>
        </w:tc>
        <w:tc>
          <w:tcPr>
            <w:tcW w:w="900" w:type="pct"/>
            <w:shd w:val="clear" w:color="auto" w:fill="auto"/>
            <w:hideMark/>
          </w:tcPr>
          <w:p w14:paraId="5215C670"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64,7</w:t>
            </w:r>
          </w:p>
        </w:tc>
        <w:tc>
          <w:tcPr>
            <w:tcW w:w="1298" w:type="pct"/>
            <w:shd w:val="clear" w:color="auto" w:fill="auto"/>
            <w:hideMark/>
          </w:tcPr>
          <w:p w14:paraId="286A977F"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12,0</w:t>
            </w:r>
          </w:p>
        </w:tc>
      </w:tr>
      <w:tr w:rsidR="006D0778" w:rsidRPr="00AD7E7D" w14:paraId="1455A3CC" w14:textId="77777777" w:rsidTr="00D2109C">
        <w:trPr>
          <w:trHeight w:val="242"/>
          <w:tblHeader/>
          <w:jc w:val="right"/>
        </w:trPr>
        <w:tc>
          <w:tcPr>
            <w:tcW w:w="2105" w:type="pct"/>
            <w:shd w:val="clear" w:color="auto" w:fill="auto"/>
            <w:noWrap/>
            <w:vAlign w:val="center"/>
            <w:hideMark/>
          </w:tcPr>
          <w:p w14:paraId="458129B4" w14:textId="77777777" w:rsidR="006D0778" w:rsidRPr="00AD7E7D" w:rsidRDefault="00CF6476" w:rsidP="006D0778">
            <w:pPr>
              <w:spacing w:after="0"/>
              <w:jc w:val="left"/>
              <w:rPr>
                <w:rFonts w:eastAsia="MS PGothic" w:cs="Times New Roman"/>
                <w:szCs w:val="24"/>
                <w:lang w:eastAsia="ja-JP"/>
              </w:rPr>
            </w:pPr>
            <w:r w:rsidRPr="00AD7E7D">
              <w:rPr>
                <w:rFonts w:eastAsia="MS PGothic" w:cs="Times New Roman"/>
                <w:szCs w:val="24"/>
                <w:lang w:eastAsia="ja-JP"/>
              </w:rPr>
              <w:t xml:space="preserve"> </w:t>
            </w:r>
            <w:r w:rsidR="006D0778" w:rsidRPr="00AD7E7D">
              <w:rPr>
                <w:rFonts w:eastAsia="MS PGothic" w:cs="Times New Roman"/>
                <w:szCs w:val="24"/>
                <w:lang w:eastAsia="ja-JP"/>
              </w:rPr>
              <w:t>Остали порески приходи</w:t>
            </w:r>
          </w:p>
        </w:tc>
        <w:tc>
          <w:tcPr>
            <w:tcW w:w="697" w:type="pct"/>
            <w:shd w:val="clear" w:color="auto" w:fill="auto"/>
            <w:hideMark/>
          </w:tcPr>
          <w:p w14:paraId="0729A919"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79,5</w:t>
            </w:r>
          </w:p>
        </w:tc>
        <w:tc>
          <w:tcPr>
            <w:tcW w:w="900" w:type="pct"/>
            <w:shd w:val="clear" w:color="auto" w:fill="auto"/>
            <w:hideMark/>
          </w:tcPr>
          <w:p w14:paraId="6448DB3A"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84,3</w:t>
            </w:r>
          </w:p>
        </w:tc>
        <w:tc>
          <w:tcPr>
            <w:tcW w:w="1298" w:type="pct"/>
            <w:shd w:val="clear" w:color="auto" w:fill="auto"/>
            <w:hideMark/>
          </w:tcPr>
          <w:p w14:paraId="5A0F3448"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6,0</w:t>
            </w:r>
          </w:p>
        </w:tc>
      </w:tr>
      <w:tr w:rsidR="006D0778" w:rsidRPr="00AD7E7D" w14:paraId="1AEF165F" w14:textId="77777777" w:rsidTr="00D2109C">
        <w:trPr>
          <w:trHeight w:val="242"/>
          <w:tblHeader/>
          <w:jc w:val="right"/>
        </w:trPr>
        <w:tc>
          <w:tcPr>
            <w:tcW w:w="2105" w:type="pct"/>
            <w:shd w:val="clear" w:color="auto" w:fill="auto"/>
            <w:noWrap/>
            <w:vAlign w:val="center"/>
            <w:hideMark/>
          </w:tcPr>
          <w:p w14:paraId="34798354" w14:textId="77777777" w:rsidR="006D0778" w:rsidRPr="00AD7E7D" w:rsidRDefault="00CF6476" w:rsidP="006D0778">
            <w:pPr>
              <w:spacing w:after="0"/>
              <w:jc w:val="left"/>
              <w:rPr>
                <w:rFonts w:eastAsia="MS PGothic" w:cs="Times New Roman"/>
                <w:szCs w:val="24"/>
                <w:lang w:eastAsia="ja-JP"/>
              </w:rPr>
            </w:pPr>
            <w:r w:rsidRPr="00AD7E7D">
              <w:rPr>
                <w:rFonts w:eastAsia="MS PGothic" w:cs="Times New Roman"/>
                <w:szCs w:val="24"/>
                <w:lang w:eastAsia="ja-JP"/>
              </w:rPr>
              <w:t xml:space="preserve"> </w:t>
            </w:r>
            <w:r w:rsidR="006D0778" w:rsidRPr="00AD7E7D">
              <w:rPr>
                <w:rFonts w:eastAsia="MS PGothic" w:cs="Times New Roman"/>
                <w:szCs w:val="24"/>
                <w:lang w:eastAsia="ja-JP"/>
              </w:rPr>
              <w:t>Доприноси</w:t>
            </w:r>
          </w:p>
        </w:tc>
        <w:tc>
          <w:tcPr>
            <w:tcW w:w="697" w:type="pct"/>
            <w:shd w:val="clear" w:color="auto" w:fill="auto"/>
            <w:hideMark/>
          </w:tcPr>
          <w:p w14:paraId="34B00C87"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765,6</w:t>
            </w:r>
          </w:p>
        </w:tc>
        <w:tc>
          <w:tcPr>
            <w:tcW w:w="900" w:type="pct"/>
            <w:shd w:val="clear" w:color="auto" w:fill="auto"/>
            <w:hideMark/>
          </w:tcPr>
          <w:p w14:paraId="60DD56CE"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884,4</w:t>
            </w:r>
          </w:p>
        </w:tc>
        <w:tc>
          <w:tcPr>
            <w:tcW w:w="1298" w:type="pct"/>
            <w:shd w:val="clear" w:color="auto" w:fill="auto"/>
            <w:hideMark/>
          </w:tcPr>
          <w:p w14:paraId="26580CC8"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15,5</w:t>
            </w:r>
          </w:p>
        </w:tc>
      </w:tr>
      <w:tr w:rsidR="006D0778" w:rsidRPr="00AD7E7D" w14:paraId="3BA11CB5" w14:textId="77777777" w:rsidTr="00D2109C">
        <w:trPr>
          <w:trHeight w:val="242"/>
          <w:tblHeader/>
          <w:jc w:val="right"/>
        </w:trPr>
        <w:tc>
          <w:tcPr>
            <w:tcW w:w="2105" w:type="pct"/>
            <w:shd w:val="clear" w:color="auto" w:fill="auto"/>
            <w:noWrap/>
            <w:vAlign w:val="center"/>
            <w:hideMark/>
          </w:tcPr>
          <w:p w14:paraId="6139F973" w14:textId="77777777" w:rsidR="006D0778" w:rsidRPr="00AD7E7D" w:rsidRDefault="006D0778" w:rsidP="006D0778">
            <w:pPr>
              <w:spacing w:after="0"/>
              <w:jc w:val="left"/>
              <w:rPr>
                <w:rFonts w:eastAsia="MS PGothic" w:cs="Times New Roman"/>
                <w:szCs w:val="24"/>
                <w:lang w:eastAsia="ja-JP"/>
              </w:rPr>
            </w:pPr>
            <w:r w:rsidRPr="00AD7E7D">
              <w:rPr>
                <w:rFonts w:eastAsia="MS PGothic" w:cs="Times New Roman"/>
                <w:szCs w:val="24"/>
                <w:lang w:eastAsia="ja-JP"/>
              </w:rPr>
              <w:t xml:space="preserve"> Непорески приходи</w:t>
            </w:r>
          </w:p>
        </w:tc>
        <w:tc>
          <w:tcPr>
            <w:tcW w:w="697" w:type="pct"/>
            <w:shd w:val="clear" w:color="auto" w:fill="auto"/>
            <w:hideMark/>
          </w:tcPr>
          <w:p w14:paraId="0823A0CD"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242,3</w:t>
            </w:r>
          </w:p>
        </w:tc>
        <w:tc>
          <w:tcPr>
            <w:tcW w:w="900" w:type="pct"/>
            <w:shd w:val="clear" w:color="auto" w:fill="auto"/>
            <w:hideMark/>
          </w:tcPr>
          <w:p w14:paraId="59DC7ACA"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292,4</w:t>
            </w:r>
          </w:p>
        </w:tc>
        <w:tc>
          <w:tcPr>
            <w:tcW w:w="1298" w:type="pct"/>
            <w:shd w:val="clear" w:color="auto" w:fill="auto"/>
            <w:hideMark/>
          </w:tcPr>
          <w:p w14:paraId="7A5F7890"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20,7</w:t>
            </w:r>
          </w:p>
        </w:tc>
      </w:tr>
      <w:tr w:rsidR="006D0778" w:rsidRPr="00AD7E7D" w14:paraId="07B1F5F4" w14:textId="77777777" w:rsidTr="00D2109C">
        <w:trPr>
          <w:trHeight w:val="242"/>
          <w:tblHeader/>
          <w:jc w:val="right"/>
        </w:trPr>
        <w:tc>
          <w:tcPr>
            <w:tcW w:w="2105" w:type="pct"/>
            <w:shd w:val="clear" w:color="auto" w:fill="auto"/>
            <w:noWrap/>
            <w:vAlign w:val="center"/>
            <w:hideMark/>
          </w:tcPr>
          <w:p w14:paraId="2ED710EA" w14:textId="77777777" w:rsidR="006D0778" w:rsidRPr="00AD7E7D" w:rsidRDefault="006D0778" w:rsidP="006D0778">
            <w:pPr>
              <w:spacing w:after="0"/>
              <w:jc w:val="left"/>
              <w:rPr>
                <w:rFonts w:eastAsia="MS PGothic" w:cs="Times New Roman"/>
                <w:szCs w:val="24"/>
                <w:lang w:eastAsia="ja-JP"/>
              </w:rPr>
            </w:pPr>
            <w:r w:rsidRPr="00AD7E7D">
              <w:rPr>
                <w:rFonts w:eastAsia="MS PGothic" w:cs="Times New Roman"/>
                <w:szCs w:val="24"/>
                <w:lang w:eastAsia="ja-JP"/>
              </w:rPr>
              <w:t xml:space="preserve"> Донације</w:t>
            </w:r>
          </w:p>
        </w:tc>
        <w:tc>
          <w:tcPr>
            <w:tcW w:w="697" w:type="pct"/>
            <w:shd w:val="clear" w:color="auto" w:fill="auto"/>
            <w:hideMark/>
          </w:tcPr>
          <w:p w14:paraId="0BB0AD97"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30,0</w:t>
            </w:r>
          </w:p>
        </w:tc>
        <w:tc>
          <w:tcPr>
            <w:tcW w:w="900" w:type="pct"/>
            <w:shd w:val="clear" w:color="auto" w:fill="auto"/>
            <w:hideMark/>
          </w:tcPr>
          <w:p w14:paraId="14001F66"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12,3</w:t>
            </w:r>
          </w:p>
        </w:tc>
        <w:tc>
          <w:tcPr>
            <w:tcW w:w="1298" w:type="pct"/>
            <w:shd w:val="clear" w:color="auto" w:fill="auto"/>
            <w:hideMark/>
          </w:tcPr>
          <w:p w14:paraId="63C13F9A"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-59,1</w:t>
            </w:r>
          </w:p>
        </w:tc>
      </w:tr>
      <w:tr w:rsidR="006D0778" w:rsidRPr="00AD7E7D" w14:paraId="4A0D93AF" w14:textId="77777777" w:rsidTr="00D2109C">
        <w:trPr>
          <w:trHeight w:val="242"/>
          <w:tblHeader/>
          <w:jc w:val="right"/>
        </w:trPr>
        <w:tc>
          <w:tcPr>
            <w:tcW w:w="2105" w:type="pct"/>
            <w:shd w:val="clear" w:color="auto" w:fill="E7E6E6" w:themeFill="background2"/>
            <w:noWrap/>
            <w:vAlign w:val="center"/>
            <w:hideMark/>
          </w:tcPr>
          <w:p w14:paraId="5135408C" w14:textId="77777777" w:rsidR="006D0778" w:rsidRPr="00AD7E7D" w:rsidRDefault="006D0778" w:rsidP="006D0778">
            <w:pPr>
              <w:spacing w:after="0"/>
              <w:jc w:val="left"/>
              <w:rPr>
                <w:rFonts w:cs="Times New Roman"/>
                <w:szCs w:val="24"/>
              </w:rPr>
            </w:pPr>
            <w:r w:rsidRPr="00AD7E7D">
              <w:rPr>
                <w:rFonts w:eastAsia="MS PGothic" w:cs="Times New Roman"/>
                <w:szCs w:val="24"/>
                <w:lang w:eastAsia="ja-JP"/>
              </w:rPr>
              <w:t>ЈАВНИ РАСХОДИ</w:t>
            </w:r>
          </w:p>
        </w:tc>
        <w:tc>
          <w:tcPr>
            <w:tcW w:w="697" w:type="pct"/>
            <w:shd w:val="clear" w:color="auto" w:fill="E7E6E6" w:themeFill="background2"/>
            <w:hideMark/>
          </w:tcPr>
          <w:p w14:paraId="02FA0977"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2.500,9</w:t>
            </w:r>
          </w:p>
        </w:tc>
        <w:tc>
          <w:tcPr>
            <w:tcW w:w="900" w:type="pct"/>
            <w:shd w:val="clear" w:color="auto" w:fill="E7E6E6" w:themeFill="background2"/>
            <w:noWrap/>
            <w:hideMark/>
          </w:tcPr>
          <w:p w14:paraId="4D49BC19"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2.849,2</w:t>
            </w:r>
          </w:p>
        </w:tc>
        <w:tc>
          <w:tcPr>
            <w:tcW w:w="1298" w:type="pct"/>
            <w:shd w:val="clear" w:color="auto" w:fill="E7E6E6" w:themeFill="background2"/>
            <w:hideMark/>
          </w:tcPr>
          <w:p w14:paraId="20C1E8D2"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13,9</w:t>
            </w:r>
          </w:p>
        </w:tc>
      </w:tr>
      <w:tr w:rsidR="006D0778" w:rsidRPr="00AD7E7D" w14:paraId="3A37679A" w14:textId="77777777" w:rsidTr="00D2109C">
        <w:trPr>
          <w:trHeight w:val="242"/>
          <w:tblHeader/>
          <w:jc w:val="right"/>
        </w:trPr>
        <w:tc>
          <w:tcPr>
            <w:tcW w:w="2105" w:type="pct"/>
            <w:shd w:val="clear" w:color="auto" w:fill="auto"/>
            <w:noWrap/>
            <w:vAlign w:val="center"/>
            <w:hideMark/>
          </w:tcPr>
          <w:p w14:paraId="05E780C9" w14:textId="77777777" w:rsidR="006D0778" w:rsidRPr="00AD7E7D" w:rsidRDefault="006D0778" w:rsidP="006D0778">
            <w:pPr>
              <w:spacing w:after="0"/>
              <w:jc w:val="left"/>
              <w:rPr>
                <w:rFonts w:eastAsia="MS PGothic" w:cs="Times New Roman"/>
                <w:szCs w:val="24"/>
                <w:lang w:eastAsia="ja-JP"/>
              </w:rPr>
            </w:pPr>
            <w:r w:rsidRPr="00AD7E7D">
              <w:rPr>
                <w:rFonts w:eastAsia="MS PGothic" w:cs="Times New Roman"/>
                <w:szCs w:val="24"/>
                <w:lang w:eastAsia="ja-JP"/>
              </w:rPr>
              <w:t>Текући расходи</w:t>
            </w:r>
          </w:p>
        </w:tc>
        <w:tc>
          <w:tcPr>
            <w:tcW w:w="697" w:type="pct"/>
            <w:shd w:val="clear" w:color="auto" w:fill="auto"/>
            <w:hideMark/>
          </w:tcPr>
          <w:p w14:paraId="1D445B30"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2.120,0</w:t>
            </w:r>
          </w:p>
        </w:tc>
        <w:tc>
          <w:tcPr>
            <w:tcW w:w="900" w:type="pct"/>
            <w:shd w:val="clear" w:color="auto" w:fill="auto"/>
            <w:noWrap/>
            <w:hideMark/>
          </w:tcPr>
          <w:p w14:paraId="626B14CE"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2.445,6</w:t>
            </w:r>
          </w:p>
        </w:tc>
        <w:tc>
          <w:tcPr>
            <w:tcW w:w="1298" w:type="pct"/>
            <w:shd w:val="clear" w:color="auto" w:fill="auto"/>
            <w:hideMark/>
          </w:tcPr>
          <w:p w14:paraId="410A10E8"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15,4</w:t>
            </w:r>
          </w:p>
        </w:tc>
      </w:tr>
      <w:tr w:rsidR="006D0778" w:rsidRPr="00AD7E7D" w14:paraId="7169C29F" w14:textId="77777777" w:rsidTr="00D2109C">
        <w:trPr>
          <w:trHeight w:val="242"/>
          <w:tblHeader/>
          <w:jc w:val="right"/>
        </w:trPr>
        <w:tc>
          <w:tcPr>
            <w:tcW w:w="2105" w:type="pct"/>
            <w:shd w:val="clear" w:color="auto" w:fill="auto"/>
            <w:noWrap/>
            <w:vAlign w:val="center"/>
            <w:hideMark/>
          </w:tcPr>
          <w:p w14:paraId="7A8E582F" w14:textId="77777777" w:rsidR="006D0778" w:rsidRPr="00AD7E7D" w:rsidRDefault="006D0778" w:rsidP="006D0778">
            <w:pPr>
              <w:spacing w:after="0"/>
              <w:jc w:val="left"/>
              <w:rPr>
                <w:rFonts w:eastAsia="MS PGothic" w:cs="Times New Roman"/>
                <w:szCs w:val="24"/>
                <w:lang w:eastAsia="ja-JP"/>
              </w:rPr>
            </w:pPr>
            <w:r w:rsidRPr="00AD7E7D">
              <w:rPr>
                <w:rFonts w:eastAsia="MS PGothic" w:cs="Times New Roman"/>
                <w:szCs w:val="24"/>
                <w:lang w:eastAsia="ja-JP"/>
              </w:rPr>
              <w:t xml:space="preserve"> Расходи за запослене</w:t>
            </w:r>
          </w:p>
        </w:tc>
        <w:tc>
          <w:tcPr>
            <w:tcW w:w="697" w:type="pct"/>
            <w:shd w:val="clear" w:color="auto" w:fill="auto"/>
            <w:hideMark/>
          </w:tcPr>
          <w:p w14:paraId="41D9E9BA"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570,6</w:t>
            </w:r>
          </w:p>
        </w:tc>
        <w:tc>
          <w:tcPr>
            <w:tcW w:w="900" w:type="pct"/>
            <w:shd w:val="clear" w:color="auto" w:fill="auto"/>
            <w:hideMark/>
          </w:tcPr>
          <w:p w14:paraId="5FE858B7"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674,5</w:t>
            </w:r>
          </w:p>
        </w:tc>
        <w:tc>
          <w:tcPr>
            <w:tcW w:w="1298" w:type="pct"/>
            <w:shd w:val="clear" w:color="auto" w:fill="auto"/>
            <w:hideMark/>
          </w:tcPr>
          <w:p w14:paraId="6FA03DA4"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18,2</w:t>
            </w:r>
          </w:p>
        </w:tc>
      </w:tr>
      <w:tr w:rsidR="006D0778" w:rsidRPr="00AD7E7D" w14:paraId="359FF0A6" w14:textId="77777777" w:rsidTr="00D2109C">
        <w:trPr>
          <w:trHeight w:val="242"/>
          <w:tblHeader/>
          <w:jc w:val="right"/>
        </w:trPr>
        <w:tc>
          <w:tcPr>
            <w:tcW w:w="2105" w:type="pct"/>
            <w:shd w:val="clear" w:color="auto" w:fill="auto"/>
            <w:noWrap/>
            <w:vAlign w:val="center"/>
            <w:hideMark/>
          </w:tcPr>
          <w:p w14:paraId="015C4C52" w14:textId="77777777" w:rsidR="006D0778" w:rsidRPr="00AD7E7D" w:rsidRDefault="006D0778" w:rsidP="006D0778">
            <w:pPr>
              <w:spacing w:after="0"/>
              <w:jc w:val="left"/>
              <w:rPr>
                <w:rFonts w:eastAsia="MS PGothic" w:cs="Times New Roman"/>
                <w:szCs w:val="24"/>
                <w:lang w:eastAsia="ja-JP"/>
              </w:rPr>
            </w:pPr>
            <w:r w:rsidRPr="00AD7E7D">
              <w:rPr>
                <w:rFonts w:eastAsia="MS PGothic" w:cs="Times New Roman"/>
                <w:szCs w:val="24"/>
                <w:lang w:eastAsia="ja-JP"/>
              </w:rPr>
              <w:t xml:space="preserve"> Куповина робе и услуга</w:t>
            </w:r>
          </w:p>
        </w:tc>
        <w:tc>
          <w:tcPr>
            <w:tcW w:w="697" w:type="pct"/>
            <w:shd w:val="clear" w:color="auto" w:fill="auto"/>
            <w:hideMark/>
          </w:tcPr>
          <w:p w14:paraId="4CE89152"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414,1</w:t>
            </w:r>
          </w:p>
        </w:tc>
        <w:tc>
          <w:tcPr>
            <w:tcW w:w="900" w:type="pct"/>
            <w:shd w:val="clear" w:color="auto" w:fill="auto"/>
            <w:hideMark/>
          </w:tcPr>
          <w:p w14:paraId="111BE516"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459,9</w:t>
            </w:r>
          </w:p>
        </w:tc>
        <w:tc>
          <w:tcPr>
            <w:tcW w:w="1298" w:type="pct"/>
            <w:shd w:val="clear" w:color="auto" w:fill="auto"/>
            <w:hideMark/>
          </w:tcPr>
          <w:p w14:paraId="76304A51"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11,0</w:t>
            </w:r>
          </w:p>
        </w:tc>
      </w:tr>
      <w:tr w:rsidR="006D0778" w:rsidRPr="00AD7E7D" w14:paraId="11D910A0" w14:textId="77777777" w:rsidTr="00D2109C">
        <w:trPr>
          <w:trHeight w:val="242"/>
          <w:tblHeader/>
          <w:jc w:val="right"/>
        </w:trPr>
        <w:tc>
          <w:tcPr>
            <w:tcW w:w="2105" w:type="pct"/>
            <w:shd w:val="clear" w:color="auto" w:fill="auto"/>
            <w:noWrap/>
            <w:vAlign w:val="center"/>
            <w:hideMark/>
          </w:tcPr>
          <w:p w14:paraId="53DFE772" w14:textId="77777777" w:rsidR="006D0778" w:rsidRPr="00AD7E7D" w:rsidRDefault="006D0778" w:rsidP="006D0778">
            <w:pPr>
              <w:spacing w:after="0"/>
              <w:jc w:val="left"/>
              <w:rPr>
                <w:rFonts w:eastAsia="MS PGothic" w:cs="Times New Roman"/>
                <w:szCs w:val="24"/>
                <w:lang w:eastAsia="ja-JP"/>
              </w:rPr>
            </w:pPr>
            <w:r w:rsidRPr="00AD7E7D">
              <w:rPr>
                <w:rFonts w:eastAsia="MS PGothic" w:cs="Times New Roman"/>
                <w:szCs w:val="24"/>
                <w:lang w:eastAsia="ja-JP"/>
              </w:rPr>
              <w:t xml:space="preserve"> Отплата камата</w:t>
            </w:r>
          </w:p>
        </w:tc>
        <w:tc>
          <w:tcPr>
            <w:tcW w:w="697" w:type="pct"/>
            <w:shd w:val="clear" w:color="auto" w:fill="auto"/>
            <w:hideMark/>
          </w:tcPr>
          <w:p w14:paraId="4FBEE3C5"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120,2</w:t>
            </w:r>
          </w:p>
        </w:tc>
        <w:tc>
          <w:tcPr>
            <w:tcW w:w="900" w:type="pct"/>
            <w:shd w:val="clear" w:color="auto" w:fill="auto"/>
            <w:hideMark/>
          </w:tcPr>
          <w:p w14:paraId="6934D0DC"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132,8</w:t>
            </w:r>
          </w:p>
        </w:tc>
        <w:tc>
          <w:tcPr>
            <w:tcW w:w="1298" w:type="pct"/>
            <w:shd w:val="clear" w:color="auto" w:fill="auto"/>
            <w:hideMark/>
          </w:tcPr>
          <w:p w14:paraId="2A3D6F06"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10,5</w:t>
            </w:r>
          </w:p>
        </w:tc>
      </w:tr>
      <w:tr w:rsidR="006D0778" w:rsidRPr="00AD7E7D" w14:paraId="72E7DFA0" w14:textId="77777777" w:rsidTr="00D2109C">
        <w:trPr>
          <w:trHeight w:val="242"/>
          <w:tblHeader/>
          <w:jc w:val="right"/>
        </w:trPr>
        <w:tc>
          <w:tcPr>
            <w:tcW w:w="2105" w:type="pct"/>
            <w:shd w:val="clear" w:color="auto" w:fill="auto"/>
            <w:noWrap/>
            <w:vAlign w:val="center"/>
            <w:hideMark/>
          </w:tcPr>
          <w:p w14:paraId="4F5F7CA0" w14:textId="77777777" w:rsidR="006D0778" w:rsidRPr="00AD7E7D" w:rsidRDefault="006D0778" w:rsidP="006D0778">
            <w:pPr>
              <w:spacing w:after="0"/>
              <w:jc w:val="left"/>
              <w:rPr>
                <w:rFonts w:eastAsia="MS PGothic" w:cs="Times New Roman"/>
                <w:szCs w:val="24"/>
                <w:lang w:eastAsia="ja-JP"/>
              </w:rPr>
            </w:pPr>
            <w:r w:rsidRPr="00AD7E7D">
              <w:rPr>
                <w:rFonts w:eastAsia="MS PGothic" w:cs="Times New Roman"/>
                <w:szCs w:val="24"/>
                <w:lang w:eastAsia="ja-JP"/>
              </w:rPr>
              <w:t xml:space="preserve"> Субвенције</w:t>
            </w:r>
          </w:p>
        </w:tc>
        <w:tc>
          <w:tcPr>
            <w:tcW w:w="697" w:type="pct"/>
            <w:shd w:val="clear" w:color="auto" w:fill="auto"/>
            <w:hideMark/>
          </w:tcPr>
          <w:p w14:paraId="1D3CF04D"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141,8</w:t>
            </w:r>
          </w:p>
        </w:tc>
        <w:tc>
          <w:tcPr>
            <w:tcW w:w="900" w:type="pct"/>
            <w:shd w:val="clear" w:color="auto" w:fill="auto"/>
            <w:hideMark/>
          </w:tcPr>
          <w:p w14:paraId="45DB7C36"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159,0</w:t>
            </w:r>
          </w:p>
        </w:tc>
        <w:tc>
          <w:tcPr>
            <w:tcW w:w="1298" w:type="pct"/>
            <w:shd w:val="clear" w:color="auto" w:fill="auto"/>
            <w:hideMark/>
          </w:tcPr>
          <w:p w14:paraId="1038ECFA"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12,1</w:t>
            </w:r>
          </w:p>
        </w:tc>
      </w:tr>
      <w:tr w:rsidR="006D0778" w:rsidRPr="00AD7E7D" w14:paraId="369306F8" w14:textId="77777777" w:rsidTr="00D2109C">
        <w:trPr>
          <w:trHeight w:val="242"/>
          <w:tblHeader/>
          <w:jc w:val="right"/>
        </w:trPr>
        <w:tc>
          <w:tcPr>
            <w:tcW w:w="2105" w:type="pct"/>
            <w:shd w:val="clear" w:color="auto" w:fill="auto"/>
            <w:noWrap/>
            <w:vAlign w:val="center"/>
            <w:hideMark/>
          </w:tcPr>
          <w:p w14:paraId="447AEECB" w14:textId="77777777" w:rsidR="006D0778" w:rsidRPr="00AD7E7D" w:rsidRDefault="006D0778" w:rsidP="006D0778">
            <w:pPr>
              <w:spacing w:after="0"/>
              <w:jc w:val="left"/>
              <w:rPr>
                <w:rFonts w:eastAsia="MS PGothic" w:cs="Times New Roman"/>
                <w:szCs w:val="24"/>
                <w:lang w:eastAsia="ja-JP"/>
              </w:rPr>
            </w:pPr>
            <w:r w:rsidRPr="00AD7E7D">
              <w:rPr>
                <w:rFonts w:eastAsia="MS PGothic" w:cs="Times New Roman"/>
                <w:szCs w:val="24"/>
                <w:lang w:eastAsia="ja-JP"/>
              </w:rPr>
              <w:t xml:space="preserve"> Социјална помоћ и трансфери</w:t>
            </w:r>
          </w:p>
        </w:tc>
        <w:tc>
          <w:tcPr>
            <w:tcW w:w="697" w:type="pct"/>
            <w:shd w:val="clear" w:color="auto" w:fill="auto"/>
            <w:hideMark/>
          </w:tcPr>
          <w:p w14:paraId="3B27AA5A"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781,5</w:t>
            </w:r>
          </w:p>
        </w:tc>
        <w:tc>
          <w:tcPr>
            <w:tcW w:w="900" w:type="pct"/>
            <w:shd w:val="clear" w:color="auto" w:fill="auto"/>
            <w:hideMark/>
          </w:tcPr>
          <w:p w14:paraId="7BBF18E8"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932,8</w:t>
            </w:r>
          </w:p>
        </w:tc>
        <w:tc>
          <w:tcPr>
            <w:tcW w:w="1298" w:type="pct"/>
            <w:shd w:val="clear" w:color="auto" w:fill="auto"/>
            <w:hideMark/>
          </w:tcPr>
          <w:p w14:paraId="6D2B70CB"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19,4</w:t>
            </w:r>
          </w:p>
        </w:tc>
      </w:tr>
      <w:tr w:rsidR="006D0778" w:rsidRPr="00AD7E7D" w14:paraId="7504F288" w14:textId="77777777" w:rsidTr="00D2109C">
        <w:trPr>
          <w:trHeight w:val="242"/>
          <w:tblHeader/>
          <w:jc w:val="right"/>
        </w:trPr>
        <w:tc>
          <w:tcPr>
            <w:tcW w:w="2105" w:type="pct"/>
            <w:shd w:val="clear" w:color="auto" w:fill="auto"/>
            <w:noWrap/>
            <w:vAlign w:val="center"/>
            <w:hideMark/>
          </w:tcPr>
          <w:p w14:paraId="417F2F3C" w14:textId="77777777" w:rsidR="006D0778" w:rsidRPr="00AD7E7D" w:rsidRDefault="00CF6476" w:rsidP="006D0778">
            <w:pPr>
              <w:spacing w:after="0"/>
              <w:jc w:val="left"/>
              <w:rPr>
                <w:rFonts w:eastAsia="MS PGothic" w:cs="Times New Roman"/>
                <w:i/>
                <w:szCs w:val="24"/>
                <w:lang w:eastAsia="ja-JP"/>
              </w:rPr>
            </w:pPr>
            <w:r w:rsidRPr="00AD7E7D">
              <w:rPr>
                <w:rFonts w:eastAsia="MS PGothic" w:cs="Times New Roman"/>
                <w:szCs w:val="24"/>
                <w:lang w:eastAsia="ja-JP"/>
              </w:rPr>
              <w:t xml:space="preserve"> </w:t>
            </w:r>
            <w:r w:rsidR="006D0778" w:rsidRPr="00AD7E7D">
              <w:rPr>
                <w:rFonts w:eastAsia="MS PGothic" w:cs="Times New Roman"/>
                <w:szCs w:val="24"/>
                <w:lang w:eastAsia="ja-JP"/>
              </w:rPr>
              <w:t xml:space="preserve"> </w:t>
            </w:r>
            <w:r w:rsidR="006D0778" w:rsidRPr="00AD7E7D">
              <w:rPr>
                <w:rFonts w:eastAsia="MS PGothic" w:cs="Times New Roman"/>
                <w:i/>
                <w:szCs w:val="24"/>
                <w:lang w:eastAsia="ja-JP"/>
              </w:rPr>
              <w:t>од чега пензије</w:t>
            </w:r>
          </w:p>
        </w:tc>
        <w:tc>
          <w:tcPr>
            <w:tcW w:w="697" w:type="pct"/>
            <w:shd w:val="clear" w:color="auto" w:fill="auto"/>
            <w:hideMark/>
          </w:tcPr>
          <w:p w14:paraId="4743F427"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573,6</w:t>
            </w:r>
          </w:p>
        </w:tc>
        <w:tc>
          <w:tcPr>
            <w:tcW w:w="900" w:type="pct"/>
            <w:shd w:val="clear" w:color="auto" w:fill="auto"/>
            <w:hideMark/>
          </w:tcPr>
          <w:p w14:paraId="14FA5077"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694,5</w:t>
            </w:r>
          </w:p>
        </w:tc>
        <w:tc>
          <w:tcPr>
            <w:tcW w:w="1298" w:type="pct"/>
            <w:shd w:val="clear" w:color="auto" w:fill="auto"/>
            <w:hideMark/>
          </w:tcPr>
          <w:p w14:paraId="61EDA5F7"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21,1</w:t>
            </w:r>
          </w:p>
        </w:tc>
      </w:tr>
      <w:tr w:rsidR="006D0778" w:rsidRPr="00AD7E7D" w14:paraId="7A148B4D" w14:textId="77777777" w:rsidTr="00D2109C">
        <w:trPr>
          <w:trHeight w:val="242"/>
          <w:tblHeader/>
          <w:jc w:val="right"/>
        </w:trPr>
        <w:tc>
          <w:tcPr>
            <w:tcW w:w="2105" w:type="pct"/>
            <w:shd w:val="clear" w:color="auto" w:fill="auto"/>
            <w:noWrap/>
            <w:vAlign w:val="center"/>
            <w:hideMark/>
          </w:tcPr>
          <w:p w14:paraId="59D94AA2" w14:textId="77777777" w:rsidR="006D0778" w:rsidRPr="00AD7E7D" w:rsidRDefault="006D0778" w:rsidP="006D0778">
            <w:pPr>
              <w:spacing w:after="0"/>
              <w:jc w:val="left"/>
              <w:rPr>
                <w:rFonts w:eastAsia="MS PGothic" w:cs="Times New Roman"/>
                <w:szCs w:val="24"/>
                <w:lang w:eastAsia="ja-JP"/>
              </w:rPr>
            </w:pPr>
            <w:r w:rsidRPr="00AD7E7D">
              <w:rPr>
                <w:rFonts w:eastAsia="MS PGothic" w:cs="Times New Roman"/>
                <w:szCs w:val="24"/>
                <w:lang w:eastAsia="ja-JP"/>
              </w:rPr>
              <w:t xml:space="preserve"> Остали текући расходи</w:t>
            </w:r>
          </w:p>
        </w:tc>
        <w:tc>
          <w:tcPr>
            <w:tcW w:w="697" w:type="pct"/>
            <w:shd w:val="clear" w:color="auto" w:fill="auto"/>
            <w:hideMark/>
          </w:tcPr>
          <w:p w14:paraId="0011132E"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91,9</w:t>
            </w:r>
          </w:p>
        </w:tc>
        <w:tc>
          <w:tcPr>
            <w:tcW w:w="900" w:type="pct"/>
            <w:shd w:val="clear" w:color="auto" w:fill="auto"/>
            <w:hideMark/>
          </w:tcPr>
          <w:p w14:paraId="2A197586"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86,7</w:t>
            </w:r>
          </w:p>
        </w:tc>
        <w:tc>
          <w:tcPr>
            <w:tcW w:w="1298" w:type="pct"/>
            <w:shd w:val="clear" w:color="auto" w:fill="auto"/>
            <w:hideMark/>
          </w:tcPr>
          <w:p w14:paraId="2DBE56CC"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-5,7</w:t>
            </w:r>
          </w:p>
        </w:tc>
      </w:tr>
      <w:tr w:rsidR="006D0778" w:rsidRPr="00AD7E7D" w14:paraId="1F18F6A7" w14:textId="77777777" w:rsidTr="00D2109C">
        <w:trPr>
          <w:trHeight w:val="242"/>
          <w:tblHeader/>
          <w:jc w:val="right"/>
        </w:trPr>
        <w:tc>
          <w:tcPr>
            <w:tcW w:w="2105" w:type="pct"/>
            <w:shd w:val="clear" w:color="auto" w:fill="auto"/>
            <w:noWrap/>
            <w:vAlign w:val="center"/>
            <w:hideMark/>
          </w:tcPr>
          <w:p w14:paraId="0130F5D9" w14:textId="77777777" w:rsidR="006D0778" w:rsidRPr="00AD7E7D" w:rsidRDefault="006D0778" w:rsidP="006D0778">
            <w:pPr>
              <w:spacing w:after="0"/>
              <w:jc w:val="left"/>
              <w:rPr>
                <w:rFonts w:eastAsia="MS PGothic" w:cs="Times New Roman"/>
                <w:szCs w:val="24"/>
                <w:lang w:eastAsia="ja-JP"/>
              </w:rPr>
            </w:pPr>
            <w:r w:rsidRPr="00AD7E7D">
              <w:rPr>
                <w:rFonts w:eastAsia="MS PGothic" w:cs="Times New Roman"/>
                <w:szCs w:val="24"/>
                <w:lang w:eastAsia="ja-JP"/>
              </w:rPr>
              <w:t>Капитални расходи</w:t>
            </w:r>
          </w:p>
        </w:tc>
        <w:tc>
          <w:tcPr>
            <w:tcW w:w="697" w:type="pct"/>
            <w:shd w:val="clear" w:color="auto" w:fill="auto"/>
            <w:hideMark/>
          </w:tcPr>
          <w:p w14:paraId="4E543676"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313,3</w:t>
            </w:r>
          </w:p>
        </w:tc>
        <w:tc>
          <w:tcPr>
            <w:tcW w:w="900" w:type="pct"/>
            <w:shd w:val="clear" w:color="auto" w:fill="auto"/>
            <w:hideMark/>
          </w:tcPr>
          <w:p w14:paraId="0FBA224A"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370,5</w:t>
            </w:r>
          </w:p>
        </w:tc>
        <w:tc>
          <w:tcPr>
            <w:tcW w:w="1298" w:type="pct"/>
            <w:shd w:val="clear" w:color="auto" w:fill="auto"/>
            <w:hideMark/>
          </w:tcPr>
          <w:p w14:paraId="72C23284"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18,2</w:t>
            </w:r>
          </w:p>
        </w:tc>
      </w:tr>
      <w:tr w:rsidR="006D0778" w:rsidRPr="00AD7E7D" w14:paraId="3714E9AA" w14:textId="77777777" w:rsidTr="00D2109C">
        <w:trPr>
          <w:trHeight w:val="242"/>
          <w:tblHeader/>
          <w:jc w:val="right"/>
        </w:trPr>
        <w:tc>
          <w:tcPr>
            <w:tcW w:w="2105" w:type="pct"/>
            <w:shd w:val="clear" w:color="auto" w:fill="auto"/>
            <w:noWrap/>
            <w:vAlign w:val="center"/>
            <w:hideMark/>
          </w:tcPr>
          <w:p w14:paraId="1BBB3285" w14:textId="77777777" w:rsidR="006D0778" w:rsidRPr="00AD7E7D" w:rsidRDefault="006D0778" w:rsidP="006D0778">
            <w:pPr>
              <w:spacing w:after="0"/>
              <w:jc w:val="left"/>
              <w:rPr>
                <w:rFonts w:eastAsia="MS PGothic" w:cs="Times New Roman"/>
                <w:szCs w:val="24"/>
                <w:lang w:eastAsia="ja-JP"/>
              </w:rPr>
            </w:pPr>
            <w:r w:rsidRPr="00AD7E7D">
              <w:rPr>
                <w:rFonts w:eastAsia="MS PGothic" w:cs="Times New Roman"/>
                <w:szCs w:val="24"/>
                <w:lang w:eastAsia="ja-JP"/>
              </w:rPr>
              <w:t>Нето буџетске позајмице</w:t>
            </w:r>
          </w:p>
        </w:tc>
        <w:tc>
          <w:tcPr>
            <w:tcW w:w="697" w:type="pct"/>
            <w:shd w:val="clear" w:color="auto" w:fill="auto"/>
            <w:hideMark/>
          </w:tcPr>
          <w:p w14:paraId="778DE796" w14:textId="38C9E40B" w:rsidR="006D0778" w:rsidRPr="00AD7E7D" w:rsidRDefault="00BA4053" w:rsidP="006D0778">
            <w:pPr>
              <w:spacing w:after="0"/>
              <w:jc w:val="right"/>
              <w:rPr>
                <w:rFonts w:eastAsia="MS PGothic" w:cs="Times New Roman"/>
                <w:szCs w:val="24"/>
                <w:lang w:eastAsia="ja-JP"/>
              </w:rPr>
            </w:pPr>
            <w:r>
              <w:rPr>
                <w:rFonts w:cs="Times New Roman"/>
                <w:szCs w:val="24"/>
                <w:lang w:val="sr-Cyrl-RS"/>
              </w:rPr>
              <w:t>50</w:t>
            </w:r>
            <w:r w:rsidR="006D0778" w:rsidRPr="00AD7E7D">
              <w:rPr>
                <w:rFonts w:cs="Times New Roman"/>
                <w:szCs w:val="24"/>
              </w:rPr>
              <w:t>,</w:t>
            </w:r>
            <w:r>
              <w:rPr>
                <w:rFonts w:cs="Times New Roman"/>
                <w:szCs w:val="24"/>
                <w:lang w:val="sr-Cyrl-RS"/>
              </w:rPr>
              <w:t>0</w:t>
            </w:r>
          </w:p>
        </w:tc>
        <w:tc>
          <w:tcPr>
            <w:tcW w:w="900" w:type="pct"/>
            <w:shd w:val="clear" w:color="auto" w:fill="auto"/>
            <w:hideMark/>
          </w:tcPr>
          <w:p w14:paraId="19FA6C71" w14:textId="343E43E0" w:rsidR="006D0778" w:rsidRPr="00AD7E7D" w:rsidRDefault="00BA4053" w:rsidP="006D0778">
            <w:pPr>
              <w:spacing w:after="0"/>
              <w:jc w:val="right"/>
              <w:rPr>
                <w:rFonts w:eastAsia="MS PGothic" w:cs="Times New Roman"/>
                <w:szCs w:val="24"/>
                <w:lang w:eastAsia="ja-JP"/>
              </w:rPr>
            </w:pPr>
            <w:r>
              <w:rPr>
                <w:rFonts w:cs="Times New Roman"/>
                <w:szCs w:val="24"/>
                <w:lang w:val="sr-Cyrl-RS"/>
              </w:rPr>
              <w:t>12,8</w:t>
            </w:r>
          </w:p>
        </w:tc>
        <w:tc>
          <w:tcPr>
            <w:tcW w:w="1298" w:type="pct"/>
            <w:shd w:val="clear" w:color="auto" w:fill="auto"/>
            <w:hideMark/>
          </w:tcPr>
          <w:p w14:paraId="371EE3C6" w14:textId="58BD432F" w:rsidR="006D0778" w:rsidRPr="00AD7E7D" w:rsidRDefault="008C46E1" w:rsidP="006D0778">
            <w:pPr>
              <w:spacing w:after="0"/>
              <w:jc w:val="right"/>
              <w:rPr>
                <w:rFonts w:eastAsia="MS PGothic" w:cs="Times New Roman"/>
                <w:szCs w:val="24"/>
                <w:lang w:eastAsia="ja-JP"/>
              </w:rPr>
            </w:pPr>
            <w:r w:rsidRPr="00AD7E7D">
              <w:rPr>
                <w:rFonts w:cs="Times New Roman"/>
                <w:szCs w:val="24"/>
              </w:rPr>
              <w:t>-74,3</w:t>
            </w:r>
          </w:p>
        </w:tc>
      </w:tr>
      <w:tr w:rsidR="006D0778" w:rsidRPr="00AD7E7D" w14:paraId="7A73FE3D" w14:textId="77777777" w:rsidTr="00D2109C">
        <w:trPr>
          <w:trHeight w:val="242"/>
          <w:tblHeader/>
          <w:jc w:val="right"/>
        </w:trPr>
        <w:tc>
          <w:tcPr>
            <w:tcW w:w="2105" w:type="pct"/>
            <w:shd w:val="clear" w:color="auto" w:fill="auto"/>
            <w:noWrap/>
            <w:vAlign w:val="center"/>
            <w:hideMark/>
          </w:tcPr>
          <w:p w14:paraId="3854E438" w14:textId="77777777" w:rsidR="006D0778" w:rsidRPr="00AD7E7D" w:rsidRDefault="006D0778" w:rsidP="006D0778">
            <w:pPr>
              <w:spacing w:after="0"/>
              <w:jc w:val="left"/>
              <w:rPr>
                <w:rFonts w:eastAsia="MS PGothic" w:cs="Times New Roman"/>
                <w:szCs w:val="24"/>
                <w:lang w:eastAsia="ja-JP"/>
              </w:rPr>
            </w:pPr>
            <w:r w:rsidRPr="00AD7E7D">
              <w:rPr>
                <w:rFonts w:eastAsia="MS PGothic" w:cs="Times New Roman"/>
                <w:szCs w:val="24"/>
                <w:lang w:eastAsia="ja-JP"/>
              </w:rPr>
              <w:t>Активиране гаранције</w:t>
            </w:r>
          </w:p>
        </w:tc>
        <w:tc>
          <w:tcPr>
            <w:tcW w:w="697" w:type="pct"/>
            <w:shd w:val="clear" w:color="auto" w:fill="auto"/>
            <w:hideMark/>
          </w:tcPr>
          <w:p w14:paraId="2BC3FA6F" w14:textId="4CDEA8D0" w:rsidR="006D0778" w:rsidRPr="00AD7E7D" w:rsidRDefault="00BA4053" w:rsidP="006D0778">
            <w:pPr>
              <w:spacing w:after="0"/>
              <w:jc w:val="right"/>
              <w:rPr>
                <w:rFonts w:eastAsia="MS PGothic" w:cs="Times New Roman"/>
                <w:szCs w:val="24"/>
                <w:lang w:eastAsia="ja-JP"/>
              </w:rPr>
            </w:pPr>
            <w:r>
              <w:rPr>
                <w:rFonts w:cs="Times New Roman"/>
                <w:szCs w:val="24"/>
                <w:lang w:val="sr-Cyrl-RS"/>
              </w:rPr>
              <w:t>17</w:t>
            </w:r>
            <w:r w:rsidR="006D0778" w:rsidRPr="00AD7E7D">
              <w:rPr>
                <w:rFonts w:cs="Times New Roman"/>
                <w:szCs w:val="24"/>
              </w:rPr>
              <w:t>,</w:t>
            </w:r>
            <w:r>
              <w:rPr>
                <w:rFonts w:cs="Times New Roman"/>
                <w:szCs w:val="24"/>
                <w:lang w:val="sr-Cyrl-RS"/>
              </w:rPr>
              <w:t>6</w:t>
            </w:r>
          </w:p>
        </w:tc>
        <w:tc>
          <w:tcPr>
            <w:tcW w:w="900" w:type="pct"/>
            <w:shd w:val="clear" w:color="auto" w:fill="auto"/>
            <w:hideMark/>
          </w:tcPr>
          <w:p w14:paraId="186B2FBF" w14:textId="14FF0F34" w:rsidR="006D0778" w:rsidRPr="00AD7E7D" w:rsidRDefault="00BA4053" w:rsidP="006D0778">
            <w:pPr>
              <w:spacing w:after="0"/>
              <w:jc w:val="right"/>
              <w:rPr>
                <w:rFonts w:eastAsia="MS PGothic" w:cs="Times New Roman"/>
                <w:szCs w:val="24"/>
                <w:lang w:eastAsia="ja-JP"/>
              </w:rPr>
            </w:pPr>
            <w:r w:rsidRPr="00AD7E7D">
              <w:rPr>
                <w:rFonts w:cs="Times New Roman"/>
                <w:szCs w:val="24"/>
              </w:rPr>
              <w:t>20,3</w:t>
            </w:r>
          </w:p>
        </w:tc>
        <w:tc>
          <w:tcPr>
            <w:tcW w:w="1298" w:type="pct"/>
            <w:shd w:val="clear" w:color="auto" w:fill="auto"/>
            <w:hideMark/>
          </w:tcPr>
          <w:p w14:paraId="6313676F" w14:textId="786E0B1E" w:rsidR="006D0778" w:rsidRPr="00AD7E7D" w:rsidRDefault="008C46E1" w:rsidP="006D0778">
            <w:pPr>
              <w:spacing w:after="0"/>
              <w:jc w:val="right"/>
              <w:rPr>
                <w:rFonts w:eastAsia="MS PGothic" w:cs="Times New Roman"/>
                <w:szCs w:val="24"/>
                <w:lang w:eastAsia="ja-JP"/>
              </w:rPr>
            </w:pPr>
            <w:r>
              <w:rPr>
                <w:rFonts w:cs="Times New Roman"/>
                <w:szCs w:val="24"/>
              </w:rPr>
              <w:t>15,4</w:t>
            </w:r>
          </w:p>
        </w:tc>
      </w:tr>
      <w:tr w:rsidR="006D0778" w:rsidRPr="00AD7E7D" w14:paraId="4298EE7A" w14:textId="77777777" w:rsidTr="00D2109C">
        <w:trPr>
          <w:trHeight w:val="242"/>
          <w:tblHeader/>
          <w:jc w:val="right"/>
        </w:trPr>
        <w:tc>
          <w:tcPr>
            <w:tcW w:w="2105" w:type="pct"/>
            <w:tcBorders>
              <w:bottom w:val="single" w:sz="4" w:space="0" w:color="002060"/>
            </w:tcBorders>
            <w:shd w:val="clear" w:color="auto" w:fill="E7E6E6" w:themeFill="background2"/>
            <w:noWrap/>
            <w:vAlign w:val="center"/>
            <w:hideMark/>
          </w:tcPr>
          <w:p w14:paraId="4EED6019" w14:textId="77777777" w:rsidR="006D0778" w:rsidRPr="00AD7E7D" w:rsidRDefault="006D0778" w:rsidP="006D0778">
            <w:pPr>
              <w:spacing w:after="0"/>
              <w:jc w:val="left"/>
              <w:rPr>
                <w:rFonts w:cs="Times New Roman"/>
                <w:szCs w:val="24"/>
              </w:rPr>
            </w:pPr>
            <w:r w:rsidRPr="00AD7E7D">
              <w:rPr>
                <w:rFonts w:eastAsia="MS PGothic" w:cs="Times New Roman"/>
                <w:szCs w:val="24"/>
                <w:lang w:eastAsia="ja-JP"/>
              </w:rPr>
              <w:t>Фискални резултат</w:t>
            </w:r>
          </w:p>
        </w:tc>
        <w:tc>
          <w:tcPr>
            <w:tcW w:w="697" w:type="pct"/>
            <w:tcBorders>
              <w:bottom w:val="single" w:sz="4" w:space="0" w:color="002060"/>
            </w:tcBorders>
            <w:shd w:val="clear" w:color="auto" w:fill="E7E6E6" w:themeFill="background2"/>
            <w:hideMark/>
          </w:tcPr>
          <w:p w14:paraId="038C7554"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15,8</w:t>
            </w:r>
          </w:p>
        </w:tc>
        <w:tc>
          <w:tcPr>
            <w:tcW w:w="900" w:type="pct"/>
            <w:tcBorders>
              <w:bottom w:val="single" w:sz="4" w:space="0" w:color="002060"/>
            </w:tcBorders>
            <w:shd w:val="clear" w:color="auto" w:fill="E7E6E6" w:themeFill="background2"/>
            <w:hideMark/>
          </w:tcPr>
          <w:p w14:paraId="3E7DCD9D" w14:textId="77777777" w:rsidR="006D0778" w:rsidRPr="00AD7E7D" w:rsidRDefault="006D0778" w:rsidP="006D0778">
            <w:pPr>
              <w:spacing w:after="0"/>
              <w:jc w:val="right"/>
              <w:rPr>
                <w:rFonts w:eastAsia="MS PGothic" w:cs="Times New Roman"/>
                <w:szCs w:val="24"/>
                <w:lang w:eastAsia="ja-JP"/>
              </w:rPr>
            </w:pPr>
            <w:r w:rsidRPr="00AD7E7D">
              <w:rPr>
                <w:rFonts w:cs="Times New Roman"/>
                <w:szCs w:val="24"/>
              </w:rPr>
              <w:t>29,1</w:t>
            </w:r>
          </w:p>
        </w:tc>
        <w:tc>
          <w:tcPr>
            <w:tcW w:w="1298" w:type="pct"/>
            <w:tcBorders>
              <w:bottom w:val="single" w:sz="4" w:space="0" w:color="002060"/>
            </w:tcBorders>
            <w:shd w:val="clear" w:color="auto" w:fill="E7E6E6" w:themeFill="background2"/>
            <w:hideMark/>
          </w:tcPr>
          <w:p w14:paraId="7B45DF6A" w14:textId="77777777" w:rsidR="006D0778" w:rsidRPr="00AD7E7D" w:rsidRDefault="006D0778" w:rsidP="006D0778">
            <w:pPr>
              <w:spacing w:after="0"/>
              <w:jc w:val="right"/>
              <w:rPr>
                <w:rFonts w:eastAsia="MS PGothic" w:cs="Times New Roman"/>
                <w:szCs w:val="24"/>
                <w:lang w:eastAsia="ja-JP"/>
              </w:rPr>
            </w:pPr>
          </w:p>
        </w:tc>
      </w:tr>
    </w:tbl>
    <w:p w14:paraId="000199AA" w14:textId="77777777" w:rsidR="002B1F9D" w:rsidRPr="00010E52" w:rsidRDefault="006D0778" w:rsidP="00BF5A92">
      <w:pPr>
        <w:tabs>
          <w:tab w:val="left" w:pos="623"/>
        </w:tabs>
        <w:spacing w:before="40" w:after="180"/>
        <w:rPr>
          <w:rFonts w:eastAsia="Calibri" w:cs="Times New Roman"/>
          <w:sz w:val="22"/>
          <w:szCs w:val="24"/>
          <w:lang w:val="sr-Cyrl-RS"/>
        </w:rPr>
      </w:pPr>
      <w:r w:rsidRPr="00010E52">
        <w:rPr>
          <w:rFonts w:eastAsia="Calibri" w:cs="Times New Roman"/>
          <w:bCs/>
          <w:sz w:val="22"/>
          <w:szCs w:val="24"/>
          <w:lang w:val="sr-Cyrl-RS" w:eastAsia="ja-JP"/>
        </w:rPr>
        <w:t xml:space="preserve">Извор: </w:t>
      </w:r>
      <w:r w:rsidRPr="00010E52">
        <w:rPr>
          <w:rFonts w:eastAsia="Calibri" w:cs="Times New Roman"/>
          <w:sz w:val="22"/>
          <w:szCs w:val="24"/>
          <w:lang w:val="sr-Cyrl-RS"/>
        </w:rPr>
        <w:t>Министарство финансија</w:t>
      </w:r>
    </w:p>
    <w:p w14:paraId="5870ABFB" w14:textId="77777777" w:rsidR="002B1F9D" w:rsidRPr="00BF5A92" w:rsidRDefault="002B1F9D" w:rsidP="002B1F9D">
      <w:pPr>
        <w:tabs>
          <w:tab w:val="left" w:pos="623"/>
        </w:tabs>
        <w:rPr>
          <w:rFonts w:eastAsia="Calibri" w:cs="Times New Roman"/>
          <w:sz w:val="22"/>
          <w:szCs w:val="24"/>
          <w:lang w:val="sr-Cyrl-RS"/>
        </w:rPr>
      </w:pPr>
      <w:r w:rsidRPr="00BF5A92">
        <w:rPr>
          <w:rFonts w:eastAsia="Calibri" w:cs="Times New Roman"/>
          <w:sz w:val="22"/>
          <w:szCs w:val="24"/>
          <w:lang w:val="sr-Cyrl-RS"/>
        </w:rPr>
        <w:t>*</w:t>
      </w:r>
      <w:r w:rsidR="00BF5A92">
        <w:rPr>
          <w:rFonts w:eastAsia="Calibri" w:cs="Times New Roman"/>
          <w:sz w:val="22"/>
          <w:szCs w:val="24"/>
          <w:lang w:val="sr-Latn-RS"/>
        </w:rPr>
        <w:t xml:space="preserve"> </w:t>
      </w:r>
      <w:r w:rsidRPr="00BF5A92">
        <w:rPr>
          <w:rFonts w:eastAsia="Calibri" w:cs="Times New Roman"/>
          <w:sz w:val="22"/>
          <w:szCs w:val="24"/>
          <w:lang w:val="sr-Cyrl-RS"/>
        </w:rPr>
        <w:t>Подац</w:t>
      </w:r>
      <w:r w:rsidR="00F829D4">
        <w:rPr>
          <w:rFonts w:eastAsia="Calibri" w:cs="Times New Roman"/>
          <w:sz w:val="22"/>
          <w:szCs w:val="24"/>
          <w:lang w:val="sr-Cyrl-RS"/>
        </w:rPr>
        <w:t>и</w:t>
      </w:r>
      <w:r w:rsidRPr="00BF5A92">
        <w:rPr>
          <w:rFonts w:eastAsia="Calibri" w:cs="Times New Roman"/>
          <w:sz w:val="22"/>
          <w:szCs w:val="24"/>
          <w:lang w:val="sr-Cyrl-RS"/>
        </w:rPr>
        <w:t xml:space="preserve"> за 2024</w:t>
      </w:r>
      <w:r w:rsidR="003637A3">
        <w:rPr>
          <w:rFonts w:eastAsia="Calibri" w:cs="Times New Roman"/>
          <w:sz w:val="22"/>
          <w:szCs w:val="24"/>
          <w:lang w:val="sr-Cyrl-RS"/>
        </w:rPr>
        <w:t>.</w:t>
      </w:r>
      <w:r w:rsidRPr="00BF5A92">
        <w:rPr>
          <w:rFonts w:eastAsia="Calibri" w:cs="Times New Roman"/>
          <w:sz w:val="22"/>
          <w:szCs w:val="24"/>
          <w:lang w:val="sr-Cyrl-RS"/>
        </w:rPr>
        <w:t xml:space="preserve"> годину обухватају сопствене приходе ванбуџетских корисника (агенције и институти)</w:t>
      </w:r>
    </w:p>
    <w:p w14:paraId="75828FE1" w14:textId="77777777" w:rsidR="006D0778" w:rsidRPr="00AD7E7D" w:rsidRDefault="006D0778" w:rsidP="006D0778">
      <w:pPr>
        <w:rPr>
          <w:rFonts w:eastAsia="MS PGothic" w:cs="Times New Roman"/>
          <w:szCs w:val="24"/>
          <w:lang w:eastAsia="ja-JP"/>
        </w:rPr>
      </w:pPr>
      <w:r w:rsidRPr="00F829D4">
        <w:rPr>
          <w:rFonts w:eastAsia="MS PGothic" w:cs="Times New Roman"/>
          <w:szCs w:val="24"/>
          <w:lang w:eastAsia="ja-JP"/>
        </w:rPr>
        <w:t xml:space="preserve">Стање доцњи (преко 60 дана </w:t>
      </w:r>
      <w:r w:rsidR="002B1F9D" w:rsidRPr="00F829D4">
        <w:rPr>
          <w:rFonts w:eastAsia="MS PGothic" w:cs="Times New Roman"/>
          <w:szCs w:val="24"/>
          <w:lang w:eastAsia="ja-JP"/>
        </w:rPr>
        <w:t>кашњења) *</w:t>
      </w:r>
      <w:r w:rsidR="00F829D4" w:rsidRPr="00F829D4">
        <w:rPr>
          <w:rFonts w:eastAsia="MS PGothic" w:cs="Times New Roman"/>
          <w:szCs w:val="24"/>
          <w:lang w:val="sr-Cyrl-RS" w:eastAsia="ja-JP"/>
        </w:rPr>
        <w:t>*</w:t>
      </w:r>
      <w:r w:rsidRPr="00F829D4">
        <w:rPr>
          <w:rFonts w:eastAsia="MS PGothic" w:cs="Times New Roman"/>
          <w:szCs w:val="24"/>
          <w:lang w:eastAsia="ja-JP"/>
        </w:rPr>
        <w:t xml:space="preserve"> буџетских корисника и ООСО последњег дана </w:t>
      </w:r>
      <w:r w:rsidRPr="00F829D4">
        <w:rPr>
          <w:rFonts w:cs="Times New Roman"/>
          <w:szCs w:val="24"/>
        </w:rPr>
        <w:t xml:space="preserve">септембра </w:t>
      </w:r>
      <w:r w:rsidRPr="00F829D4">
        <w:rPr>
          <w:rFonts w:eastAsia="MS PGothic" w:cs="Times New Roman"/>
          <w:szCs w:val="24"/>
          <w:lang w:eastAsia="ja-JP"/>
        </w:rPr>
        <w:t>2024. године износило је 5,7 млрд динара. Корисници буџета и ЈП „Путеви Србије” креирали су доцње у плаћању од 4,5 млрд динара, док је стање доцњи ООСО 1,2 млрд динара.</w:t>
      </w:r>
    </w:p>
    <w:p w14:paraId="2CD68E52" w14:textId="77777777" w:rsidR="006D0778" w:rsidRPr="00BF5A92" w:rsidRDefault="006D0778" w:rsidP="006D0778">
      <w:pPr>
        <w:rPr>
          <w:rFonts w:eastAsia="MS PGothic" w:cs="Times New Roman"/>
          <w:i/>
          <w:szCs w:val="24"/>
          <w:lang w:val="sr-Cyrl-RS" w:eastAsia="ja-JP"/>
        </w:rPr>
      </w:pPr>
      <w:r w:rsidRPr="00BF5A92">
        <w:rPr>
          <w:rFonts w:eastAsia="MS PGothic" w:cs="Times New Roman"/>
          <w:i/>
          <w:szCs w:val="24"/>
          <w:lang w:val="sr-Cyrl-RS" w:eastAsia="ja-JP"/>
        </w:rPr>
        <w:t>Табела 6. Стање доцњи буџетских корисника и ООСО, крај 202</w:t>
      </w:r>
      <w:r w:rsidRPr="00BF5A92">
        <w:rPr>
          <w:rFonts w:eastAsia="MS PGothic" w:cs="Times New Roman"/>
          <w:i/>
          <w:szCs w:val="24"/>
          <w:lang w:val="sr-Latn-RS" w:eastAsia="ja-JP"/>
        </w:rPr>
        <w:t>3</w:t>
      </w:r>
      <w:r w:rsidRPr="00BF5A92">
        <w:rPr>
          <w:rFonts w:eastAsia="MS PGothic" w:cs="Times New Roman"/>
          <w:i/>
          <w:szCs w:val="24"/>
          <w:lang w:val="sr-Cyrl-RS" w:eastAsia="ja-JP"/>
        </w:rPr>
        <w:t>. године и септембар 2024. године, у млрд динара</w:t>
      </w:r>
    </w:p>
    <w:tbl>
      <w:tblPr>
        <w:tblStyle w:val="LightShading-Accent33521"/>
        <w:tblpPr w:leftFromText="180" w:rightFromText="180" w:vertAnchor="text" w:horzAnchor="margin" w:tblpY="56"/>
        <w:tblW w:w="4879" w:type="pct"/>
        <w:tblBorders>
          <w:top w:val="none" w:sz="0" w:space="0" w:color="auto"/>
          <w:bottom w:val="none" w:sz="0" w:space="0" w:color="auto"/>
        </w:tblBorders>
        <w:tblLook w:val="04A0" w:firstRow="1" w:lastRow="0" w:firstColumn="1" w:lastColumn="0" w:noHBand="0" w:noVBand="1"/>
      </w:tblPr>
      <w:tblGrid>
        <w:gridCol w:w="5256"/>
        <w:gridCol w:w="1776"/>
        <w:gridCol w:w="1776"/>
      </w:tblGrid>
      <w:tr w:rsidR="006D0778" w:rsidRPr="00AD7E7D" w14:paraId="2847C5B3" w14:textId="77777777" w:rsidTr="00D2109C">
        <w:trPr>
          <w:cnfStyle w:val="100000000000" w:firstRow="1" w:lastRow="0" w:firstColumn="0" w:lastColumn="0" w:oddVBand="0" w:evenVBand="0" w:oddHBand="0" w:evenHBand="0" w:firstRowFirstColumn="0" w:firstRowLastColumn="0" w:lastRowFirstColumn="0" w:lastRowLastColumn="0"/>
          <w:trHeight w:val="154"/>
          <w:tblHeader/>
        </w:trPr>
        <w:tc>
          <w:tcPr>
            <w:cnfStyle w:val="001000000000" w:firstRow="0" w:lastRow="0" w:firstColumn="1" w:lastColumn="0" w:oddVBand="0" w:evenVBand="0" w:oddHBand="0" w:evenHBand="0" w:firstRowFirstColumn="0" w:firstRowLastColumn="0" w:lastRowFirstColumn="0" w:lastRowLastColumn="0"/>
            <w:tcW w:w="2984" w:type="pct"/>
            <w:tcBorders>
              <w:top w:val="single" w:sz="4" w:space="0" w:color="002060"/>
            </w:tcBorders>
            <w:shd w:val="clear" w:color="auto" w:fill="auto"/>
            <w:noWrap/>
            <w:hideMark/>
          </w:tcPr>
          <w:p w14:paraId="3E1EA2B3" w14:textId="77777777" w:rsidR="006D0778" w:rsidRPr="00AD7E7D" w:rsidRDefault="006D0778" w:rsidP="006D0778">
            <w:pPr>
              <w:spacing w:after="0"/>
              <w:rPr>
                <w:color w:val="auto"/>
                <w:szCs w:val="24"/>
                <w:lang w:val="sr-Cyrl-RS" w:eastAsia="sr-Cyrl-CS"/>
              </w:rPr>
            </w:pPr>
            <w:r w:rsidRPr="00AD7E7D">
              <w:rPr>
                <w:color w:val="auto"/>
                <w:szCs w:val="24"/>
                <w:lang w:val="sr-Cyrl-RS" w:eastAsia="sr-Cyrl-CS"/>
              </w:rPr>
              <w:t> </w:t>
            </w:r>
          </w:p>
        </w:tc>
        <w:tc>
          <w:tcPr>
            <w:tcW w:w="1008" w:type="pct"/>
            <w:tcBorders>
              <w:top w:val="single" w:sz="4" w:space="0" w:color="002060"/>
              <w:bottom w:val="single" w:sz="4" w:space="0" w:color="002060"/>
            </w:tcBorders>
            <w:shd w:val="clear" w:color="auto" w:fill="auto"/>
            <w:vAlign w:val="center"/>
          </w:tcPr>
          <w:p w14:paraId="38548EBC" w14:textId="77777777" w:rsidR="006D0778" w:rsidRPr="00AD7E7D" w:rsidRDefault="006D0778" w:rsidP="006D0778">
            <w:pPr>
              <w:spacing w:after="0"/>
              <w:jc w:val="right"/>
              <w:cnfStyle w:val="100000000000" w:firstRow="1" w:lastRow="0" w:firstColumn="0" w:lastColumn="0" w:oddVBand="0" w:evenVBand="0" w:oddHBand="0" w:evenHBand="0" w:firstRowFirstColumn="0" w:firstRowLastColumn="0" w:lastRowFirstColumn="0" w:lastRowLastColumn="0"/>
              <w:rPr>
                <w:b w:val="0"/>
                <w:color w:val="auto"/>
                <w:szCs w:val="24"/>
                <w:lang w:val="sr-Cyrl-RS" w:eastAsia="sr-Cyrl-CS"/>
              </w:rPr>
            </w:pPr>
            <w:r w:rsidRPr="00AD7E7D">
              <w:rPr>
                <w:b w:val="0"/>
                <w:color w:val="auto"/>
                <w:szCs w:val="24"/>
                <w:lang w:val="sr-Cyrl-RS" w:eastAsia="sr-Cyrl-CS"/>
              </w:rPr>
              <w:t>31.12.2023.</w:t>
            </w:r>
          </w:p>
        </w:tc>
        <w:tc>
          <w:tcPr>
            <w:tcW w:w="1008" w:type="pct"/>
            <w:tcBorders>
              <w:top w:val="single" w:sz="4" w:space="0" w:color="002060"/>
              <w:bottom w:val="single" w:sz="4" w:space="0" w:color="002060"/>
            </w:tcBorders>
            <w:shd w:val="clear" w:color="auto" w:fill="auto"/>
            <w:vAlign w:val="center"/>
          </w:tcPr>
          <w:p w14:paraId="1EF496BE" w14:textId="77777777" w:rsidR="006D0778" w:rsidRPr="00AD7E7D" w:rsidRDefault="006D0778" w:rsidP="006D0778">
            <w:pPr>
              <w:spacing w:after="0"/>
              <w:jc w:val="right"/>
              <w:cnfStyle w:val="100000000000" w:firstRow="1" w:lastRow="0" w:firstColumn="0" w:lastColumn="0" w:oddVBand="0" w:evenVBand="0" w:oddHBand="0" w:evenHBand="0" w:firstRowFirstColumn="0" w:firstRowLastColumn="0" w:lastRowFirstColumn="0" w:lastRowLastColumn="0"/>
              <w:rPr>
                <w:b w:val="0"/>
                <w:color w:val="auto"/>
                <w:szCs w:val="24"/>
                <w:lang w:val="sr-Cyrl-RS" w:eastAsia="sr-Cyrl-CS"/>
              </w:rPr>
            </w:pPr>
            <w:r w:rsidRPr="00AD7E7D">
              <w:rPr>
                <w:b w:val="0"/>
                <w:color w:val="auto"/>
                <w:szCs w:val="24"/>
                <w:lang w:val="sr-Cyrl-RS" w:eastAsia="sr-Cyrl-CS"/>
              </w:rPr>
              <w:t>30.09.2024.</w:t>
            </w:r>
          </w:p>
        </w:tc>
      </w:tr>
      <w:tr w:rsidR="006D0778" w:rsidRPr="00AD7E7D" w14:paraId="4E816438" w14:textId="77777777" w:rsidTr="00D2109C">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984" w:type="pct"/>
            <w:shd w:val="clear" w:color="auto" w:fill="auto"/>
            <w:noWrap/>
            <w:vAlign w:val="center"/>
            <w:hideMark/>
          </w:tcPr>
          <w:p w14:paraId="6478333A" w14:textId="77777777" w:rsidR="006D0778" w:rsidRPr="00AD7E7D" w:rsidRDefault="006D0778" w:rsidP="006D0778">
            <w:pPr>
              <w:spacing w:after="0"/>
              <w:rPr>
                <w:b w:val="0"/>
                <w:color w:val="auto"/>
                <w:szCs w:val="24"/>
                <w:lang w:val="sr-Cyrl-RS" w:eastAsia="sr-Cyrl-CS"/>
              </w:rPr>
            </w:pPr>
            <w:r w:rsidRPr="00AD7E7D">
              <w:rPr>
                <w:b w:val="0"/>
                <w:color w:val="auto"/>
                <w:szCs w:val="24"/>
                <w:lang w:val="sr-Cyrl-RS" w:eastAsia="sr-Cyrl-CS"/>
              </w:rPr>
              <w:t xml:space="preserve">Буџетски корисници и ЈП „Путеви Србије” </w:t>
            </w:r>
          </w:p>
        </w:tc>
        <w:tc>
          <w:tcPr>
            <w:tcW w:w="1008" w:type="pct"/>
            <w:tcBorders>
              <w:top w:val="single" w:sz="4" w:space="0" w:color="002060"/>
            </w:tcBorders>
            <w:shd w:val="clear" w:color="auto" w:fill="auto"/>
          </w:tcPr>
          <w:p w14:paraId="725211AF" w14:textId="77777777" w:rsidR="006D0778" w:rsidRPr="00AD7E7D" w:rsidRDefault="006D0778" w:rsidP="006D0778">
            <w:pPr>
              <w:spacing w:after="0"/>
              <w:ind w:firstLine="709"/>
              <w:jc w:val="right"/>
              <w:cnfStyle w:val="000000100000" w:firstRow="0" w:lastRow="0" w:firstColumn="0" w:lastColumn="0" w:oddVBand="0" w:evenVBand="0" w:oddHBand="1" w:evenHBand="0" w:firstRowFirstColumn="0" w:firstRowLastColumn="0" w:lastRowFirstColumn="0" w:lastRowLastColumn="0"/>
              <w:rPr>
                <w:color w:val="auto"/>
                <w:szCs w:val="24"/>
                <w:lang w:val="sr-Cyrl-RS" w:eastAsia="sr-Cyrl-CS"/>
              </w:rPr>
            </w:pPr>
            <w:r w:rsidRPr="00AD7E7D">
              <w:rPr>
                <w:color w:val="auto"/>
                <w:szCs w:val="24"/>
                <w:lang w:val="sr-Cyrl-RS" w:eastAsia="sr-Cyrl-CS"/>
              </w:rPr>
              <w:t>2,3</w:t>
            </w:r>
          </w:p>
        </w:tc>
        <w:tc>
          <w:tcPr>
            <w:tcW w:w="1008" w:type="pct"/>
            <w:tcBorders>
              <w:top w:val="single" w:sz="4" w:space="0" w:color="002060"/>
            </w:tcBorders>
            <w:shd w:val="clear" w:color="auto" w:fill="auto"/>
          </w:tcPr>
          <w:p w14:paraId="517D49B4" w14:textId="77777777" w:rsidR="006D0778" w:rsidRPr="00AD7E7D" w:rsidRDefault="006D0778" w:rsidP="006D0778">
            <w:pPr>
              <w:spacing w:after="0"/>
              <w:ind w:firstLine="709"/>
              <w:jc w:val="right"/>
              <w:cnfStyle w:val="000000100000" w:firstRow="0" w:lastRow="0" w:firstColumn="0" w:lastColumn="0" w:oddVBand="0" w:evenVBand="0" w:oddHBand="1" w:evenHBand="0" w:firstRowFirstColumn="0" w:firstRowLastColumn="0" w:lastRowFirstColumn="0" w:lastRowLastColumn="0"/>
              <w:rPr>
                <w:color w:val="auto"/>
                <w:szCs w:val="24"/>
                <w:lang w:val="sr-Cyrl-RS" w:eastAsia="sr-Cyrl-CS"/>
              </w:rPr>
            </w:pPr>
            <w:r w:rsidRPr="00AD7E7D">
              <w:rPr>
                <w:color w:val="auto"/>
                <w:szCs w:val="24"/>
                <w:lang w:val="sr-Cyrl-RS" w:eastAsia="sr-Cyrl-CS"/>
              </w:rPr>
              <w:t>4,5</w:t>
            </w:r>
          </w:p>
        </w:tc>
      </w:tr>
      <w:tr w:rsidR="006D0778" w:rsidRPr="00AD7E7D" w14:paraId="13D3AEE8" w14:textId="77777777" w:rsidTr="00D2109C">
        <w:trPr>
          <w:trHeight w:val="154"/>
        </w:trPr>
        <w:tc>
          <w:tcPr>
            <w:cnfStyle w:val="001000000000" w:firstRow="0" w:lastRow="0" w:firstColumn="1" w:lastColumn="0" w:oddVBand="0" w:evenVBand="0" w:oddHBand="0" w:evenHBand="0" w:firstRowFirstColumn="0" w:firstRowLastColumn="0" w:lastRowFirstColumn="0" w:lastRowLastColumn="0"/>
            <w:tcW w:w="2984" w:type="pct"/>
            <w:shd w:val="clear" w:color="auto" w:fill="auto"/>
            <w:noWrap/>
            <w:vAlign w:val="center"/>
            <w:hideMark/>
          </w:tcPr>
          <w:p w14:paraId="54EE8C6A" w14:textId="77777777" w:rsidR="006D0778" w:rsidRPr="00AD7E7D" w:rsidRDefault="006D0778" w:rsidP="006D0778">
            <w:pPr>
              <w:spacing w:after="0"/>
              <w:rPr>
                <w:b w:val="0"/>
                <w:color w:val="auto"/>
                <w:szCs w:val="24"/>
                <w:lang w:val="sr-Cyrl-RS" w:eastAsia="sr-Cyrl-CS"/>
              </w:rPr>
            </w:pPr>
            <w:r w:rsidRPr="00AD7E7D">
              <w:rPr>
                <w:b w:val="0"/>
                <w:color w:val="auto"/>
                <w:szCs w:val="24"/>
                <w:lang w:val="sr-Cyrl-RS" w:eastAsia="sr-Cyrl-CS"/>
              </w:rPr>
              <w:t>ООСО</w:t>
            </w:r>
          </w:p>
        </w:tc>
        <w:tc>
          <w:tcPr>
            <w:tcW w:w="1008" w:type="pct"/>
            <w:shd w:val="clear" w:color="auto" w:fill="auto"/>
          </w:tcPr>
          <w:p w14:paraId="5E8D90B4" w14:textId="77777777" w:rsidR="006D0778" w:rsidRPr="00AD7E7D" w:rsidRDefault="006D0778" w:rsidP="006D0778">
            <w:pPr>
              <w:spacing w:after="0"/>
              <w:ind w:firstLine="709"/>
              <w:jc w:val="right"/>
              <w:cnfStyle w:val="000000000000" w:firstRow="0" w:lastRow="0" w:firstColumn="0" w:lastColumn="0" w:oddVBand="0" w:evenVBand="0" w:oddHBand="0" w:evenHBand="0" w:firstRowFirstColumn="0" w:firstRowLastColumn="0" w:lastRowFirstColumn="0" w:lastRowLastColumn="0"/>
              <w:rPr>
                <w:color w:val="auto"/>
                <w:szCs w:val="24"/>
                <w:lang w:val="sr-Latn-RS" w:eastAsia="sr-Cyrl-CS"/>
              </w:rPr>
            </w:pPr>
            <w:r w:rsidRPr="00AD7E7D">
              <w:rPr>
                <w:color w:val="auto"/>
                <w:szCs w:val="24"/>
                <w:lang w:val="sr-Cyrl-RS" w:eastAsia="sr-Cyrl-CS"/>
              </w:rPr>
              <w:t>1,</w:t>
            </w:r>
            <w:r w:rsidRPr="00AD7E7D">
              <w:rPr>
                <w:color w:val="auto"/>
                <w:szCs w:val="24"/>
                <w:lang w:val="sr-Latn-RS" w:eastAsia="sr-Cyrl-CS"/>
              </w:rPr>
              <w:t>2</w:t>
            </w:r>
          </w:p>
        </w:tc>
        <w:tc>
          <w:tcPr>
            <w:tcW w:w="1008" w:type="pct"/>
            <w:shd w:val="clear" w:color="auto" w:fill="auto"/>
          </w:tcPr>
          <w:p w14:paraId="77F52D31" w14:textId="77777777" w:rsidR="006D0778" w:rsidRPr="00AD7E7D" w:rsidRDefault="006D0778" w:rsidP="006D0778">
            <w:pPr>
              <w:spacing w:after="0"/>
              <w:ind w:firstLine="709"/>
              <w:jc w:val="right"/>
              <w:cnfStyle w:val="000000000000" w:firstRow="0" w:lastRow="0" w:firstColumn="0" w:lastColumn="0" w:oddVBand="0" w:evenVBand="0" w:oddHBand="0" w:evenHBand="0" w:firstRowFirstColumn="0" w:firstRowLastColumn="0" w:lastRowFirstColumn="0" w:lastRowLastColumn="0"/>
              <w:rPr>
                <w:color w:val="auto"/>
                <w:szCs w:val="24"/>
                <w:lang w:val="sr-Cyrl-RS" w:eastAsia="sr-Cyrl-CS"/>
              </w:rPr>
            </w:pPr>
            <w:r w:rsidRPr="00AD7E7D">
              <w:rPr>
                <w:color w:val="auto"/>
                <w:szCs w:val="24"/>
                <w:lang w:val="sr-Cyrl-RS" w:eastAsia="sr-Cyrl-CS"/>
              </w:rPr>
              <w:t>1,2</w:t>
            </w:r>
          </w:p>
        </w:tc>
      </w:tr>
      <w:tr w:rsidR="006D0778" w:rsidRPr="00AD7E7D" w14:paraId="7EB3F962" w14:textId="77777777" w:rsidTr="00D2109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4" w:type="pct"/>
            <w:tcBorders>
              <w:bottom w:val="single" w:sz="4" w:space="0" w:color="002060"/>
            </w:tcBorders>
            <w:shd w:val="clear" w:color="auto" w:fill="auto"/>
            <w:noWrap/>
            <w:vAlign w:val="center"/>
            <w:hideMark/>
          </w:tcPr>
          <w:p w14:paraId="3AE9C8BB" w14:textId="77777777" w:rsidR="006D0778" w:rsidRPr="00AD7E7D" w:rsidRDefault="006D0778" w:rsidP="006D0778">
            <w:pPr>
              <w:spacing w:after="0"/>
              <w:rPr>
                <w:b w:val="0"/>
                <w:color w:val="auto"/>
                <w:szCs w:val="24"/>
                <w:lang w:val="sr-Cyrl-RS" w:eastAsia="sr-Cyrl-CS"/>
              </w:rPr>
            </w:pPr>
            <w:r w:rsidRPr="00AD7E7D">
              <w:rPr>
                <w:b w:val="0"/>
                <w:color w:val="auto"/>
                <w:szCs w:val="24"/>
                <w:lang w:val="sr-Cyrl-RS" w:eastAsia="sr-Cyrl-CS"/>
              </w:rPr>
              <w:t>УКУПНО</w:t>
            </w:r>
          </w:p>
        </w:tc>
        <w:tc>
          <w:tcPr>
            <w:tcW w:w="1008" w:type="pct"/>
            <w:tcBorders>
              <w:bottom w:val="single" w:sz="4" w:space="0" w:color="002060"/>
            </w:tcBorders>
            <w:shd w:val="clear" w:color="auto" w:fill="auto"/>
          </w:tcPr>
          <w:p w14:paraId="35C68E98" w14:textId="77777777" w:rsidR="006D0778" w:rsidRPr="00AD7E7D" w:rsidRDefault="006D0778" w:rsidP="006D0778">
            <w:pPr>
              <w:spacing w:after="0"/>
              <w:ind w:firstLine="709"/>
              <w:jc w:val="right"/>
              <w:cnfStyle w:val="000000100000" w:firstRow="0" w:lastRow="0" w:firstColumn="0" w:lastColumn="0" w:oddVBand="0" w:evenVBand="0" w:oddHBand="1" w:evenHBand="0" w:firstRowFirstColumn="0" w:firstRowLastColumn="0" w:lastRowFirstColumn="0" w:lastRowLastColumn="0"/>
              <w:rPr>
                <w:color w:val="auto"/>
                <w:szCs w:val="24"/>
                <w:lang w:val="sr-Cyrl-RS" w:eastAsia="sr-Cyrl-CS"/>
              </w:rPr>
            </w:pPr>
            <w:r w:rsidRPr="00AD7E7D">
              <w:rPr>
                <w:color w:val="auto"/>
                <w:szCs w:val="24"/>
                <w:lang w:val="sr-Cyrl-RS" w:eastAsia="sr-Cyrl-CS"/>
              </w:rPr>
              <w:t>3,5</w:t>
            </w:r>
          </w:p>
        </w:tc>
        <w:tc>
          <w:tcPr>
            <w:tcW w:w="1008" w:type="pct"/>
            <w:tcBorders>
              <w:bottom w:val="single" w:sz="4" w:space="0" w:color="002060"/>
            </w:tcBorders>
            <w:shd w:val="clear" w:color="auto" w:fill="auto"/>
          </w:tcPr>
          <w:p w14:paraId="1D591CD6" w14:textId="77777777" w:rsidR="006D0778" w:rsidRPr="00AD7E7D" w:rsidRDefault="006D0778" w:rsidP="006D0778">
            <w:pPr>
              <w:spacing w:after="0"/>
              <w:ind w:firstLine="709"/>
              <w:jc w:val="right"/>
              <w:cnfStyle w:val="000000100000" w:firstRow="0" w:lastRow="0" w:firstColumn="0" w:lastColumn="0" w:oddVBand="0" w:evenVBand="0" w:oddHBand="1" w:evenHBand="0" w:firstRowFirstColumn="0" w:firstRowLastColumn="0" w:lastRowFirstColumn="0" w:lastRowLastColumn="0"/>
              <w:rPr>
                <w:color w:val="auto"/>
                <w:szCs w:val="24"/>
                <w:lang w:val="sr-Latn-RS" w:eastAsia="sr-Cyrl-CS"/>
              </w:rPr>
            </w:pPr>
            <w:r w:rsidRPr="00AD7E7D">
              <w:rPr>
                <w:color w:val="auto"/>
                <w:szCs w:val="24"/>
                <w:lang w:val="sr-Latn-RS" w:eastAsia="sr-Cyrl-CS"/>
              </w:rPr>
              <w:t>5,7</w:t>
            </w:r>
          </w:p>
        </w:tc>
      </w:tr>
    </w:tbl>
    <w:p w14:paraId="597314EB" w14:textId="77777777" w:rsidR="006D0778" w:rsidRPr="00010E52" w:rsidRDefault="006D0778" w:rsidP="00BF5A92">
      <w:pPr>
        <w:spacing w:before="40" w:after="180"/>
        <w:rPr>
          <w:rFonts w:eastAsia="Calibri" w:cs="Times New Roman"/>
          <w:sz w:val="22"/>
          <w:szCs w:val="24"/>
          <w:lang w:val="sr-Cyrl-RS"/>
        </w:rPr>
      </w:pPr>
      <w:r w:rsidRPr="00010E52">
        <w:rPr>
          <w:rFonts w:eastAsia="Calibri" w:cs="Times New Roman"/>
          <w:bCs/>
          <w:sz w:val="22"/>
          <w:szCs w:val="24"/>
          <w:lang w:val="sr-Cyrl-RS" w:eastAsia="ja-JP"/>
        </w:rPr>
        <w:t xml:space="preserve">Извор: </w:t>
      </w:r>
      <w:r w:rsidRPr="00010E52">
        <w:rPr>
          <w:rFonts w:eastAsia="Calibri" w:cs="Times New Roman"/>
          <w:sz w:val="22"/>
          <w:szCs w:val="24"/>
          <w:lang w:val="sr-Cyrl-RS"/>
        </w:rPr>
        <w:t>Министарство финансија</w:t>
      </w:r>
    </w:p>
    <w:p w14:paraId="2EF66000" w14:textId="77777777" w:rsidR="006D0778" w:rsidRPr="00BF5A92" w:rsidRDefault="006D0778" w:rsidP="006D0778">
      <w:pPr>
        <w:spacing w:after="0"/>
        <w:rPr>
          <w:rFonts w:eastAsia="MS PGothic" w:cs="Times New Roman"/>
          <w:sz w:val="22"/>
          <w:szCs w:val="24"/>
          <w:lang w:val="sr-Cyrl-RS" w:eastAsia="ja-JP"/>
        </w:rPr>
      </w:pPr>
      <w:r w:rsidRPr="00BF5A92">
        <w:rPr>
          <w:rFonts w:eastAsia="MS PGothic" w:cs="Times New Roman"/>
          <w:sz w:val="22"/>
          <w:szCs w:val="24"/>
          <w:lang w:val="sr-Cyrl-RS" w:eastAsia="ja-JP"/>
        </w:rPr>
        <w:t>*</w:t>
      </w:r>
      <w:r w:rsidR="00F829D4" w:rsidRPr="00BF5A92">
        <w:rPr>
          <w:rFonts w:eastAsia="MS PGothic" w:cs="Times New Roman"/>
          <w:sz w:val="22"/>
          <w:szCs w:val="24"/>
          <w:lang w:val="sr-Cyrl-RS" w:eastAsia="ja-JP"/>
        </w:rPr>
        <w:t>*</w:t>
      </w:r>
      <w:r w:rsidRPr="00BF5A92">
        <w:rPr>
          <w:rFonts w:eastAsia="MS PGothic" w:cs="Times New Roman"/>
          <w:sz w:val="22"/>
          <w:szCs w:val="24"/>
          <w:lang w:val="sr-Cyrl-RS" w:eastAsia="ja-JP"/>
        </w:rPr>
        <w:t xml:space="preserve"> У складу са дефиницијом која се користила за потребе праћења спровођења аранжмана са ММФ.</w:t>
      </w:r>
    </w:p>
    <w:p w14:paraId="3CCDB7AB" w14:textId="77777777" w:rsidR="006D0778" w:rsidRPr="00AD7E7D" w:rsidRDefault="006D0778" w:rsidP="006D0778">
      <w:pPr>
        <w:rPr>
          <w:rFonts w:eastAsia="Calibri" w:cs="Times New Roman"/>
          <w:b/>
          <w:szCs w:val="24"/>
          <w:lang w:val="sr-Cyrl-RS"/>
        </w:rPr>
      </w:pPr>
      <w:r w:rsidRPr="00AD7E7D">
        <w:rPr>
          <w:rFonts w:eastAsia="Calibri" w:cs="Times New Roman"/>
          <w:b/>
          <w:szCs w:val="24"/>
          <w:lang w:val="sr-Cyrl-RS"/>
        </w:rPr>
        <w:br w:type="page"/>
      </w:r>
    </w:p>
    <w:p w14:paraId="3B0BE287" w14:textId="77777777" w:rsidR="006D0778" w:rsidRPr="00AD7E7D" w:rsidRDefault="006D0778" w:rsidP="006D0778">
      <w:pPr>
        <w:spacing w:after="0"/>
        <w:jc w:val="center"/>
        <w:rPr>
          <w:rFonts w:eastAsia="Calibri" w:cs="Times New Roman"/>
          <w:b/>
          <w:szCs w:val="24"/>
          <w:lang w:val="sr-Cyrl-RS"/>
        </w:rPr>
      </w:pPr>
      <w:r w:rsidRPr="00AD7E7D">
        <w:rPr>
          <w:rFonts w:eastAsia="Calibri" w:cs="Times New Roman"/>
          <w:noProof/>
          <w:szCs w:val="24"/>
        </w:rPr>
        <w:lastRenderedPageBreak/>
        <mc:AlternateContent>
          <mc:Choice Requires="wps">
            <w:drawing>
              <wp:anchor distT="0" distB="0" distL="114300" distR="114300" simplePos="0" relativeHeight="251659264" behindDoc="1" locked="0" layoutInCell="1" allowOverlap="1" wp14:anchorId="2B4F2DB0" wp14:editId="17987A81">
                <wp:simplePos x="0" y="0"/>
                <wp:positionH relativeFrom="margin">
                  <wp:posOffset>-247650</wp:posOffset>
                </wp:positionH>
                <wp:positionV relativeFrom="paragraph">
                  <wp:posOffset>-66675</wp:posOffset>
                </wp:positionV>
                <wp:extent cx="6410325" cy="8610600"/>
                <wp:effectExtent l="0" t="0" r="9525" b="0"/>
                <wp:wrapNone/>
                <wp:docPr id="61" name="Rectangle 61"/>
                <wp:cNvGraphicFramePr/>
                <a:graphic xmlns:a="http://schemas.openxmlformats.org/drawingml/2006/main">
                  <a:graphicData uri="http://schemas.microsoft.com/office/word/2010/wordprocessingShape">
                    <wps:wsp>
                      <wps:cNvSpPr/>
                      <wps:spPr>
                        <a:xfrm>
                          <a:off x="0" y="0"/>
                          <a:ext cx="6410325" cy="8610600"/>
                        </a:xfrm>
                        <a:prstGeom prst="rect">
                          <a:avLst/>
                        </a:prstGeom>
                        <a:pattFill prst="pct25">
                          <a:fgClr>
                            <a:sysClr val="window" lastClr="FFFFFF">
                              <a:lumMod val="85000"/>
                            </a:sysClr>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6A33E" id="Rectangle 61" o:spid="_x0000_s1026" style="position:absolute;margin-left:-19.5pt;margin-top:-5.25pt;width:504.75pt;height:67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" fillcolor="#d9d9d9" stroked="f" strokeweight="1pt">
                <v:fill r:id="rId17" o:title="" color2="window" type="pattern"/>
                <w10:wrap anchorx="margin"/>
              </v:rect>
            </w:pict>
          </mc:Fallback>
        </mc:AlternateContent>
      </w:r>
      <w:r w:rsidRPr="00AD7E7D">
        <w:rPr>
          <w:rFonts w:eastAsia="Calibri" w:cs="Times New Roman"/>
          <w:b/>
          <w:szCs w:val="24"/>
          <w:lang w:val="sr-Cyrl-RS"/>
        </w:rPr>
        <w:t>S0 индикатор краткорочне фискалне одрживости</w:t>
      </w:r>
    </w:p>
    <w:p w14:paraId="51FE32DA" w14:textId="77777777" w:rsidR="006D0778" w:rsidRPr="00AD7E7D" w:rsidRDefault="006D0778" w:rsidP="006D0778">
      <w:pPr>
        <w:rPr>
          <w:rFonts w:eastAsia="Calibri" w:cs="Times New Roman"/>
          <w:szCs w:val="24"/>
          <w:lang w:val="sr-Cyrl-RS"/>
        </w:rPr>
      </w:pPr>
    </w:p>
    <w:p w14:paraId="1FF1BEEC" w14:textId="77777777" w:rsidR="006D0778" w:rsidRPr="00AD7E7D" w:rsidRDefault="006D0778" w:rsidP="006D0778">
      <w:pPr>
        <w:rPr>
          <w:rFonts w:cs="Times New Roman"/>
          <w:szCs w:val="24"/>
        </w:rPr>
      </w:pPr>
      <w:r w:rsidRPr="00AD7E7D">
        <w:rPr>
          <w:rFonts w:cs="Times New Roman"/>
          <w:szCs w:val="24"/>
        </w:rPr>
        <w:t>Европска комисија је за оцену краткорочне фискалне одрживости дизајнирала композитни индикатор S0 којим се кроз идентификацију потенцијалних краткорочних ризика у текућој години настоји да антиципира фискални стрес у наредној години. Уколико вредност S0 индикатора прелази дефинисани праг сматра се да је земља у краткорочном ризику од фискалног стреса. Поред вредности за целокупан индикатор, ради лоцирања извора из ког ризик потиче, разматрају се и вредности подиндекса и њихових компоненти. S0 композитни индикатор се састоји од два подиндекса, који у себи садрже низ варијабли фискалне и макро-финансијске одрживости. Вредност ових подиндекса испод дефинисаног прага указују на одсуство краткорочног фискалног ризика.</w:t>
      </w:r>
    </w:p>
    <w:p w14:paraId="18362287" w14:textId="77777777" w:rsidR="006D0778" w:rsidRPr="00AD7E7D" w:rsidRDefault="006D0778" w:rsidP="006D0778">
      <w:pPr>
        <w:rPr>
          <w:rFonts w:cs="Times New Roman"/>
          <w:szCs w:val="24"/>
        </w:rPr>
      </w:pPr>
      <w:r w:rsidRPr="00AD7E7D">
        <w:rPr>
          <w:rFonts w:cs="Times New Roman"/>
          <w:szCs w:val="24"/>
        </w:rPr>
        <w:t>У 2023. години вредности фискалног (0,08) и финансијског подиндекса (0,27) су унутар за њих дефинисаног прага, као и вредност целокупног S0 индикатора за Републику Србију (0,20), што начелно указује да не постоји опасност од појаве макроекономске нестабилности у наредном средњорочном периоду. Успешно очувана макроекономска и фискална стабилност успостављена у претходном периоду обезбедила је простор за брзе и значајне мере подршке фискалне и монетарне политике.</w:t>
      </w:r>
    </w:p>
    <w:p w14:paraId="6FD750C2" w14:textId="77777777" w:rsidR="006D0778" w:rsidRPr="006C46A3" w:rsidRDefault="006D0778" w:rsidP="006D0778">
      <w:pPr>
        <w:rPr>
          <w:rFonts w:eastAsia="Calibri" w:cs="Times New Roman"/>
          <w:i/>
          <w:szCs w:val="24"/>
          <w:lang w:val="sr-Cyrl-RS"/>
        </w:rPr>
      </w:pPr>
      <w:r w:rsidRPr="006C46A3">
        <w:rPr>
          <w:rFonts w:eastAsia="Calibri" w:cs="Times New Roman"/>
          <w:i/>
          <w:szCs w:val="24"/>
          <w:lang w:val="sr-Cyrl-RS"/>
        </w:rPr>
        <w:t xml:space="preserve">Графикон </w:t>
      </w:r>
      <w:r w:rsidR="006C46A3" w:rsidRPr="006C46A3">
        <w:rPr>
          <w:rFonts w:eastAsia="Calibri" w:cs="Times New Roman"/>
          <w:i/>
          <w:szCs w:val="24"/>
          <w:lang w:val="sr-Latn-RS"/>
        </w:rPr>
        <w:t>6</w:t>
      </w:r>
      <w:r w:rsidRPr="006C46A3">
        <w:rPr>
          <w:rFonts w:eastAsia="Calibri" w:cs="Times New Roman"/>
          <w:i/>
          <w:szCs w:val="24"/>
          <w:lang w:val="sr-Cyrl-RS"/>
        </w:rPr>
        <w:t>. S0 индикатор за Србију у периоду 2015–2023. године</w:t>
      </w:r>
    </w:p>
    <w:p w14:paraId="324219C3" w14:textId="77777777" w:rsidR="006D0778" w:rsidRPr="00AD7E7D" w:rsidRDefault="006D0778" w:rsidP="006D0778">
      <w:pPr>
        <w:spacing w:after="240"/>
        <w:rPr>
          <w:rFonts w:eastAsia="Calibri" w:cs="Times New Roman"/>
          <w:szCs w:val="24"/>
          <w:lang w:val="sr-Cyrl-RS"/>
        </w:rPr>
      </w:pPr>
      <w:r w:rsidRPr="00AD7E7D">
        <w:rPr>
          <w:rFonts w:cs="Times New Roman"/>
          <w:noProof/>
          <w:szCs w:val="24"/>
        </w:rPr>
        <w:drawing>
          <wp:inline distT="0" distB="0" distL="0" distR="0" wp14:anchorId="4FA057DE" wp14:editId="5557B18B">
            <wp:extent cx="5731510" cy="2171700"/>
            <wp:effectExtent l="0" t="0" r="254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6C46A3">
        <w:rPr>
          <w:rFonts w:eastAsia="Calibri" w:cs="Times New Roman"/>
          <w:i/>
          <w:szCs w:val="24"/>
          <w:lang w:val="sr-Cyrl-RS"/>
        </w:rPr>
        <w:t xml:space="preserve">Графикон </w:t>
      </w:r>
      <w:r w:rsidR="006C46A3" w:rsidRPr="006C46A3">
        <w:rPr>
          <w:rFonts w:eastAsia="Calibri" w:cs="Times New Roman"/>
          <w:i/>
          <w:szCs w:val="24"/>
          <w:lang w:val="sr-Latn-RS"/>
        </w:rPr>
        <w:t>7</w:t>
      </w:r>
      <w:r w:rsidRPr="006C46A3">
        <w:rPr>
          <w:rFonts w:eastAsia="Calibri" w:cs="Times New Roman"/>
          <w:i/>
          <w:szCs w:val="24"/>
          <w:lang w:val="sr-Cyrl-RS"/>
        </w:rPr>
        <w:t>. S0 земље ЕУ и Србија</w:t>
      </w:r>
    </w:p>
    <w:p w14:paraId="2CE32E46" w14:textId="77777777" w:rsidR="006D0778" w:rsidRPr="00AD7E7D" w:rsidRDefault="006D0778" w:rsidP="006D0778">
      <w:pPr>
        <w:rPr>
          <w:rFonts w:eastAsia="Calibri" w:cs="Times New Roman"/>
          <w:szCs w:val="24"/>
          <w:lang w:val="sr-Cyrl-RS"/>
        </w:rPr>
      </w:pPr>
      <w:r w:rsidRPr="00AD7E7D">
        <w:rPr>
          <w:rFonts w:cs="Times New Roman"/>
          <w:noProof/>
          <w:szCs w:val="24"/>
        </w:rPr>
        <w:drawing>
          <wp:inline distT="0" distB="0" distL="0" distR="0" wp14:anchorId="20430FCB" wp14:editId="47C1A09C">
            <wp:extent cx="5731510" cy="24003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2730481" w14:textId="77777777" w:rsidR="006D0778" w:rsidRPr="00AD7E7D" w:rsidRDefault="006D0778" w:rsidP="006D0778">
      <w:pPr>
        <w:rPr>
          <w:rFonts w:eastAsia="Calibri" w:cs="Times New Roman"/>
          <w:szCs w:val="24"/>
          <w:lang w:val="sr-Cyrl-RS"/>
        </w:rPr>
      </w:pPr>
    </w:p>
    <w:p w14:paraId="318090DF" w14:textId="77777777" w:rsidR="006D0778" w:rsidRPr="00AD7E7D" w:rsidRDefault="006D0778" w:rsidP="006D0778">
      <w:pPr>
        <w:rPr>
          <w:rFonts w:eastAsia="Calibri" w:cs="Times New Roman"/>
          <w:szCs w:val="24"/>
          <w:lang w:val="sr-Cyrl-RS"/>
        </w:rPr>
      </w:pPr>
      <w:r w:rsidRPr="00AD7E7D">
        <w:rPr>
          <w:rFonts w:eastAsia="Calibri" w:cs="Times New Roman"/>
          <w:noProof/>
          <w:szCs w:val="24"/>
        </w:rPr>
        <w:lastRenderedPageBreak/>
        <mc:AlternateContent>
          <mc:Choice Requires="wps">
            <w:drawing>
              <wp:anchor distT="0" distB="0" distL="114300" distR="114300" simplePos="0" relativeHeight="251660288" behindDoc="1" locked="0" layoutInCell="1" allowOverlap="1" wp14:anchorId="6A3B4D8C" wp14:editId="001ADBA4">
                <wp:simplePos x="0" y="0"/>
                <wp:positionH relativeFrom="margin">
                  <wp:posOffset>-409575</wp:posOffset>
                </wp:positionH>
                <wp:positionV relativeFrom="paragraph">
                  <wp:posOffset>161924</wp:posOffset>
                </wp:positionV>
                <wp:extent cx="6564630" cy="6638925"/>
                <wp:effectExtent l="0" t="0" r="7620" b="9525"/>
                <wp:wrapNone/>
                <wp:docPr id="64" name="Rectangle 64"/>
                <wp:cNvGraphicFramePr/>
                <a:graphic xmlns:a="http://schemas.openxmlformats.org/drawingml/2006/main">
                  <a:graphicData uri="http://schemas.microsoft.com/office/word/2010/wordprocessingShape">
                    <wps:wsp>
                      <wps:cNvSpPr/>
                      <wps:spPr>
                        <a:xfrm>
                          <a:off x="0" y="0"/>
                          <a:ext cx="6564630" cy="6638925"/>
                        </a:xfrm>
                        <a:prstGeom prst="rect">
                          <a:avLst/>
                        </a:prstGeom>
                        <a:pattFill prst="pct25">
                          <a:fgClr>
                            <a:sysClr val="window" lastClr="FFFFFF">
                              <a:lumMod val="85000"/>
                            </a:sysClr>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54A81" id="Rectangle 64" o:spid="_x0000_s1026" style="position:absolute;margin-left:-32.25pt;margin-top:12.75pt;width:516.9pt;height:522.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" fillcolor="#d9d9d9" stroked="f" strokeweight="1pt">
                <v:fill r:id="rId17" o:title="" color2="window" type="pattern"/>
                <w10:wrap anchorx="margin"/>
              </v:rect>
            </w:pict>
          </mc:Fallback>
        </mc:AlternateContent>
      </w:r>
    </w:p>
    <w:p w14:paraId="2C4283D8" w14:textId="77777777" w:rsidR="006D0778" w:rsidRPr="00AD7E7D" w:rsidRDefault="006D0778" w:rsidP="006D0778">
      <w:pPr>
        <w:rPr>
          <w:rFonts w:cs="Times New Roman"/>
          <w:szCs w:val="24"/>
        </w:rPr>
      </w:pPr>
      <w:r w:rsidRPr="00AD7E7D">
        <w:rPr>
          <w:rFonts w:eastAsia="Calibri" w:cs="Times New Roman"/>
          <w:szCs w:val="24"/>
          <w:lang w:val="sr-Cyrl-RS"/>
        </w:rPr>
        <w:t xml:space="preserve">Обрачун S0 индикатора за Републику Србију, </w:t>
      </w:r>
      <w:r w:rsidRPr="00AD7E7D">
        <w:rPr>
          <w:rFonts w:cs="Times New Roman"/>
          <w:szCs w:val="24"/>
        </w:rPr>
        <w:t>урађен је од стране Министарства финансија, и базира се на методологији ЕК.</w:t>
      </w:r>
    </w:p>
    <w:p w14:paraId="0EC8BE3A" w14:textId="77777777" w:rsidR="006D0778" w:rsidRPr="00AD7E7D" w:rsidRDefault="006D0778" w:rsidP="006D0778">
      <w:pPr>
        <w:rPr>
          <w:rFonts w:eastAsia="Calibri" w:cs="Times New Roman"/>
          <w:spacing w:val="2"/>
          <w:szCs w:val="24"/>
          <w:lang w:val="sr-Cyrl-RS"/>
        </w:rPr>
      </w:pPr>
      <w:r w:rsidRPr="00AD7E7D">
        <w:rPr>
          <w:rFonts w:cs="Times New Roman"/>
          <w:szCs w:val="24"/>
        </w:rPr>
        <w:t xml:space="preserve">На основу података ЕК за земље ЕУ за 2023. годину и обрачуна Министарства финансија за Републику Србију, закључујемо да већина посматраних земаља, као и Србија, није била изложена краткорочном ризику реализације фискалног стреса, будући да вредност S0 нигде не премашује дефинисани праг. </w:t>
      </w:r>
    </w:p>
    <w:p w14:paraId="463678DB" w14:textId="77777777" w:rsidR="006D0778" w:rsidRPr="00BF5A92" w:rsidRDefault="006D0778" w:rsidP="006D0778">
      <w:pPr>
        <w:rPr>
          <w:rFonts w:eastAsia="Calibri" w:cs="Times New Roman"/>
          <w:i/>
          <w:spacing w:val="2"/>
          <w:szCs w:val="24"/>
          <w:lang w:val="sr-Cyrl-RS"/>
        </w:rPr>
      </w:pPr>
      <w:r w:rsidRPr="00BF5A92">
        <w:rPr>
          <w:rFonts w:eastAsia="Calibri" w:cs="Times New Roman"/>
          <w:i/>
          <w:spacing w:val="2"/>
          <w:szCs w:val="24"/>
          <w:lang w:val="sr-Cyrl-RS"/>
        </w:rPr>
        <w:t xml:space="preserve">Графикон </w:t>
      </w:r>
      <w:r w:rsidR="006C46A3">
        <w:rPr>
          <w:rFonts w:eastAsia="Calibri" w:cs="Times New Roman"/>
          <w:i/>
          <w:spacing w:val="2"/>
          <w:szCs w:val="24"/>
          <w:lang w:val="sr-Latn-RS"/>
        </w:rPr>
        <w:t>8</w:t>
      </w:r>
      <w:r w:rsidRPr="00BF5A92">
        <w:rPr>
          <w:rFonts w:eastAsia="Calibri" w:cs="Times New Roman"/>
          <w:i/>
          <w:spacing w:val="2"/>
          <w:szCs w:val="24"/>
          <w:lang w:val="sr-Cyrl-RS"/>
        </w:rPr>
        <w:t xml:space="preserve">. </w:t>
      </w:r>
      <w:r w:rsidRPr="00BF5A92">
        <w:rPr>
          <w:rFonts w:eastAsia="Calibri" w:cs="Times New Roman"/>
          <w:i/>
          <w:szCs w:val="24"/>
          <w:lang w:val="sr-Cyrl-RS"/>
        </w:rPr>
        <w:t>Фискални подиндекс и подиндекс финансијске конкурентности за земље ЕУ и Србију у 2023. години</w:t>
      </w:r>
    </w:p>
    <w:p w14:paraId="32C755D5" w14:textId="77777777" w:rsidR="006D0778" w:rsidRPr="00AD7E7D" w:rsidRDefault="006D0778" w:rsidP="006D0778">
      <w:pPr>
        <w:rPr>
          <w:rFonts w:eastAsia="Calibri" w:cs="Times New Roman"/>
          <w:szCs w:val="24"/>
          <w:lang w:val="sr-Cyrl-RS"/>
        </w:rPr>
      </w:pPr>
      <w:r w:rsidRPr="00AD7E7D">
        <w:rPr>
          <w:rFonts w:cs="Times New Roman"/>
          <w:noProof/>
          <w:szCs w:val="24"/>
        </w:rPr>
        <w:drawing>
          <wp:inline distT="0" distB="0" distL="0" distR="0" wp14:anchorId="2168C5A6" wp14:editId="4B732515">
            <wp:extent cx="5934075" cy="4496435"/>
            <wp:effectExtent l="0" t="0" r="9525" b="1841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43491EA" w14:textId="77777777" w:rsidR="006D0778" w:rsidRPr="00AD7E7D" w:rsidRDefault="006D0778" w:rsidP="006D0778">
      <w:pPr>
        <w:rPr>
          <w:rFonts w:eastAsia="Calibri" w:cs="Times New Roman"/>
          <w:szCs w:val="24"/>
          <w:lang w:val="sr-Cyrl-RS"/>
        </w:rPr>
      </w:pPr>
      <w:bookmarkStart w:id="22" w:name="_Toc530635107"/>
    </w:p>
    <w:p w14:paraId="0FCE8711" w14:textId="77777777" w:rsidR="006D0778" w:rsidRPr="00AD7E7D" w:rsidRDefault="006D0778" w:rsidP="006D0778">
      <w:pPr>
        <w:rPr>
          <w:rFonts w:eastAsia="Calibri" w:cs="Times New Roman"/>
          <w:szCs w:val="24"/>
          <w:lang w:val="sr-Cyrl-RS"/>
        </w:rPr>
      </w:pPr>
    </w:p>
    <w:p w14:paraId="01204E7A" w14:textId="77777777" w:rsidR="006D0778" w:rsidRPr="00AD7E7D" w:rsidRDefault="006D0778" w:rsidP="006D0778">
      <w:pPr>
        <w:rPr>
          <w:rFonts w:eastAsia="Calibri" w:cs="Times New Roman"/>
          <w:szCs w:val="24"/>
          <w:lang w:val="sr-Cyrl-RS"/>
        </w:rPr>
      </w:pPr>
    </w:p>
    <w:p w14:paraId="4F6F53BE" w14:textId="77777777" w:rsidR="006D0778" w:rsidRPr="00AD7E7D" w:rsidRDefault="006D0778" w:rsidP="006D0778">
      <w:pPr>
        <w:spacing w:after="160" w:line="259" w:lineRule="auto"/>
        <w:jc w:val="left"/>
        <w:rPr>
          <w:rFonts w:eastAsia="Calibri" w:cs="Times New Roman"/>
          <w:szCs w:val="24"/>
          <w:lang w:val="sr-Cyrl-RS"/>
        </w:rPr>
      </w:pPr>
      <w:r w:rsidRPr="00AD7E7D">
        <w:rPr>
          <w:rFonts w:eastAsia="Calibri" w:cs="Times New Roman"/>
          <w:szCs w:val="24"/>
          <w:lang w:val="sr-Cyrl-RS"/>
        </w:rPr>
        <w:br w:type="page"/>
      </w:r>
    </w:p>
    <w:p w14:paraId="7CEC8D6B" w14:textId="77777777" w:rsidR="006D0778" w:rsidRPr="00915EC2" w:rsidRDefault="00933940" w:rsidP="00E25CAC">
      <w:pPr>
        <w:pStyle w:val="Heading11"/>
        <w:spacing w:before="180" w:after="180"/>
        <w:rPr>
          <w:rFonts w:ascii="Times New Roman" w:hAnsi="Times New Roman" w:cs="Times New Roman"/>
          <w:color w:val="auto"/>
          <w:sz w:val="24"/>
          <w:szCs w:val="24"/>
          <w:lang w:val="sr-Latn-RS"/>
        </w:rPr>
      </w:pPr>
      <w:bookmarkStart w:id="23" w:name="_Toc185342335"/>
      <w:r w:rsidRPr="00915EC2">
        <w:rPr>
          <w:rFonts w:ascii="Times New Roman" w:hAnsi="Times New Roman" w:cs="Times New Roman"/>
          <w:color w:val="auto"/>
          <w:sz w:val="24"/>
          <w:szCs w:val="24"/>
          <w:lang w:val="sr-Latn-RS"/>
        </w:rPr>
        <w:lastRenderedPageBreak/>
        <w:t>4.</w:t>
      </w:r>
      <w:r w:rsidR="006D0778" w:rsidRPr="00915EC2">
        <w:rPr>
          <w:rFonts w:ascii="Times New Roman" w:hAnsi="Times New Roman" w:cs="Times New Roman"/>
          <w:color w:val="auto"/>
          <w:sz w:val="24"/>
          <w:szCs w:val="24"/>
          <w:lang w:val="sr-Latn-RS"/>
        </w:rPr>
        <w:t xml:space="preserve">3. </w:t>
      </w:r>
      <w:bookmarkEnd w:id="22"/>
      <w:r w:rsidR="006D0778" w:rsidRPr="00915EC2">
        <w:rPr>
          <w:rFonts w:ascii="Times New Roman" w:hAnsi="Times New Roman" w:cs="Times New Roman"/>
          <w:color w:val="auto"/>
          <w:sz w:val="24"/>
          <w:szCs w:val="24"/>
          <w:lang w:val="sr-Latn-RS"/>
        </w:rPr>
        <w:t>ФИСКАЛНЕ ПРОЈЕКЦИЈЕ У ПЕРИОДУ 2025–2027. ГОДИНЕ</w:t>
      </w:r>
      <w:bookmarkEnd w:id="23"/>
    </w:p>
    <w:p w14:paraId="19FA2EAB" w14:textId="77777777" w:rsidR="006D0778" w:rsidRPr="00AD7E7D" w:rsidRDefault="006D0778" w:rsidP="006D0778">
      <w:pPr>
        <w:rPr>
          <w:rFonts w:cs="Times New Roman"/>
          <w:szCs w:val="24"/>
          <w:lang w:eastAsia="ja-JP"/>
        </w:rPr>
      </w:pPr>
      <w:r w:rsidRPr="00AD7E7D">
        <w:rPr>
          <w:rFonts w:cs="Times New Roman"/>
          <w:szCs w:val="24"/>
          <w:lang w:eastAsia="ja-JP"/>
        </w:rPr>
        <w:t>Основни циљеви фискалне политике су усмерени на одржање фискалне стабилности и смањивање учешћа јавног дуга у БДП. Пројекције фискалних агрегата у периоду од 2025. до 2027. године заснивају се на пројекцијама макроекономских показатеља за наведени период, планираној пореској политици која подразумева даље усаглашавање са законима и директивама ЕУ и фискалним и структурним мерама, укључујући и унапређење пословања великих јавних предузећа.</w:t>
      </w:r>
    </w:p>
    <w:p w14:paraId="2DDD2612" w14:textId="77777777" w:rsidR="006D0778" w:rsidRPr="00AD7E7D" w:rsidRDefault="006D0778" w:rsidP="006D0778">
      <w:pPr>
        <w:rPr>
          <w:rFonts w:cs="Times New Roman"/>
          <w:szCs w:val="24"/>
          <w:lang w:eastAsia="ja-JP"/>
        </w:rPr>
      </w:pPr>
      <w:r w:rsidRPr="00AD7E7D">
        <w:rPr>
          <w:rFonts w:cs="Times New Roman"/>
          <w:szCs w:val="24"/>
          <w:lang w:eastAsia="ja-JP"/>
        </w:rPr>
        <w:t>Захваљујући мерама фискалне консолидације у претходном периоду створен је фискални простор који је омогућио богате пакете мера у склопу борбе против ефеката кризе изазване пандемијом током 2020. и 2021. године, а у 2022. години су обезбеђена средства за ублажавање ефеката енергетске кризе, изазване сукобом у Украјини. Реакција фискалне политике у наредном периоду, креиране мере и њихове фискалне импликације биће одређени тако да не угрозе стабилност јавних финансија и темпо смањења јавног дуга, да одрже животни стандард становништва и помогну привредни развој, али и да осигурају флексибилност у случају снажнијег удара кризе.</w:t>
      </w:r>
    </w:p>
    <w:p w14:paraId="180A531D" w14:textId="77777777" w:rsidR="006D0778" w:rsidRPr="00BF5A92" w:rsidRDefault="006D0778" w:rsidP="006D0778">
      <w:pPr>
        <w:rPr>
          <w:rFonts w:cs="Times New Roman"/>
          <w:i/>
          <w:szCs w:val="24"/>
          <w:lang w:val="sr-Cyrl-RS" w:eastAsia="ja-JP"/>
        </w:rPr>
      </w:pPr>
      <w:r w:rsidRPr="00BF5A92">
        <w:rPr>
          <w:rFonts w:cs="Times New Roman"/>
          <w:i/>
          <w:szCs w:val="24"/>
          <w:lang w:val="sr-Cyrl-RS" w:eastAsia="ja-JP"/>
        </w:rPr>
        <w:t>Табела 7. Фискални агрегати у периоду 2023–2027. године, % БДП</w:t>
      </w:r>
    </w:p>
    <w:tbl>
      <w:tblPr>
        <w:tblStyle w:val="LightShading-Accent12214"/>
        <w:tblW w:w="5000" w:type="pct"/>
        <w:tblBorders>
          <w:top w:val="none" w:sz="0" w:space="0" w:color="auto"/>
          <w:bottom w:val="none" w:sz="0" w:space="0" w:color="auto"/>
        </w:tblBorders>
        <w:tblLook w:val="0420" w:firstRow="1" w:lastRow="0" w:firstColumn="0" w:lastColumn="0" w:noHBand="0" w:noVBand="1"/>
      </w:tblPr>
      <w:tblGrid>
        <w:gridCol w:w="3744"/>
        <w:gridCol w:w="1370"/>
        <w:gridCol w:w="1160"/>
        <w:gridCol w:w="917"/>
        <w:gridCol w:w="917"/>
        <w:gridCol w:w="918"/>
      </w:tblGrid>
      <w:tr w:rsidR="006D0778" w:rsidRPr="00AD7E7D" w14:paraId="597F82E1" w14:textId="77777777" w:rsidTr="00D2109C">
        <w:trPr>
          <w:cnfStyle w:val="100000000000" w:firstRow="1" w:lastRow="0" w:firstColumn="0" w:lastColumn="0" w:oddVBand="0" w:evenVBand="0" w:oddHBand="0" w:evenHBand="0" w:firstRowFirstColumn="0" w:firstRowLastColumn="0" w:lastRowFirstColumn="0" w:lastRowLastColumn="0"/>
          <w:trHeight w:val="253"/>
          <w:tblHeader/>
        </w:trPr>
        <w:tc>
          <w:tcPr>
            <w:tcW w:w="2122" w:type="pct"/>
            <w:tcBorders>
              <w:top w:val="single" w:sz="4" w:space="0" w:color="002060"/>
              <w:bottom w:val="single" w:sz="4" w:space="0" w:color="002060"/>
            </w:tcBorders>
            <w:shd w:val="clear" w:color="auto" w:fill="auto"/>
            <w:noWrap/>
            <w:vAlign w:val="center"/>
          </w:tcPr>
          <w:p w14:paraId="5F233974" w14:textId="77777777" w:rsidR="006D0778" w:rsidRPr="00AD7E7D" w:rsidRDefault="006D0778" w:rsidP="006D0778">
            <w:pPr>
              <w:rPr>
                <w:color w:val="auto"/>
                <w:szCs w:val="24"/>
              </w:rPr>
            </w:pPr>
            <w:r w:rsidRPr="00AD7E7D">
              <w:rPr>
                <w:color w:val="auto"/>
                <w:szCs w:val="24"/>
              </w:rPr>
              <w:t>Опис</w:t>
            </w:r>
          </w:p>
        </w:tc>
        <w:tc>
          <w:tcPr>
            <w:tcW w:w="605" w:type="pct"/>
            <w:tcBorders>
              <w:top w:val="single" w:sz="4" w:space="0" w:color="002060"/>
              <w:bottom w:val="single" w:sz="4" w:space="0" w:color="002060"/>
            </w:tcBorders>
            <w:shd w:val="clear" w:color="auto" w:fill="auto"/>
            <w:vAlign w:val="center"/>
          </w:tcPr>
          <w:p w14:paraId="656000A3" w14:textId="77777777" w:rsidR="006D0778" w:rsidRPr="00AD7E7D" w:rsidRDefault="006D0778" w:rsidP="006D0778">
            <w:pPr>
              <w:jc w:val="center"/>
              <w:rPr>
                <w:color w:val="auto"/>
                <w:szCs w:val="24"/>
              </w:rPr>
            </w:pPr>
            <w:r w:rsidRPr="00AD7E7D">
              <w:rPr>
                <w:color w:val="auto"/>
                <w:szCs w:val="24"/>
              </w:rPr>
              <w:t>Извршење</w:t>
            </w:r>
          </w:p>
        </w:tc>
        <w:tc>
          <w:tcPr>
            <w:tcW w:w="605" w:type="pct"/>
            <w:tcBorders>
              <w:top w:val="single" w:sz="4" w:space="0" w:color="002060"/>
              <w:bottom w:val="single" w:sz="4" w:space="0" w:color="002060"/>
            </w:tcBorders>
            <w:shd w:val="clear" w:color="auto" w:fill="auto"/>
            <w:vAlign w:val="center"/>
          </w:tcPr>
          <w:p w14:paraId="2F0563D4" w14:textId="77777777" w:rsidR="006D0778" w:rsidRPr="00AD7E7D" w:rsidRDefault="006D0778" w:rsidP="006D0778">
            <w:pPr>
              <w:jc w:val="center"/>
              <w:rPr>
                <w:color w:val="auto"/>
                <w:szCs w:val="24"/>
              </w:rPr>
            </w:pPr>
            <w:r w:rsidRPr="00AD7E7D">
              <w:rPr>
                <w:color w:val="auto"/>
                <w:szCs w:val="24"/>
              </w:rPr>
              <w:t>Процена</w:t>
            </w:r>
          </w:p>
        </w:tc>
        <w:tc>
          <w:tcPr>
            <w:tcW w:w="1669" w:type="pct"/>
            <w:gridSpan w:val="3"/>
            <w:tcBorders>
              <w:top w:val="single" w:sz="4" w:space="0" w:color="002060"/>
              <w:bottom w:val="single" w:sz="4" w:space="0" w:color="002060"/>
            </w:tcBorders>
            <w:shd w:val="clear" w:color="auto" w:fill="auto"/>
            <w:vAlign w:val="center"/>
          </w:tcPr>
          <w:p w14:paraId="7CD38418" w14:textId="77777777" w:rsidR="006D0778" w:rsidRPr="00AD7E7D" w:rsidRDefault="006D0778" w:rsidP="006D0778">
            <w:pPr>
              <w:jc w:val="center"/>
              <w:rPr>
                <w:color w:val="auto"/>
                <w:szCs w:val="24"/>
              </w:rPr>
            </w:pPr>
            <w:r w:rsidRPr="00AD7E7D">
              <w:rPr>
                <w:color w:val="auto"/>
                <w:szCs w:val="24"/>
              </w:rPr>
              <w:t>Пројекција</w:t>
            </w:r>
          </w:p>
        </w:tc>
      </w:tr>
      <w:tr w:rsidR="006D0778" w:rsidRPr="00AD7E7D" w14:paraId="00C3CD3A" w14:textId="77777777" w:rsidTr="00D2109C">
        <w:trPr>
          <w:cnfStyle w:val="100000000000" w:firstRow="1" w:lastRow="0" w:firstColumn="0" w:lastColumn="0" w:oddVBand="0" w:evenVBand="0" w:oddHBand="0" w:evenHBand="0" w:firstRowFirstColumn="0" w:firstRowLastColumn="0" w:lastRowFirstColumn="0" w:lastRowLastColumn="0"/>
          <w:trHeight w:val="253"/>
          <w:tblHeader/>
        </w:trPr>
        <w:tc>
          <w:tcPr>
            <w:tcW w:w="2122" w:type="pct"/>
            <w:tcBorders>
              <w:top w:val="single" w:sz="4" w:space="0" w:color="002060"/>
              <w:bottom w:val="single" w:sz="4" w:space="0" w:color="auto"/>
            </w:tcBorders>
            <w:shd w:val="clear" w:color="auto" w:fill="auto"/>
            <w:noWrap/>
            <w:vAlign w:val="center"/>
          </w:tcPr>
          <w:p w14:paraId="0BCCDCD0" w14:textId="77777777" w:rsidR="006D0778" w:rsidRPr="00AD7E7D" w:rsidRDefault="006D0778" w:rsidP="006D0778">
            <w:pPr>
              <w:rPr>
                <w:color w:val="auto"/>
                <w:szCs w:val="24"/>
              </w:rPr>
            </w:pPr>
            <w:r w:rsidRPr="00AD7E7D">
              <w:rPr>
                <w:color w:val="auto"/>
                <w:szCs w:val="24"/>
              </w:rPr>
              <w:t> </w:t>
            </w:r>
          </w:p>
        </w:tc>
        <w:tc>
          <w:tcPr>
            <w:tcW w:w="605" w:type="pct"/>
            <w:tcBorders>
              <w:top w:val="single" w:sz="4" w:space="0" w:color="002060"/>
              <w:bottom w:val="single" w:sz="4" w:space="0" w:color="002060"/>
            </w:tcBorders>
            <w:shd w:val="clear" w:color="auto" w:fill="auto"/>
            <w:vAlign w:val="center"/>
          </w:tcPr>
          <w:p w14:paraId="4D3FE0B1" w14:textId="77777777" w:rsidR="006D0778" w:rsidRPr="00AD7E7D" w:rsidRDefault="006D0778" w:rsidP="006D0778">
            <w:pPr>
              <w:jc w:val="center"/>
              <w:rPr>
                <w:color w:val="auto"/>
                <w:szCs w:val="24"/>
              </w:rPr>
            </w:pPr>
            <w:r w:rsidRPr="00AD7E7D">
              <w:rPr>
                <w:color w:val="auto"/>
                <w:szCs w:val="24"/>
              </w:rPr>
              <w:t>2023</w:t>
            </w:r>
          </w:p>
        </w:tc>
        <w:tc>
          <w:tcPr>
            <w:tcW w:w="605" w:type="pct"/>
            <w:tcBorders>
              <w:top w:val="single" w:sz="4" w:space="0" w:color="002060"/>
              <w:bottom w:val="single" w:sz="4" w:space="0" w:color="002060"/>
            </w:tcBorders>
            <w:shd w:val="clear" w:color="auto" w:fill="auto"/>
            <w:vAlign w:val="center"/>
          </w:tcPr>
          <w:p w14:paraId="269BCAEE" w14:textId="77777777" w:rsidR="006D0778" w:rsidRPr="00AD7E7D" w:rsidRDefault="006D0778" w:rsidP="006D0778">
            <w:pPr>
              <w:jc w:val="center"/>
              <w:rPr>
                <w:color w:val="auto"/>
                <w:szCs w:val="24"/>
              </w:rPr>
            </w:pPr>
            <w:r w:rsidRPr="00AD7E7D">
              <w:rPr>
                <w:color w:val="auto"/>
                <w:szCs w:val="24"/>
              </w:rPr>
              <w:t>2024</w:t>
            </w:r>
          </w:p>
        </w:tc>
        <w:tc>
          <w:tcPr>
            <w:tcW w:w="556" w:type="pct"/>
            <w:tcBorders>
              <w:top w:val="single" w:sz="4" w:space="0" w:color="002060"/>
              <w:bottom w:val="single" w:sz="4" w:space="0" w:color="002060"/>
            </w:tcBorders>
            <w:shd w:val="clear" w:color="auto" w:fill="auto"/>
            <w:vAlign w:val="center"/>
          </w:tcPr>
          <w:p w14:paraId="41C4E421" w14:textId="77777777" w:rsidR="006D0778" w:rsidRPr="00AD7E7D" w:rsidRDefault="006D0778" w:rsidP="006D0778">
            <w:pPr>
              <w:jc w:val="center"/>
              <w:rPr>
                <w:color w:val="auto"/>
                <w:szCs w:val="24"/>
              </w:rPr>
            </w:pPr>
            <w:r w:rsidRPr="00AD7E7D">
              <w:rPr>
                <w:color w:val="auto"/>
                <w:szCs w:val="24"/>
              </w:rPr>
              <w:t>2025</w:t>
            </w:r>
          </w:p>
        </w:tc>
        <w:tc>
          <w:tcPr>
            <w:tcW w:w="556" w:type="pct"/>
            <w:tcBorders>
              <w:top w:val="single" w:sz="4" w:space="0" w:color="002060"/>
              <w:bottom w:val="single" w:sz="4" w:space="0" w:color="002060"/>
            </w:tcBorders>
            <w:shd w:val="clear" w:color="auto" w:fill="auto"/>
            <w:vAlign w:val="center"/>
          </w:tcPr>
          <w:p w14:paraId="39708D65" w14:textId="77777777" w:rsidR="006D0778" w:rsidRPr="00AD7E7D" w:rsidRDefault="006D0778" w:rsidP="006D0778">
            <w:pPr>
              <w:jc w:val="center"/>
              <w:rPr>
                <w:color w:val="auto"/>
                <w:szCs w:val="24"/>
              </w:rPr>
            </w:pPr>
            <w:r w:rsidRPr="00AD7E7D">
              <w:rPr>
                <w:color w:val="auto"/>
                <w:szCs w:val="24"/>
              </w:rPr>
              <w:t>2026</w:t>
            </w:r>
          </w:p>
        </w:tc>
        <w:tc>
          <w:tcPr>
            <w:tcW w:w="556" w:type="pct"/>
            <w:tcBorders>
              <w:top w:val="single" w:sz="4" w:space="0" w:color="002060"/>
              <w:bottom w:val="single" w:sz="4" w:space="0" w:color="002060"/>
            </w:tcBorders>
            <w:shd w:val="clear" w:color="auto" w:fill="auto"/>
            <w:vAlign w:val="center"/>
          </w:tcPr>
          <w:p w14:paraId="2DED3981" w14:textId="77777777" w:rsidR="006D0778" w:rsidRPr="00AD7E7D" w:rsidRDefault="006D0778" w:rsidP="006D0778">
            <w:pPr>
              <w:jc w:val="center"/>
              <w:rPr>
                <w:color w:val="auto"/>
                <w:szCs w:val="24"/>
              </w:rPr>
            </w:pPr>
            <w:r w:rsidRPr="00AD7E7D">
              <w:rPr>
                <w:color w:val="auto"/>
                <w:szCs w:val="24"/>
              </w:rPr>
              <w:t>2027</w:t>
            </w:r>
          </w:p>
        </w:tc>
      </w:tr>
      <w:tr w:rsidR="006D0778" w:rsidRPr="00AD7E7D" w14:paraId="184D084F" w14:textId="77777777" w:rsidTr="00D2109C">
        <w:trPr>
          <w:cnfStyle w:val="000000100000" w:firstRow="0" w:lastRow="0" w:firstColumn="0" w:lastColumn="0" w:oddVBand="0" w:evenVBand="0" w:oddHBand="1" w:evenHBand="0" w:firstRowFirstColumn="0" w:firstRowLastColumn="0" w:lastRowFirstColumn="0" w:lastRowLastColumn="0"/>
          <w:trHeight w:val="253"/>
        </w:trPr>
        <w:tc>
          <w:tcPr>
            <w:tcW w:w="2122" w:type="pct"/>
            <w:tcBorders>
              <w:top w:val="single" w:sz="4" w:space="0" w:color="auto"/>
            </w:tcBorders>
            <w:shd w:val="clear" w:color="auto" w:fill="auto"/>
            <w:vAlign w:val="center"/>
          </w:tcPr>
          <w:p w14:paraId="72A4E8DC" w14:textId="77777777" w:rsidR="006D0778" w:rsidRPr="00AD7E7D" w:rsidRDefault="006D0778" w:rsidP="00BF5A92">
            <w:pPr>
              <w:jc w:val="left"/>
              <w:rPr>
                <w:color w:val="auto"/>
                <w:szCs w:val="24"/>
              </w:rPr>
            </w:pPr>
            <w:r w:rsidRPr="00AD7E7D">
              <w:rPr>
                <w:color w:val="auto"/>
                <w:szCs w:val="24"/>
              </w:rPr>
              <w:t>Јавни приходи</w:t>
            </w:r>
          </w:p>
        </w:tc>
        <w:tc>
          <w:tcPr>
            <w:tcW w:w="605" w:type="pct"/>
            <w:tcBorders>
              <w:top w:val="single" w:sz="4" w:space="0" w:color="002060"/>
            </w:tcBorders>
            <w:shd w:val="clear" w:color="auto" w:fill="auto"/>
            <w:vAlign w:val="center"/>
          </w:tcPr>
          <w:p w14:paraId="3B862201" w14:textId="77777777" w:rsidR="006D0778" w:rsidRPr="00AD7E7D" w:rsidRDefault="006D0778" w:rsidP="006D0778">
            <w:pPr>
              <w:jc w:val="center"/>
              <w:rPr>
                <w:color w:val="auto"/>
                <w:szCs w:val="24"/>
              </w:rPr>
            </w:pPr>
            <w:r w:rsidRPr="00AD7E7D">
              <w:rPr>
                <w:color w:val="auto"/>
                <w:szCs w:val="24"/>
              </w:rPr>
              <w:t>39,4</w:t>
            </w:r>
          </w:p>
        </w:tc>
        <w:tc>
          <w:tcPr>
            <w:tcW w:w="605" w:type="pct"/>
            <w:tcBorders>
              <w:top w:val="single" w:sz="4" w:space="0" w:color="002060"/>
            </w:tcBorders>
            <w:shd w:val="clear" w:color="auto" w:fill="auto"/>
            <w:vAlign w:val="center"/>
          </w:tcPr>
          <w:p w14:paraId="23D35CE7" w14:textId="77777777" w:rsidR="006D0778" w:rsidRPr="00AD7E7D" w:rsidRDefault="006D0778" w:rsidP="006D0778">
            <w:pPr>
              <w:jc w:val="center"/>
              <w:rPr>
                <w:color w:val="auto"/>
                <w:szCs w:val="24"/>
              </w:rPr>
            </w:pPr>
            <w:r w:rsidRPr="00AD7E7D">
              <w:rPr>
                <w:color w:val="auto"/>
                <w:szCs w:val="24"/>
              </w:rPr>
              <w:t>40,8</w:t>
            </w:r>
          </w:p>
        </w:tc>
        <w:tc>
          <w:tcPr>
            <w:tcW w:w="556" w:type="pct"/>
            <w:tcBorders>
              <w:top w:val="single" w:sz="4" w:space="0" w:color="002060"/>
            </w:tcBorders>
            <w:shd w:val="clear" w:color="auto" w:fill="auto"/>
            <w:vAlign w:val="center"/>
          </w:tcPr>
          <w:p w14:paraId="7E9FC9E7" w14:textId="77777777" w:rsidR="006D0778" w:rsidRPr="00AD7E7D" w:rsidRDefault="006D0778" w:rsidP="006D0778">
            <w:pPr>
              <w:jc w:val="center"/>
              <w:rPr>
                <w:color w:val="auto"/>
                <w:szCs w:val="24"/>
              </w:rPr>
            </w:pPr>
            <w:r w:rsidRPr="00AD7E7D">
              <w:rPr>
                <w:color w:val="auto"/>
                <w:szCs w:val="24"/>
              </w:rPr>
              <w:t>41,3</w:t>
            </w:r>
          </w:p>
        </w:tc>
        <w:tc>
          <w:tcPr>
            <w:tcW w:w="556" w:type="pct"/>
            <w:tcBorders>
              <w:top w:val="single" w:sz="4" w:space="0" w:color="002060"/>
            </w:tcBorders>
            <w:shd w:val="clear" w:color="auto" w:fill="auto"/>
            <w:vAlign w:val="center"/>
          </w:tcPr>
          <w:p w14:paraId="5311A7C4" w14:textId="77777777" w:rsidR="006D0778" w:rsidRPr="00AD7E7D" w:rsidRDefault="006D0778" w:rsidP="006D0778">
            <w:pPr>
              <w:jc w:val="center"/>
              <w:rPr>
                <w:color w:val="auto"/>
                <w:szCs w:val="24"/>
              </w:rPr>
            </w:pPr>
            <w:r w:rsidRPr="00AD7E7D">
              <w:rPr>
                <w:color w:val="auto"/>
                <w:szCs w:val="24"/>
              </w:rPr>
              <w:t>40,9</w:t>
            </w:r>
          </w:p>
        </w:tc>
        <w:tc>
          <w:tcPr>
            <w:tcW w:w="556" w:type="pct"/>
            <w:tcBorders>
              <w:top w:val="single" w:sz="4" w:space="0" w:color="002060"/>
            </w:tcBorders>
            <w:shd w:val="clear" w:color="auto" w:fill="auto"/>
            <w:vAlign w:val="center"/>
          </w:tcPr>
          <w:p w14:paraId="675DE5FD" w14:textId="77777777" w:rsidR="006D0778" w:rsidRPr="00AD7E7D" w:rsidRDefault="006D0778" w:rsidP="006D0778">
            <w:pPr>
              <w:jc w:val="center"/>
              <w:rPr>
                <w:color w:val="auto"/>
                <w:szCs w:val="24"/>
              </w:rPr>
            </w:pPr>
            <w:r w:rsidRPr="00AD7E7D">
              <w:rPr>
                <w:color w:val="auto"/>
                <w:szCs w:val="24"/>
              </w:rPr>
              <w:t>40,5</w:t>
            </w:r>
          </w:p>
        </w:tc>
      </w:tr>
      <w:tr w:rsidR="006D0778" w:rsidRPr="00AD7E7D" w14:paraId="3EC2CE16" w14:textId="77777777" w:rsidTr="00D2109C">
        <w:trPr>
          <w:trHeight w:val="253"/>
        </w:trPr>
        <w:tc>
          <w:tcPr>
            <w:tcW w:w="2122" w:type="pct"/>
            <w:shd w:val="clear" w:color="auto" w:fill="auto"/>
            <w:vAlign w:val="center"/>
          </w:tcPr>
          <w:p w14:paraId="5E4479AB" w14:textId="77777777" w:rsidR="006D0778" w:rsidRPr="00AD7E7D" w:rsidRDefault="006D0778" w:rsidP="00BF5A92">
            <w:pPr>
              <w:jc w:val="left"/>
              <w:rPr>
                <w:color w:val="auto"/>
                <w:szCs w:val="24"/>
              </w:rPr>
            </w:pPr>
            <w:r w:rsidRPr="00AD7E7D">
              <w:rPr>
                <w:color w:val="auto"/>
                <w:szCs w:val="24"/>
              </w:rPr>
              <w:t>Јавни расходи</w:t>
            </w:r>
          </w:p>
        </w:tc>
        <w:tc>
          <w:tcPr>
            <w:tcW w:w="605" w:type="pct"/>
            <w:shd w:val="clear" w:color="auto" w:fill="auto"/>
            <w:vAlign w:val="center"/>
          </w:tcPr>
          <w:p w14:paraId="03FC6D17" w14:textId="77777777" w:rsidR="006D0778" w:rsidRPr="00AD7E7D" w:rsidRDefault="006D0778" w:rsidP="006D0778">
            <w:pPr>
              <w:jc w:val="center"/>
              <w:rPr>
                <w:color w:val="auto"/>
                <w:szCs w:val="24"/>
              </w:rPr>
            </w:pPr>
            <w:r w:rsidRPr="00AD7E7D">
              <w:rPr>
                <w:color w:val="auto"/>
                <w:szCs w:val="24"/>
              </w:rPr>
              <w:t>41,4</w:t>
            </w:r>
          </w:p>
        </w:tc>
        <w:tc>
          <w:tcPr>
            <w:tcW w:w="605" w:type="pct"/>
            <w:shd w:val="clear" w:color="auto" w:fill="auto"/>
            <w:vAlign w:val="center"/>
          </w:tcPr>
          <w:p w14:paraId="05F1C847" w14:textId="77777777" w:rsidR="006D0778" w:rsidRPr="00AD7E7D" w:rsidRDefault="006D0778" w:rsidP="006D0778">
            <w:pPr>
              <w:jc w:val="center"/>
              <w:rPr>
                <w:color w:val="auto"/>
                <w:szCs w:val="24"/>
              </w:rPr>
            </w:pPr>
            <w:r w:rsidRPr="00AD7E7D">
              <w:rPr>
                <w:color w:val="auto"/>
                <w:szCs w:val="24"/>
              </w:rPr>
              <w:t>43,6</w:t>
            </w:r>
          </w:p>
        </w:tc>
        <w:tc>
          <w:tcPr>
            <w:tcW w:w="556" w:type="pct"/>
            <w:shd w:val="clear" w:color="auto" w:fill="auto"/>
            <w:vAlign w:val="center"/>
          </w:tcPr>
          <w:p w14:paraId="279CF2C2" w14:textId="77777777" w:rsidR="006D0778" w:rsidRPr="00AD7E7D" w:rsidRDefault="006D0778" w:rsidP="006D0778">
            <w:pPr>
              <w:jc w:val="center"/>
              <w:rPr>
                <w:color w:val="auto"/>
                <w:szCs w:val="24"/>
              </w:rPr>
            </w:pPr>
            <w:r w:rsidRPr="00AD7E7D">
              <w:rPr>
                <w:color w:val="auto"/>
                <w:szCs w:val="24"/>
              </w:rPr>
              <w:t>44,3</w:t>
            </w:r>
          </w:p>
        </w:tc>
        <w:tc>
          <w:tcPr>
            <w:tcW w:w="556" w:type="pct"/>
            <w:shd w:val="clear" w:color="auto" w:fill="auto"/>
            <w:vAlign w:val="center"/>
          </w:tcPr>
          <w:p w14:paraId="4B19C156" w14:textId="77777777" w:rsidR="006D0778" w:rsidRPr="00AD7E7D" w:rsidRDefault="006D0778" w:rsidP="006D0778">
            <w:pPr>
              <w:jc w:val="center"/>
              <w:rPr>
                <w:color w:val="auto"/>
                <w:szCs w:val="24"/>
              </w:rPr>
            </w:pPr>
            <w:r w:rsidRPr="00AD7E7D">
              <w:rPr>
                <w:color w:val="auto"/>
                <w:szCs w:val="24"/>
              </w:rPr>
              <w:t>43,9</w:t>
            </w:r>
          </w:p>
        </w:tc>
        <w:tc>
          <w:tcPr>
            <w:tcW w:w="556" w:type="pct"/>
            <w:shd w:val="clear" w:color="auto" w:fill="auto"/>
            <w:vAlign w:val="center"/>
          </w:tcPr>
          <w:p w14:paraId="361AD74F" w14:textId="77777777" w:rsidR="006D0778" w:rsidRPr="00AD7E7D" w:rsidRDefault="006D0778" w:rsidP="006D0778">
            <w:pPr>
              <w:jc w:val="center"/>
              <w:rPr>
                <w:color w:val="auto"/>
                <w:szCs w:val="24"/>
              </w:rPr>
            </w:pPr>
            <w:r w:rsidRPr="00AD7E7D">
              <w:rPr>
                <w:color w:val="auto"/>
                <w:szCs w:val="24"/>
              </w:rPr>
              <w:t>43,5</w:t>
            </w:r>
          </w:p>
        </w:tc>
      </w:tr>
      <w:tr w:rsidR="006D0778" w:rsidRPr="00AD7E7D" w14:paraId="73CF6D1C" w14:textId="77777777" w:rsidTr="00D2109C">
        <w:trPr>
          <w:cnfStyle w:val="000000100000" w:firstRow="0" w:lastRow="0" w:firstColumn="0" w:lastColumn="0" w:oddVBand="0" w:evenVBand="0" w:oddHBand="1" w:evenHBand="0" w:firstRowFirstColumn="0" w:firstRowLastColumn="0" w:lastRowFirstColumn="0" w:lastRowLastColumn="0"/>
          <w:trHeight w:val="253"/>
        </w:trPr>
        <w:tc>
          <w:tcPr>
            <w:tcW w:w="2122" w:type="pct"/>
            <w:shd w:val="clear" w:color="auto" w:fill="auto"/>
            <w:vAlign w:val="center"/>
          </w:tcPr>
          <w:p w14:paraId="5268FA68" w14:textId="77777777" w:rsidR="006D0778" w:rsidRPr="00AD7E7D" w:rsidRDefault="006D0778" w:rsidP="00BF5A92">
            <w:pPr>
              <w:jc w:val="left"/>
              <w:rPr>
                <w:color w:val="auto"/>
                <w:szCs w:val="24"/>
              </w:rPr>
            </w:pPr>
          </w:p>
        </w:tc>
        <w:tc>
          <w:tcPr>
            <w:tcW w:w="605" w:type="pct"/>
            <w:shd w:val="clear" w:color="auto" w:fill="auto"/>
            <w:vAlign w:val="center"/>
          </w:tcPr>
          <w:p w14:paraId="205B4E83" w14:textId="77777777" w:rsidR="006D0778" w:rsidRPr="00AD7E7D" w:rsidRDefault="006D0778" w:rsidP="006D0778">
            <w:pPr>
              <w:jc w:val="center"/>
              <w:rPr>
                <w:color w:val="auto"/>
                <w:szCs w:val="24"/>
              </w:rPr>
            </w:pPr>
          </w:p>
        </w:tc>
        <w:tc>
          <w:tcPr>
            <w:tcW w:w="605" w:type="pct"/>
            <w:shd w:val="clear" w:color="auto" w:fill="auto"/>
            <w:vAlign w:val="center"/>
          </w:tcPr>
          <w:p w14:paraId="69DFAC30" w14:textId="77777777" w:rsidR="006D0778" w:rsidRPr="00AD7E7D" w:rsidRDefault="006D0778" w:rsidP="006D0778">
            <w:pPr>
              <w:jc w:val="center"/>
              <w:rPr>
                <w:color w:val="auto"/>
                <w:szCs w:val="24"/>
              </w:rPr>
            </w:pPr>
          </w:p>
        </w:tc>
        <w:tc>
          <w:tcPr>
            <w:tcW w:w="556" w:type="pct"/>
            <w:shd w:val="clear" w:color="auto" w:fill="auto"/>
            <w:vAlign w:val="center"/>
          </w:tcPr>
          <w:p w14:paraId="44DD9AE8" w14:textId="77777777" w:rsidR="006D0778" w:rsidRPr="00AD7E7D" w:rsidRDefault="006D0778" w:rsidP="006D0778">
            <w:pPr>
              <w:jc w:val="center"/>
              <w:rPr>
                <w:color w:val="auto"/>
                <w:szCs w:val="24"/>
              </w:rPr>
            </w:pPr>
          </w:p>
        </w:tc>
        <w:tc>
          <w:tcPr>
            <w:tcW w:w="556" w:type="pct"/>
            <w:shd w:val="clear" w:color="auto" w:fill="auto"/>
            <w:vAlign w:val="center"/>
          </w:tcPr>
          <w:p w14:paraId="048C9E96" w14:textId="77777777" w:rsidR="006D0778" w:rsidRPr="00AD7E7D" w:rsidRDefault="006D0778" w:rsidP="006D0778">
            <w:pPr>
              <w:jc w:val="center"/>
              <w:rPr>
                <w:color w:val="auto"/>
                <w:szCs w:val="24"/>
              </w:rPr>
            </w:pPr>
          </w:p>
        </w:tc>
        <w:tc>
          <w:tcPr>
            <w:tcW w:w="556" w:type="pct"/>
            <w:shd w:val="clear" w:color="auto" w:fill="auto"/>
            <w:vAlign w:val="center"/>
          </w:tcPr>
          <w:p w14:paraId="21AC8DFA" w14:textId="77777777" w:rsidR="006D0778" w:rsidRPr="00AD7E7D" w:rsidRDefault="006D0778" w:rsidP="006D0778">
            <w:pPr>
              <w:jc w:val="center"/>
              <w:rPr>
                <w:color w:val="auto"/>
                <w:szCs w:val="24"/>
              </w:rPr>
            </w:pPr>
          </w:p>
        </w:tc>
      </w:tr>
      <w:tr w:rsidR="006D0778" w:rsidRPr="00AD7E7D" w14:paraId="63A45DD7" w14:textId="77777777" w:rsidTr="00D2109C">
        <w:trPr>
          <w:trHeight w:val="253"/>
        </w:trPr>
        <w:tc>
          <w:tcPr>
            <w:tcW w:w="2122" w:type="pct"/>
            <w:shd w:val="clear" w:color="auto" w:fill="auto"/>
            <w:vAlign w:val="center"/>
          </w:tcPr>
          <w:p w14:paraId="7799BB56" w14:textId="77777777" w:rsidR="006D0778" w:rsidRPr="00AD7E7D" w:rsidRDefault="006D0778" w:rsidP="00BF5A92">
            <w:pPr>
              <w:jc w:val="left"/>
              <w:rPr>
                <w:color w:val="auto"/>
                <w:szCs w:val="24"/>
              </w:rPr>
            </w:pPr>
            <w:r w:rsidRPr="00AD7E7D">
              <w:rPr>
                <w:color w:val="auto"/>
                <w:szCs w:val="24"/>
              </w:rPr>
              <w:t>Консолидовани фискални резултат</w:t>
            </w:r>
          </w:p>
        </w:tc>
        <w:tc>
          <w:tcPr>
            <w:tcW w:w="605" w:type="pct"/>
            <w:shd w:val="clear" w:color="auto" w:fill="auto"/>
            <w:vAlign w:val="center"/>
          </w:tcPr>
          <w:p w14:paraId="5FB4CF4C" w14:textId="77777777" w:rsidR="006D0778" w:rsidRPr="00AD7E7D" w:rsidRDefault="006D0778" w:rsidP="006D0778">
            <w:pPr>
              <w:jc w:val="center"/>
              <w:rPr>
                <w:color w:val="auto"/>
                <w:szCs w:val="24"/>
              </w:rPr>
            </w:pPr>
            <w:r w:rsidRPr="00AD7E7D">
              <w:rPr>
                <w:color w:val="auto"/>
                <w:szCs w:val="24"/>
              </w:rPr>
              <w:t>-2,1</w:t>
            </w:r>
          </w:p>
        </w:tc>
        <w:tc>
          <w:tcPr>
            <w:tcW w:w="605" w:type="pct"/>
            <w:shd w:val="clear" w:color="auto" w:fill="auto"/>
            <w:vAlign w:val="center"/>
          </w:tcPr>
          <w:p w14:paraId="36817698" w14:textId="77777777" w:rsidR="006D0778" w:rsidRPr="00AD7E7D" w:rsidRDefault="006D0778" w:rsidP="006D0778">
            <w:pPr>
              <w:jc w:val="center"/>
              <w:rPr>
                <w:color w:val="auto"/>
                <w:szCs w:val="24"/>
              </w:rPr>
            </w:pPr>
            <w:r w:rsidRPr="00AD7E7D">
              <w:rPr>
                <w:color w:val="auto"/>
                <w:szCs w:val="24"/>
              </w:rPr>
              <w:t>-2,7</w:t>
            </w:r>
          </w:p>
        </w:tc>
        <w:tc>
          <w:tcPr>
            <w:tcW w:w="556" w:type="pct"/>
            <w:shd w:val="clear" w:color="auto" w:fill="auto"/>
            <w:vAlign w:val="center"/>
          </w:tcPr>
          <w:p w14:paraId="1FAF72D9" w14:textId="77777777" w:rsidR="006D0778" w:rsidRPr="00AD7E7D" w:rsidRDefault="006D0778" w:rsidP="006D0778">
            <w:pPr>
              <w:jc w:val="center"/>
              <w:rPr>
                <w:color w:val="auto"/>
                <w:szCs w:val="24"/>
              </w:rPr>
            </w:pPr>
            <w:r w:rsidRPr="00AD7E7D">
              <w:rPr>
                <w:color w:val="auto"/>
                <w:szCs w:val="24"/>
              </w:rPr>
              <w:t>-3,0</w:t>
            </w:r>
          </w:p>
        </w:tc>
        <w:tc>
          <w:tcPr>
            <w:tcW w:w="556" w:type="pct"/>
            <w:shd w:val="clear" w:color="auto" w:fill="auto"/>
            <w:vAlign w:val="center"/>
          </w:tcPr>
          <w:p w14:paraId="28D5A934" w14:textId="77777777" w:rsidR="006D0778" w:rsidRPr="00AD7E7D" w:rsidRDefault="006D0778" w:rsidP="006D0778">
            <w:pPr>
              <w:jc w:val="center"/>
              <w:rPr>
                <w:color w:val="auto"/>
                <w:szCs w:val="24"/>
              </w:rPr>
            </w:pPr>
            <w:r w:rsidRPr="00AD7E7D">
              <w:rPr>
                <w:color w:val="auto"/>
                <w:szCs w:val="24"/>
              </w:rPr>
              <w:t>-3,0</w:t>
            </w:r>
          </w:p>
        </w:tc>
        <w:tc>
          <w:tcPr>
            <w:tcW w:w="556" w:type="pct"/>
            <w:shd w:val="clear" w:color="auto" w:fill="auto"/>
            <w:vAlign w:val="center"/>
          </w:tcPr>
          <w:p w14:paraId="27C8F67A" w14:textId="77777777" w:rsidR="006D0778" w:rsidRPr="00AD7E7D" w:rsidRDefault="006D0778" w:rsidP="006D0778">
            <w:pPr>
              <w:jc w:val="center"/>
              <w:rPr>
                <w:color w:val="auto"/>
                <w:szCs w:val="24"/>
              </w:rPr>
            </w:pPr>
            <w:r w:rsidRPr="00AD7E7D">
              <w:rPr>
                <w:color w:val="auto"/>
                <w:szCs w:val="24"/>
              </w:rPr>
              <w:t>-3,0</w:t>
            </w:r>
          </w:p>
        </w:tc>
      </w:tr>
      <w:tr w:rsidR="006D0778" w:rsidRPr="00AD7E7D" w14:paraId="13B662E2" w14:textId="77777777" w:rsidTr="00D2109C">
        <w:trPr>
          <w:cnfStyle w:val="000000100000" w:firstRow="0" w:lastRow="0" w:firstColumn="0" w:lastColumn="0" w:oddVBand="0" w:evenVBand="0" w:oddHBand="1" w:evenHBand="0" w:firstRowFirstColumn="0" w:firstRowLastColumn="0" w:lastRowFirstColumn="0" w:lastRowLastColumn="0"/>
          <w:trHeight w:val="253"/>
        </w:trPr>
        <w:tc>
          <w:tcPr>
            <w:tcW w:w="2122" w:type="pct"/>
            <w:shd w:val="clear" w:color="auto" w:fill="auto"/>
            <w:vAlign w:val="center"/>
          </w:tcPr>
          <w:p w14:paraId="33B0F1CC" w14:textId="77777777" w:rsidR="006D0778" w:rsidRPr="00AD7E7D" w:rsidRDefault="006D0778" w:rsidP="00BF5A92">
            <w:pPr>
              <w:jc w:val="left"/>
              <w:rPr>
                <w:color w:val="auto"/>
                <w:szCs w:val="24"/>
              </w:rPr>
            </w:pPr>
            <w:r w:rsidRPr="00AD7E7D">
              <w:rPr>
                <w:color w:val="auto"/>
                <w:szCs w:val="24"/>
              </w:rPr>
              <w:t>Примарни консолидовани резултат</w:t>
            </w:r>
          </w:p>
        </w:tc>
        <w:tc>
          <w:tcPr>
            <w:tcW w:w="605" w:type="pct"/>
            <w:shd w:val="clear" w:color="auto" w:fill="auto"/>
            <w:vAlign w:val="center"/>
          </w:tcPr>
          <w:p w14:paraId="26390025" w14:textId="77777777" w:rsidR="006D0778" w:rsidRPr="00AD7E7D" w:rsidRDefault="006D0778" w:rsidP="006D0778">
            <w:pPr>
              <w:jc w:val="center"/>
              <w:rPr>
                <w:color w:val="auto"/>
                <w:szCs w:val="24"/>
              </w:rPr>
            </w:pPr>
            <w:r w:rsidRPr="00AD7E7D">
              <w:rPr>
                <w:color w:val="auto"/>
                <w:szCs w:val="24"/>
              </w:rPr>
              <w:t>-0,5</w:t>
            </w:r>
          </w:p>
        </w:tc>
        <w:tc>
          <w:tcPr>
            <w:tcW w:w="605" w:type="pct"/>
            <w:shd w:val="clear" w:color="auto" w:fill="auto"/>
            <w:vAlign w:val="center"/>
          </w:tcPr>
          <w:p w14:paraId="73C74788" w14:textId="77777777" w:rsidR="006D0778" w:rsidRPr="00AD7E7D" w:rsidRDefault="006D0778" w:rsidP="006D0778">
            <w:pPr>
              <w:jc w:val="center"/>
              <w:rPr>
                <w:color w:val="auto"/>
                <w:szCs w:val="24"/>
              </w:rPr>
            </w:pPr>
            <w:r w:rsidRPr="00AD7E7D">
              <w:rPr>
                <w:color w:val="auto"/>
                <w:szCs w:val="24"/>
              </w:rPr>
              <w:t>-0,9</w:t>
            </w:r>
          </w:p>
        </w:tc>
        <w:tc>
          <w:tcPr>
            <w:tcW w:w="556" w:type="pct"/>
            <w:shd w:val="clear" w:color="auto" w:fill="auto"/>
            <w:vAlign w:val="center"/>
          </w:tcPr>
          <w:p w14:paraId="3F10202C" w14:textId="77777777" w:rsidR="006D0778" w:rsidRPr="00AD7E7D" w:rsidRDefault="006D0778" w:rsidP="006D0778">
            <w:pPr>
              <w:jc w:val="center"/>
              <w:rPr>
                <w:color w:val="auto"/>
                <w:szCs w:val="24"/>
              </w:rPr>
            </w:pPr>
            <w:r w:rsidRPr="00AD7E7D">
              <w:rPr>
                <w:color w:val="auto"/>
                <w:szCs w:val="24"/>
              </w:rPr>
              <w:t>-1,0</w:t>
            </w:r>
          </w:p>
        </w:tc>
        <w:tc>
          <w:tcPr>
            <w:tcW w:w="556" w:type="pct"/>
            <w:shd w:val="clear" w:color="auto" w:fill="auto"/>
            <w:vAlign w:val="center"/>
          </w:tcPr>
          <w:p w14:paraId="68AF03E2" w14:textId="77777777" w:rsidR="006D0778" w:rsidRPr="00AD7E7D" w:rsidRDefault="006D0778" w:rsidP="006D0778">
            <w:pPr>
              <w:jc w:val="center"/>
              <w:rPr>
                <w:color w:val="auto"/>
                <w:szCs w:val="24"/>
              </w:rPr>
            </w:pPr>
            <w:r w:rsidRPr="00AD7E7D">
              <w:rPr>
                <w:color w:val="auto"/>
                <w:szCs w:val="24"/>
              </w:rPr>
              <w:t>-1,0</w:t>
            </w:r>
          </w:p>
        </w:tc>
        <w:tc>
          <w:tcPr>
            <w:tcW w:w="556" w:type="pct"/>
            <w:shd w:val="clear" w:color="auto" w:fill="auto"/>
            <w:vAlign w:val="center"/>
          </w:tcPr>
          <w:p w14:paraId="1D34F562" w14:textId="77777777" w:rsidR="006D0778" w:rsidRPr="00AD7E7D" w:rsidRDefault="006D0778" w:rsidP="006D0778">
            <w:pPr>
              <w:jc w:val="center"/>
              <w:rPr>
                <w:color w:val="auto"/>
                <w:szCs w:val="24"/>
              </w:rPr>
            </w:pPr>
            <w:r w:rsidRPr="00AD7E7D">
              <w:rPr>
                <w:color w:val="auto"/>
                <w:szCs w:val="24"/>
              </w:rPr>
              <w:t>-1,1</w:t>
            </w:r>
          </w:p>
        </w:tc>
      </w:tr>
      <w:tr w:rsidR="006D0778" w:rsidRPr="00AD7E7D" w14:paraId="3C142A2B" w14:textId="77777777" w:rsidTr="00D2109C">
        <w:trPr>
          <w:trHeight w:val="253"/>
        </w:trPr>
        <w:tc>
          <w:tcPr>
            <w:tcW w:w="2122" w:type="pct"/>
            <w:shd w:val="clear" w:color="auto" w:fill="auto"/>
            <w:vAlign w:val="center"/>
          </w:tcPr>
          <w:p w14:paraId="56FC2701" w14:textId="77777777" w:rsidR="006D0778" w:rsidRPr="00AD7E7D" w:rsidRDefault="006D0778" w:rsidP="006D0778">
            <w:pPr>
              <w:rPr>
                <w:color w:val="auto"/>
                <w:szCs w:val="24"/>
              </w:rPr>
            </w:pPr>
          </w:p>
        </w:tc>
        <w:tc>
          <w:tcPr>
            <w:tcW w:w="605" w:type="pct"/>
            <w:shd w:val="clear" w:color="auto" w:fill="auto"/>
            <w:vAlign w:val="center"/>
          </w:tcPr>
          <w:p w14:paraId="22714654" w14:textId="77777777" w:rsidR="006D0778" w:rsidRPr="00AD7E7D" w:rsidRDefault="006D0778" w:rsidP="006D0778">
            <w:pPr>
              <w:jc w:val="center"/>
              <w:rPr>
                <w:color w:val="auto"/>
                <w:szCs w:val="24"/>
              </w:rPr>
            </w:pPr>
          </w:p>
        </w:tc>
        <w:tc>
          <w:tcPr>
            <w:tcW w:w="605" w:type="pct"/>
            <w:shd w:val="clear" w:color="auto" w:fill="auto"/>
            <w:vAlign w:val="center"/>
          </w:tcPr>
          <w:p w14:paraId="6EA3CCBE" w14:textId="77777777" w:rsidR="006D0778" w:rsidRPr="00AD7E7D" w:rsidRDefault="006D0778" w:rsidP="006D0778">
            <w:pPr>
              <w:jc w:val="center"/>
              <w:rPr>
                <w:color w:val="auto"/>
                <w:szCs w:val="24"/>
              </w:rPr>
            </w:pPr>
          </w:p>
        </w:tc>
        <w:tc>
          <w:tcPr>
            <w:tcW w:w="556" w:type="pct"/>
            <w:shd w:val="clear" w:color="auto" w:fill="auto"/>
            <w:vAlign w:val="center"/>
          </w:tcPr>
          <w:p w14:paraId="1CF29920" w14:textId="77777777" w:rsidR="006D0778" w:rsidRPr="00AD7E7D" w:rsidRDefault="006D0778" w:rsidP="006D0778">
            <w:pPr>
              <w:jc w:val="center"/>
              <w:rPr>
                <w:color w:val="auto"/>
                <w:szCs w:val="24"/>
              </w:rPr>
            </w:pPr>
          </w:p>
        </w:tc>
        <w:tc>
          <w:tcPr>
            <w:tcW w:w="556" w:type="pct"/>
            <w:shd w:val="clear" w:color="auto" w:fill="auto"/>
            <w:vAlign w:val="center"/>
          </w:tcPr>
          <w:p w14:paraId="21E91D18" w14:textId="77777777" w:rsidR="006D0778" w:rsidRPr="00AD7E7D" w:rsidRDefault="006D0778" w:rsidP="006D0778">
            <w:pPr>
              <w:jc w:val="center"/>
              <w:rPr>
                <w:color w:val="auto"/>
                <w:szCs w:val="24"/>
              </w:rPr>
            </w:pPr>
          </w:p>
        </w:tc>
        <w:tc>
          <w:tcPr>
            <w:tcW w:w="556" w:type="pct"/>
            <w:shd w:val="clear" w:color="auto" w:fill="auto"/>
            <w:vAlign w:val="center"/>
          </w:tcPr>
          <w:p w14:paraId="070DEB9A" w14:textId="77777777" w:rsidR="006D0778" w:rsidRPr="00AD7E7D" w:rsidRDefault="006D0778" w:rsidP="006D0778">
            <w:pPr>
              <w:jc w:val="center"/>
              <w:rPr>
                <w:color w:val="auto"/>
                <w:szCs w:val="24"/>
              </w:rPr>
            </w:pPr>
          </w:p>
        </w:tc>
      </w:tr>
      <w:tr w:rsidR="006D0778" w:rsidRPr="00AD7E7D" w14:paraId="312345CA" w14:textId="77777777" w:rsidTr="00D2109C">
        <w:trPr>
          <w:cnfStyle w:val="000000100000" w:firstRow="0" w:lastRow="0" w:firstColumn="0" w:lastColumn="0" w:oddVBand="0" w:evenVBand="0" w:oddHBand="1" w:evenHBand="0" w:firstRowFirstColumn="0" w:firstRowLastColumn="0" w:lastRowFirstColumn="0" w:lastRowLastColumn="0"/>
          <w:trHeight w:val="253"/>
        </w:trPr>
        <w:tc>
          <w:tcPr>
            <w:tcW w:w="2122" w:type="pct"/>
            <w:shd w:val="clear" w:color="auto" w:fill="auto"/>
            <w:vAlign w:val="center"/>
          </w:tcPr>
          <w:p w14:paraId="6CA28870" w14:textId="77777777" w:rsidR="006D0778" w:rsidRPr="00AD7E7D" w:rsidRDefault="006D0778" w:rsidP="006D0778">
            <w:pPr>
              <w:rPr>
                <w:color w:val="auto"/>
                <w:szCs w:val="24"/>
              </w:rPr>
            </w:pPr>
            <w:r w:rsidRPr="00AD7E7D">
              <w:rPr>
                <w:color w:val="auto"/>
                <w:szCs w:val="24"/>
              </w:rPr>
              <w:t>Дуг сектора државе</w:t>
            </w:r>
          </w:p>
        </w:tc>
        <w:tc>
          <w:tcPr>
            <w:tcW w:w="605" w:type="pct"/>
            <w:shd w:val="clear" w:color="auto" w:fill="auto"/>
            <w:vAlign w:val="center"/>
          </w:tcPr>
          <w:p w14:paraId="32592234" w14:textId="77777777" w:rsidR="006D0778" w:rsidRPr="00AD7E7D" w:rsidRDefault="006D0778" w:rsidP="006D0778">
            <w:pPr>
              <w:jc w:val="center"/>
              <w:rPr>
                <w:color w:val="auto"/>
                <w:szCs w:val="24"/>
              </w:rPr>
            </w:pPr>
            <w:r w:rsidRPr="00AD7E7D">
              <w:rPr>
                <w:color w:val="auto"/>
                <w:szCs w:val="24"/>
              </w:rPr>
              <w:t>48,4</w:t>
            </w:r>
          </w:p>
        </w:tc>
        <w:tc>
          <w:tcPr>
            <w:tcW w:w="605" w:type="pct"/>
            <w:shd w:val="clear" w:color="auto" w:fill="auto"/>
            <w:vAlign w:val="center"/>
          </w:tcPr>
          <w:p w14:paraId="208205ED" w14:textId="77777777" w:rsidR="006D0778" w:rsidRPr="00AD7E7D" w:rsidRDefault="006D0778" w:rsidP="006D0778">
            <w:pPr>
              <w:jc w:val="center"/>
              <w:rPr>
                <w:color w:val="auto"/>
                <w:szCs w:val="24"/>
              </w:rPr>
            </w:pPr>
            <w:r w:rsidRPr="00AD7E7D">
              <w:rPr>
                <w:color w:val="auto"/>
                <w:szCs w:val="24"/>
              </w:rPr>
              <w:t>47,9</w:t>
            </w:r>
          </w:p>
        </w:tc>
        <w:tc>
          <w:tcPr>
            <w:tcW w:w="556" w:type="pct"/>
            <w:shd w:val="clear" w:color="auto" w:fill="auto"/>
            <w:vAlign w:val="center"/>
          </w:tcPr>
          <w:p w14:paraId="372A1131" w14:textId="77777777" w:rsidR="006D0778" w:rsidRPr="00AD7E7D" w:rsidRDefault="006D0778" w:rsidP="006D0778">
            <w:pPr>
              <w:jc w:val="center"/>
              <w:rPr>
                <w:color w:val="auto"/>
                <w:szCs w:val="24"/>
              </w:rPr>
            </w:pPr>
            <w:r w:rsidRPr="00AD7E7D">
              <w:rPr>
                <w:color w:val="auto"/>
                <w:szCs w:val="24"/>
              </w:rPr>
              <w:t>47,5</w:t>
            </w:r>
          </w:p>
        </w:tc>
        <w:tc>
          <w:tcPr>
            <w:tcW w:w="556" w:type="pct"/>
            <w:shd w:val="clear" w:color="auto" w:fill="auto"/>
            <w:vAlign w:val="center"/>
          </w:tcPr>
          <w:p w14:paraId="63E25233" w14:textId="77777777" w:rsidR="006D0778" w:rsidRPr="00AD7E7D" w:rsidRDefault="006D0778" w:rsidP="006D0778">
            <w:pPr>
              <w:jc w:val="center"/>
              <w:rPr>
                <w:color w:val="auto"/>
                <w:szCs w:val="24"/>
              </w:rPr>
            </w:pPr>
            <w:r w:rsidRPr="00AD7E7D">
              <w:rPr>
                <w:color w:val="auto"/>
                <w:szCs w:val="24"/>
              </w:rPr>
              <w:t>47,0</w:t>
            </w:r>
          </w:p>
        </w:tc>
        <w:tc>
          <w:tcPr>
            <w:tcW w:w="556" w:type="pct"/>
            <w:shd w:val="clear" w:color="auto" w:fill="auto"/>
            <w:vAlign w:val="center"/>
          </w:tcPr>
          <w:p w14:paraId="7C7860B7" w14:textId="77777777" w:rsidR="006D0778" w:rsidRPr="00AD7E7D" w:rsidRDefault="006D0778" w:rsidP="006D0778">
            <w:pPr>
              <w:jc w:val="center"/>
              <w:rPr>
                <w:color w:val="auto"/>
                <w:szCs w:val="24"/>
              </w:rPr>
            </w:pPr>
            <w:r w:rsidRPr="00AD7E7D">
              <w:rPr>
                <w:color w:val="auto"/>
                <w:szCs w:val="24"/>
              </w:rPr>
              <w:t>46,5</w:t>
            </w:r>
          </w:p>
        </w:tc>
      </w:tr>
      <w:tr w:rsidR="006D0778" w:rsidRPr="00AD7E7D" w14:paraId="29BE6432" w14:textId="77777777" w:rsidTr="00D2109C">
        <w:trPr>
          <w:trHeight w:val="253"/>
        </w:trPr>
        <w:tc>
          <w:tcPr>
            <w:tcW w:w="2122" w:type="pct"/>
            <w:tcBorders>
              <w:bottom w:val="single" w:sz="4" w:space="0" w:color="002060"/>
            </w:tcBorders>
            <w:shd w:val="clear" w:color="auto" w:fill="auto"/>
            <w:vAlign w:val="center"/>
          </w:tcPr>
          <w:p w14:paraId="31393338" w14:textId="77777777" w:rsidR="006D0778" w:rsidRPr="00AD7E7D" w:rsidRDefault="006D0778" w:rsidP="006D0778">
            <w:pPr>
              <w:rPr>
                <w:color w:val="auto"/>
                <w:szCs w:val="24"/>
              </w:rPr>
            </w:pPr>
            <w:r w:rsidRPr="00AD7E7D">
              <w:rPr>
                <w:color w:val="auto"/>
                <w:szCs w:val="24"/>
              </w:rPr>
              <w:t>Реална стопа раста БДП</w:t>
            </w:r>
          </w:p>
        </w:tc>
        <w:tc>
          <w:tcPr>
            <w:tcW w:w="605" w:type="pct"/>
            <w:tcBorders>
              <w:bottom w:val="single" w:sz="4" w:space="0" w:color="002060"/>
            </w:tcBorders>
            <w:shd w:val="clear" w:color="auto" w:fill="auto"/>
            <w:vAlign w:val="center"/>
          </w:tcPr>
          <w:p w14:paraId="7A6EC734" w14:textId="77777777" w:rsidR="006D0778" w:rsidRPr="00AD7E7D" w:rsidRDefault="006D0778" w:rsidP="006D0778">
            <w:pPr>
              <w:jc w:val="center"/>
              <w:rPr>
                <w:color w:val="auto"/>
                <w:szCs w:val="24"/>
              </w:rPr>
            </w:pPr>
            <w:r w:rsidRPr="00AD7E7D">
              <w:rPr>
                <w:color w:val="auto"/>
                <w:szCs w:val="24"/>
              </w:rPr>
              <w:t>3,8%</w:t>
            </w:r>
          </w:p>
        </w:tc>
        <w:tc>
          <w:tcPr>
            <w:tcW w:w="605" w:type="pct"/>
            <w:tcBorders>
              <w:bottom w:val="single" w:sz="4" w:space="0" w:color="002060"/>
            </w:tcBorders>
            <w:shd w:val="clear" w:color="auto" w:fill="auto"/>
            <w:vAlign w:val="center"/>
          </w:tcPr>
          <w:p w14:paraId="06DD0A42" w14:textId="77777777" w:rsidR="006D0778" w:rsidRPr="00AD7E7D" w:rsidRDefault="006D0778" w:rsidP="006D0778">
            <w:pPr>
              <w:jc w:val="center"/>
              <w:rPr>
                <w:color w:val="auto"/>
                <w:szCs w:val="24"/>
              </w:rPr>
            </w:pPr>
            <w:r w:rsidRPr="00AD7E7D">
              <w:rPr>
                <w:color w:val="auto"/>
                <w:szCs w:val="24"/>
              </w:rPr>
              <w:t>3,8%</w:t>
            </w:r>
          </w:p>
        </w:tc>
        <w:tc>
          <w:tcPr>
            <w:tcW w:w="556" w:type="pct"/>
            <w:tcBorders>
              <w:bottom w:val="single" w:sz="4" w:space="0" w:color="002060"/>
            </w:tcBorders>
            <w:shd w:val="clear" w:color="auto" w:fill="auto"/>
            <w:vAlign w:val="center"/>
          </w:tcPr>
          <w:p w14:paraId="68DF3CE6" w14:textId="77777777" w:rsidR="006D0778" w:rsidRPr="00AD7E7D" w:rsidRDefault="006D0778" w:rsidP="006D0778">
            <w:pPr>
              <w:jc w:val="center"/>
              <w:rPr>
                <w:color w:val="auto"/>
                <w:szCs w:val="24"/>
              </w:rPr>
            </w:pPr>
            <w:r w:rsidRPr="00AD7E7D">
              <w:rPr>
                <w:color w:val="auto"/>
                <w:szCs w:val="24"/>
              </w:rPr>
              <w:t>4,2%</w:t>
            </w:r>
          </w:p>
        </w:tc>
        <w:tc>
          <w:tcPr>
            <w:tcW w:w="556" w:type="pct"/>
            <w:tcBorders>
              <w:bottom w:val="single" w:sz="4" w:space="0" w:color="002060"/>
            </w:tcBorders>
            <w:shd w:val="clear" w:color="auto" w:fill="auto"/>
            <w:vAlign w:val="center"/>
          </w:tcPr>
          <w:p w14:paraId="573022DD" w14:textId="77777777" w:rsidR="006D0778" w:rsidRPr="00AD7E7D" w:rsidRDefault="006D0778" w:rsidP="006D0778">
            <w:pPr>
              <w:jc w:val="center"/>
              <w:rPr>
                <w:color w:val="auto"/>
                <w:szCs w:val="24"/>
              </w:rPr>
            </w:pPr>
            <w:r w:rsidRPr="00AD7E7D">
              <w:rPr>
                <w:color w:val="auto"/>
                <w:szCs w:val="24"/>
              </w:rPr>
              <w:t>4,0%</w:t>
            </w:r>
          </w:p>
        </w:tc>
        <w:tc>
          <w:tcPr>
            <w:tcW w:w="556" w:type="pct"/>
            <w:tcBorders>
              <w:bottom w:val="single" w:sz="4" w:space="0" w:color="002060"/>
            </w:tcBorders>
            <w:shd w:val="clear" w:color="auto" w:fill="auto"/>
            <w:vAlign w:val="center"/>
          </w:tcPr>
          <w:p w14:paraId="6CB653EC" w14:textId="77777777" w:rsidR="006D0778" w:rsidRPr="00AD7E7D" w:rsidRDefault="006D0778" w:rsidP="006D0778">
            <w:pPr>
              <w:jc w:val="center"/>
              <w:rPr>
                <w:color w:val="auto"/>
                <w:szCs w:val="24"/>
              </w:rPr>
            </w:pPr>
            <w:r w:rsidRPr="00AD7E7D">
              <w:rPr>
                <w:color w:val="auto"/>
                <w:szCs w:val="24"/>
              </w:rPr>
              <w:t>5,0%</w:t>
            </w:r>
          </w:p>
        </w:tc>
      </w:tr>
    </w:tbl>
    <w:p w14:paraId="08169587" w14:textId="77777777" w:rsidR="006D0778" w:rsidRPr="006C46A3" w:rsidRDefault="006D0778" w:rsidP="006D0778">
      <w:pPr>
        <w:rPr>
          <w:rFonts w:cs="Times New Roman"/>
          <w:sz w:val="22"/>
          <w:szCs w:val="24"/>
          <w:lang w:val="sr-Cyrl-RS" w:eastAsia="ja-JP"/>
        </w:rPr>
      </w:pPr>
      <w:r w:rsidRPr="006C46A3">
        <w:rPr>
          <w:rFonts w:cs="Times New Roman"/>
          <w:sz w:val="22"/>
          <w:szCs w:val="24"/>
          <w:lang w:val="sr-Cyrl-RS" w:eastAsia="ja-JP"/>
        </w:rPr>
        <w:t>Извор: Министарство финансија</w:t>
      </w:r>
    </w:p>
    <w:p w14:paraId="65731AD5" w14:textId="77777777" w:rsidR="006D0778" w:rsidRDefault="006D0778" w:rsidP="006D0778">
      <w:pPr>
        <w:rPr>
          <w:rFonts w:cs="Times New Roman"/>
          <w:szCs w:val="24"/>
        </w:rPr>
      </w:pPr>
      <w:r w:rsidRPr="00AD7E7D">
        <w:rPr>
          <w:rFonts w:eastAsia="MS PGothic" w:cs="Times New Roman"/>
          <w:szCs w:val="24"/>
          <w:lang w:eastAsia="ja-JP"/>
        </w:rPr>
        <w:t>Циљеви фискалне политике у наредном средњорочном периоду биће обезбеђење стабилне позиције јавних финансија и опадајућа путања јавног дуга. Смањење</w:t>
      </w:r>
      <w:r w:rsidRPr="00AD7E7D">
        <w:rPr>
          <w:rFonts w:cs="Times New Roman"/>
          <w:szCs w:val="24"/>
        </w:rPr>
        <w:t xml:space="preserve"> учешћа дуга је уско везано за динамику планираног дефицита као главног фактора задуживања. Растући трошкови задуживања на међународном финансијском тржишту такође захтевају опрез при вођењу фискалне политике.</w:t>
      </w:r>
    </w:p>
    <w:p w14:paraId="0BD93F77" w14:textId="77777777" w:rsidR="00BF5A92" w:rsidRDefault="00BF5A92" w:rsidP="006D0778">
      <w:pPr>
        <w:rPr>
          <w:rFonts w:cs="Times New Roman"/>
          <w:szCs w:val="24"/>
        </w:rPr>
      </w:pPr>
    </w:p>
    <w:p w14:paraId="286462CB" w14:textId="77777777" w:rsidR="00BF5A92" w:rsidRDefault="00BF5A92" w:rsidP="006D0778">
      <w:pPr>
        <w:rPr>
          <w:rFonts w:cs="Times New Roman"/>
          <w:szCs w:val="24"/>
        </w:rPr>
      </w:pPr>
    </w:p>
    <w:p w14:paraId="2E2EBFD1" w14:textId="77777777" w:rsidR="00BF5A92" w:rsidRDefault="00BF5A92" w:rsidP="006D0778">
      <w:pPr>
        <w:rPr>
          <w:rFonts w:cs="Times New Roman"/>
          <w:szCs w:val="24"/>
        </w:rPr>
      </w:pPr>
    </w:p>
    <w:p w14:paraId="528185FF" w14:textId="77777777" w:rsidR="00BF5A92" w:rsidRDefault="00BF5A92" w:rsidP="006D0778">
      <w:pPr>
        <w:rPr>
          <w:rFonts w:cs="Times New Roman"/>
          <w:szCs w:val="24"/>
        </w:rPr>
      </w:pPr>
    </w:p>
    <w:p w14:paraId="4DFE7601" w14:textId="77777777" w:rsidR="00BF5A92" w:rsidRDefault="00BF5A92" w:rsidP="006D0778">
      <w:pPr>
        <w:rPr>
          <w:rFonts w:cs="Times New Roman"/>
          <w:szCs w:val="24"/>
        </w:rPr>
      </w:pPr>
    </w:p>
    <w:p w14:paraId="3601F38F" w14:textId="77777777" w:rsidR="00BF5A92" w:rsidRPr="00AD7E7D" w:rsidRDefault="00BF5A92" w:rsidP="006D0778">
      <w:pPr>
        <w:rPr>
          <w:rFonts w:cs="Times New Roman"/>
          <w:b/>
          <w:color w:val="002060"/>
          <w:szCs w:val="24"/>
        </w:rPr>
      </w:pPr>
    </w:p>
    <w:p w14:paraId="03E97DB5" w14:textId="77777777" w:rsidR="006D0778" w:rsidRPr="00BF5A92" w:rsidRDefault="006D0778" w:rsidP="006D0778">
      <w:pPr>
        <w:rPr>
          <w:rFonts w:cs="Times New Roman"/>
          <w:i/>
          <w:szCs w:val="24"/>
          <w:lang w:val="sr-Cyrl-RS" w:eastAsia="ja-JP"/>
        </w:rPr>
      </w:pPr>
      <w:r w:rsidRPr="00BF5A92">
        <w:rPr>
          <w:rFonts w:cs="Times New Roman"/>
          <w:i/>
          <w:szCs w:val="24"/>
          <w:lang w:val="sr-Cyrl-RS" w:eastAsia="ja-JP"/>
        </w:rPr>
        <w:lastRenderedPageBreak/>
        <w:t xml:space="preserve">Графикон </w:t>
      </w:r>
      <w:r w:rsidR="006C46A3">
        <w:rPr>
          <w:rFonts w:cs="Times New Roman"/>
          <w:i/>
          <w:szCs w:val="24"/>
          <w:lang w:val="sr-Latn-RS" w:eastAsia="ja-JP"/>
        </w:rPr>
        <w:t>9</w:t>
      </w:r>
      <w:r w:rsidRPr="00BF5A92">
        <w:rPr>
          <w:rFonts w:cs="Times New Roman"/>
          <w:i/>
          <w:szCs w:val="24"/>
          <w:lang w:val="sr-Cyrl-RS" w:eastAsia="ja-JP"/>
        </w:rPr>
        <w:t>. Фискални резултат и дуг сектора државе, % БДП</w:t>
      </w:r>
    </w:p>
    <w:p w14:paraId="2F884A8B" w14:textId="77777777" w:rsidR="006D0778" w:rsidRPr="00AD7E7D" w:rsidRDefault="006D0778" w:rsidP="006D0778">
      <w:pPr>
        <w:rPr>
          <w:rFonts w:cs="Times New Roman"/>
          <w:szCs w:val="24"/>
          <w:lang w:val="sr-Latn-RS" w:eastAsia="ja-JP"/>
        </w:rPr>
      </w:pPr>
      <w:r w:rsidRPr="00AD7E7D">
        <w:rPr>
          <w:rFonts w:cs="Times New Roman"/>
          <w:noProof/>
          <w:szCs w:val="24"/>
        </w:rPr>
        <w:drawing>
          <wp:inline distT="0" distB="0" distL="0" distR="0" wp14:anchorId="1B626C33" wp14:editId="29DDA4A4">
            <wp:extent cx="5762625" cy="206692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AA07C68" w14:textId="77777777" w:rsidR="006D0778" w:rsidRPr="00AD7E7D" w:rsidRDefault="006D0778" w:rsidP="006D0778">
      <w:pPr>
        <w:rPr>
          <w:rFonts w:eastAsia="MS PGothic" w:cs="Times New Roman"/>
          <w:spacing w:val="-2"/>
          <w:szCs w:val="24"/>
          <w:lang w:eastAsia="ja-JP"/>
        </w:rPr>
      </w:pPr>
      <w:r w:rsidRPr="00AD7E7D">
        <w:rPr>
          <w:rFonts w:eastAsia="MS PGothic" w:cs="Times New Roman"/>
          <w:spacing w:val="-2"/>
          <w:szCs w:val="24"/>
          <w:lang w:eastAsia="ja-JP"/>
        </w:rPr>
        <w:t>Експанзивна фискална политика током 2020. и 2021. године умањила је негативне економске последице пандемије. У 2022. години фокус је пребачен на заштиту привреде и становништва од енергетске кризе, док је у 2023. години фискална политика враћена у релативно стабилне оквире. Као подршка бржем привредном расту, почетком 2024. године започете су активности на реализацији развојног плана „Скок у будућност”. У наредном периоду, фискални импулс ће бити усмерен на повећање јавних инвестиција са фокусом на оне приоритетне и продуктивне, а реформом управљања јавним инвестицијама ће се додатно подржати висок квалитет инвестиционих улагања.</w:t>
      </w:r>
    </w:p>
    <w:p w14:paraId="19D16751" w14:textId="77777777" w:rsidR="006D0778" w:rsidRPr="00AD7E7D" w:rsidRDefault="006D0778" w:rsidP="006D0778">
      <w:pPr>
        <w:rPr>
          <w:rFonts w:eastAsia="Times New Roman" w:cs="Times New Roman"/>
          <w:b/>
          <w:bCs/>
          <w:spacing w:val="-2"/>
          <w:szCs w:val="24"/>
          <w:lang w:eastAsia="ja-JP"/>
        </w:rPr>
      </w:pPr>
      <w:r w:rsidRPr="00AD7E7D">
        <w:rPr>
          <w:rFonts w:eastAsia="Calibri" w:cs="Times New Roman"/>
          <w:spacing w:val="-2"/>
          <w:szCs w:val="24"/>
          <w:lang w:eastAsia="ja-JP"/>
        </w:rPr>
        <w:t>На приходној страни приоритет ће остати даље смањење пореског оптерећења зарада и наставак борбе против пореске евазије и сиве економије.</w:t>
      </w:r>
    </w:p>
    <w:p w14:paraId="1175577C" w14:textId="77777777" w:rsidR="006D0778" w:rsidRPr="00AD7E7D" w:rsidRDefault="006D0778" w:rsidP="006D0778">
      <w:pPr>
        <w:keepNext/>
        <w:rPr>
          <w:rFonts w:eastAsia="MS PGothic" w:cs="Times New Roman"/>
          <w:szCs w:val="24"/>
          <w:lang w:eastAsia="ja-JP"/>
        </w:rPr>
      </w:pPr>
      <w:r w:rsidRPr="00AD7E7D">
        <w:rPr>
          <w:rFonts w:eastAsia="MS PGothic" w:cs="Times New Roman"/>
          <w:szCs w:val="24"/>
          <w:lang w:eastAsia="ja-JP"/>
        </w:rPr>
        <w:t>Пројекција прихода у периоду од 2025. до 2027. године израђена је на основу:</w:t>
      </w:r>
    </w:p>
    <w:p w14:paraId="5DA9E758" w14:textId="77777777" w:rsidR="006D0778" w:rsidRPr="00AD7E7D" w:rsidRDefault="006D0778" w:rsidP="006D0778">
      <w:pPr>
        <w:numPr>
          <w:ilvl w:val="0"/>
          <w:numId w:val="22"/>
        </w:numPr>
        <w:spacing w:line="259" w:lineRule="auto"/>
        <w:contextualSpacing/>
        <w:rPr>
          <w:rFonts w:eastAsia="Calibri" w:cs="Times New Roman"/>
          <w:szCs w:val="24"/>
        </w:rPr>
      </w:pPr>
      <w:r w:rsidRPr="00AD7E7D">
        <w:rPr>
          <w:rFonts w:eastAsia="Calibri" w:cs="Times New Roman"/>
          <w:szCs w:val="24"/>
        </w:rPr>
        <w:t>пројекције кретања најважнијих макроекономских показатеља: БДП и његових компоненти, инфлације, девизног курса, спољнотрговинске размене, запослености и зарада;</w:t>
      </w:r>
    </w:p>
    <w:p w14:paraId="5A1CF6C1" w14:textId="77777777" w:rsidR="006D0778" w:rsidRPr="00AD7E7D" w:rsidRDefault="006D0778" w:rsidP="006D0778">
      <w:pPr>
        <w:numPr>
          <w:ilvl w:val="0"/>
          <w:numId w:val="22"/>
        </w:numPr>
        <w:spacing w:line="259" w:lineRule="auto"/>
        <w:contextualSpacing/>
        <w:rPr>
          <w:rFonts w:eastAsia="Calibri" w:cs="Times New Roman"/>
          <w:szCs w:val="24"/>
        </w:rPr>
      </w:pPr>
      <w:r w:rsidRPr="00AD7E7D">
        <w:rPr>
          <w:rFonts w:eastAsia="Calibri" w:cs="Times New Roman"/>
          <w:szCs w:val="24"/>
        </w:rPr>
        <w:t>важеће и планиране измене пореске политике;</w:t>
      </w:r>
    </w:p>
    <w:p w14:paraId="24333783" w14:textId="77777777" w:rsidR="006D0778" w:rsidRPr="00AD7E7D" w:rsidRDefault="006D0778" w:rsidP="006D0778">
      <w:pPr>
        <w:numPr>
          <w:ilvl w:val="0"/>
          <w:numId w:val="22"/>
        </w:numPr>
        <w:spacing w:after="240" w:line="259" w:lineRule="auto"/>
        <w:rPr>
          <w:rFonts w:eastAsia="Calibri" w:cs="Times New Roman"/>
          <w:szCs w:val="24"/>
          <w:lang w:val="sr-Cyrl-RS"/>
        </w:rPr>
      </w:pPr>
      <w:r w:rsidRPr="00AD7E7D">
        <w:rPr>
          <w:rFonts w:eastAsia="Calibri" w:cs="Times New Roman"/>
          <w:szCs w:val="24"/>
        </w:rPr>
        <w:t>процењених ефеката фискалних и структурних мера у наредном периоду.</w:t>
      </w:r>
    </w:p>
    <w:p w14:paraId="5BE5578F" w14:textId="77777777" w:rsidR="006D0778" w:rsidRPr="00BF5A92" w:rsidRDefault="006D0778" w:rsidP="006D0778">
      <w:pPr>
        <w:keepNext/>
        <w:rPr>
          <w:rFonts w:cs="Times New Roman"/>
          <w:i/>
          <w:szCs w:val="24"/>
          <w:lang w:val="sr-Cyrl-RS" w:eastAsia="ja-JP"/>
        </w:rPr>
      </w:pPr>
      <w:r w:rsidRPr="00BF5A92">
        <w:rPr>
          <w:rFonts w:cs="Times New Roman"/>
          <w:i/>
          <w:szCs w:val="24"/>
          <w:lang w:val="sr-Cyrl-RS" w:eastAsia="ja-JP"/>
        </w:rPr>
        <w:t>Табела 8. Укупни приходи и донације у периоду 2023–2027. године, % БДП</w:t>
      </w:r>
    </w:p>
    <w:tbl>
      <w:tblPr>
        <w:tblStyle w:val="LightShading-Accent12114"/>
        <w:tblW w:w="5000" w:type="pct"/>
        <w:tblBorders>
          <w:top w:val="none" w:sz="0" w:space="0" w:color="auto"/>
          <w:bottom w:val="none" w:sz="0" w:space="0" w:color="auto"/>
        </w:tblBorders>
        <w:tblLook w:val="0420" w:firstRow="1" w:lastRow="0" w:firstColumn="0" w:lastColumn="0" w:noHBand="0" w:noVBand="1"/>
      </w:tblPr>
      <w:tblGrid>
        <w:gridCol w:w="3602"/>
        <w:gridCol w:w="1370"/>
        <w:gridCol w:w="1160"/>
        <w:gridCol w:w="963"/>
        <w:gridCol w:w="965"/>
        <w:gridCol w:w="966"/>
      </w:tblGrid>
      <w:tr w:rsidR="006D0778" w:rsidRPr="00AD7E7D" w14:paraId="5BF3B363" w14:textId="77777777" w:rsidTr="00D2109C">
        <w:trPr>
          <w:cnfStyle w:val="100000000000" w:firstRow="1" w:lastRow="0" w:firstColumn="0" w:lastColumn="0" w:oddVBand="0" w:evenVBand="0" w:oddHBand="0" w:evenHBand="0" w:firstRowFirstColumn="0" w:firstRowLastColumn="0" w:lastRowFirstColumn="0" w:lastRowLastColumn="0"/>
          <w:trHeight w:hRule="exact" w:val="284"/>
          <w:tblHeader/>
        </w:trPr>
        <w:tc>
          <w:tcPr>
            <w:tcW w:w="2043" w:type="pct"/>
            <w:tcBorders>
              <w:top w:val="single" w:sz="4" w:space="0" w:color="auto"/>
              <w:bottom w:val="single" w:sz="4" w:space="0" w:color="002060"/>
            </w:tcBorders>
            <w:noWrap/>
            <w:vAlign w:val="center"/>
          </w:tcPr>
          <w:p w14:paraId="085CE0EB" w14:textId="77777777" w:rsidR="006D0778" w:rsidRPr="00AD7E7D" w:rsidRDefault="006D0778" w:rsidP="006D0778">
            <w:pPr>
              <w:keepLines/>
              <w:widowControl w:val="0"/>
              <w:shd w:val="clear" w:color="auto" w:fill="FFFFFF" w:themeFill="background1"/>
              <w:spacing w:line="276" w:lineRule="auto"/>
              <w:rPr>
                <w:rFonts w:eastAsia="Times New Roman"/>
                <w:color w:val="auto"/>
                <w:szCs w:val="24"/>
              </w:rPr>
            </w:pPr>
            <w:r w:rsidRPr="00AD7E7D">
              <w:rPr>
                <w:color w:val="auto"/>
                <w:szCs w:val="24"/>
              </w:rPr>
              <w:t>Опис</w:t>
            </w:r>
          </w:p>
        </w:tc>
        <w:tc>
          <w:tcPr>
            <w:tcW w:w="605" w:type="pct"/>
            <w:tcBorders>
              <w:top w:val="single" w:sz="4" w:space="0" w:color="auto"/>
              <w:bottom w:val="single" w:sz="4" w:space="0" w:color="002060"/>
            </w:tcBorders>
            <w:vAlign w:val="center"/>
          </w:tcPr>
          <w:p w14:paraId="6E2D5449" w14:textId="77777777" w:rsidR="006D0778" w:rsidRPr="00AD7E7D" w:rsidRDefault="006D0778" w:rsidP="006D0778">
            <w:pPr>
              <w:keepNext/>
              <w:widowControl w:val="0"/>
              <w:shd w:val="clear" w:color="auto" w:fill="FFFFFF" w:themeFill="background1"/>
              <w:spacing w:line="276" w:lineRule="auto"/>
              <w:jc w:val="right"/>
              <w:rPr>
                <w:rFonts w:eastAsia="Times New Roman"/>
                <w:color w:val="auto"/>
                <w:szCs w:val="24"/>
              </w:rPr>
            </w:pPr>
            <w:r w:rsidRPr="00AD7E7D">
              <w:rPr>
                <w:color w:val="auto"/>
                <w:szCs w:val="24"/>
              </w:rPr>
              <w:t>Извршење</w:t>
            </w:r>
          </w:p>
        </w:tc>
        <w:tc>
          <w:tcPr>
            <w:tcW w:w="606" w:type="pct"/>
            <w:tcBorders>
              <w:top w:val="single" w:sz="4" w:space="0" w:color="auto"/>
              <w:bottom w:val="single" w:sz="4" w:space="0" w:color="002060"/>
            </w:tcBorders>
            <w:vAlign w:val="center"/>
          </w:tcPr>
          <w:p w14:paraId="5C076835" w14:textId="77777777" w:rsidR="006D0778" w:rsidRPr="00AD7E7D" w:rsidRDefault="006D0778" w:rsidP="006D0778">
            <w:pPr>
              <w:keepNext/>
              <w:widowControl w:val="0"/>
              <w:shd w:val="clear" w:color="auto" w:fill="FFFFFF" w:themeFill="background1"/>
              <w:spacing w:line="276" w:lineRule="auto"/>
              <w:jc w:val="right"/>
              <w:rPr>
                <w:rFonts w:eastAsia="Times New Roman"/>
                <w:color w:val="auto"/>
                <w:szCs w:val="24"/>
              </w:rPr>
            </w:pPr>
            <w:r w:rsidRPr="00AD7E7D">
              <w:rPr>
                <w:color w:val="auto"/>
                <w:szCs w:val="24"/>
              </w:rPr>
              <w:t>Процена</w:t>
            </w:r>
          </w:p>
        </w:tc>
        <w:tc>
          <w:tcPr>
            <w:tcW w:w="1746" w:type="pct"/>
            <w:gridSpan w:val="3"/>
            <w:tcBorders>
              <w:top w:val="single" w:sz="4" w:space="0" w:color="auto"/>
              <w:bottom w:val="single" w:sz="4" w:space="0" w:color="002060"/>
            </w:tcBorders>
            <w:vAlign w:val="center"/>
          </w:tcPr>
          <w:p w14:paraId="2335A47A" w14:textId="77777777" w:rsidR="006D0778" w:rsidRPr="00AD7E7D" w:rsidRDefault="006D0778" w:rsidP="006D0778">
            <w:pPr>
              <w:keepNext/>
              <w:widowControl w:val="0"/>
              <w:shd w:val="clear" w:color="auto" w:fill="FFFFFF" w:themeFill="background1"/>
              <w:spacing w:line="276" w:lineRule="auto"/>
              <w:jc w:val="center"/>
              <w:rPr>
                <w:rFonts w:eastAsia="Times New Roman"/>
                <w:color w:val="auto"/>
                <w:szCs w:val="24"/>
              </w:rPr>
            </w:pPr>
            <w:r w:rsidRPr="00AD7E7D">
              <w:rPr>
                <w:color w:val="auto"/>
                <w:szCs w:val="24"/>
              </w:rPr>
              <w:t>Пројекција</w:t>
            </w:r>
          </w:p>
        </w:tc>
      </w:tr>
      <w:tr w:rsidR="006D0778" w:rsidRPr="00AD7E7D" w14:paraId="6663A77C" w14:textId="77777777" w:rsidTr="00D2109C">
        <w:trPr>
          <w:cnfStyle w:val="100000000000" w:firstRow="1" w:lastRow="0" w:firstColumn="0" w:lastColumn="0" w:oddVBand="0" w:evenVBand="0" w:oddHBand="0" w:evenHBand="0" w:firstRowFirstColumn="0" w:firstRowLastColumn="0" w:lastRowFirstColumn="0" w:lastRowLastColumn="0"/>
          <w:trHeight w:hRule="exact" w:val="284"/>
          <w:tblHeader/>
        </w:trPr>
        <w:tc>
          <w:tcPr>
            <w:tcW w:w="2043" w:type="pct"/>
            <w:tcBorders>
              <w:top w:val="single" w:sz="4" w:space="0" w:color="002060"/>
              <w:bottom w:val="single" w:sz="4" w:space="0" w:color="auto"/>
            </w:tcBorders>
            <w:shd w:val="clear" w:color="auto" w:fill="FFFFFF" w:themeFill="background1"/>
            <w:noWrap/>
          </w:tcPr>
          <w:p w14:paraId="2F35B95A" w14:textId="77777777" w:rsidR="006D0778" w:rsidRPr="00AD7E7D" w:rsidRDefault="006D0778" w:rsidP="006D0778">
            <w:pPr>
              <w:keepLines/>
              <w:widowControl w:val="0"/>
              <w:shd w:val="clear" w:color="auto" w:fill="FFFFFF" w:themeFill="background1"/>
              <w:spacing w:line="276" w:lineRule="auto"/>
              <w:rPr>
                <w:rFonts w:eastAsia="Times New Roman"/>
                <w:color w:val="auto"/>
                <w:szCs w:val="24"/>
                <w:lang w:val="sr-Latn-RS"/>
              </w:rPr>
            </w:pPr>
          </w:p>
        </w:tc>
        <w:tc>
          <w:tcPr>
            <w:tcW w:w="605" w:type="pct"/>
            <w:tcBorders>
              <w:top w:val="single" w:sz="4" w:space="0" w:color="002060"/>
              <w:bottom w:val="single" w:sz="4" w:space="0" w:color="auto"/>
            </w:tcBorders>
            <w:shd w:val="clear" w:color="auto" w:fill="FFFFFF" w:themeFill="background1"/>
          </w:tcPr>
          <w:p w14:paraId="3B148A1C" w14:textId="77777777" w:rsidR="006D0778" w:rsidRPr="00AD7E7D" w:rsidRDefault="006D0778" w:rsidP="006D0778">
            <w:pPr>
              <w:keepNext/>
              <w:widowControl w:val="0"/>
              <w:shd w:val="clear" w:color="auto" w:fill="FFFFFF" w:themeFill="background1"/>
              <w:spacing w:line="276" w:lineRule="auto"/>
              <w:jc w:val="right"/>
              <w:rPr>
                <w:rFonts w:eastAsia="Times New Roman"/>
                <w:color w:val="auto"/>
                <w:szCs w:val="24"/>
              </w:rPr>
            </w:pPr>
            <w:r w:rsidRPr="00AD7E7D">
              <w:rPr>
                <w:rFonts w:eastAsia="Times New Roman"/>
                <w:color w:val="auto"/>
                <w:szCs w:val="24"/>
              </w:rPr>
              <w:t>2023</w:t>
            </w:r>
          </w:p>
        </w:tc>
        <w:tc>
          <w:tcPr>
            <w:tcW w:w="606" w:type="pct"/>
            <w:tcBorders>
              <w:top w:val="single" w:sz="4" w:space="0" w:color="002060"/>
              <w:bottom w:val="single" w:sz="4" w:space="0" w:color="auto"/>
            </w:tcBorders>
            <w:shd w:val="clear" w:color="auto" w:fill="FFFFFF" w:themeFill="background1"/>
          </w:tcPr>
          <w:p w14:paraId="1E033AE7" w14:textId="77777777" w:rsidR="006D0778" w:rsidRPr="00AD7E7D" w:rsidRDefault="006D0778" w:rsidP="006D0778">
            <w:pPr>
              <w:keepNext/>
              <w:widowControl w:val="0"/>
              <w:shd w:val="clear" w:color="auto" w:fill="FFFFFF" w:themeFill="background1"/>
              <w:spacing w:line="276" w:lineRule="auto"/>
              <w:jc w:val="right"/>
              <w:rPr>
                <w:rFonts w:eastAsia="Times New Roman"/>
                <w:color w:val="auto"/>
                <w:szCs w:val="24"/>
              </w:rPr>
            </w:pPr>
            <w:r w:rsidRPr="00AD7E7D">
              <w:rPr>
                <w:rFonts w:eastAsia="Times New Roman"/>
                <w:color w:val="auto"/>
                <w:szCs w:val="24"/>
              </w:rPr>
              <w:t>2024</w:t>
            </w:r>
          </w:p>
        </w:tc>
        <w:tc>
          <w:tcPr>
            <w:tcW w:w="581" w:type="pct"/>
            <w:tcBorders>
              <w:top w:val="single" w:sz="4" w:space="0" w:color="002060"/>
              <w:bottom w:val="single" w:sz="4" w:space="0" w:color="auto"/>
            </w:tcBorders>
            <w:shd w:val="clear" w:color="auto" w:fill="FFFFFF" w:themeFill="background1"/>
          </w:tcPr>
          <w:p w14:paraId="7CF76484" w14:textId="77777777" w:rsidR="006D0778" w:rsidRPr="00AD7E7D" w:rsidRDefault="006D0778" w:rsidP="006D0778">
            <w:pPr>
              <w:keepNext/>
              <w:widowControl w:val="0"/>
              <w:shd w:val="clear" w:color="auto" w:fill="FFFFFF" w:themeFill="background1"/>
              <w:spacing w:line="276" w:lineRule="auto"/>
              <w:jc w:val="right"/>
              <w:rPr>
                <w:rFonts w:eastAsia="Times New Roman"/>
                <w:color w:val="auto"/>
                <w:szCs w:val="24"/>
              </w:rPr>
            </w:pPr>
            <w:r w:rsidRPr="00AD7E7D">
              <w:rPr>
                <w:rFonts w:eastAsia="Times New Roman"/>
                <w:color w:val="auto"/>
                <w:szCs w:val="24"/>
              </w:rPr>
              <w:t>2025</w:t>
            </w:r>
          </w:p>
        </w:tc>
        <w:tc>
          <w:tcPr>
            <w:tcW w:w="582" w:type="pct"/>
            <w:tcBorders>
              <w:top w:val="single" w:sz="4" w:space="0" w:color="002060"/>
              <w:bottom w:val="single" w:sz="4" w:space="0" w:color="auto"/>
            </w:tcBorders>
            <w:shd w:val="clear" w:color="auto" w:fill="FFFFFF" w:themeFill="background1"/>
          </w:tcPr>
          <w:p w14:paraId="39D8096D" w14:textId="77777777" w:rsidR="006D0778" w:rsidRPr="00AD7E7D" w:rsidRDefault="006D0778" w:rsidP="006D0778">
            <w:pPr>
              <w:keepNext/>
              <w:widowControl w:val="0"/>
              <w:shd w:val="clear" w:color="auto" w:fill="FFFFFF" w:themeFill="background1"/>
              <w:spacing w:line="276" w:lineRule="auto"/>
              <w:jc w:val="right"/>
              <w:rPr>
                <w:rFonts w:eastAsia="Times New Roman"/>
                <w:color w:val="auto"/>
                <w:szCs w:val="24"/>
              </w:rPr>
            </w:pPr>
            <w:r w:rsidRPr="00AD7E7D">
              <w:rPr>
                <w:rFonts w:eastAsia="Times New Roman"/>
                <w:color w:val="auto"/>
                <w:szCs w:val="24"/>
              </w:rPr>
              <w:t>2026</w:t>
            </w:r>
          </w:p>
        </w:tc>
        <w:tc>
          <w:tcPr>
            <w:tcW w:w="583" w:type="pct"/>
            <w:tcBorders>
              <w:top w:val="single" w:sz="4" w:space="0" w:color="002060"/>
              <w:bottom w:val="single" w:sz="4" w:space="0" w:color="auto"/>
            </w:tcBorders>
            <w:shd w:val="clear" w:color="auto" w:fill="FFFFFF" w:themeFill="background1"/>
          </w:tcPr>
          <w:p w14:paraId="2FEE5C9C" w14:textId="77777777" w:rsidR="006D0778" w:rsidRPr="00AD7E7D" w:rsidRDefault="006D0778" w:rsidP="006D0778">
            <w:pPr>
              <w:keepNext/>
              <w:widowControl w:val="0"/>
              <w:shd w:val="clear" w:color="auto" w:fill="FFFFFF" w:themeFill="background1"/>
              <w:spacing w:line="276" w:lineRule="auto"/>
              <w:jc w:val="right"/>
              <w:rPr>
                <w:rFonts w:eastAsia="Times New Roman"/>
                <w:color w:val="auto"/>
                <w:szCs w:val="24"/>
              </w:rPr>
            </w:pPr>
            <w:r w:rsidRPr="00AD7E7D">
              <w:rPr>
                <w:rFonts w:eastAsia="Times New Roman"/>
                <w:color w:val="auto"/>
                <w:szCs w:val="24"/>
              </w:rPr>
              <w:t>2027</w:t>
            </w:r>
          </w:p>
        </w:tc>
      </w:tr>
      <w:tr w:rsidR="006D0778" w:rsidRPr="00AD7E7D" w14:paraId="0CCDEB1A" w14:textId="77777777" w:rsidTr="00D2109C">
        <w:trPr>
          <w:cnfStyle w:val="000000100000" w:firstRow="0" w:lastRow="0" w:firstColumn="0" w:lastColumn="0" w:oddVBand="0" w:evenVBand="0" w:oddHBand="1" w:evenHBand="0" w:firstRowFirstColumn="0" w:firstRowLastColumn="0" w:lastRowFirstColumn="0" w:lastRowLastColumn="0"/>
          <w:trHeight w:hRule="exact" w:val="284"/>
        </w:trPr>
        <w:tc>
          <w:tcPr>
            <w:tcW w:w="2043" w:type="pct"/>
            <w:tcBorders>
              <w:top w:val="single" w:sz="4" w:space="0" w:color="auto"/>
            </w:tcBorders>
            <w:shd w:val="clear" w:color="auto" w:fill="FFFFFF" w:themeFill="background1"/>
          </w:tcPr>
          <w:p w14:paraId="181D1F95" w14:textId="77777777" w:rsidR="006D0778" w:rsidRPr="00AD7E7D" w:rsidRDefault="006D0778" w:rsidP="006D0778">
            <w:pPr>
              <w:keepLines/>
              <w:widowControl w:val="0"/>
              <w:shd w:val="clear" w:color="auto" w:fill="FFFFFF" w:themeFill="background1"/>
              <w:spacing w:line="276" w:lineRule="auto"/>
              <w:rPr>
                <w:rFonts w:eastAsia="Times New Roman"/>
                <w:bCs/>
                <w:color w:val="auto"/>
                <w:szCs w:val="24"/>
              </w:rPr>
            </w:pPr>
            <w:r w:rsidRPr="00AD7E7D">
              <w:rPr>
                <w:rFonts w:eastAsia="Times New Roman"/>
                <w:bCs/>
                <w:color w:val="auto"/>
                <w:szCs w:val="24"/>
              </w:rPr>
              <w:t>ЈАВНИ ПРИХОДИ</w:t>
            </w:r>
          </w:p>
        </w:tc>
        <w:tc>
          <w:tcPr>
            <w:tcW w:w="605" w:type="pct"/>
            <w:tcBorders>
              <w:top w:val="single" w:sz="4" w:space="0" w:color="auto"/>
            </w:tcBorders>
            <w:shd w:val="clear" w:color="auto" w:fill="auto"/>
            <w:vAlign w:val="center"/>
          </w:tcPr>
          <w:p w14:paraId="3051614F"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39,4</w:t>
            </w:r>
          </w:p>
        </w:tc>
        <w:tc>
          <w:tcPr>
            <w:tcW w:w="606" w:type="pct"/>
            <w:tcBorders>
              <w:top w:val="single" w:sz="4" w:space="0" w:color="auto"/>
            </w:tcBorders>
            <w:shd w:val="clear" w:color="auto" w:fill="auto"/>
            <w:noWrap/>
            <w:vAlign w:val="center"/>
          </w:tcPr>
          <w:p w14:paraId="3D0EE6CC"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40,8</w:t>
            </w:r>
          </w:p>
        </w:tc>
        <w:tc>
          <w:tcPr>
            <w:tcW w:w="581" w:type="pct"/>
            <w:tcBorders>
              <w:top w:val="single" w:sz="4" w:space="0" w:color="auto"/>
            </w:tcBorders>
            <w:shd w:val="clear" w:color="auto" w:fill="auto"/>
            <w:noWrap/>
            <w:vAlign w:val="center"/>
          </w:tcPr>
          <w:p w14:paraId="7FB8E471"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41,3</w:t>
            </w:r>
          </w:p>
        </w:tc>
        <w:tc>
          <w:tcPr>
            <w:tcW w:w="582" w:type="pct"/>
            <w:tcBorders>
              <w:top w:val="single" w:sz="4" w:space="0" w:color="auto"/>
            </w:tcBorders>
            <w:shd w:val="clear" w:color="auto" w:fill="auto"/>
            <w:noWrap/>
            <w:vAlign w:val="center"/>
          </w:tcPr>
          <w:p w14:paraId="7320B610"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40,9</w:t>
            </w:r>
          </w:p>
        </w:tc>
        <w:tc>
          <w:tcPr>
            <w:tcW w:w="583" w:type="pct"/>
            <w:tcBorders>
              <w:top w:val="single" w:sz="4" w:space="0" w:color="auto"/>
            </w:tcBorders>
            <w:shd w:val="clear" w:color="auto" w:fill="auto"/>
            <w:noWrap/>
            <w:vAlign w:val="center"/>
          </w:tcPr>
          <w:p w14:paraId="48F57D1F"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40,5</w:t>
            </w:r>
          </w:p>
        </w:tc>
      </w:tr>
      <w:tr w:rsidR="006D0778" w:rsidRPr="00AD7E7D" w14:paraId="51308C39" w14:textId="77777777" w:rsidTr="00D2109C">
        <w:trPr>
          <w:trHeight w:hRule="exact" w:val="284"/>
        </w:trPr>
        <w:tc>
          <w:tcPr>
            <w:tcW w:w="2043" w:type="pct"/>
            <w:shd w:val="clear" w:color="auto" w:fill="FFFFFF" w:themeFill="background1"/>
          </w:tcPr>
          <w:p w14:paraId="52C0F9F1" w14:textId="77777777" w:rsidR="006D0778" w:rsidRPr="00AD7E7D" w:rsidRDefault="006D0778" w:rsidP="006D0778">
            <w:pPr>
              <w:keepLines/>
              <w:widowControl w:val="0"/>
              <w:shd w:val="clear" w:color="auto" w:fill="FFFFFF" w:themeFill="background1"/>
              <w:spacing w:line="276" w:lineRule="auto"/>
              <w:rPr>
                <w:rFonts w:eastAsia="Times New Roman"/>
                <w:bCs/>
                <w:color w:val="auto"/>
                <w:szCs w:val="24"/>
              </w:rPr>
            </w:pPr>
            <w:r w:rsidRPr="00AD7E7D">
              <w:rPr>
                <w:rFonts w:eastAsia="Times New Roman"/>
                <w:bCs/>
                <w:color w:val="auto"/>
                <w:szCs w:val="24"/>
              </w:rPr>
              <w:t>Текући приходи</w:t>
            </w:r>
          </w:p>
        </w:tc>
        <w:tc>
          <w:tcPr>
            <w:tcW w:w="605" w:type="pct"/>
            <w:shd w:val="clear" w:color="auto" w:fill="FFFFFF" w:themeFill="background1"/>
          </w:tcPr>
          <w:p w14:paraId="504186EA"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38,9</w:t>
            </w:r>
          </w:p>
        </w:tc>
        <w:tc>
          <w:tcPr>
            <w:tcW w:w="606" w:type="pct"/>
            <w:shd w:val="clear" w:color="auto" w:fill="FFFFFF" w:themeFill="background1"/>
            <w:noWrap/>
          </w:tcPr>
          <w:p w14:paraId="7CE19C37"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40,5</w:t>
            </w:r>
          </w:p>
        </w:tc>
        <w:tc>
          <w:tcPr>
            <w:tcW w:w="581" w:type="pct"/>
            <w:shd w:val="clear" w:color="auto" w:fill="FFFFFF" w:themeFill="background1"/>
            <w:noWrap/>
          </w:tcPr>
          <w:p w14:paraId="7632E8AE"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40,9</w:t>
            </w:r>
          </w:p>
        </w:tc>
        <w:tc>
          <w:tcPr>
            <w:tcW w:w="582" w:type="pct"/>
            <w:shd w:val="clear" w:color="auto" w:fill="FFFFFF" w:themeFill="background1"/>
            <w:noWrap/>
          </w:tcPr>
          <w:p w14:paraId="1A156169"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40,5</w:t>
            </w:r>
          </w:p>
        </w:tc>
        <w:tc>
          <w:tcPr>
            <w:tcW w:w="583" w:type="pct"/>
            <w:shd w:val="clear" w:color="auto" w:fill="FFFFFF" w:themeFill="background1"/>
            <w:noWrap/>
          </w:tcPr>
          <w:p w14:paraId="4146B8E9"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40,1</w:t>
            </w:r>
          </w:p>
        </w:tc>
      </w:tr>
      <w:tr w:rsidR="006D0778" w:rsidRPr="00AD7E7D" w14:paraId="7CEDB343" w14:textId="77777777" w:rsidTr="00D2109C">
        <w:trPr>
          <w:cnfStyle w:val="000000100000" w:firstRow="0" w:lastRow="0" w:firstColumn="0" w:lastColumn="0" w:oddVBand="0" w:evenVBand="0" w:oddHBand="1" w:evenHBand="0" w:firstRowFirstColumn="0" w:firstRowLastColumn="0" w:lastRowFirstColumn="0" w:lastRowLastColumn="0"/>
          <w:trHeight w:hRule="exact" w:val="284"/>
        </w:trPr>
        <w:tc>
          <w:tcPr>
            <w:tcW w:w="2043" w:type="pct"/>
            <w:shd w:val="clear" w:color="auto" w:fill="FFFFFF" w:themeFill="background1"/>
          </w:tcPr>
          <w:p w14:paraId="4E804EC8" w14:textId="77777777" w:rsidR="006D0778" w:rsidRPr="00AD7E7D" w:rsidRDefault="006D0778" w:rsidP="006D0778">
            <w:pPr>
              <w:keepLines/>
              <w:widowControl w:val="0"/>
              <w:shd w:val="clear" w:color="auto" w:fill="FFFFFF" w:themeFill="background1"/>
              <w:spacing w:line="276" w:lineRule="auto"/>
              <w:rPr>
                <w:rFonts w:eastAsia="Times New Roman"/>
                <w:bCs/>
                <w:color w:val="auto"/>
                <w:szCs w:val="24"/>
              </w:rPr>
            </w:pPr>
            <w:r w:rsidRPr="00AD7E7D">
              <w:rPr>
                <w:rFonts w:eastAsia="Times New Roman"/>
                <w:bCs/>
                <w:color w:val="auto"/>
                <w:szCs w:val="24"/>
              </w:rPr>
              <w:t xml:space="preserve"> Порески приходи</w:t>
            </w:r>
          </w:p>
        </w:tc>
        <w:tc>
          <w:tcPr>
            <w:tcW w:w="605" w:type="pct"/>
            <w:shd w:val="clear" w:color="auto" w:fill="FFFFFF" w:themeFill="background1"/>
          </w:tcPr>
          <w:p w14:paraId="2B5B33F6"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34,9</w:t>
            </w:r>
          </w:p>
        </w:tc>
        <w:tc>
          <w:tcPr>
            <w:tcW w:w="606" w:type="pct"/>
            <w:shd w:val="clear" w:color="auto" w:fill="FFFFFF" w:themeFill="background1"/>
            <w:noWrap/>
          </w:tcPr>
          <w:p w14:paraId="64E52E05"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36,2</w:t>
            </w:r>
          </w:p>
        </w:tc>
        <w:tc>
          <w:tcPr>
            <w:tcW w:w="581" w:type="pct"/>
            <w:shd w:val="clear" w:color="auto" w:fill="FFFFFF" w:themeFill="background1"/>
            <w:noWrap/>
          </w:tcPr>
          <w:p w14:paraId="472364DC"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36,3</w:t>
            </w:r>
          </w:p>
        </w:tc>
        <w:tc>
          <w:tcPr>
            <w:tcW w:w="582" w:type="pct"/>
            <w:shd w:val="clear" w:color="auto" w:fill="FFFFFF" w:themeFill="background1"/>
            <w:noWrap/>
          </w:tcPr>
          <w:p w14:paraId="33E12D1B"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36,4</w:t>
            </w:r>
          </w:p>
        </w:tc>
        <w:tc>
          <w:tcPr>
            <w:tcW w:w="583" w:type="pct"/>
            <w:shd w:val="clear" w:color="auto" w:fill="FFFFFF" w:themeFill="background1"/>
            <w:noWrap/>
          </w:tcPr>
          <w:p w14:paraId="608C2ED6"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36,3</w:t>
            </w:r>
          </w:p>
        </w:tc>
      </w:tr>
      <w:tr w:rsidR="006D0778" w:rsidRPr="00AD7E7D" w14:paraId="5FA3F9C6" w14:textId="77777777" w:rsidTr="00D2109C">
        <w:trPr>
          <w:trHeight w:hRule="exact" w:val="284"/>
        </w:trPr>
        <w:tc>
          <w:tcPr>
            <w:tcW w:w="2043" w:type="pct"/>
            <w:shd w:val="clear" w:color="auto" w:fill="FFFFFF" w:themeFill="background1"/>
          </w:tcPr>
          <w:p w14:paraId="46030448" w14:textId="77777777" w:rsidR="006D0778" w:rsidRPr="00AD7E7D" w:rsidRDefault="006D0778" w:rsidP="006D0778">
            <w:pPr>
              <w:keepLines/>
              <w:widowControl w:val="0"/>
              <w:shd w:val="clear" w:color="auto" w:fill="FFFFFF" w:themeFill="background1"/>
              <w:spacing w:line="276" w:lineRule="auto"/>
              <w:ind w:left="284"/>
              <w:rPr>
                <w:rFonts w:eastAsia="Times New Roman"/>
                <w:bCs/>
                <w:color w:val="auto"/>
                <w:szCs w:val="24"/>
              </w:rPr>
            </w:pPr>
            <w:r w:rsidRPr="00AD7E7D">
              <w:rPr>
                <w:rFonts w:eastAsia="Times New Roman"/>
                <w:bCs/>
                <w:color w:val="auto"/>
                <w:szCs w:val="24"/>
              </w:rPr>
              <w:t>Порез на доходак грађана</w:t>
            </w:r>
          </w:p>
        </w:tc>
        <w:tc>
          <w:tcPr>
            <w:tcW w:w="605" w:type="pct"/>
            <w:shd w:val="clear" w:color="auto" w:fill="FFFFFF" w:themeFill="background1"/>
          </w:tcPr>
          <w:p w14:paraId="7CC80A35"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3,9</w:t>
            </w:r>
          </w:p>
        </w:tc>
        <w:tc>
          <w:tcPr>
            <w:tcW w:w="606" w:type="pct"/>
            <w:shd w:val="clear" w:color="auto" w:fill="FFFFFF" w:themeFill="background1"/>
            <w:noWrap/>
          </w:tcPr>
          <w:p w14:paraId="213C7B1B"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4,1</w:t>
            </w:r>
          </w:p>
        </w:tc>
        <w:tc>
          <w:tcPr>
            <w:tcW w:w="581" w:type="pct"/>
            <w:shd w:val="clear" w:color="auto" w:fill="FFFFFF" w:themeFill="background1"/>
            <w:noWrap/>
          </w:tcPr>
          <w:p w14:paraId="284B8B5C"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4,1</w:t>
            </w:r>
          </w:p>
        </w:tc>
        <w:tc>
          <w:tcPr>
            <w:tcW w:w="582" w:type="pct"/>
            <w:shd w:val="clear" w:color="auto" w:fill="FFFFFF" w:themeFill="background1"/>
            <w:noWrap/>
          </w:tcPr>
          <w:p w14:paraId="752E0603"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4,2</w:t>
            </w:r>
          </w:p>
        </w:tc>
        <w:tc>
          <w:tcPr>
            <w:tcW w:w="583" w:type="pct"/>
            <w:shd w:val="clear" w:color="auto" w:fill="FFFFFF" w:themeFill="background1"/>
            <w:noWrap/>
          </w:tcPr>
          <w:p w14:paraId="01A986C6"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4,2</w:t>
            </w:r>
          </w:p>
        </w:tc>
      </w:tr>
      <w:tr w:rsidR="006D0778" w:rsidRPr="00AD7E7D" w14:paraId="7E2B156B" w14:textId="77777777" w:rsidTr="00D2109C">
        <w:trPr>
          <w:cnfStyle w:val="000000100000" w:firstRow="0" w:lastRow="0" w:firstColumn="0" w:lastColumn="0" w:oddVBand="0" w:evenVBand="0" w:oddHBand="1" w:evenHBand="0" w:firstRowFirstColumn="0" w:firstRowLastColumn="0" w:lastRowFirstColumn="0" w:lastRowLastColumn="0"/>
          <w:trHeight w:hRule="exact" w:val="284"/>
        </w:trPr>
        <w:tc>
          <w:tcPr>
            <w:tcW w:w="2043" w:type="pct"/>
            <w:shd w:val="clear" w:color="auto" w:fill="FFFFFF" w:themeFill="background1"/>
          </w:tcPr>
          <w:p w14:paraId="30B20257" w14:textId="77777777" w:rsidR="006D0778" w:rsidRPr="00AD7E7D" w:rsidRDefault="006D0778" w:rsidP="006D0778">
            <w:pPr>
              <w:keepLines/>
              <w:widowControl w:val="0"/>
              <w:shd w:val="clear" w:color="auto" w:fill="FFFFFF" w:themeFill="background1"/>
              <w:spacing w:line="276" w:lineRule="auto"/>
              <w:ind w:left="284"/>
              <w:rPr>
                <w:rFonts w:eastAsia="Times New Roman"/>
                <w:bCs/>
                <w:color w:val="auto"/>
                <w:szCs w:val="24"/>
              </w:rPr>
            </w:pPr>
            <w:r w:rsidRPr="00AD7E7D">
              <w:rPr>
                <w:rFonts w:eastAsia="Times New Roman"/>
                <w:bCs/>
                <w:color w:val="auto"/>
                <w:szCs w:val="24"/>
              </w:rPr>
              <w:t>Порез на добит правних лица</w:t>
            </w:r>
          </w:p>
        </w:tc>
        <w:tc>
          <w:tcPr>
            <w:tcW w:w="605" w:type="pct"/>
            <w:shd w:val="clear" w:color="auto" w:fill="FFFFFF" w:themeFill="background1"/>
          </w:tcPr>
          <w:p w14:paraId="381087A4"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3,1</w:t>
            </w:r>
          </w:p>
        </w:tc>
        <w:tc>
          <w:tcPr>
            <w:tcW w:w="606" w:type="pct"/>
            <w:shd w:val="clear" w:color="auto" w:fill="FFFFFF" w:themeFill="background1"/>
            <w:noWrap/>
          </w:tcPr>
          <w:p w14:paraId="6D3075B8"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3,0</w:t>
            </w:r>
          </w:p>
        </w:tc>
        <w:tc>
          <w:tcPr>
            <w:tcW w:w="581" w:type="pct"/>
            <w:shd w:val="clear" w:color="auto" w:fill="FFFFFF" w:themeFill="background1"/>
            <w:noWrap/>
          </w:tcPr>
          <w:p w14:paraId="7720F732"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2,8</w:t>
            </w:r>
          </w:p>
        </w:tc>
        <w:tc>
          <w:tcPr>
            <w:tcW w:w="582" w:type="pct"/>
            <w:shd w:val="clear" w:color="auto" w:fill="FFFFFF" w:themeFill="background1"/>
            <w:noWrap/>
          </w:tcPr>
          <w:p w14:paraId="46B833F9"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2,7</w:t>
            </w:r>
          </w:p>
        </w:tc>
        <w:tc>
          <w:tcPr>
            <w:tcW w:w="583" w:type="pct"/>
            <w:shd w:val="clear" w:color="auto" w:fill="FFFFFF" w:themeFill="background1"/>
            <w:noWrap/>
          </w:tcPr>
          <w:p w14:paraId="23AEA635"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2,7</w:t>
            </w:r>
          </w:p>
        </w:tc>
      </w:tr>
      <w:tr w:rsidR="006D0778" w:rsidRPr="00AD7E7D" w14:paraId="4E9DCE0C" w14:textId="77777777" w:rsidTr="00D2109C">
        <w:trPr>
          <w:trHeight w:hRule="exact" w:val="284"/>
        </w:trPr>
        <w:tc>
          <w:tcPr>
            <w:tcW w:w="2043" w:type="pct"/>
            <w:shd w:val="clear" w:color="auto" w:fill="FFFFFF" w:themeFill="background1"/>
          </w:tcPr>
          <w:p w14:paraId="55E1A5BA" w14:textId="77777777" w:rsidR="006D0778" w:rsidRPr="00AD7E7D" w:rsidRDefault="006D0778" w:rsidP="006D0778">
            <w:pPr>
              <w:keepLines/>
              <w:widowControl w:val="0"/>
              <w:shd w:val="clear" w:color="auto" w:fill="FFFFFF" w:themeFill="background1"/>
              <w:spacing w:line="276" w:lineRule="auto"/>
              <w:ind w:left="284"/>
              <w:rPr>
                <w:rFonts w:eastAsia="Times New Roman"/>
                <w:bCs/>
                <w:color w:val="auto"/>
                <w:szCs w:val="24"/>
              </w:rPr>
            </w:pPr>
            <w:r w:rsidRPr="00AD7E7D">
              <w:rPr>
                <w:rFonts w:eastAsia="Times New Roman"/>
                <w:bCs/>
                <w:color w:val="auto"/>
                <w:szCs w:val="24"/>
              </w:rPr>
              <w:t>ПДВ</w:t>
            </w:r>
          </w:p>
        </w:tc>
        <w:tc>
          <w:tcPr>
            <w:tcW w:w="605" w:type="pct"/>
            <w:shd w:val="clear" w:color="auto" w:fill="FFFFFF" w:themeFill="background1"/>
          </w:tcPr>
          <w:p w14:paraId="4C9FB426"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9,6</w:t>
            </w:r>
          </w:p>
        </w:tc>
        <w:tc>
          <w:tcPr>
            <w:tcW w:w="606" w:type="pct"/>
            <w:shd w:val="clear" w:color="auto" w:fill="FFFFFF" w:themeFill="background1"/>
            <w:noWrap/>
          </w:tcPr>
          <w:p w14:paraId="25CEFF02"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10,0</w:t>
            </w:r>
          </w:p>
        </w:tc>
        <w:tc>
          <w:tcPr>
            <w:tcW w:w="581" w:type="pct"/>
            <w:shd w:val="clear" w:color="auto" w:fill="FFFFFF" w:themeFill="background1"/>
            <w:noWrap/>
          </w:tcPr>
          <w:p w14:paraId="1119A41B"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10,2</w:t>
            </w:r>
          </w:p>
        </w:tc>
        <w:tc>
          <w:tcPr>
            <w:tcW w:w="582" w:type="pct"/>
            <w:shd w:val="clear" w:color="auto" w:fill="FFFFFF" w:themeFill="background1"/>
            <w:noWrap/>
          </w:tcPr>
          <w:p w14:paraId="1FB95203"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10,3</w:t>
            </w:r>
          </w:p>
        </w:tc>
        <w:tc>
          <w:tcPr>
            <w:tcW w:w="583" w:type="pct"/>
            <w:shd w:val="clear" w:color="auto" w:fill="FFFFFF" w:themeFill="background1"/>
            <w:noWrap/>
          </w:tcPr>
          <w:p w14:paraId="238C0B64"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10,4</w:t>
            </w:r>
          </w:p>
        </w:tc>
      </w:tr>
      <w:tr w:rsidR="006D0778" w:rsidRPr="00AD7E7D" w14:paraId="1F59C364" w14:textId="77777777" w:rsidTr="00D2109C">
        <w:trPr>
          <w:cnfStyle w:val="000000100000" w:firstRow="0" w:lastRow="0" w:firstColumn="0" w:lastColumn="0" w:oddVBand="0" w:evenVBand="0" w:oddHBand="1" w:evenHBand="0" w:firstRowFirstColumn="0" w:firstRowLastColumn="0" w:lastRowFirstColumn="0" w:lastRowLastColumn="0"/>
          <w:trHeight w:hRule="exact" w:val="284"/>
        </w:trPr>
        <w:tc>
          <w:tcPr>
            <w:tcW w:w="2043" w:type="pct"/>
            <w:shd w:val="clear" w:color="auto" w:fill="FFFFFF" w:themeFill="background1"/>
          </w:tcPr>
          <w:p w14:paraId="16F69095" w14:textId="77777777" w:rsidR="006D0778" w:rsidRPr="00AD7E7D" w:rsidRDefault="006D0778" w:rsidP="006D0778">
            <w:pPr>
              <w:keepLines/>
              <w:widowControl w:val="0"/>
              <w:shd w:val="clear" w:color="auto" w:fill="FFFFFF" w:themeFill="background1"/>
              <w:spacing w:line="276" w:lineRule="auto"/>
              <w:ind w:left="284"/>
              <w:rPr>
                <w:rFonts w:eastAsia="Times New Roman"/>
                <w:bCs/>
                <w:color w:val="auto"/>
                <w:szCs w:val="24"/>
              </w:rPr>
            </w:pPr>
            <w:r w:rsidRPr="00AD7E7D">
              <w:rPr>
                <w:rFonts w:eastAsia="Times New Roman"/>
                <w:bCs/>
                <w:color w:val="auto"/>
                <w:szCs w:val="24"/>
              </w:rPr>
              <w:t>Акцизе</w:t>
            </w:r>
          </w:p>
        </w:tc>
        <w:tc>
          <w:tcPr>
            <w:tcW w:w="605" w:type="pct"/>
            <w:shd w:val="clear" w:color="auto" w:fill="FFFFFF" w:themeFill="background1"/>
          </w:tcPr>
          <w:p w14:paraId="0C155F07"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4,2</w:t>
            </w:r>
          </w:p>
        </w:tc>
        <w:tc>
          <w:tcPr>
            <w:tcW w:w="606" w:type="pct"/>
            <w:shd w:val="clear" w:color="auto" w:fill="FFFFFF" w:themeFill="background1"/>
            <w:noWrap/>
          </w:tcPr>
          <w:p w14:paraId="2AEB3A2E"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4,2</w:t>
            </w:r>
          </w:p>
        </w:tc>
        <w:tc>
          <w:tcPr>
            <w:tcW w:w="581" w:type="pct"/>
            <w:shd w:val="clear" w:color="auto" w:fill="FFFFFF" w:themeFill="background1"/>
            <w:noWrap/>
          </w:tcPr>
          <w:p w14:paraId="1D23B7C0"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4,1</w:t>
            </w:r>
          </w:p>
        </w:tc>
        <w:tc>
          <w:tcPr>
            <w:tcW w:w="582" w:type="pct"/>
            <w:shd w:val="clear" w:color="auto" w:fill="FFFFFF" w:themeFill="background1"/>
            <w:noWrap/>
          </w:tcPr>
          <w:p w14:paraId="7E4D0DB3"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3,9</w:t>
            </w:r>
          </w:p>
        </w:tc>
        <w:tc>
          <w:tcPr>
            <w:tcW w:w="583" w:type="pct"/>
            <w:shd w:val="clear" w:color="auto" w:fill="FFFFFF" w:themeFill="background1"/>
            <w:noWrap/>
          </w:tcPr>
          <w:p w14:paraId="6D137AC5"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3,7</w:t>
            </w:r>
          </w:p>
        </w:tc>
      </w:tr>
      <w:tr w:rsidR="006D0778" w:rsidRPr="00AD7E7D" w14:paraId="531E00D7" w14:textId="77777777" w:rsidTr="00D2109C">
        <w:trPr>
          <w:trHeight w:hRule="exact" w:val="284"/>
        </w:trPr>
        <w:tc>
          <w:tcPr>
            <w:tcW w:w="2043" w:type="pct"/>
            <w:shd w:val="clear" w:color="auto" w:fill="FFFFFF" w:themeFill="background1"/>
          </w:tcPr>
          <w:p w14:paraId="51A9957D" w14:textId="77777777" w:rsidR="006D0778" w:rsidRPr="00AD7E7D" w:rsidRDefault="006D0778" w:rsidP="006D0778">
            <w:pPr>
              <w:keepLines/>
              <w:widowControl w:val="0"/>
              <w:shd w:val="clear" w:color="auto" w:fill="FFFFFF" w:themeFill="background1"/>
              <w:spacing w:line="276" w:lineRule="auto"/>
              <w:ind w:left="284"/>
              <w:rPr>
                <w:rFonts w:eastAsia="Times New Roman"/>
                <w:bCs/>
                <w:color w:val="auto"/>
                <w:szCs w:val="24"/>
              </w:rPr>
            </w:pPr>
            <w:r w:rsidRPr="00AD7E7D">
              <w:rPr>
                <w:rFonts w:eastAsia="Times New Roman"/>
                <w:bCs/>
                <w:color w:val="auto"/>
                <w:szCs w:val="24"/>
              </w:rPr>
              <w:t>Царине</w:t>
            </w:r>
          </w:p>
        </w:tc>
        <w:tc>
          <w:tcPr>
            <w:tcW w:w="605" w:type="pct"/>
            <w:shd w:val="clear" w:color="auto" w:fill="FFFFFF" w:themeFill="background1"/>
          </w:tcPr>
          <w:p w14:paraId="71D8C528"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0,9</w:t>
            </w:r>
          </w:p>
        </w:tc>
        <w:tc>
          <w:tcPr>
            <w:tcW w:w="606" w:type="pct"/>
            <w:shd w:val="clear" w:color="auto" w:fill="FFFFFF" w:themeFill="background1"/>
            <w:noWrap/>
          </w:tcPr>
          <w:p w14:paraId="24108D30"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0,9</w:t>
            </w:r>
          </w:p>
        </w:tc>
        <w:tc>
          <w:tcPr>
            <w:tcW w:w="581" w:type="pct"/>
            <w:shd w:val="clear" w:color="auto" w:fill="FFFFFF" w:themeFill="background1"/>
            <w:noWrap/>
          </w:tcPr>
          <w:p w14:paraId="2A053571"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0,9</w:t>
            </w:r>
          </w:p>
        </w:tc>
        <w:tc>
          <w:tcPr>
            <w:tcW w:w="582" w:type="pct"/>
            <w:shd w:val="clear" w:color="auto" w:fill="FFFFFF" w:themeFill="background1"/>
            <w:noWrap/>
          </w:tcPr>
          <w:p w14:paraId="24E00313"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0,9</w:t>
            </w:r>
          </w:p>
        </w:tc>
        <w:tc>
          <w:tcPr>
            <w:tcW w:w="583" w:type="pct"/>
            <w:shd w:val="clear" w:color="auto" w:fill="FFFFFF" w:themeFill="background1"/>
            <w:noWrap/>
          </w:tcPr>
          <w:p w14:paraId="40E2AD45"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0,9</w:t>
            </w:r>
          </w:p>
        </w:tc>
      </w:tr>
      <w:tr w:rsidR="006D0778" w:rsidRPr="00AD7E7D" w14:paraId="120CD9BF" w14:textId="77777777" w:rsidTr="00D2109C">
        <w:trPr>
          <w:cnfStyle w:val="000000100000" w:firstRow="0" w:lastRow="0" w:firstColumn="0" w:lastColumn="0" w:oddVBand="0" w:evenVBand="0" w:oddHBand="1" w:evenHBand="0" w:firstRowFirstColumn="0" w:firstRowLastColumn="0" w:lastRowFirstColumn="0" w:lastRowLastColumn="0"/>
          <w:trHeight w:hRule="exact" w:val="284"/>
        </w:trPr>
        <w:tc>
          <w:tcPr>
            <w:tcW w:w="2043" w:type="pct"/>
            <w:shd w:val="clear" w:color="auto" w:fill="FFFFFF" w:themeFill="background1"/>
          </w:tcPr>
          <w:p w14:paraId="41130A9A" w14:textId="77777777" w:rsidR="006D0778" w:rsidRPr="00AD7E7D" w:rsidRDefault="006D0778" w:rsidP="006D0778">
            <w:pPr>
              <w:keepLines/>
              <w:widowControl w:val="0"/>
              <w:shd w:val="clear" w:color="auto" w:fill="FFFFFF" w:themeFill="background1"/>
              <w:spacing w:line="276" w:lineRule="auto"/>
              <w:ind w:left="284"/>
              <w:rPr>
                <w:rFonts w:eastAsia="Times New Roman"/>
                <w:bCs/>
                <w:color w:val="auto"/>
                <w:szCs w:val="24"/>
              </w:rPr>
            </w:pPr>
            <w:r w:rsidRPr="00AD7E7D">
              <w:rPr>
                <w:rFonts w:eastAsia="Times New Roman"/>
                <w:bCs/>
                <w:color w:val="auto"/>
                <w:szCs w:val="24"/>
              </w:rPr>
              <w:t>Остали порески приходи</w:t>
            </w:r>
          </w:p>
        </w:tc>
        <w:tc>
          <w:tcPr>
            <w:tcW w:w="605" w:type="pct"/>
            <w:shd w:val="clear" w:color="auto" w:fill="FFFFFF" w:themeFill="background1"/>
          </w:tcPr>
          <w:p w14:paraId="128A8F43"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1,2</w:t>
            </w:r>
          </w:p>
        </w:tc>
        <w:tc>
          <w:tcPr>
            <w:tcW w:w="606" w:type="pct"/>
            <w:shd w:val="clear" w:color="auto" w:fill="FFFFFF" w:themeFill="background1"/>
            <w:noWrap/>
          </w:tcPr>
          <w:p w14:paraId="68A6C498"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1,2</w:t>
            </w:r>
          </w:p>
        </w:tc>
        <w:tc>
          <w:tcPr>
            <w:tcW w:w="581" w:type="pct"/>
            <w:shd w:val="clear" w:color="auto" w:fill="FFFFFF" w:themeFill="background1"/>
            <w:noWrap/>
          </w:tcPr>
          <w:p w14:paraId="60D0F174"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1,2</w:t>
            </w:r>
          </w:p>
        </w:tc>
        <w:tc>
          <w:tcPr>
            <w:tcW w:w="582" w:type="pct"/>
            <w:shd w:val="clear" w:color="auto" w:fill="FFFFFF" w:themeFill="background1"/>
            <w:noWrap/>
          </w:tcPr>
          <w:p w14:paraId="4ACBE11B"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1,1</w:t>
            </w:r>
          </w:p>
        </w:tc>
        <w:tc>
          <w:tcPr>
            <w:tcW w:w="583" w:type="pct"/>
            <w:shd w:val="clear" w:color="auto" w:fill="FFFFFF" w:themeFill="background1"/>
            <w:noWrap/>
          </w:tcPr>
          <w:p w14:paraId="0A87AD37"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1,1</w:t>
            </w:r>
          </w:p>
        </w:tc>
      </w:tr>
      <w:tr w:rsidR="006D0778" w:rsidRPr="00AD7E7D" w14:paraId="0F74B065" w14:textId="77777777" w:rsidTr="00D2109C">
        <w:trPr>
          <w:trHeight w:hRule="exact" w:val="284"/>
        </w:trPr>
        <w:tc>
          <w:tcPr>
            <w:tcW w:w="2043" w:type="pct"/>
            <w:shd w:val="clear" w:color="auto" w:fill="FFFFFF" w:themeFill="background1"/>
          </w:tcPr>
          <w:p w14:paraId="120A21CC" w14:textId="77777777" w:rsidR="006D0778" w:rsidRPr="00AD7E7D" w:rsidRDefault="006D0778" w:rsidP="006D0778">
            <w:pPr>
              <w:keepLines/>
              <w:widowControl w:val="0"/>
              <w:shd w:val="clear" w:color="auto" w:fill="FFFFFF" w:themeFill="background1"/>
              <w:spacing w:line="276" w:lineRule="auto"/>
              <w:ind w:left="284"/>
              <w:rPr>
                <w:rFonts w:eastAsia="Times New Roman"/>
                <w:bCs/>
                <w:color w:val="auto"/>
                <w:szCs w:val="24"/>
              </w:rPr>
            </w:pPr>
            <w:r w:rsidRPr="00AD7E7D">
              <w:rPr>
                <w:rFonts w:eastAsia="Times New Roman"/>
                <w:bCs/>
                <w:color w:val="auto"/>
                <w:szCs w:val="24"/>
              </w:rPr>
              <w:t>Доприноси</w:t>
            </w:r>
          </w:p>
        </w:tc>
        <w:tc>
          <w:tcPr>
            <w:tcW w:w="605" w:type="pct"/>
            <w:shd w:val="clear" w:color="auto" w:fill="FFFFFF" w:themeFill="background1"/>
          </w:tcPr>
          <w:p w14:paraId="29BF456F"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12,0</w:t>
            </w:r>
          </w:p>
        </w:tc>
        <w:tc>
          <w:tcPr>
            <w:tcW w:w="606" w:type="pct"/>
            <w:shd w:val="clear" w:color="auto" w:fill="FFFFFF" w:themeFill="background1"/>
            <w:noWrap/>
          </w:tcPr>
          <w:p w14:paraId="29D78140"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12,7</w:t>
            </w:r>
          </w:p>
        </w:tc>
        <w:tc>
          <w:tcPr>
            <w:tcW w:w="581" w:type="pct"/>
            <w:shd w:val="clear" w:color="auto" w:fill="FFFFFF" w:themeFill="background1"/>
            <w:noWrap/>
          </w:tcPr>
          <w:p w14:paraId="4B864A7E"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13,0</w:t>
            </w:r>
          </w:p>
        </w:tc>
        <w:tc>
          <w:tcPr>
            <w:tcW w:w="582" w:type="pct"/>
            <w:shd w:val="clear" w:color="auto" w:fill="FFFFFF" w:themeFill="background1"/>
            <w:noWrap/>
          </w:tcPr>
          <w:p w14:paraId="79E4A03B"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13,2</w:t>
            </w:r>
          </w:p>
        </w:tc>
        <w:tc>
          <w:tcPr>
            <w:tcW w:w="583" w:type="pct"/>
            <w:shd w:val="clear" w:color="auto" w:fill="FFFFFF" w:themeFill="background1"/>
            <w:noWrap/>
          </w:tcPr>
          <w:p w14:paraId="52E3FD2E"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13,4</w:t>
            </w:r>
          </w:p>
        </w:tc>
      </w:tr>
      <w:tr w:rsidR="006D0778" w:rsidRPr="00AD7E7D" w14:paraId="14A96016" w14:textId="77777777" w:rsidTr="00D2109C">
        <w:trPr>
          <w:cnfStyle w:val="000000100000" w:firstRow="0" w:lastRow="0" w:firstColumn="0" w:lastColumn="0" w:oddVBand="0" w:evenVBand="0" w:oddHBand="1" w:evenHBand="0" w:firstRowFirstColumn="0" w:firstRowLastColumn="0" w:lastRowFirstColumn="0" w:lastRowLastColumn="0"/>
          <w:trHeight w:hRule="exact" w:val="284"/>
        </w:trPr>
        <w:tc>
          <w:tcPr>
            <w:tcW w:w="2043" w:type="pct"/>
            <w:shd w:val="clear" w:color="auto" w:fill="FFFFFF" w:themeFill="background1"/>
          </w:tcPr>
          <w:p w14:paraId="0A9FCEA3" w14:textId="77777777" w:rsidR="006D0778" w:rsidRPr="00AD7E7D" w:rsidRDefault="006D0778" w:rsidP="006D0778">
            <w:pPr>
              <w:keepLines/>
              <w:widowControl w:val="0"/>
              <w:shd w:val="clear" w:color="auto" w:fill="FFFFFF" w:themeFill="background1"/>
              <w:spacing w:line="276" w:lineRule="auto"/>
              <w:rPr>
                <w:rFonts w:eastAsia="Times New Roman"/>
                <w:bCs/>
                <w:color w:val="auto"/>
                <w:szCs w:val="24"/>
              </w:rPr>
            </w:pPr>
            <w:r w:rsidRPr="00AD7E7D">
              <w:rPr>
                <w:rFonts w:eastAsia="Times New Roman"/>
                <w:bCs/>
                <w:color w:val="auto"/>
                <w:szCs w:val="24"/>
              </w:rPr>
              <w:t xml:space="preserve"> Непорески приходи</w:t>
            </w:r>
          </w:p>
        </w:tc>
        <w:tc>
          <w:tcPr>
            <w:tcW w:w="605" w:type="pct"/>
            <w:shd w:val="clear" w:color="auto" w:fill="FFFFFF" w:themeFill="background1"/>
          </w:tcPr>
          <w:p w14:paraId="2FC702AE"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4,0</w:t>
            </w:r>
          </w:p>
        </w:tc>
        <w:tc>
          <w:tcPr>
            <w:tcW w:w="606" w:type="pct"/>
            <w:shd w:val="clear" w:color="auto" w:fill="FFFFFF" w:themeFill="background1"/>
            <w:noWrap/>
          </w:tcPr>
          <w:p w14:paraId="00BEA149"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4,2</w:t>
            </w:r>
          </w:p>
        </w:tc>
        <w:tc>
          <w:tcPr>
            <w:tcW w:w="581" w:type="pct"/>
            <w:shd w:val="clear" w:color="auto" w:fill="FFFFFF" w:themeFill="background1"/>
            <w:noWrap/>
          </w:tcPr>
          <w:p w14:paraId="2C3E195B"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4,6</w:t>
            </w:r>
          </w:p>
        </w:tc>
        <w:tc>
          <w:tcPr>
            <w:tcW w:w="582" w:type="pct"/>
            <w:shd w:val="clear" w:color="auto" w:fill="FFFFFF" w:themeFill="background1"/>
            <w:noWrap/>
          </w:tcPr>
          <w:p w14:paraId="655F7580"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4,1</w:t>
            </w:r>
          </w:p>
        </w:tc>
        <w:tc>
          <w:tcPr>
            <w:tcW w:w="583" w:type="pct"/>
            <w:shd w:val="clear" w:color="auto" w:fill="FFFFFF" w:themeFill="background1"/>
            <w:noWrap/>
          </w:tcPr>
          <w:p w14:paraId="1A2B92BF"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3,8</w:t>
            </w:r>
          </w:p>
        </w:tc>
      </w:tr>
      <w:tr w:rsidR="006D0778" w:rsidRPr="00AD7E7D" w14:paraId="42115485" w14:textId="77777777" w:rsidTr="00D2109C">
        <w:trPr>
          <w:trHeight w:hRule="exact" w:val="284"/>
        </w:trPr>
        <w:tc>
          <w:tcPr>
            <w:tcW w:w="2043" w:type="pct"/>
            <w:tcBorders>
              <w:bottom w:val="single" w:sz="4" w:space="0" w:color="auto"/>
            </w:tcBorders>
            <w:shd w:val="clear" w:color="auto" w:fill="FFFFFF" w:themeFill="background1"/>
          </w:tcPr>
          <w:p w14:paraId="40D7F665" w14:textId="77777777" w:rsidR="006D0778" w:rsidRPr="00AD7E7D" w:rsidRDefault="006D0778" w:rsidP="006D0778">
            <w:pPr>
              <w:keepLines/>
              <w:widowControl w:val="0"/>
              <w:shd w:val="clear" w:color="auto" w:fill="FFFFFF" w:themeFill="background1"/>
              <w:spacing w:line="276" w:lineRule="auto"/>
              <w:rPr>
                <w:rFonts w:eastAsia="Times New Roman"/>
                <w:bCs/>
                <w:color w:val="auto"/>
                <w:szCs w:val="24"/>
              </w:rPr>
            </w:pPr>
            <w:r w:rsidRPr="00AD7E7D">
              <w:rPr>
                <w:rFonts w:eastAsia="Times New Roman"/>
                <w:bCs/>
                <w:color w:val="auto"/>
                <w:szCs w:val="24"/>
              </w:rPr>
              <w:t>Донације</w:t>
            </w:r>
          </w:p>
        </w:tc>
        <w:tc>
          <w:tcPr>
            <w:tcW w:w="605" w:type="pct"/>
            <w:tcBorders>
              <w:bottom w:val="single" w:sz="4" w:space="0" w:color="auto"/>
            </w:tcBorders>
            <w:shd w:val="clear" w:color="auto" w:fill="FFFFFF" w:themeFill="background1"/>
          </w:tcPr>
          <w:p w14:paraId="381468B1"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0,5</w:t>
            </w:r>
          </w:p>
        </w:tc>
        <w:tc>
          <w:tcPr>
            <w:tcW w:w="606" w:type="pct"/>
            <w:tcBorders>
              <w:bottom w:val="single" w:sz="4" w:space="0" w:color="auto"/>
            </w:tcBorders>
            <w:shd w:val="clear" w:color="auto" w:fill="FFFFFF" w:themeFill="background1"/>
            <w:noWrap/>
          </w:tcPr>
          <w:p w14:paraId="02012CA4"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0,4</w:t>
            </w:r>
          </w:p>
        </w:tc>
        <w:tc>
          <w:tcPr>
            <w:tcW w:w="581" w:type="pct"/>
            <w:tcBorders>
              <w:bottom w:val="single" w:sz="4" w:space="0" w:color="auto"/>
            </w:tcBorders>
            <w:shd w:val="clear" w:color="auto" w:fill="FFFFFF" w:themeFill="background1"/>
            <w:noWrap/>
          </w:tcPr>
          <w:p w14:paraId="021A36FF"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0,4</w:t>
            </w:r>
          </w:p>
        </w:tc>
        <w:tc>
          <w:tcPr>
            <w:tcW w:w="582" w:type="pct"/>
            <w:tcBorders>
              <w:bottom w:val="single" w:sz="4" w:space="0" w:color="auto"/>
            </w:tcBorders>
            <w:shd w:val="clear" w:color="auto" w:fill="FFFFFF" w:themeFill="background1"/>
            <w:noWrap/>
          </w:tcPr>
          <w:p w14:paraId="42BC7695"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0,4</w:t>
            </w:r>
          </w:p>
        </w:tc>
        <w:tc>
          <w:tcPr>
            <w:tcW w:w="583" w:type="pct"/>
            <w:tcBorders>
              <w:bottom w:val="single" w:sz="4" w:space="0" w:color="auto"/>
            </w:tcBorders>
            <w:shd w:val="clear" w:color="auto" w:fill="FFFFFF" w:themeFill="background1"/>
            <w:noWrap/>
          </w:tcPr>
          <w:p w14:paraId="531E0777"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0,3</w:t>
            </w:r>
          </w:p>
        </w:tc>
      </w:tr>
    </w:tbl>
    <w:p w14:paraId="2DE4488F" w14:textId="77777777" w:rsidR="006D0778" w:rsidRPr="00BF5A92" w:rsidRDefault="006D0778" w:rsidP="00010E52">
      <w:pPr>
        <w:spacing w:before="40" w:after="180"/>
        <w:rPr>
          <w:rFonts w:cs="Times New Roman"/>
          <w:sz w:val="22"/>
          <w:szCs w:val="24"/>
          <w:lang w:val="sr-Cyrl-RS" w:eastAsia="ja-JP"/>
        </w:rPr>
      </w:pPr>
      <w:r w:rsidRPr="00BF5A92">
        <w:rPr>
          <w:rFonts w:cs="Times New Roman"/>
          <w:bCs/>
          <w:sz w:val="22"/>
          <w:szCs w:val="24"/>
          <w:lang w:val="sr-Cyrl-RS" w:eastAsia="ja-JP"/>
        </w:rPr>
        <w:t xml:space="preserve">Извор: </w:t>
      </w:r>
      <w:r w:rsidRPr="00BF5A92">
        <w:rPr>
          <w:rFonts w:cs="Times New Roman"/>
          <w:sz w:val="22"/>
          <w:szCs w:val="24"/>
          <w:lang w:val="sr-Cyrl-RS" w:eastAsia="ja-JP"/>
        </w:rPr>
        <w:t>Министарство финансија</w:t>
      </w:r>
    </w:p>
    <w:p w14:paraId="29C0726A" w14:textId="77777777" w:rsidR="006D0778" w:rsidRPr="00AD7E7D" w:rsidRDefault="006D0778" w:rsidP="006D0778">
      <w:pPr>
        <w:rPr>
          <w:rFonts w:eastAsia="MS PGothic" w:cs="Times New Roman"/>
          <w:szCs w:val="24"/>
          <w:lang w:eastAsia="ja-JP"/>
        </w:rPr>
      </w:pPr>
      <w:r w:rsidRPr="00AD7E7D">
        <w:rPr>
          <w:rFonts w:eastAsia="MS PGothic" w:cs="Times New Roman"/>
          <w:szCs w:val="24"/>
          <w:lang w:eastAsia="ja-JP"/>
        </w:rPr>
        <w:lastRenderedPageBreak/>
        <w:t>Благо опадајући тренд укупних јавних прихода у посматраном периоду, у смислу учешћа у БДП, је очекиван с обзиром на пројектовану структуру средњорочног раста српске привреде. Пројекција пореских прихода подразумева одржавање постојећег степена наплате.</w:t>
      </w:r>
    </w:p>
    <w:p w14:paraId="56F20587" w14:textId="77777777" w:rsidR="006D0778" w:rsidRPr="00AD7E7D" w:rsidRDefault="006D0778" w:rsidP="006D0778">
      <w:pPr>
        <w:rPr>
          <w:rFonts w:eastAsia="MS PGothic" w:cs="Times New Roman"/>
          <w:szCs w:val="24"/>
          <w:lang w:eastAsia="ja-JP"/>
        </w:rPr>
      </w:pPr>
      <w:r w:rsidRPr="00AD7E7D">
        <w:rPr>
          <w:rFonts w:eastAsia="MS PGothic" w:cs="Times New Roman"/>
          <w:szCs w:val="24"/>
          <w:lang w:eastAsia="ja-JP"/>
        </w:rPr>
        <w:t xml:space="preserve">Преовлађујући облик пореза на доходак је порез на зараде, тако да су кретање масе зарада и запослености главни фактори који утичу на кретање овог пореског облика. С обзиром да се очекује бржи раст ове две компоненте од номиналног раста БДП очекује се благи пораст учешћа пореза на доходак у БДП. </w:t>
      </w:r>
    </w:p>
    <w:p w14:paraId="1DCAEEA7" w14:textId="77777777" w:rsidR="006D0778" w:rsidRPr="00AD7E7D" w:rsidRDefault="006D0778" w:rsidP="006D0778">
      <w:pPr>
        <w:rPr>
          <w:rFonts w:eastAsia="MS PGothic" w:cs="Times New Roman"/>
          <w:szCs w:val="24"/>
          <w:lang w:eastAsia="ja-JP"/>
        </w:rPr>
      </w:pPr>
      <w:r w:rsidRPr="00AD7E7D">
        <w:rPr>
          <w:rFonts w:eastAsia="MS PGothic" w:cs="Times New Roman"/>
          <w:szCs w:val="24"/>
          <w:lang w:eastAsia="ja-JP"/>
        </w:rPr>
        <w:t>На кретање пореза на зараде две мере ће утицати на два различита начина. Повећање минималне зараде од 13,7% ће повећати ниво зарада, те приход од пореза на зараде. Са друге стране повећање неопорезивог цензуса, такође за 13,7%, ће имати негативан ефекат у износу од 10,1 млрд динара на приходе од пореза на зараде. Укупан ефекат на наплату прихода се процењује на 14,5 млрд динара, при чему је 4,4 млрд динара губитак наплате доприноса.</w:t>
      </w:r>
    </w:p>
    <w:p w14:paraId="0D3231A5" w14:textId="77777777" w:rsidR="006D0778" w:rsidRPr="00AD7E7D" w:rsidRDefault="006D0778" w:rsidP="006D0778">
      <w:pPr>
        <w:rPr>
          <w:rFonts w:eastAsia="MS PGothic" w:cs="Times New Roman"/>
          <w:szCs w:val="24"/>
          <w:lang w:eastAsia="ja-JP"/>
        </w:rPr>
      </w:pPr>
      <w:r w:rsidRPr="00AD7E7D">
        <w:rPr>
          <w:rFonts w:eastAsia="MS PGothic" w:cs="Times New Roman"/>
          <w:szCs w:val="24"/>
          <w:lang w:eastAsia="ja-JP"/>
        </w:rPr>
        <w:t>Остали облици пореза на доходак (порез на дивиденде, порез на приходе од камата, годишњи порез на доходак, итд.) ће расти спорије, то јест у складу са кретањем опште економске активности.</w:t>
      </w:r>
    </w:p>
    <w:p w14:paraId="59A74A87" w14:textId="77777777" w:rsidR="006D0778" w:rsidRPr="00AD7E7D" w:rsidRDefault="006D0778" w:rsidP="006D0778">
      <w:pPr>
        <w:rPr>
          <w:rFonts w:eastAsia="MS PGothic" w:cs="Times New Roman"/>
          <w:szCs w:val="24"/>
          <w:lang w:eastAsia="ja-JP"/>
        </w:rPr>
      </w:pPr>
      <w:r w:rsidRPr="00AD7E7D">
        <w:rPr>
          <w:rFonts w:eastAsia="MS PGothic" w:cs="Times New Roman"/>
          <w:szCs w:val="24"/>
          <w:lang w:eastAsia="ja-JP"/>
        </w:rPr>
        <w:t>Кретање учешћа доприноса у БДП има сличну путању као и кретање учешћа пореза на зараде, с обзиром да су за њихову пројекцију коришћене исте претпоставке о кретању зарада и запослености. С обзиром на очекивано брже кретање масе зарада, и последично пореза и доприноса на зараде, у односу на номинални БДП, предвиђа се раст нивоа доприноса у односу на БДП. У пројекције је узет у обзир и губитак због повећања неопорезивог цензуса.</w:t>
      </w:r>
    </w:p>
    <w:p w14:paraId="01E2F0BE" w14:textId="77777777" w:rsidR="006D0778" w:rsidRPr="00AD7E7D" w:rsidRDefault="006D0778" w:rsidP="006D0778">
      <w:pPr>
        <w:rPr>
          <w:rFonts w:eastAsia="MS PGothic" w:cs="Times New Roman"/>
          <w:szCs w:val="24"/>
          <w:lang w:eastAsia="ja-JP"/>
        </w:rPr>
      </w:pPr>
      <w:r w:rsidRPr="00AD7E7D">
        <w:rPr>
          <w:rFonts w:eastAsia="MS PGothic" w:cs="Times New Roman"/>
          <w:szCs w:val="24"/>
          <w:lang w:eastAsia="ja-JP"/>
        </w:rPr>
        <w:t>Приходи од пореза на добит правних лица у периоду 2025–2027. године зависиће од путање привредног раста, релативне стабилности курса динара и опште профитабилности привреде. Процена прихода по овом основу је неизвесна како због економских фактора, тако и због могућности коришћења пореског кредита или повраћаја, као и разлика између рачуноводствених и пореских биланса. Очекује се да се у периоду до 2027. године наплата пореза на добит стабилизује у складу са кретањем БДП.</w:t>
      </w:r>
    </w:p>
    <w:p w14:paraId="7A3A5860" w14:textId="77777777" w:rsidR="006D0778" w:rsidRPr="00AD7E7D" w:rsidRDefault="006D0778" w:rsidP="006D0778">
      <w:pPr>
        <w:rPr>
          <w:rFonts w:eastAsia="MS PGothic" w:cs="Times New Roman"/>
          <w:szCs w:val="24"/>
          <w:lang w:eastAsia="ja-JP"/>
        </w:rPr>
      </w:pPr>
      <w:r w:rsidRPr="00AD7E7D">
        <w:rPr>
          <w:rFonts w:eastAsia="MS PGothic" w:cs="Times New Roman"/>
          <w:szCs w:val="24"/>
          <w:lang w:eastAsia="ja-JP"/>
        </w:rPr>
        <w:t>Главна детерминанта кретања ПДВ је домаћа тражња вођена расположивим дохотком становништва. Расположиви доходак као највећа детерминанта потрошње зависи од кретања зарада, пензија, социјалне помоћи и осталих облика доходака, укључујући и дознаке, као и од динамике кредитне активности банака према становништву.</w:t>
      </w:r>
    </w:p>
    <w:p w14:paraId="2B5D534A" w14:textId="77777777" w:rsidR="006D0778" w:rsidRPr="00AD7E7D" w:rsidRDefault="006D0778" w:rsidP="006D0778">
      <w:pPr>
        <w:rPr>
          <w:rFonts w:eastAsia="MS PGothic" w:cs="Times New Roman"/>
          <w:szCs w:val="24"/>
          <w:lang w:eastAsia="ja-JP"/>
        </w:rPr>
      </w:pPr>
      <w:r w:rsidRPr="00AD7E7D">
        <w:rPr>
          <w:rFonts w:eastAsia="MS PGothic" w:cs="Times New Roman"/>
          <w:szCs w:val="24"/>
          <w:lang w:eastAsia="ja-JP"/>
        </w:rPr>
        <w:t>Као и код пореза на доходак грађана, ризици за остварење пројекције ПДВ у наредном периоду, поред опште неизвесности међународног економског окружења, односе се и на кретање зарада у приватном сектору, раст привредне активности, као и на степен сиве економије, односно ефикасност у њеном смањењу.</w:t>
      </w:r>
    </w:p>
    <w:p w14:paraId="36510464" w14:textId="77777777" w:rsidR="006D0778" w:rsidRPr="00AD7E7D" w:rsidRDefault="006D0778" w:rsidP="006D0778">
      <w:pPr>
        <w:rPr>
          <w:rFonts w:eastAsia="MS PGothic" w:cs="Times New Roman"/>
          <w:szCs w:val="24"/>
          <w:lang w:eastAsia="ja-JP"/>
        </w:rPr>
      </w:pPr>
      <w:r w:rsidRPr="00AD7E7D">
        <w:rPr>
          <w:rFonts w:eastAsia="MS PGothic" w:cs="Times New Roman"/>
          <w:szCs w:val="24"/>
          <w:lang w:eastAsia="ja-JP"/>
        </w:rPr>
        <w:t>Подизање ефикасности наплате и контроле пореских обвезника ће бити настављено у наредном периоду, с тим што ефекти борбе против сиве економије нису експлицитно укључени у средњорочну пројекцију јавних прихода. У овом сегменту простор за даља побољшања створиће се јачањем и модернизацијом пореске администрације.</w:t>
      </w:r>
    </w:p>
    <w:p w14:paraId="5D22473E" w14:textId="77777777" w:rsidR="006D0778" w:rsidRPr="00AD7E7D" w:rsidRDefault="006D0778" w:rsidP="006D0778">
      <w:pPr>
        <w:rPr>
          <w:rFonts w:eastAsia="MS PGothic" w:cs="Times New Roman"/>
          <w:szCs w:val="24"/>
          <w:lang w:eastAsia="ja-JP"/>
        </w:rPr>
      </w:pPr>
      <w:r w:rsidRPr="00AD7E7D">
        <w:rPr>
          <w:rFonts w:eastAsia="MS PGothic" w:cs="Times New Roman"/>
          <w:szCs w:val="24"/>
          <w:lang w:eastAsia="ja-JP"/>
        </w:rPr>
        <w:t xml:space="preserve">Пројекција прихода од акциза сачињена је на основу важеће акцизне политике и пројектоване потрошње акцизних производа. У октобру 2023. године је било ванредно повећање акциза од 8%, док је редовно усклађивање са растом потрошачких цена </w:t>
      </w:r>
      <w:r w:rsidRPr="00AD7E7D">
        <w:rPr>
          <w:rFonts w:eastAsia="MS PGothic" w:cs="Times New Roman"/>
          <w:szCs w:val="24"/>
          <w:lang w:eastAsia="ja-JP"/>
        </w:rPr>
        <w:lastRenderedPageBreak/>
        <w:t>примењено током маја 2024. године. У наредним годинама, услед опрезности, није претпостављен раст потрошње нафтних деривата.</w:t>
      </w:r>
    </w:p>
    <w:p w14:paraId="07140A57" w14:textId="77777777" w:rsidR="006D0778" w:rsidRPr="00AD7E7D" w:rsidRDefault="006D0778" w:rsidP="006D0778">
      <w:pPr>
        <w:rPr>
          <w:rFonts w:eastAsia="MS PGothic" w:cs="Times New Roman"/>
          <w:szCs w:val="24"/>
          <w:lang w:eastAsia="ja-JP"/>
        </w:rPr>
      </w:pPr>
      <w:r w:rsidRPr="00AD7E7D">
        <w:rPr>
          <w:rFonts w:eastAsia="MS PGothic" w:cs="Times New Roman"/>
          <w:szCs w:val="24"/>
          <w:lang w:eastAsia="ja-JP"/>
        </w:rPr>
        <w:t xml:space="preserve">У оквиру акцизне политике код дуванских производа </w:t>
      </w:r>
      <w:r w:rsidRPr="00AD7E7D">
        <w:rPr>
          <w:rFonts w:eastAsia="MS PGothic" w:cs="Times New Roman"/>
          <w:szCs w:val="24"/>
          <w:lang w:val="sr-Cyrl-RS" w:eastAsia="ja-JP"/>
        </w:rPr>
        <w:t>је</w:t>
      </w:r>
      <w:r w:rsidRPr="00AD7E7D">
        <w:rPr>
          <w:rFonts w:eastAsia="MS PGothic" w:cs="Times New Roman"/>
          <w:szCs w:val="24"/>
          <w:lang w:eastAsia="ja-JP"/>
        </w:rPr>
        <w:t>, услед опрезности, предвиђен даљи очекивани пад тржишта дуванских производа.</w:t>
      </w:r>
    </w:p>
    <w:p w14:paraId="26DD65E7" w14:textId="77777777" w:rsidR="006D0778" w:rsidRPr="00AD7E7D" w:rsidRDefault="006D0778" w:rsidP="006D0778">
      <w:pPr>
        <w:rPr>
          <w:rFonts w:eastAsia="MS PGothic" w:cs="Times New Roman"/>
          <w:szCs w:val="24"/>
          <w:lang w:eastAsia="ja-JP"/>
        </w:rPr>
      </w:pPr>
      <w:r w:rsidRPr="00AD7E7D">
        <w:rPr>
          <w:rFonts w:eastAsia="MS PGothic" w:cs="Times New Roman"/>
          <w:szCs w:val="24"/>
          <w:lang w:eastAsia="ja-JP"/>
        </w:rPr>
        <w:t>Приходи од акциза на алкохолна пића, кафу и електричну енергију су пројектовани у складу са постојећом структуром потрошње и актуелном акцизном политиком, а од 2026. године предвиђено је увођење акцизе на природни гас који се користи за грејање и погон моторних возила.</w:t>
      </w:r>
    </w:p>
    <w:p w14:paraId="169B0E89" w14:textId="77777777" w:rsidR="006D0778" w:rsidRPr="00AD7E7D" w:rsidRDefault="006D0778" w:rsidP="006D0778">
      <w:pPr>
        <w:rPr>
          <w:rFonts w:eastAsia="MS PGothic" w:cs="Times New Roman"/>
          <w:szCs w:val="24"/>
          <w:lang w:eastAsia="ja-JP"/>
        </w:rPr>
      </w:pPr>
      <w:r w:rsidRPr="00AD7E7D">
        <w:rPr>
          <w:rFonts w:eastAsia="MS PGothic" w:cs="Times New Roman"/>
          <w:szCs w:val="24"/>
          <w:lang w:eastAsia="ja-JP"/>
        </w:rPr>
        <w:t>Приходи од царина ће се стабилизовати на нивоу од 0,9% БДП у наредном периоду, а пројектовани су у складу са очекиваним кретањем увоза, девизног курса и потрошње.</w:t>
      </w:r>
    </w:p>
    <w:p w14:paraId="55895969" w14:textId="77777777" w:rsidR="006D0778" w:rsidRPr="00AD7E7D" w:rsidRDefault="006D0778" w:rsidP="006D0778">
      <w:pPr>
        <w:rPr>
          <w:rFonts w:eastAsia="MS PGothic" w:cs="Times New Roman"/>
          <w:szCs w:val="24"/>
          <w:lang w:eastAsia="ja-JP"/>
        </w:rPr>
      </w:pPr>
      <w:r w:rsidRPr="00AD7E7D">
        <w:rPr>
          <w:rFonts w:eastAsia="MS PGothic" w:cs="Times New Roman"/>
          <w:szCs w:val="24"/>
          <w:lang w:eastAsia="ja-JP"/>
        </w:rPr>
        <w:t>Пројектује се стабилизација учешћа у БДП осталих пореских прихода. Најзначајнији порески приход у овој категорији је порез на имовину чије учешће износи око 70%. Номинално повећање овог прихода може се очекивати по основу проширења основице. Повећање степена наплате, кроз повећање обухвата непокретности на које се порез плаћа (то јест по основу проширења пореске базе), није укључено у пројекције у средњем року и представља позитиван ризик. Поред пореза на имовину, у остале пореске приходе укључују се и порези на употребу, држање и ношење добара, те други облици пореза на локалном нивоу. Они су пројектовани у складу са кретањем инфлације, будући да је инфлаторна компонента уграђена у значајан део ових пореских облика.</w:t>
      </w:r>
    </w:p>
    <w:p w14:paraId="11380177" w14:textId="77777777" w:rsidR="006D0778" w:rsidRPr="00AD7E7D" w:rsidRDefault="006D0778" w:rsidP="006D0778">
      <w:pPr>
        <w:rPr>
          <w:rFonts w:eastAsia="MS PGothic" w:cs="Times New Roman"/>
          <w:szCs w:val="24"/>
          <w:lang w:eastAsia="ja-JP"/>
        </w:rPr>
      </w:pPr>
      <w:r w:rsidRPr="00AD7E7D">
        <w:rPr>
          <w:rFonts w:eastAsia="MS PGothic" w:cs="Times New Roman"/>
          <w:szCs w:val="24"/>
          <w:lang w:eastAsia="ja-JP"/>
        </w:rPr>
        <w:t>Скок непореских прихода у 2025. години резултат је очекиваних прихода по основу аукције лиценци за 5G технологију. Аукција би требало да се одржи т</w:t>
      </w:r>
      <w:r w:rsidR="002B1F9D" w:rsidRPr="00AD7E7D">
        <w:rPr>
          <w:rFonts w:eastAsia="MS PGothic" w:cs="Times New Roman"/>
          <w:szCs w:val="24"/>
          <w:lang w:eastAsia="ja-JP"/>
        </w:rPr>
        <w:t>оком 2025. године, а након тога</w:t>
      </w:r>
      <w:r w:rsidRPr="00AD7E7D">
        <w:rPr>
          <w:rFonts w:eastAsia="MS PGothic" w:cs="Times New Roman"/>
          <w:szCs w:val="24"/>
          <w:lang w:eastAsia="ja-JP"/>
        </w:rPr>
        <w:t xml:space="preserve"> се очекује</w:t>
      </w:r>
      <w:r w:rsidR="00CF6476" w:rsidRPr="00AD7E7D">
        <w:rPr>
          <w:rFonts w:eastAsia="MS PGothic" w:cs="Times New Roman"/>
          <w:szCs w:val="24"/>
          <w:lang w:eastAsia="ja-JP"/>
        </w:rPr>
        <w:t xml:space="preserve"> </w:t>
      </w:r>
      <w:r w:rsidRPr="00AD7E7D">
        <w:rPr>
          <w:rFonts w:eastAsia="MS PGothic" w:cs="Times New Roman"/>
          <w:szCs w:val="24"/>
          <w:lang w:eastAsia="ja-JP"/>
        </w:rPr>
        <w:t>смањење учешћа непореских прихода у БДП на 3,8% колико ће износити</w:t>
      </w:r>
      <w:r w:rsidR="00CF6476" w:rsidRPr="00AD7E7D">
        <w:rPr>
          <w:rFonts w:eastAsia="MS PGothic" w:cs="Times New Roman"/>
          <w:szCs w:val="24"/>
          <w:lang w:eastAsia="ja-JP"/>
        </w:rPr>
        <w:t xml:space="preserve"> </w:t>
      </w:r>
      <w:r w:rsidRPr="00AD7E7D">
        <w:rPr>
          <w:rFonts w:eastAsia="MS PGothic" w:cs="Times New Roman"/>
          <w:szCs w:val="24"/>
          <w:lang w:eastAsia="ja-JP"/>
        </w:rPr>
        <w:t xml:space="preserve">и у 2027. години. Разлог за смањење пројектованог учешћа непореских прихода у БДП је и искључивање из базне године свих оних прихода који се не сматрају структурним тј. трајним, првенствено ванредних непореских прихода. Сопствени приходи индиректних корисника који се први пут укључују у обухват сектора државе у 2025. години надоместиће искључивања једног дела ванредних (не-структурних) непореских прихода. </w:t>
      </w:r>
    </w:p>
    <w:p w14:paraId="2C9CF06C" w14:textId="77777777" w:rsidR="006D0778" w:rsidRPr="00AD7E7D" w:rsidRDefault="006D0778" w:rsidP="006D0778">
      <w:pPr>
        <w:rPr>
          <w:rFonts w:eastAsia="MS PGothic" w:cs="Times New Roman"/>
          <w:szCs w:val="24"/>
          <w:lang w:eastAsia="ja-JP"/>
        </w:rPr>
      </w:pPr>
      <w:r w:rsidRPr="00AD7E7D">
        <w:rPr>
          <w:rFonts w:eastAsia="MS PGothic" w:cs="Times New Roman"/>
          <w:szCs w:val="24"/>
          <w:lang w:eastAsia="ja-JP"/>
        </w:rPr>
        <w:t>Ванредни непорески приходи су углавном једнократни, у одређеној мери неизвесни, како по питању износа, тако и по питању тренутка уплате. Највећи део ових прихода представљају ванредне уплате добити јавних предузећа и агенција, дивиденде буџета, приходи по основу наплаћених потраживања АОД, емисионе премије, итд. Редовни непорески приходи обухватају различите таксе, накнаде, казне, приходе органа и организација и све остале приходе који се остварују устаљеном динамиком током године. Овај тип непореских прихода индексира се са оствареном инфлацијом у претходној години, или пак прати промену у вредности основице на коју се примењују, и услед тога се коригује пројектованом инфлацијом.</w:t>
      </w:r>
    </w:p>
    <w:p w14:paraId="1BC02FEF" w14:textId="77777777" w:rsidR="006D0778" w:rsidRPr="00AD7E7D" w:rsidRDefault="006D0778" w:rsidP="006D0778">
      <w:pPr>
        <w:rPr>
          <w:rFonts w:eastAsia="MS PGothic" w:cs="Times New Roman"/>
          <w:szCs w:val="24"/>
          <w:lang w:eastAsia="ja-JP"/>
        </w:rPr>
      </w:pPr>
      <w:r w:rsidRPr="00AD7E7D">
        <w:rPr>
          <w:rFonts w:eastAsia="MS PGothic" w:cs="Times New Roman"/>
          <w:szCs w:val="24"/>
          <w:lang w:eastAsia="ja-JP"/>
        </w:rPr>
        <w:t>Процесом приближавања државе чланству у ЕУ повећавају се расположива средства из ИПА и ИПАРД фондова која чине преовлађујући део прихода од донација. У пројектоване износе по основу донација укључена су и средства по основу секторске буџетске подршке ЕУ. Приходи по основу донација су неутрални у односу на резултат, с обзиром да су једнаки расходима по овом основу.</w:t>
      </w:r>
    </w:p>
    <w:p w14:paraId="36FBAF5A" w14:textId="77777777" w:rsidR="006D0778" w:rsidRPr="00AD7E7D" w:rsidRDefault="006D0778" w:rsidP="00BF5A92">
      <w:pPr>
        <w:rPr>
          <w:rFonts w:eastAsia="MS PGothic" w:cs="Times New Roman"/>
          <w:szCs w:val="24"/>
          <w:lang w:val="sr-Cyrl-RS" w:eastAsia="ja-JP"/>
        </w:rPr>
      </w:pPr>
      <w:r w:rsidRPr="00AD7E7D">
        <w:rPr>
          <w:rFonts w:eastAsia="MS PGothic" w:cs="Times New Roman"/>
          <w:szCs w:val="24"/>
          <w:lang w:eastAsia="ja-JP"/>
        </w:rPr>
        <w:t xml:space="preserve">Одговорном фискалном политиком у комбинацији са добрим макроекономским перформансама у протеклом периоду обезбеђено је релаксирање политике плата и пензија и значајно повећање капиталних инвестиција као битне компоненте развоја привреде. Посебна пажња је посвећена унапређењу ефикасности реализације капиталних инвестиција државе. Социјална компонента буџета је побољшана бољим </w:t>
      </w:r>
      <w:r w:rsidRPr="00AD7E7D">
        <w:rPr>
          <w:rFonts w:eastAsia="MS PGothic" w:cs="Times New Roman"/>
          <w:szCs w:val="24"/>
          <w:lang w:eastAsia="ja-JP"/>
        </w:rPr>
        <w:lastRenderedPageBreak/>
        <w:t xml:space="preserve">таргетирањем програма социјалне помоћи и већим издвајањем за функције здравства и образовања. Плате и пензије заједно чине преко </w:t>
      </w:r>
      <w:r w:rsidRPr="00AD7E7D">
        <w:rPr>
          <w:rFonts w:eastAsia="MS PGothic" w:cs="Times New Roman"/>
          <w:szCs w:val="24"/>
          <w:shd w:val="clear" w:color="auto" w:fill="FFFFFF" w:themeFill="background1"/>
          <w:lang w:eastAsia="ja-JP"/>
        </w:rPr>
        <w:t>40%</w:t>
      </w:r>
      <w:r w:rsidRPr="00AD7E7D">
        <w:rPr>
          <w:rFonts w:eastAsia="MS PGothic" w:cs="Times New Roman"/>
          <w:szCs w:val="24"/>
          <w:lang w:eastAsia="ja-JP"/>
        </w:rPr>
        <w:t xml:space="preserve"> расхода на нивоу сектора државе и њихова стабилизација је од пресудног значаја за одрживост јавних финансија.</w:t>
      </w:r>
    </w:p>
    <w:p w14:paraId="7082ED21" w14:textId="77777777" w:rsidR="006D0778" w:rsidRPr="00BF5A92" w:rsidRDefault="006D0778" w:rsidP="006D0778">
      <w:pPr>
        <w:rPr>
          <w:rFonts w:cs="Times New Roman"/>
          <w:i/>
          <w:szCs w:val="24"/>
          <w:lang w:val="sr-Cyrl-RS" w:eastAsia="ja-JP"/>
        </w:rPr>
      </w:pPr>
      <w:r w:rsidRPr="00BF5A92">
        <w:rPr>
          <w:rFonts w:cs="Times New Roman"/>
          <w:i/>
          <w:szCs w:val="24"/>
          <w:lang w:val="sr-Cyrl-RS" w:eastAsia="ja-JP"/>
        </w:rPr>
        <w:t>Табела 9. Укупни расходи у периоду 2023–2027. године, % БДП</w:t>
      </w:r>
    </w:p>
    <w:tbl>
      <w:tblPr>
        <w:tblStyle w:val="LightShading-Accent12214"/>
        <w:tblW w:w="4952" w:type="pct"/>
        <w:tblLook w:val="0420" w:firstRow="1" w:lastRow="0" w:firstColumn="0" w:lastColumn="0" w:noHBand="0" w:noVBand="1"/>
      </w:tblPr>
      <w:tblGrid>
        <w:gridCol w:w="3460"/>
        <w:gridCol w:w="1370"/>
        <w:gridCol w:w="1160"/>
        <w:gridCol w:w="982"/>
        <w:gridCol w:w="982"/>
        <w:gridCol w:w="985"/>
      </w:tblGrid>
      <w:tr w:rsidR="006D0778" w:rsidRPr="00AD7E7D" w14:paraId="47F1F0C0" w14:textId="77777777" w:rsidTr="00D2109C">
        <w:trPr>
          <w:cnfStyle w:val="100000000000" w:firstRow="1" w:lastRow="0" w:firstColumn="0" w:lastColumn="0" w:oddVBand="0" w:evenVBand="0" w:oddHBand="0" w:evenHBand="0" w:firstRowFirstColumn="0" w:firstRowLastColumn="0" w:lastRowFirstColumn="0" w:lastRowLastColumn="0"/>
          <w:trHeight w:hRule="exact" w:val="284"/>
          <w:tblHeader/>
        </w:trPr>
        <w:tc>
          <w:tcPr>
            <w:tcW w:w="1967" w:type="pct"/>
            <w:tcBorders>
              <w:top w:val="single" w:sz="4" w:space="0" w:color="002060"/>
              <w:bottom w:val="single" w:sz="4" w:space="0" w:color="002060"/>
            </w:tcBorders>
            <w:noWrap/>
            <w:vAlign w:val="center"/>
          </w:tcPr>
          <w:p w14:paraId="69CFF83B" w14:textId="77777777" w:rsidR="006D0778" w:rsidRPr="00AD7E7D" w:rsidRDefault="006D0778" w:rsidP="006D0778">
            <w:pPr>
              <w:widowControl w:val="0"/>
              <w:shd w:val="clear" w:color="auto" w:fill="FFFFFF" w:themeFill="background1"/>
              <w:spacing w:line="276" w:lineRule="auto"/>
              <w:rPr>
                <w:rFonts w:eastAsia="Times New Roman"/>
                <w:color w:val="auto"/>
                <w:szCs w:val="24"/>
              </w:rPr>
            </w:pPr>
            <w:r w:rsidRPr="00AD7E7D">
              <w:rPr>
                <w:color w:val="auto"/>
                <w:szCs w:val="24"/>
              </w:rPr>
              <w:t>Опис</w:t>
            </w:r>
          </w:p>
        </w:tc>
        <w:tc>
          <w:tcPr>
            <w:tcW w:w="644" w:type="pct"/>
            <w:tcBorders>
              <w:top w:val="single" w:sz="4" w:space="0" w:color="002060"/>
              <w:bottom w:val="single" w:sz="4" w:space="0" w:color="002060"/>
            </w:tcBorders>
            <w:vAlign w:val="center"/>
          </w:tcPr>
          <w:p w14:paraId="6A72E957" w14:textId="77777777" w:rsidR="006D0778" w:rsidRPr="00AD7E7D" w:rsidRDefault="006D0778" w:rsidP="006D0778">
            <w:pPr>
              <w:keepNext/>
              <w:widowControl w:val="0"/>
              <w:shd w:val="clear" w:color="auto" w:fill="FFFFFF" w:themeFill="background1"/>
              <w:spacing w:line="276" w:lineRule="auto"/>
              <w:jc w:val="right"/>
              <w:rPr>
                <w:rFonts w:eastAsia="Times New Roman"/>
                <w:color w:val="auto"/>
                <w:szCs w:val="24"/>
              </w:rPr>
            </w:pPr>
            <w:r w:rsidRPr="00AD7E7D">
              <w:rPr>
                <w:color w:val="auto"/>
                <w:szCs w:val="24"/>
              </w:rPr>
              <w:t>Извршење</w:t>
            </w:r>
          </w:p>
        </w:tc>
        <w:tc>
          <w:tcPr>
            <w:tcW w:w="644" w:type="pct"/>
            <w:tcBorders>
              <w:top w:val="single" w:sz="4" w:space="0" w:color="002060"/>
              <w:bottom w:val="single" w:sz="4" w:space="0" w:color="002060"/>
            </w:tcBorders>
            <w:vAlign w:val="center"/>
          </w:tcPr>
          <w:p w14:paraId="556E9CC0" w14:textId="77777777" w:rsidR="006D0778" w:rsidRPr="00AD7E7D" w:rsidRDefault="006D0778" w:rsidP="006D0778">
            <w:pPr>
              <w:keepNext/>
              <w:widowControl w:val="0"/>
              <w:shd w:val="clear" w:color="auto" w:fill="FFFFFF" w:themeFill="background1"/>
              <w:spacing w:line="276" w:lineRule="auto"/>
              <w:jc w:val="right"/>
              <w:rPr>
                <w:rFonts w:eastAsia="Times New Roman"/>
                <w:color w:val="auto"/>
                <w:szCs w:val="24"/>
              </w:rPr>
            </w:pPr>
            <w:r w:rsidRPr="00AD7E7D">
              <w:rPr>
                <w:color w:val="auto"/>
                <w:szCs w:val="24"/>
              </w:rPr>
              <w:t>Процена</w:t>
            </w:r>
          </w:p>
        </w:tc>
        <w:tc>
          <w:tcPr>
            <w:tcW w:w="1745" w:type="pct"/>
            <w:gridSpan w:val="3"/>
            <w:tcBorders>
              <w:top w:val="single" w:sz="4" w:space="0" w:color="002060"/>
              <w:bottom w:val="single" w:sz="4" w:space="0" w:color="002060"/>
            </w:tcBorders>
            <w:vAlign w:val="center"/>
          </w:tcPr>
          <w:p w14:paraId="0F804C0B" w14:textId="77777777" w:rsidR="006D0778" w:rsidRPr="00AD7E7D" w:rsidRDefault="006D0778" w:rsidP="006D0778">
            <w:pPr>
              <w:keepNext/>
              <w:widowControl w:val="0"/>
              <w:shd w:val="clear" w:color="auto" w:fill="FFFFFF" w:themeFill="background1"/>
              <w:spacing w:line="276" w:lineRule="auto"/>
              <w:jc w:val="center"/>
              <w:rPr>
                <w:rFonts w:eastAsia="Times New Roman"/>
                <w:color w:val="auto"/>
                <w:szCs w:val="24"/>
              </w:rPr>
            </w:pPr>
            <w:r w:rsidRPr="00AD7E7D">
              <w:rPr>
                <w:color w:val="auto"/>
                <w:szCs w:val="24"/>
              </w:rPr>
              <w:t>Пројекција</w:t>
            </w:r>
          </w:p>
        </w:tc>
      </w:tr>
      <w:tr w:rsidR="006D0778" w:rsidRPr="00AD7E7D" w14:paraId="102E192E" w14:textId="77777777" w:rsidTr="00D2109C">
        <w:trPr>
          <w:cnfStyle w:val="100000000000" w:firstRow="1" w:lastRow="0" w:firstColumn="0" w:lastColumn="0" w:oddVBand="0" w:evenVBand="0" w:oddHBand="0" w:evenHBand="0" w:firstRowFirstColumn="0" w:firstRowLastColumn="0" w:lastRowFirstColumn="0" w:lastRowLastColumn="0"/>
          <w:trHeight w:hRule="exact" w:val="284"/>
          <w:tblHeader/>
        </w:trPr>
        <w:tc>
          <w:tcPr>
            <w:tcW w:w="1967" w:type="pct"/>
            <w:tcBorders>
              <w:top w:val="single" w:sz="4" w:space="0" w:color="002060"/>
              <w:bottom w:val="nil"/>
            </w:tcBorders>
            <w:shd w:val="clear" w:color="auto" w:fill="FFFFFF" w:themeFill="background1"/>
            <w:noWrap/>
          </w:tcPr>
          <w:p w14:paraId="27ADDCC7" w14:textId="77777777" w:rsidR="006D0778" w:rsidRPr="00AD7E7D" w:rsidRDefault="006D0778" w:rsidP="006D0778">
            <w:pPr>
              <w:widowControl w:val="0"/>
              <w:shd w:val="clear" w:color="auto" w:fill="FFFFFF" w:themeFill="background1"/>
              <w:spacing w:line="276" w:lineRule="auto"/>
              <w:rPr>
                <w:rFonts w:eastAsia="Times New Roman"/>
                <w:color w:val="auto"/>
                <w:szCs w:val="24"/>
              </w:rPr>
            </w:pPr>
          </w:p>
        </w:tc>
        <w:tc>
          <w:tcPr>
            <w:tcW w:w="644" w:type="pct"/>
            <w:tcBorders>
              <w:top w:val="single" w:sz="4" w:space="0" w:color="002060"/>
              <w:bottom w:val="single" w:sz="4" w:space="0" w:color="002060"/>
            </w:tcBorders>
            <w:shd w:val="clear" w:color="auto" w:fill="FFFFFF" w:themeFill="background1"/>
          </w:tcPr>
          <w:p w14:paraId="53FB8EC4" w14:textId="77777777" w:rsidR="006D0778" w:rsidRPr="00AD7E7D" w:rsidRDefault="006D0778" w:rsidP="006D0778">
            <w:pPr>
              <w:keepNext/>
              <w:widowControl w:val="0"/>
              <w:shd w:val="clear" w:color="auto" w:fill="FFFFFF" w:themeFill="background1"/>
              <w:spacing w:line="276" w:lineRule="auto"/>
              <w:jc w:val="right"/>
              <w:rPr>
                <w:rFonts w:eastAsia="Times New Roman"/>
                <w:color w:val="auto"/>
                <w:szCs w:val="24"/>
              </w:rPr>
            </w:pPr>
            <w:r w:rsidRPr="00AD7E7D">
              <w:rPr>
                <w:rFonts w:eastAsia="Times New Roman"/>
                <w:color w:val="auto"/>
                <w:szCs w:val="24"/>
              </w:rPr>
              <w:t>2023</w:t>
            </w:r>
          </w:p>
        </w:tc>
        <w:tc>
          <w:tcPr>
            <w:tcW w:w="644" w:type="pct"/>
            <w:tcBorders>
              <w:top w:val="single" w:sz="4" w:space="0" w:color="002060"/>
              <w:bottom w:val="single" w:sz="4" w:space="0" w:color="002060"/>
            </w:tcBorders>
            <w:shd w:val="clear" w:color="auto" w:fill="FFFFFF" w:themeFill="background1"/>
          </w:tcPr>
          <w:p w14:paraId="74A0D230" w14:textId="77777777" w:rsidR="006D0778" w:rsidRPr="00AD7E7D" w:rsidRDefault="006D0778" w:rsidP="006D0778">
            <w:pPr>
              <w:keepNext/>
              <w:widowControl w:val="0"/>
              <w:shd w:val="clear" w:color="auto" w:fill="FFFFFF" w:themeFill="background1"/>
              <w:spacing w:line="276" w:lineRule="auto"/>
              <w:jc w:val="right"/>
              <w:rPr>
                <w:rFonts w:eastAsia="Times New Roman"/>
                <w:color w:val="auto"/>
                <w:szCs w:val="24"/>
              </w:rPr>
            </w:pPr>
            <w:r w:rsidRPr="00AD7E7D">
              <w:rPr>
                <w:rFonts w:eastAsia="Times New Roman"/>
                <w:color w:val="auto"/>
                <w:szCs w:val="24"/>
              </w:rPr>
              <w:t>2024</w:t>
            </w:r>
          </w:p>
        </w:tc>
        <w:tc>
          <w:tcPr>
            <w:tcW w:w="581" w:type="pct"/>
            <w:tcBorders>
              <w:top w:val="single" w:sz="4" w:space="0" w:color="002060"/>
              <w:bottom w:val="single" w:sz="4" w:space="0" w:color="002060"/>
            </w:tcBorders>
            <w:shd w:val="clear" w:color="auto" w:fill="FFFFFF" w:themeFill="background1"/>
          </w:tcPr>
          <w:p w14:paraId="58AC653C" w14:textId="77777777" w:rsidR="006D0778" w:rsidRPr="00AD7E7D" w:rsidRDefault="006D0778" w:rsidP="006D0778">
            <w:pPr>
              <w:keepNext/>
              <w:widowControl w:val="0"/>
              <w:shd w:val="clear" w:color="auto" w:fill="FFFFFF" w:themeFill="background1"/>
              <w:spacing w:line="276" w:lineRule="auto"/>
              <w:jc w:val="right"/>
              <w:rPr>
                <w:rFonts w:eastAsia="Times New Roman"/>
                <w:color w:val="auto"/>
                <w:szCs w:val="24"/>
              </w:rPr>
            </w:pPr>
            <w:r w:rsidRPr="00AD7E7D">
              <w:rPr>
                <w:rFonts w:eastAsia="Times New Roman"/>
                <w:color w:val="auto"/>
                <w:szCs w:val="24"/>
              </w:rPr>
              <w:t>2025</w:t>
            </w:r>
          </w:p>
        </w:tc>
        <w:tc>
          <w:tcPr>
            <w:tcW w:w="581" w:type="pct"/>
            <w:tcBorders>
              <w:top w:val="single" w:sz="4" w:space="0" w:color="002060"/>
              <w:bottom w:val="single" w:sz="4" w:space="0" w:color="002060"/>
            </w:tcBorders>
            <w:shd w:val="clear" w:color="auto" w:fill="FFFFFF" w:themeFill="background1"/>
          </w:tcPr>
          <w:p w14:paraId="68B49AEB" w14:textId="77777777" w:rsidR="006D0778" w:rsidRPr="00AD7E7D" w:rsidRDefault="006D0778" w:rsidP="006D0778">
            <w:pPr>
              <w:keepNext/>
              <w:widowControl w:val="0"/>
              <w:shd w:val="clear" w:color="auto" w:fill="FFFFFF" w:themeFill="background1"/>
              <w:spacing w:line="276" w:lineRule="auto"/>
              <w:jc w:val="right"/>
              <w:rPr>
                <w:rFonts w:eastAsia="Times New Roman"/>
                <w:color w:val="auto"/>
                <w:szCs w:val="24"/>
              </w:rPr>
            </w:pPr>
            <w:r w:rsidRPr="00AD7E7D">
              <w:rPr>
                <w:rFonts w:eastAsia="Times New Roman"/>
                <w:color w:val="auto"/>
                <w:szCs w:val="24"/>
              </w:rPr>
              <w:t>2026</w:t>
            </w:r>
          </w:p>
        </w:tc>
        <w:tc>
          <w:tcPr>
            <w:tcW w:w="583" w:type="pct"/>
            <w:tcBorders>
              <w:top w:val="single" w:sz="4" w:space="0" w:color="002060"/>
              <w:bottom w:val="single" w:sz="4" w:space="0" w:color="002060"/>
            </w:tcBorders>
            <w:shd w:val="clear" w:color="auto" w:fill="FFFFFF" w:themeFill="background1"/>
          </w:tcPr>
          <w:p w14:paraId="73A80754" w14:textId="77777777" w:rsidR="006D0778" w:rsidRPr="00AD7E7D" w:rsidRDefault="006D0778" w:rsidP="006D0778">
            <w:pPr>
              <w:keepNext/>
              <w:widowControl w:val="0"/>
              <w:shd w:val="clear" w:color="auto" w:fill="FFFFFF" w:themeFill="background1"/>
              <w:spacing w:line="276" w:lineRule="auto"/>
              <w:jc w:val="right"/>
              <w:rPr>
                <w:rFonts w:eastAsia="Times New Roman"/>
                <w:color w:val="auto"/>
                <w:szCs w:val="24"/>
              </w:rPr>
            </w:pPr>
            <w:r w:rsidRPr="00AD7E7D">
              <w:rPr>
                <w:rFonts w:eastAsia="Times New Roman"/>
                <w:color w:val="auto"/>
                <w:szCs w:val="24"/>
              </w:rPr>
              <w:t>2027</w:t>
            </w:r>
          </w:p>
        </w:tc>
      </w:tr>
      <w:tr w:rsidR="006D0778" w:rsidRPr="00AD7E7D" w14:paraId="4C3A786B" w14:textId="77777777" w:rsidTr="00D2109C">
        <w:trPr>
          <w:cnfStyle w:val="000000100000" w:firstRow="0" w:lastRow="0" w:firstColumn="0" w:lastColumn="0" w:oddVBand="0" w:evenVBand="0" w:oddHBand="1" w:evenHBand="0" w:firstRowFirstColumn="0" w:firstRowLastColumn="0" w:lastRowFirstColumn="0" w:lastRowLastColumn="0"/>
          <w:trHeight w:hRule="exact" w:val="284"/>
        </w:trPr>
        <w:tc>
          <w:tcPr>
            <w:tcW w:w="1967" w:type="pct"/>
            <w:tcBorders>
              <w:top w:val="nil"/>
            </w:tcBorders>
            <w:shd w:val="clear" w:color="auto" w:fill="FFFFFF" w:themeFill="background1"/>
          </w:tcPr>
          <w:p w14:paraId="5388B055" w14:textId="77777777" w:rsidR="006D0778" w:rsidRPr="00AD7E7D" w:rsidRDefault="006D0778" w:rsidP="006D0778">
            <w:pPr>
              <w:widowControl w:val="0"/>
              <w:shd w:val="clear" w:color="auto" w:fill="FFFFFF" w:themeFill="background1"/>
              <w:spacing w:line="276" w:lineRule="auto"/>
              <w:rPr>
                <w:color w:val="auto"/>
                <w:szCs w:val="24"/>
              </w:rPr>
            </w:pPr>
            <w:r w:rsidRPr="00AD7E7D">
              <w:rPr>
                <w:color w:val="auto"/>
                <w:szCs w:val="24"/>
              </w:rPr>
              <w:t>ЈАВНИ РАСХОДИ</w:t>
            </w:r>
          </w:p>
        </w:tc>
        <w:tc>
          <w:tcPr>
            <w:tcW w:w="644" w:type="pct"/>
            <w:tcBorders>
              <w:top w:val="single" w:sz="4" w:space="0" w:color="002060"/>
            </w:tcBorders>
            <w:shd w:val="clear" w:color="auto" w:fill="FFFFFF" w:themeFill="background1"/>
          </w:tcPr>
          <w:p w14:paraId="3DE196AE"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41,4</w:t>
            </w:r>
          </w:p>
        </w:tc>
        <w:tc>
          <w:tcPr>
            <w:tcW w:w="644" w:type="pct"/>
            <w:tcBorders>
              <w:top w:val="single" w:sz="4" w:space="0" w:color="002060"/>
            </w:tcBorders>
            <w:shd w:val="clear" w:color="auto" w:fill="FFFFFF" w:themeFill="background1"/>
            <w:noWrap/>
          </w:tcPr>
          <w:p w14:paraId="125E56F9"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43,6</w:t>
            </w:r>
          </w:p>
        </w:tc>
        <w:tc>
          <w:tcPr>
            <w:tcW w:w="581" w:type="pct"/>
            <w:tcBorders>
              <w:top w:val="single" w:sz="4" w:space="0" w:color="002060"/>
            </w:tcBorders>
            <w:shd w:val="clear" w:color="auto" w:fill="FFFFFF" w:themeFill="background1"/>
            <w:noWrap/>
          </w:tcPr>
          <w:p w14:paraId="483B460E"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44,3</w:t>
            </w:r>
          </w:p>
        </w:tc>
        <w:tc>
          <w:tcPr>
            <w:tcW w:w="581" w:type="pct"/>
            <w:tcBorders>
              <w:top w:val="single" w:sz="4" w:space="0" w:color="002060"/>
            </w:tcBorders>
            <w:shd w:val="clear" w:color="auto" w:fill="FFFFFF" w:themeFill="background1"/>
            <w:noWrap/>
          </w:tcPr>
          <w:p w14:paraId="24FB5863"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43,9</w:t>
            </w:r>
          </w:p>
        </w:tc>
        <w:tc>
          <w:tcPr>
            <w:tcW w:w="583" w:type="pct"/>
            <w:tcBorders>
              <w:top w:val="single" w:sz="4" w:space="0" w:color="002060"/>
            </w:tcBorders>
            <w:shd w:val="clear" w:color="auto" w:fill="FFFFFF" w:themeFill="background1"/>
            <w:noWrap/>
          </w:tcPr>
          <w:p w14:paraId="597A8483"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43,5</w:t>
            </w:r>
          </w:p>
        </w:tc>
      </w:tr>
      <w:tr w:rsidR="006D0778" w:rsidRPr="00AD7E7D" w14:paraId="2E1B0971" w14:textId="77777777" w:rsidTr="00D2109C">
        <w:trPr>
          <w:trHeight w:hRule="exact" w:val="284"/>
        </w:trPr>
        <w:tc>
          <w:tcPr>
            <w:tcW w:w="1967" w:type="pct"/>
            <w:shd w:val="clear" w:color="auto" w:fill="FFFFFF" w:themeFill="background1"/>
          </w:tcPr>
          <w:p w14:paraId="7A2A911C" w14:textId="77777777" w:rsidR="006D0778" w:rsidRPr="00AD7E7D" w:rsidRDefault="006D0778" w:rsidP="006D0778">
            <w:pPr>
              <w:widowControl w:val="0"/>
              <w:shd w:val="clear" w:color="auto" w:fill="FFFFFF" w:themeFill="background1"/>
              <w:spacing w:line="276" w:lineRule="auto"/>
              <w:rPr>
                <w:rFonts w:eastAsia="Times New Roman"/>
                <w:bCs/>
                <w:color w:val="auto"/>
                <w:szCs w:val="24"/>
              </w:rPr>
            </w:pPr>
            <w:r w:rsidRPr="00AD7E7D">
              <w:rPr>
                <w:rFonts w:eastAsia="Times New Roman"/>
                <w:bCs/>
                <w:color w:val="auto"/>
                <w:szCs w:val="24"/>
              </w:rPr>
              <w:t xml:space="preserve"> Текући расходи</w:t>
            </w:r>
          </w:p>
        </w:tc>
        <w:tc>
          <w:tcPr>
            <w:tcW w:w="644" w:type="pct"/>
            <w:shd w:val="clear" w:color="auto" w:fill="FFFFFF" w:themeFill="background1"/>
          </w:tcPr>
          <w:p w14:paraId="4E0DE31F"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33,9</w:t>
            </w:r>
          </w:p>
        </w:tc>
        <w:tc>
          <w:tcPr>
            <w:tcW w:w="644" w:type="pct"/>
            <w:shd w:val="clear" w:color="auto" w:fill="FFFFFF" w:themeFill="background1"/>
            <w:noWrap/>
          </w:tcPr>
          <w:p w14:paraId="05CEF129"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35,7</w:t>
            </w:r>
          </w:p>
        </w:tc>
        <w:tc>
          <w:tcPr>
            <w:tcW w:w="581" w:type="pct"/>
            <w:shd w:val="clear" w:color="auto" w:fill="FFFFFF" w:themeFill="background1"/>
            <w:noWrap/>
          </w:tcPr>
          <w:p w14:paraId="6F065DA6"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36,5</w:t>
            </w:r>
          </w:p>
        </w:tc>
        <w:tc>
          <w:tcPr>
            <w:tcW w:w="581" w:type="pct"/>
            <w:shd w:val="clear" w:color="auto" w:fill="FFFFFF" w:themeFill="background1"/>
            <w:noWrap/>
          </w:tcPr>
          <w:p w14:paraId="6243AC81"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36,3</w:t>
            </w:r>
          </w:p>
        </w:tc>
        <w:tc>
          <w:tcPr>
            <w:tcW w:w="583" w:type="pct"/>
            <w:shd w:val="clear" w:color="auto" w:fill="FFFFFF" w:themeFill="background1"/>
            <w:noWrap/>
          </w:tcPr>
          <w:p w14:paraId="593DACCD"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35,7</w:t>
            </w:r>
          </w:p>
        </w:tc>
      </w:tr>
      <w:tr w:rsidR="006D0778" w:rsidRPr="00AD7E7D" w14:paraId="649821F7" w14:textId="77777777" w:rsidTr="00D2109C">
        <w:trPr>
          <w:cnfStyle w:val="000000100000" w:firstRow="0" w:lastRow="0" w:firstColumn="0" w:lastColumn="0" w:oddVBand="0" w:evenVBand="0" w:oddHBand="1" w:evenHBand="0" w:firstRowFirstColumn="0" w:firstRowLastColumn="0" w:lastRowFirstColumn="0" w:lastRowLastColumn="0"/>
          <w:trHeight w:hRule="exact" w:val="284"/>
        </w:trPr>
        <w:tc>
          <w:tcPr>
            <w:tcW w:w="1967" w:type="pct"/>
            <w:shd w:val="clear" w:color="auto" w:fill="FFFFFF" w:themeFill="background1"/>
          </w:tcPr>
          <w:p w14:paraId="5E460D24" w14:textId="77777777" w:rsidR="006D0778" w:rsidRPr="00AD7E7D" w:rsidRDefault="006D0778" w:rsidP="006D0778">
            <w:pPr>
              <w:widowControl w:val="0"/>
              <w:shd w:val="clear" w:color="auto" w:fill="FFFFFF" w:themeFill="background1"/>
              <w:spacing w:line="276" w:lineRule="auto"/>
              <w:ind w:left="284"/>
              <w:rPr>
                <w:rFonts w:eastAsia="Times New Roman"/>
                <w:bCs/>
                <w:color w:val="auto"/>
                <w:szCs w:val="24"/>
              </w:rPr>
            </w:pPr>
            <w:r w:rsidRPr="00AD7E7D">
              <w:rPr>
                <w:rFonts w:eastAsia="Times New Roman"/>
                <w:bCs/>
                <w:color w:val="auto"/>
                <w:szCs w:val="24"/>
              </w:rPr>
              <w:t>Расходи за запослене</w:t>
            </w:r>
          </w:p>
        </w:tc>
        <w:tc>
          <w:tcPr>
            <w:tcW w:w="644" w:type="pct"/>
            <w:shd w:val="clear" w:color="auto" w:fill="FFFFFF" w:themeFill="background1"/>
          </w:tcPr>
          <w:p w14:paraId="4072F6CB"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8,8</w:t>
            </w:r>
          </w:p>
        </w:tc>
        <w:tc>
          <w:tcPr>
            <w:tcW w:w="644" w:type="pct"/>
            <w:shd w:val="clear" w:color="auto" w:fill="FFFFFF" w:themeFill="background1"/>
            <w:noWrap/>
          </w:tcPr>
          <w:p w14:paraId="1572A5FC"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9,5</w:t>
            </w:r>
          </w:p>
        </w:tc>
        <w:tc>
          <w:tcPr>
            <w:tcW w:w="581" w:type="pct"/>
            <w:shd w:val="clear" w:color="auto" w:fill="FFFFFF" w:themeFill="background1"/>
            <w:noWrap/>
          </w:tcPr>
          <w:p w14:paraId="6A567F06"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9,8</w:t>
            </w:r>
          </w:p>
        </w:tc>
        <w:tc>
          <w:tcPr>
            <w:tcW w:w="581" w:type="pct"/>
            <w:shd w:val="clear" w:color="auto" w:fill="FFFFFF" w:themeFill="background1"/>
            <w:noWrap/>
          </w:tcPr>
          <w:p w14:paraId="1353F827"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9,8</w:t>
            </w:r>
          </w:p>
        </w:tc>
        <w:tc>
          <w:tcPr>
            <w:tcW w:w="583" w:type="pct"/>
            <w:shd w:val="clear" w:color="auto" w:fill="FFFFFF" w:themeFill="background1"/>
            <w:noWrap/>
          </w:tcPr>
          <w:p w14:paraId="1763A405"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9,8</w:t>
            </w:r>
          </w:p>
        </w:tc>
      </w:tr>
      <w:tr w:rsidR="006D0778" w:rsidRPr="00AD7E7D" w14:paraId="0EF56430" w14:textId="77777777" w:rsidTr="00D2109C">
        <w:trPr>
          <w:trHeight w:hRule="exact" w:val="284"/>
        </w:trPr>
        <w:tc>
          <w:tcPr>
            <w:tcW w:w="1967" w:type="pct"/>
            <w:shd w:val="clear" w:color="auto" w:fill="FFFFFF" w:themeFill="background1"/>
          </w:tcPr>
          <w:p w14:paraId="3B5BEBE1" w14:textId="77777777" w:rsidR="006D0778" w:rsidRPr="00AD7E7D" w:rsidRDefault="006D0778" w:rsidP="006D0778">
            <w:pPr>
              <w:widowControl w:val="0"/>
              <w:shd w:val="clear" w:color="auto" w:fill="FFFFFF" w:themeFill="background1"/>
              <w:spacing w:line="276" w:lineRule="auto"/>
              <w:ind w:left="284"/>
              <w:rPr>
                <w:rFonts w:eastAsia="Times New Roman"/>
                <w:bCs/>
                <w:color w:val="auto"/>
                <w:szCs w:val="24"/>
              </w:rPr>
            </w:pPr>
            <w:r w:rsidRPr="00AD7E7D">
              <w:rPr>
                <w:rFonts w:eastAsia="Times New Roman"/>
                <w:bCs/>
                <w:color w:val="auto"/>
                <w:szCs w:val="24"/>
              </w:rPr>
              <w:t>Куповина робе и услуга</w:t>
            </w:r>
          </w:p>
        </w:tc>
        <w:tc>
          <w:tcPr>
            <w:tcW w:w="644" w:type="pct"/>
            <w:shd w:val="clear" w:color="auto" w:fill="FFFFFF" w:themeFill="background1"/>
          </w:tcPr>
          <w:p w14:paraId="5074E6D6"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7,1</w:t>
            </w:r>
          </w:p>
        </w:tc>
        <w:tc>
          <w:tcPr>
            <w:tcW w:w="644" w:type="pct"/>
            <w:shd w:val="clear" w:color="auto" w:fill="FFFFFF" w:themeFill="background1"/>
            <w:noWrap/>
          </w:tcPr>
          <w:p w14:paraId="2FC88040"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7,4</w:t>
            </w:r>
          </w:p>
        </w:tc>
        <w:tc>
          <w:tcPr>
            <w:tcW w:w="581" w:type="pct"/>
            <w:shd w:val="clear" w:color="auto" w:fill="FFFFFF" w:themeFill="background1"/>
            <w:noWrap/>
          </w:tcPr>
          <w:p w14:paraId="39ECEF4B"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7,9</w:t>
            </w:r>
          </w:p>
        </w:tc>
        <w:tc>
          <w:tcPr>
            <w:tcW w:w="581" w:type="pct"/>
            <w:shd w:val="clear" w:color="auto" w:fill="FFFFFF" w:themeFill="background1"/>
            <w:noWrap/>
          </w:tcPr>
          <w:p w14:paraId="51A4D421"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7,8</w:t>
            </w:r>
          </w:p>
        </w:tc>
        <w:tc>
          <w:tcPr>
            <w:tcW w:w="583" w:type="pct"/>
            <w:shd w:val="clear" w:color="auto" w:fill="FFFFFF" w:themeFill="background1"/>
            <w:noWrap/>
          </w:tcPr>
          <w:p w14:paraId="3B6AE58F"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7,7</w:t>
            </w:r>
          </w:p>
        </w:tc>
      </w:tr>
      <w:tr w:rsidR="006D0778" w:rsidRPr="00AD7E7D" w14:paraId="7EC458DB" w14:textId="77777777" w:rsidTr="00D2109C">
        <w:trPr>
          <w:cnfStyle w:val="000000100000" w:firstRow="0" w:lastRow="0" w:firstColumn="0" w:lastColumn="0" w:oddVBand="0" w:evenVBand="0" w:oddHBand="1" w:evenHBand="0" w:firstRowFirstColumn="0" w:firstRowLastColumn="0" w:lastRowFirstColumn="0" w:lastRowLastColumn="0"/>
          <w:trHeight w:hRule="exact" w:val="284"/>
        </w:trPr>
        <w:tc>
          <w:tcPr>
            <w:tcW w:w="1967" w:type="pct"/>
            <w:shd w:val="clear" w:color="auto" w:fill="FFFFFF" w:themeFill="background1"/>
          </w:tcPr>
          <w:p w14:paraId="7711329E" w14:textId="77777777" w:rsidR="006D0778" w:rsidRPr="00AD7E7D" w:rsidRDefault="006D0778" w:rsidP="006D0778">
            <w:pPr>
              <w:widowControl w:val="0"/>
              <w:shd w:val="clear" w:color="auto" w:fill="FFFFFF" w:themeFill="background1"/>
              <w:spacing w:line="276" w:lineRule="auto"/>
              <w:ind w:left="284"/>
              <w:rPr>
                <w:rFonts w:eastAsia="Times New Roman"/>
                <w:bCs/>
                <w:color w:val="auto"/>
                <w:szCs w:val="24"/>
              </w:rPr>
            </w:pPr>
            <w:r w:rsidRPr="00AD7E7D">
              <w:rPr>
                <w:rFonts w:eastAsia="Times New Roman"/>
                <w:bCs/>
                <w:color w:val="auto"/>
                <w:szCs w:val="24"/>
              </w:rPr>
              <w:t>Отплата камата</w:t>
            </w:r>
          </w:p>
        </w:tc>
        <w:tc>
          <w:tcPr>
            <w:tcW w:w="644" w:type="pct"/>
            <w:shd w:val="clear" w:color="auto" w:fill="FFFFFF" w:themeFill="background1"/>
          </w:tcPr>
          <w:p w14:paraId="69CFC58A"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1,7</w:t>
            </w:r>
          </w:p>
        </w:tc>
        <w:tc>
          <w:tcPr>
            <w:tcW w:w="644" w:type="pct"/>
            <w:shd w:val="clear" w:color="auto" w:fill="FFFFFF" w:themeFill="background1"/>
            <w:noWrap/>
          </w:tcPr>
          <w:p w14:paraId="62DA3FEF"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2,0</w:t>
            </w:r>
          </w:p>
        </w:tc>
        <w:tc>
          <w:tcPr>
            <w:tcW w:w="581" w:type="pct"/>
            <w:shd w:val="clear" w:color="auto" w:fill="FFFFFF" w:themeFill="background1"/>
            <w:noWrap/>
          </w:tcPr>
          <w:p w14:paraId="69D396E1"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2,2</w:t>
            </w:r>
          </w:p>
        </w:tc>
        <w:tc>
          <w:tcPr>
            <w:tcW w:w="581" w:type="pct"/>
            <w:shd w:val="clear" w:color="auto" w:fill="FFFFFF" w:themeFill="background1"/>
            <w:noWrap/>
          </w:tcPr>
          <w:p w14:paraId="75501485"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2,1</w:t>
            </w:r>
          </w:p>
        </w:tc>
        <w:tc>
          <w:tcPr>
            <w:tcW w:w="583" w:type="pct"/>
            <w:shd w:val="clear" w:color="auto" w:fill="FFFFFF" w:themeFill="background1"/>
            <w:noWrap/>
          </w:tcPr>
          <w:p w14:paraId="1C3029E8"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2,0</w:t>
            </w:r>
          </w:p>
        </w:tc>
      </w:tr>
      <w:tr w:rsidR="006D0778" w:rsidRPr="00AD7E7D" w14:paraId="23E1AD8A" w14:textId="77777777" w:rsidTr="00D2109C">
        <w:trPr>
          <w:trHeight w:hRule="exact" w:val="284"/>
        </w:trPr>
        <w:tc>
          <w:tcPr>
            <w:tcW w:w="1967" w:type="pct"/>
            <w:shd w:val="clear" w:color="auto" w:fill="FFFFFF" w:themeFill="background1"/>
          </w:tcPr>
          <w:p w14:paraId="4D91D6DF" w14:textId="77777777" w:rsidR="006D0778" w:rsidRPr="00AD7E7D" w:rsidRDefault="006D0778" w:rsidP="006D0778">
            <w:pPr>
              <w:widowControl w:val="0"/>
              <w:shd w:val="clear" w:color="auto" w:fill="FFFFFF" w:themeFill="background1"/>
              <w:spacing w:line="276" w:lineRule="auto"/>
              <w:ind w:left="284"/>
              <w:rPr>
                <w:rFonts w:eastAsia="Times New Roman"/>
                <w:bCs/>
                <w:color w:val="auto"/>
                <w:szCs w:val="24"/>
              </w:rPr>
            </w:pPr>
            <w:r w:rsidRPr="00AD7E7D">
              <w:rPr>
                <w:rFonts w:eastAsia="Times New Roman"/>
                <w:bCs/>
                <w:color w:val="auto"/>
                <w:szCs w:val="24"/>
              </w:rPr>
              <w:t>Субвенције</w:t>
            </w:r>
          </w:p>
        </w:tc>
        <w:tc>
          <w:tcPr>
            <w:tcW w:w="644" w:type="pct"/>
            <w:shd w:val="clear" w:color="auto" w:fill="FFFFFF" w:themeFill="background1"/>
          </w:tcPr>
          <w:p w14:paraId="6EED1907"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2,4</w:t>
            </w:r>
          </w:p>
        </w:tc>
        <w:tc>
          <w:tcPr>
            <w:tcW w:w="644" w:type="pct"/>
            <w:shd w:val="clear" w:color="auto" w:fill="FFFFFF" w:themeFill="background1"/>
            <w:noWrap/>
          </w:tcPr>
          <w:p w14:paraId="18E61097"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2,5</w:t>
            </w:r>
          </w:p>
        </w:tc>
        <w:tc>
          <w:tcPr>
            <w:tcW w:w="581" w:type="pct"/>
            <w:shd w:val="clear" w:color="auto" w:fill="FFFFFF" w:themeFill="background1"/>
            <w:noWrap/>
          </w:tcPr>
          <w:p w14:paraId="4D172BD3"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2,4</w:t>
            </w:r>
          </w:p>
        </w:tc>
        <w:tc>
          <w:tcPr>
            <w:tcW w:w="581" w:type="pct"/>
            <w:shd w:val="clear" w:color="auto" w:fill="FFFFFF" w:themeFill="background1"/>
            <w:noWrap/>
          </w:tcPr>
          <w:p w14:paraId="0CF9159F"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2,4</w:t>
            </w:r>
          </w:p>
        </w:tc>
        <w:tc>
          <w:tcPr>
            <w:tcW w:w="583" w:type="pct"/>
            <w:shd w:val="clear" w:color="auto" w:fill="FFFFFF" w:themeFill="background1"/>
            <w:noWrap/>
          </w:tcPr>
          <w:p w14:paraId="4ABF31AE"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2,2</w:t>
            </w:r>
          </w:p>
        </w:tc>
      </w:tr>
      <w:tr w:rsidR="006D0778" w:rsidRPr="00AD7E7D" w14:paraId="1824A551" w14:textId="77777777" w:rsidTr="00D2109C">
        <w:trPr>
          <w:cnfStyle w:val="000000100000" w:firstRow="0" w:lastRow="0" w:firstColumn="0" w:lastColumn="0" w:oddVBand="0" w:evenVBand="0" w:oddHBand="1" w:evenHBand="0" w:firstRowFirstColumn="0" w:firstRowLastColumn="0" w:lastRowFirstColumn="0" w:lastRowLastColumn="0"/>
          <w:trHeight w:hRule="exact" w:val="284"/>
        </w:trPr>
        <w:tc>
          <w:tcPr>
            <w:tcW w:w="1967" w:type="pct"/>
            <w:shd w:val="clear" w:color="auto" w:fill="FFFFFF" w:themeFill="background1"/>
          </w:tcPr>
          <w:p w14:paraId="23CB4BFE" w14:textId="77777777" w:rsidR="006D0778" w:rsidRPr="00AD7E7D" w:rsidRDefault="006D0778" w:rsidP="00BF5A92">
            <w:pPr>
              <w:widowControl w:val="0"/>
              <w:shd w:val="clear" w:color="auto" w:fill="FFFFFF" w:themeFill="background1"/>
              <w:spacing w:line="276" w:lineRule="auto"/>
              <w:ind w:left="284"/>
              <w:jc w:val="left"/>
              <w:rPr>
                <w:rFonts w:eastAsia="Times New Roman"/>
                <w:bCs/>
                <w:color w:val="auto"/>
                <w:szCs w:val="24"/>
              </w:rPr>
            </w:pPr>
            <w:r w:rsidRPr="00AD7E7D">
              <w:rPr>
                <w:rFonts w:eastAsia="Times New Roman"/>
                <w:bCs/>
                <w:color w:val="auto"/>
                <w:szCs w:val="24"/>
              </w:rPr>
              <w:t>Социјална помоћ и трансфери</w:t>
            </w:r>
          </w:p>
        </w:tc>
        <w:tc>
          <w:tcPr>
            <w:tcW w:w="644" w:type="pct"/>
            <w:shd w:val="clear" w:color="auto" w:fill="FFFFFF" w:themeFill="background1"/>
          </w:tcPr>
          <w:p w14:paraId="492F2657"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12,5</w:t>
            </w:r>
          </w:p>
        </w:tc>
        <w:tc>
          <w:tcPr>
            <w:tcW w:w="644" w:type="pct"/>
            <w:shd w:val="clear" w:color="auto" w:fill="FFFFFF" w:themeFill="background1"/>
            <w:noWrap/>
          </w:tcPr>
          <w:p w14:paraId="30DEB3FE"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13,0</w:t>
            </w:r>
          </w:p>
        </w:tc>
        <w:tc>
          <w:tcPr>
            <w:tcW w:w="581" w:type="pct"/>
            <w:shd w:val="clear" w:color="auto" w:fill="FFFFFF" w:themeFill="background1"/>
            <w:noWrap/>
          </w:tcPr>
          <w:p w14:paraId="6AABEFB0"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13,0</w:t>
            </w:r>
          </w:p>
        </w:tc>
        <w:tc>
          <w:tcPr>
            <w:tcW w:w="581" w:type="pct"/>
            <w:shd w:val="clear" w:color="auto" w:fill="FFFFFF" w:themeFill="background1"/>
            <w:noWrap/>
          </w:tcPr>
          <w:p w14:paraId="611719AA"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13,1</w:t>
            </w:r>
          </w:p>
        </w:tc>
        <w:tc>
          <w:tcPr>
            <w:tcW w:w="583" w:type="pct"/>
            <w:shd w:val="clear" w:color="auto" w:fill="FFFFFF" w:themeFill="background1"/>
            <w:noWrap/>
          </w:tcPr>
          <w:p w14:paraId="4E4069B8"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12,8</w:t>
            </w:r>
          </w:p>
        </w:tc>
      </w:tr>
      <w:tr w:rsidR="006D0778" w:rsidRPr="00AD7E7D" w14:paraId="4E701B9D" w14:textId="77777777" w:rsidTr="00D2109C">
        <w:trPr>
          <w:trHeight w:hRule="exact" w:val="284"/>
        </w:trPr>
        <w:tc>
          <w:tcPr>
            <w:tcW w:w="1967" w:type="pct"/>
            <w:shd w:val="clear" w:color="auto" w:fill="FFFFFF" w:themeFill="background1"/>
          </w:tcPr>
          <w:p w14:paraId="50E6D65D" w14:textId="77777777" w:rsidR="006D0778" w:rsidRPr="00AD7E7D" w:rsidRDefault="006D0778" w:rsidP="00BF5A92">
            <w:pPr>
              <w:widowControl w:val="0"/>
              <w:shd w:val="clear" w:color="auto" w:fill="FFFFFF" w:themeFill="background1"/>
              <w:spacing w:line="276" w:lineRule="auto"/>
              <w:ind w:left="397"/>
              <w:jc w:val="left"/>
              <w:rPr>
                <w:rFonts w:eastAsia="Times New Roman"/>
                <w:bCs/>
                <w:i/>
                <w:color w:val="auto"/>
                <w:szCs w:val="24"/>
              </w:rPr>
            </w:pPr>
            <w:r w:rsidRPr="00AD7E7D">
              <w:rPr>
                <w:rFonts w:eastAsia="Times New Roman"/>
                <w:bCs/>
                <w:i/>
                <w:color w:val="auto"/>
                <w:szCs w:val="24"/>
              </w:rPr>
              <w:t>од чега пензије</w:t>
            </w:r>
          </w:p>
        </w:tc>
        <w:tc>
          <w:tcPr>
            <w:tcW w:w="644" w:type="pct"/>
            <w:shd w:val="clear" w:color="auto" w:fill="FFFFFF" w:themeFill="background1"/>
          </w:tcPr>
          <w:p w14:paraId="42BA81A1" w14:textId="77777777" w:rsidR="006D0778" w:rsidRPr="00AD7E7D" w:rsidRDefault="006D0778" w:rsidP="006D0778">
            <w:pPr>
              <w:shd w:val="clear" w:color="auto" w:fill="FFFFFF" w:themeFill="background1"/>
              <w:spacing w:line="276" w:lineRule="auto"/>
              <w:jc w:val="right"/>
              <w:rPr>
                <w:i/>
                <w:color w:val="auto"/>
                <w:szCs w:val="24"/>
              </w:rPr>
            </w:pPr>
            <w:r w:rsidRPr="00AD7E7D">
              <w:rPr>
                <w:i/>
                <w:color w:val="auto"/>
                <w:szCs w:val="24"/>
              </w:rPr>
              <w:t>8,8</w:t>
            </w:r>
          </w:p>
        </w:tc>
        <w:tc>
          <w:tcPr>
            <w:tcW w:w="644" w:type="pct"/>
            <w:shd w:val="clear" w:color="auto" w:fill="FFFFFF" w:themeFill="background1"/>
            <w:noWrap/>
          </w:tcPr>
          <w:p w14:paraId="080BE126" w14:textId="77777777" w:rsidR="006D0778" w:rsidRPr="00AD7E7D" w:rsidRDefault="006D0778" w:rsidP="006D0778">
            <w:pPr>
              <w:shd w:val="clear" w:color="auto" w:fill="FFFFFF" w:themeFill="background1"/>
              <w:spacing w:line="276" w:lineRule="auto"/>
              <w:jc w:val="right"/>
              <w:rPr>
                <w:i/>
                <w:color w:val="auto"/>
                <w:szCs w:val="24"/>
              </w:rPr>
            </w:pPr>
            <w:r w:rsidRPr="00AD7E7D">
              <w:rPr>
                <w:i/>
                <w:color w:val="auto"/>
                <w:szCs w:val="24"/>
              </w:rPr>
              <w:t>9,7</w:t>
            </w:r>
          </w:p>
        </w:tc>
        <w:tc>
          <w:tcPr>
            <w:tcW w:w="581" w:type="pct"/>
            <w:shd w:val="clear" w:color="auto" w:fill="FFFFFF" w:themeFill="background1"/>
            <w:noWrap/>
          </w:tcPr>
          <w:p w14:paraId="4AC9123F" w14:textId="77777777" w:rsidR="006D0778" w:rsidRPr="00AD7E7D" w:rsidRDefault="006D0778" w:rsidP="006D0778">
            <w:pPr>
              <w:shd w:val="clear" w:color="auto" w:fill="FFFFFF" w:themeFill="background1"/>
              <w:spacing w:line="276" w:lineRule="auto"/>
              <w:jc w:val="right"/>
              <w:rPr>
                <w:i/>
                <w:color w:val="auto"/>
                <w:szCs w:val="24"/>
              </w:rPr>
            </w:pPr>
            <w:r w:rsidRPr="00AD7E7D">
              <w:rPr>
                <w:i/>
                <w:color w:val="auto"/>
                <w:szCs w:val="24"/>
              </w:rPr>
              <w:t>10,1</w:t>
            </w:r>
          </w:p>
        </w:tc>
        <w:tc>
          <w:tcPr>
            <w:tcW w:w="581" w:type="pct"/>
            <w:shd w:val="clear" w:color="auto" w:fill="FFFFFF" w:themeFill="background1"/>
            <w:noWrap/>
          </w:tcPr>
          <w:p w14:paraId="1ECDD182" w14:textId="77777777" w:rsidR="006D0778" w:rsidRPr="00AD7E7D" w:rsidRDefault="006D0778" w:rsidP="006D0778">
            <w:pPr>
              <w:shd w:val="clear" w:color="auto" w:fill="FFFFFF" w:themeFill="background1"/>
              <w:spacing w:line="276" w:lineRule="auto"/>
              <w:jc w:val="right"/>
              <w:rPr>
                <w:i/>
                <w:color w:val="auto"/>
                <w:szCs w:val="24"/>
              </w:rPr>
            </w:pPr>
            <w:r w:rsidRPr="00AD7E7D">
              <w:rPr>
                <w:i/>
                <w:color w:val="auto"/>
                <w:szCs w:val="24"/>
              </w:rPr>
              <w:t>10,2</w:t>
            </w:r>
          </w:p>
        </w:tc>
        <w:tc>
          <w:tcPr>
            <w:tcW w:w="583" w:type="pct"/>
            <w:shd w:val="clear" w:color="auto" w:fill="FFFFFF" w:themeFill="background1"/>
            <w:noWrap/>
          </w:tcPr>
          <w:p w14:paraId="58EB1ACD" w14:textId="77777777" w:rsidR="006D0778" w:rsidRPr="00AD7E7D" w:rsidRDefault="006D0778" w:rsidP="006D0778">
            <w:pPr>
              <w:shd w:val="clear" w:color="auto" w:fill="FFFFFF" w:themeFill="background1"/>
              <w:spacing w:line="276" w:lineRule="auto"/>
              <w:jc w:val="right"/>
              <w:rPr>
                <w:i/>
                <w:color w:val="auto"/>
                <w:szCs w:val="24"/>
              </w:rPr>
            </w:pPr>
            <w:r w:rsidRPr="00AD7E7D">
              <w:rPr>
                <w:i/>
                <w:color w:val="auto"/>
                <w:szCs w:val="24"/>
              </w:rPr>
              <w:t>10,0</w:t>
            </w:r>
          </w:p>
        </w:tc>
      </w:tr>
      <w:tr w:rsidR="006D0778" w:rsidRPr="00AD7E7D" w14:paraId="02832B01" w14:textId="77777777" w:rsidTr="00D2109C">
        <w:trPr>
          <w:cnfStyle w:val="000000100000" w:firstRow="0" w:lastRow="0" w:firstColumn="0" w:lastColumn="0" w:oddVBand="0" w:evenVBand="0" w:oddHBand="1" w:evenHBand="0" w:firstRowFirstColumn="0" w:firstRowLastColumn="0" w:lastRowFirstColumn="0" w:lastRowLastColumn="0"/>
          <w:trHeight w:hRule="exact" w:val="284"/>
        </w:trPr>
        <w:tc>
          <w:tcPr>
            <w:tcW w:w="1967" w:type="pct"/>
            <w:shd w:val="clear" w:color="auto" w:fill="FFFFFF" w:themeFill="background1"/>
          </w:tcPr>
          <w:p w14:paraId="3DE03A84" w14:textId="77777777" w:rsidR="006D0778" w:rsidRPr="00AD7E7D" w:rsidRDefault="006D0778" w:rsidP="00BF5A92">
            <w:pPr>
              <w:widowControl w:val="0"/>
              <w:shd w:val="clear" w:color="auto" w:fill="FFFFFF" w:themeFill="background1"/>
              <w:spacing w:line="276" w:lineRule="auto"/>
              <w:ind w:left="284"/>
              <w:jc w:val="left"/>
              <w:rPr>
                <w:rFonts w:eastAsia="Times New Roman"/>
                <w:bCs/>
                <w:color w:val="auto"/>
                <w:szCs w:val="24"/>
              </w:rPr>
            </w:pPr>
            <w:r w:rsidRPr="00AD7E7D">
              <w:rPr>
                <w:rFonts w:eastAsia="Times New Roman"/>
                <w:bCs/>
                <w:color w:val="auto"/>
                <w:szCs w:val="24"/>
              </w:rPr>
              <w:t>Остали текући расходи</w:t>
            </w:r>
          </w:p>
        </w:tc>
        <w:tc>
          <w:tcPr>
            <w:tcW w:w="644" w:type="pct"/>
            <w:shd w:val="clear" w:color="auto" w:fill="FFFFFF" w:themeFill="background1"/>
          </w:tcPr>
          <w:p w14:paraId="5E31A3AE"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1,4</w:t>
            </w:r>
          </w:p>
        </w:tc>
        <w:tc>
          <w:tcPr>
            <w:tcW w:w="644" w:type="pct"/>
            <w:shd w:val="clear" w:color="auto" w:fill="FFFFFF" w:themeFill="background1"/>
            <w:noWrap/>
          </w:tcPr>
          <w:p w14:paraId="31614039"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1,4</w:t>
            </w:r>
          </w:p>
        </w:tc>
        <w:tc>
          <w:tcPr>
            <w:tcW w:w="581" w:type="pct"/>
            <w:shd w:val="clear" w:color="auto" w:fill="FFFFFF" w:themeFill="background1"/>
            <w:noWrap/>
          </w:tcPr>
          <w:p w14:paraId="7AE9A7C4"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1,2</w:t>
            </w:r>
          </w:p>
        </w:tc>
        <w:tc>
          <w:tcPr>
            <w:tcW w:w="581" w:type="pct"/>
            <w:shd w:val="clear" w:color="auto" w:fill="FFFFFF" w:themeFill="background1"/>
            <w:noWrap/>
          </w:tcPr>
          <w:p w14:paraId="70D5FAF8"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1,1</w:t>
            </w:r>
          </w:p>
        </w:tc>
        <w:tc>
          <w:tcPr>
            <w:tcW w:w="583" w:type="pct"/>
            <w:shd w:val="clear" w:color="auto" w:fill="FFFFFF" w:themeFill="background1"/>
            <w:noWrap/>
          </w:tcPr>
          <w:p w14:paraId="5C09E42B"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1,1</w:t>
            </w:r>
          </w:p>
        </w:tc>
      </w:tr>
      <w:tr w:rsidR="006D0778" w:rsidRPr="00AD7E7D" w14:paraId="40B77886" w14:textId="77777777" w:rsidTr="00D2109C">
        <w:trPr>
          <w:trHeight w:hRule="exact" w:val="284"/>
        </w:trPr>
        <w:tc>
          <w:tcPr>
            <w:tcW w:w="1967" w:type="pct"/>
            <w:shd w:val="clear" w:color="auto" w:fill="FFFFFF" w:themeFill="background1"/>
          </w:tcPr>
          <w:p w14:paraId="7D156F9F" w14:textId="77777777" w:rsidR="006D0778" w:rsidRPr="00AD7E7D" w:rsidRDefault="006D0778" w:rsidP="006D0778">
            <w:pPr>
              <w:widowControl w:val="0"/>
              <w:shd w:val="clear" w:color="auto" w:fill="FFFFFF" w:themeFill="background1"/>
              <w:spacing w:line="276" w:lineRule="auto"/>
              <w:rPr>
                <w:rFonts w:eastAsia="Times New Roman"/>
                <w:bCs/>
                <w:color w:val="auto"/>
                <w:szCs w:val="24"/>
              </w:rPr>
            </w:pPr>
            <w:r w:rsidRPr="00AD7E7D">
              <w:rPr>
                <w:rFonts w:eastAsia="Times New Roman"/>
                <w:bCs/>
                <w:color w:val="auto"/>
                <w:szCs w:val="24"/>
              </w:rPr>
              <w:t xml:space="preserve"> Капитални расходи</w:t>
            </w:r>
          </w:p>
        </w:tc>
        <w:tc>
          <w:tcPr>
            <w:tcW w:w="644" w:type="pct"/>
            <w:shd w:val="clear" w:color="auto" w:fill="FFFFFF" w:themeFill="background1"/>
          </w:tcPr>
          <w:p w14:paraId="3A6811B0"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6,4</w:t>
            </w:r>
          </w:p>
        </w:tc>
        <w:tc>
          <w:tcPr>
            <w:tcW w:w="644" w:type="pct"/>
            <w:shd w:val="clear" w:color="auto" w:fill="FFFFFF" w:themeFill="background1"/>
            <w:noWrap/>
          </w:tcPr>
          <w:p w14:paraId="457B5F22"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7,4</w:t>
            </w:r>
          </w:p>
        </w:tc>
        <w:tc>
          <w:tcPr>
            <w:tcW w:w="581" w:type="pct"/>
            <w:shd w:val="clear" w:color="auto" w:fill="FFFFFF" w:themeFill="background1"/>
            <w:noWrap/>
          </w:tcPr>
          <w:p w14:paraId="28FD7F28"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7,4</w:t>
            </w:r>
          </w:p>
        </w:tc>
        <w:tc>
          <w:tcPr>
            <w:tcW w:w="581" w:type="pct"/>
            <w:shd w:val="clear" w:color="auto" w:fill="FFFFFF" w:themeFill="background1"/>
            <w:noWrap/>
          </w:tcPr>
          <w:p w14:paraId="2003F946"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7,2</w:t>
            </w:r>
          </w:p>
        </w:tc>
        <w:tc>
          <w:tcPr>
            <w:tcW w:w="583" w:type="pct"/>
            <w:shd w:val="clear" w:color="auto" w:fill="FFFFFF" w:themeFill="background1"/>
            <w:noWrap/>
          </w:tcPr>
          <w:p w14:paraId="537EC0CE"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7,4</w:t>
            </w:r>
          </w:p>
        </w:tc>
      </w:tr>
      <w:tr w:rsidR="006D0778" w:rsidRPr="00AD7E7D" w14:paraId="2AE186A5" w14:textId="77777777" w:rsidTr="00D2109C">
        <w:trPr>
          <w:cnfStyle w:val="000000100000" w:firstRow="0" w:lastRow="0" w:firstColumn="0" w:lastColumn="0" w:oddVBand="0" w:evenVBand="0" w:oddHBand="1" w:evenHBand="0" w:firstRowFirstColumn="0" w:firstRowLastColumn="0" w:lastRowFirstColumn="0" w:lastRowLastColumn="0"/>
          <w:trHeight w:hRule="exact" w:val="284"/>
        </w:trPr>
        <w:tc>
          <w:tcPr>
            <w:tcW w:w="1967" w:type="pct"/>
            <w:tcBorders>
              <w:bottom w:val="nil"/>
            </w:tcBorders>
            <w:shd w:val="clear" w:color="auto" w:fill="FFFFFF" w:themeFill="background1"/>
            <w:noWrap/>
          </w:tcPr>
          <w:p w14:paraId="599796C7" w14:textId="77777777" w:rsidR="006D0778" w:rsidRPr="00AD7E7D" w:rsidRDefault="006D0778" w:rsidP="006D0778">
            <w:pPr>
              <w:widowControl w:val="0"/>
              <w:shd w:val="clear" w:color="auto" w:fill="FFFFFF" w:themeFill="background1"/>
              <w:spacing w:line="276" w:lineRule="auto"/>
              <w:rPr>
                <w:rFonts w:eastAsia="Times New Roman"/>
                <w:bCs/>
                <w:color w:val="auto"/>
                <w:szCs w:val="24"/>
              </w:rPr>
            </w:pPr>
            <w:r w:rsidRPr="00AD7E7D">
              <w:rPr>
                <w:rFonts w:eastAsia="Times New Roman"/>
                <w:bCs/>
                <w:color w:val="auto"/>
                <w:szCs w:val="24"/>
              </w:rPr>
              <w:t xml:space="preserve"> Нето буџетске позајмице</w:t>
            </w:r>
          </w:p>
        </w:tc>
        <w:tc>
          <w:tcPr>
            <w:tcW w:w="644" w:type="pct"/>
            <w:tcBorders>
              <w:bottom w:val="nil"/>
            </w:tcBorders>
            <w:shd w:val="clear" w:color="auto" w:fill="FFFFFF" w:themeFill="background1"/>
          </w:tcPr>
          <w:p w14:paraId="278031ED"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0,8</w:t>
            </w:r>
          </w:p>
        </w:tc>
        <w:tc>
          <w:tcPr>
            <w:tcW w:w="644" w:type="pct"/>
            <w:tcBorders>
              <w:bottom w:val="nil"/>
            </w:tcBorders>
            <w:shd w:val="clear" w:color="auto" w:fill="FFFFFF" w:themeFill="background1"/>
            <w:noWrap/>
          </w:tcPr>
          <w:p w14:paraId="7C081E92"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0,2</w:t>
            </w:r>
          </w:p>
        </w:tc>
        <w:tc>
          <w:tcPr>
            <w:tcW w:w="581" w:type="pct"/>
            <w:tcBorders>
              <w:bottom w:val="nil"/>
            </w:tcBorders>
            <w:shd w:val="clear" w:color="auto" w:fill="FFFFFF" w:themeFill="background1"/>
            <w:noWrap/>
          </w:tcPr>
          <w:p w14:paraId="5E89C032"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0,2</w:t>
            </w:r>
          </w:p>
        </w:tc>
        <w:tc>
          <w:tcPr>
            <w:tcW w:w="581" w:type="pct"/>
            <w:tcBorders>
              <w:bottom w:val="nil"/>
            </w:tcBorders>
            <w:shd w:val="clear" w:color="auto" w:fill="FFFFFF" w:themeFill="background1"/>
            <w:noWrap/>
          </w:tcPr>
          <w:p w14:paraId="659F336D"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0,2</w:t>
            </w:r>
          </w:p>
        </w:tc>
        <w:tc>
          <w:tcPr>
            <w:tcW w:w="583" w:type="pct"/>
            <w:tcBorders>
              <w:bottom w:val="nil"/>
            </w:tcBorders>
            <w:shd w:val="clear" w:color="auto" w:fill="FFFFFF" w:themeFill="background1"/>
            <w:noWrap/>
          </w:tcPr>
          <w:p w14:paraId="2784C0B4"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0,2</w:t>
            </w:r>
          </w:p>
        </w:tc>
      </w:tr>
      <w:tr w:rsidR="006D0778" w:rsidRPr="00AD7E7D" w14:paraId="4916FB2A" w14:textId="77777777" w:rsidTr="00D2109C">
        <w:trPr>
          <w:trHeight w:hRule="exact" w:val="284"/>
        </w:trPr>
        <w:tc>
          <w:tcPr>
            <w:tcW w:w="1967" w:type="pct"/>
            <w:tcBorders>
              <w:top w:val="nil"/>
              <w:bottom w:val="single" w:sz="4" w:space="0" w:color="002060"/>
            </w:tcBorders>
            <w:shd w:val="clear" w:color="auto" w:fill="FFFFFF" w:themeFill="background1"/>
            <w:noWrap/>
          </w:tcPr>
          <w:p w14:paraId="28F725D5" w14:textId="77777777" w:rsidR="006D0778" w:rsidRPr="00AD7E7D" w:rsidRDefault="006D0778" w:rsidP="006D0778">
            <w:pPr>
              <w:widowControl w:val="0"/>
              <w:shd w:val="clear" w:color="auto" w:fill="FFFFFF" w:themeFill="background1"/>
              <w:spacing w:line="276" w:lineRule="auto"/>
              <w:rPr>
                <w:rFonts w:eastAsia="Times New Roman"/>
                <w:bCs/>
                <w:color w:val="auto"/>
                <w:szCs w:val="24"/>
              </w:rPr>
            </w:pPr>
            <w:r w:rsidRPr="00AD7E7D">
              <w:rPr>
                <w:rFonts w:eastAsia="Times New Roman"/>
                <w:bCs/>
                <w:color w:val="auto"/>
                <w:szCs w:val="24"/>
              </w:rPr>
              <w:t xml:space="preserve"> Отплата по основу гаранција</w:t>
            </w:r>
          </w:p>
        </w:tc>
        <w:tc>
          <w:tcPr>
            <w:tcW w:w="644" w:type="pct"/>
            <w:tcBorders>
              <w:top w:val="nil"/>
              <w:bottom w:val="single" w:sz="4" w:space="0" w:color="002060"/>
            </w:tcBorders>
            <w:shd w:val="clear" w:color="auto" w:fill="FFFFFF" w:themeFill="background1"/>
          </w:tcPr>
          <w:p w14:paraId="2C733791"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0,3</w:t>
            </w:r>
          </w:p>
        </w:tc>
        <w:tc>
          <w:tcPr>
            <w:tcW w:w="644" w:type="pct"/>
            <w:tcBorders>
              <w:top w:val="nil"/>
              <w:bottom w:val="single" w:sz="4" w:space="0" w:color="002060"/>
            </w:tcBorders>
            <w:shd w:val="clear" w:color="auto" w:fill="FFFFFF" w:themeFill="background1"/>
            <w:noWrap/>
          </w:tcPr>
          <w:p w14:paraId="5B2791B0"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0,3</w:t>
            </w:r>
          </w:p>
        </w:tc>
        <w:tc>
          <w:tcPr>
            <w:tcW w:w="581" w:type="pct"/>
            <w:tcBorders>
              <w:top w:val="nil"/>
              <w:bottom w:val="single" w:sz="4" w:space="0" w:color="002060"/>
            </w:tcBorders>
            <w:shd w:val="clear" w:color="auto" w:fill="FFFFFF" w:themeFill="background1"/>
            <w:noWrap/>
          </w:tcPr>
          <w:p w14:paraId="180CE8E1"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0,2</w:t>
            </w:r>
          </w:p>
        </w:tc>
        <w:tc>
          <w:tcPr>
            <w:tcW w:w="581" w:type="pct"/>
            <w:tcBorders>
              <w:top w:val="nil"/>
              <w:bottom w:val="single" w:sz="4" w:space="0" w:color="002060"/>
            </w:tcBorders>
            <w:shd w:val="clear" w:color="auto" w:fill="FFFFFF" w:themeFill="background1"/>
            <w:noWrap/>
          </w:tcPr>
          <w:p w14:paraId="424EAE58"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0,2</w:t>
            </w:r>
          </w:p>
        </w:tc>
        <w:tc>
          <w:tcPr>
            <w:tcW w:w="583" w:type="pct"/>
            <w:tcBorders>
              <w:top w:val="nil"/>
              <w:bottom w:val="single" w:sz="4" w:space="0" w:color="002060"/>
            </w:tcBorders>
            <w:shd w:val="clear" w:color="auto" w:fill="FFFFFF" w:themeFill="background1"/>
            <w:noWrap/>
          </w:tcPr>
          <w:p w14:paraId="5F833F0F" w14:textId="77777777" w:rsidR="006D0778" w:rsidRPr="00AD7E7D" w:rsidRDefault="006D0778" w:rsidP="006D0778">
            <w:pPr>
              <w:shd w:val="clear" w:color="auto" w:fill="FFFFFF" w:themeFill="background1"/>
              <w:spacing w:line="276" w:lineRule="auto"/>
              <w:jc w:val="right"/>
              <w:rPr>
                <w:color w:val="auto"/>
                <w:szCs w:val="24"/>
              </w:rPr>
            </w:pPr>
            <w:r w:rsidRPr="00AD7E7D">
              <w:rPr>
                <w:color w:val="auto"/>
                <w:szCs w:val="24"/>
              </w:rPr>
              <w:t>0,2</w:t>
            </w:r>
          </w:p>
        </w:tc>
      </w:tr>
    </w:tbl>
    <w:p w14:paraId="11AE567F" w14:textId="77777777" w:rsidR="006D0778" w:rsidRPr="00BF5A92" w:rsidRDefault="006D0778" w:rsidP="00010E52">
      <w:pPr>
        <w:spacing w:before="40" w:after="180"/>
        <w:rPr>
          <w:rFonts w:cs="Times New Roman"/>
          <w:sz w:val="22"/>
          <w:szCs w:val="24"/>
          <w:lang w:val="sr-Cyrl-RS" w:eastAsia="ja-JP"/>
        </w:rPr>
      </w:pPr>
      <w:r w:rsidRPr="00BF5A92">
        <w:rPr>
          <w:rFonts w:cs="Times New Roman"/>
          <w:bCs/>
          <w:sz w:val="22"/>
          <w:szCs w:val="24"/>
          <w:lang w:val="sr-Cyrl-RS" w:eastAsia="ja-JP"/>
        </w:rPr>
        <w:t xml:space="preserve">Извор: </w:t>
      </w:r>
      <w:r w:rsidRPr="00BF5A92">
        <w:rPr>
          <w:rFonts w:cs="Times New Roman"/>
          <w:sz w:val="22"/>
          <w:szCs w:val="24"/>
          <w:lang w:val="sr-Cyrl-RS" w:eastAsia="ja-JP"/>
        </w:rPr>
        <w:t>Министарство финансија</w:t>
      </w:r>
    </w:p>
    <w:p w14:paraId="6839109D" w14:textId="77777777" w:rsidR="006D0778" w:rsidRPr="00AD7E7D" w:rsidRDefault="006D0778" w:rsidP="006D0778">
      <w:pPr>
        <w:rPr>
          <w:rFonts w:eastAsia="Calibri" w:cs="Times New Roman"/>
          <w:szCs w:val="24"/>
          <w:lang w:eastAsia="ja-JP"/>
        </w:rPr>
      </w:pPr>
      <w:r w:rsidRPr="00AD7E7D">
        <w:rPr>
          <w:rFonts w:eastAsia="Calibri" w:cs="Times New Roman"/>
          <w:szCs w:val="24"/>
          <w:lang w:eastAsia="ja-JP"/>
        </w:rPr>
        <w:t xml:space="preserve">Фискални простор предвиђен за раст зарада, у наредном периоду, ће се повећавати умерено и контролисано, водећи рачуна о њиховом учешћу у БДП. Раст у 2025. години углавном је последица проширења обухвата сектора државе. </w:t>
      </w:r>
    </w:p>
    <w:p w14:paraId="703F4600" w14:textId="77777777" w:rsidR="006D0778" w:rsidRPr="00AD7E7D" w:rsidRDefault="006D0778" w:rsidP="006D0778">
      <w:pPr>
        <w:rPr>
          <w:rFonts w:eastAsia="Calibri" w:cs="Times New Roman"/>
          <w:szCs w:val="24"/>
          <w:lang w:eastAsia="ja-JP"/>
        </w:rPr>
      </w:pPr>
      <w:r w:rsidRPr="00AD7E7D">
        <w:rPr>
          <w:rFonts w:eastAsia="Calibri" w:cs="Times New Roman"/>
          <w:szCs w:val="24"/>
          <w:lang w:eastAsia="ja-JP"/>
        </w:rPr>
        <w:t>Чланом 27е Закона о буџетском систему предвиђено је ограничење расхода за запослене сектора државе од 10% БДП. Усклађивање плата у свим институцијама (ентитетима) које чине сектор државе, ограничено је дефинисаним учешћем ових расхода у БДП. Надаље, ово ограничење коригује се навише у случају повећања обухвата сектора државе, односно укључивањем нових ентитета у сектор државе, односно наниже у случају искључивања ентитета из сектора државе</w:t>
      </w:r>
      <w:r w:rsidRPr="00AD7E7D">
        <w:rPr>
          <w:rFonts w:eastAsia="Calibri" w:cs="Times New Roman"/>
          <w:szCs w:val="24"/>
          <w:vertAlign w:val="superscript"/>
          <w:lang w:eastAsia="ja-JP"/>
        </w:rPr>
        <w:footnoteReference w:id="7"/>
      </w:r>
      <w:r w:rsidRPr="00AD7E7D">
        <w:rPr>
          <w:rFonts w:eastAsia="Calibri" w:cs="Times New Roman"/>
          <w:szCs w:val="24"/>
          <w:lang w:eastAsia="ja-JP"/>
        </w:rPr>
        <w:t>.</w:t>
      </w:r>
    </w:p>
    <w:p w14:paraId="466D6E94" w14:textId="77777777" w:rsidR="006D0778" w:rsidRPr="00AD7E7D" w:rsidRDefault="006D0778" w:rsidP="006D0778">
      <w:pPr>
        <w:widowControl w:val="0"/>
        <w:rPr>
          <w:rFonts w:eastAsia="Calibri" w:cs="Times New Roman"/>
          <w:spacing w:val="2"/>
          <w:szCs w:val="24"/>
          <w:lang w:eastAsia="ja-JP"/>
        </w:rPr>
      </w:pPr>
      <w:r w:rsidRPr="00AD7E7D">
        <w:rPr>
          <w:rFonts w:eastAsia="Calibri" w:cs="Times New Roman"/>
          <w:spacing w:val="2"/>
          <w:szCs w:val="24"/>
          <w:lang w:eastAsia="ja-JP"/>
        </w:rPr>
        <w:t>Како је у 2023. години фискални оквир сектора државе проширен за сопствена средства здравствених установа и средњих школа, а процењени ниво расхода за запослене из тих средстава је 0,2% БДП, п</w:t>
      </w:r>
      <w:r w:rsidRPr="00AD7E7D">
        <w:rPr>
          <w:rFonts w:eastAsia="Calibri" w:cs="Times New Roman"/>
          <w:bCs/>
          <w:spacing w:val="2"/>
          <w:szCs w:val="24"/>
          <w:lang w:eastAsia="ja-JP"/>
        </w:rPr>
        <w:t>роширивање обухвата сектора државе, по овом основу, имплицира корекцију максималног лимита за расходе запослених у сектору државе на 10,2% БДП.</w:t>
      </w:r>
    </w:p>
    <w:p w14:paraId="6F37F1EA" w14:textId="77777777" w:rsidR="006D0778" w:rsidRPr="00AD7E7D" w:rsidRDefault="006D0778" w:rsidP="006D0778">
      <w:pPr>
        <w:widowControl w:val="0"/>
        <w:rPr>
          <w:rFonts w:eastAsia="Calibri" w:cs="Times New Roman"/>
          <w:szCs w:val="24"/>
          <w:lang w:eastAsia="ja-JP"/>
        </w:rPr>
      </w:pPr>
      <w:r w:rsidRPr="00AD7E7D">
        <w:rPr>
          <w:rFonts w:eastAsia="Calibri" w:cs="Times New Roman"/>
          <w:szCs w:val="24"/>
          <w:lang w:eastAsia="ja-JP"/>
        </w:rPr>
        <w:t>У 2024. години обухват сектора државе се додатно проширио за један број ванбуџетских корисника (јавнe агенцијe, институти и други ентитети), те је и максимални лимит за расходе запослених у сектору државе подигнут на 10,4%, с обзиром да је ниво зарада у овим институцијама око 0,2% БДП. Укључивање преосталих сопствених прихода и расхода индиректних корисника републичког буџета у обухват</w:t>
      </w:r>
      <w:r w:rsidR="002B1F9D" w:rsidRPr="00AD7E7D">
        <w:rPr>
          <w:rFonts w:eastAsia="Calibri" w:cs="Times New Roman"/>
          <w:szCs w:val="24"/>
          <w:lang w:eastAsia="ja-JP"/>
        </w:rPr>
        <w:t xml:space="preserve"> сектора државе у 2025. години </w:t>
      </w:r>
      <w:r w:rsidRPr="00AD7E7D">
        <w:rPr>
          <w:rFonts w:eastAsia="Calibri" w:cs="Times New Roman"/>
          <w:szCs w:val="24"/>
          <w:lang w:eastAsia="ja-JP"/>
        </w:rPr>
        <w:t xml:space="preserve">доводи до подизања лимита за расходе запослених на 10,6% БДП, с обзиром да је учешће расхода за запосленe исплаћених из сопствених прихода око 0,2% БДП. С обзиром на то маса зарада у сектору државе ће достићи нешто виши ниво, него ове године. </w:t>
      </w:r>
    </w:p>
    <w:p w14:paraId="50488928" w14:textId="77777777" w:rsidR="006D0778" w:rsidRPr="00AD7E7D" w:rsidRDefault="006D0778" w:rsidP="006D0778">
      <w:pPr>
        <w:widowControl w:val="0"/>
        <w:rPr>
          <w:rFonts w:eastAsia="Calibri" w:cs="Times New Roman"/>
          <w:szCs w:val="24"/>
          <w:lang w:eastAsia="ja-JP"/>
        </w:rPr>
      </w:pPr>
      <w:r w:rsidRPr="00AD7E7D">
        <w:rPr>
          <w:rFonts w:eastAsia="Calibri" w:cs="Times New Roman"/>
          <w:szCs w:val="24"/>
          <w:lang w:eastAsia="ja-JP"/>
        </w:rPr>
        <w:t xml:space="preserve">Укључивање расхода из сопствених извора индиректних корисника ће утицати на издатке за робе и услуге. Процењује се да ће ефекат укључивања нових ентитета подићи </w:t>
      </w:r>
      <w:r w:rsidRPr="00AD7E7D">
        <w:rPr>
          <w:rFonts w:eastAsia="Calibri" w:cs="Times New Roman"/>
          <w:szCs w:val="24"/>
          <w:lang w:eastAsia="ja-JP"/>
        </w:rPr>
        <w:lastRenderedPageBreak/>
        <w:t xml:space="preserve">ниво ових расхода за око 0,4% БДП. У средњорочном периоду њиховo учешће у БДП се постепено смањује. </w:t>
      </w:r>
    </w:p>
    <w:p w14:paraId="09C293C8" w14:textId="77777777" w:rsidR="006D0778" w:rsidRPr="00AD7E7D" w:rsidRDefault="006D0778" w:rsidP="006D0778">
      <w:pPr>
        <w:rPr>
          <w:rFonts w:eastAsia="Calibri" w:cs="Times New Roman"/>
          <w:szCs w:val="24"/>
          <w:lang w:eastAsia="ja-JP"/>
        </w:rPr>
      </w:pPr>
      <w:r w:rsidRPr="00AD7E7D">
        <w:rPr>
          <w:rFonts w:eastAsia="Calibri" w:cs="Times New Roman"/>
          <w:szCs w:val="24"/>
          <w:lang w:eastAsia="ja-JP"/>
        </w:rPr>
        <w:t>Социјална помоћ и трансфери становништву представљају највећу расходну категорију буџета државе. Највећа појединачна ставка ове групе расхода, а уједно и највећа ставка свих расхода, су пензије. Од 2020. године закључно са 2022. годином, пензије су се усклађивале коришћењем „швајцарске формуле”, како би се истовремено обезбедио раст животног стандарда пензионера и одрживост пензионог и система јавних финансија. „Швајцарска формула” подразумева индексацију, односно увећање пензија једнако збиру половине стопе раста просечне зараде и половине стопе раста потрошачких цена. Од 2023. године примењује се другачији начин индексације пензија, односно, усклађивање пензија узима у обзир и учешће пензија у БДП, како би се додатно заштитио животни стандард пензионера. Индексација пензија, те њихово кретање, опредељује и путању кретања укупних расхода за трансфере становништву и социјалну заштиту кад је реч о учешћу у БДП. У 2024.години пензије су индексиране растом зарада, а у 2025. години ће се применити швајцарска формула. Остали облици социјалних давања и трансфера становништву у наредном периоду усклађиваће се применом прописане индексације, текућих и планираних измена политика у овој области и пројектованим бројем корисника.</w:t>
      </w:r>
    </w:p>
    <w:p w14:paraId="08AC27BE" w14:textId="77777777" w:rsidR="006D0778" w:rsidRPr="00AD7E7D" w:rsidRDefault="006D0778" w:rsidP="006D0778">
      <w:pPr>
        <w:rPr>
          <w:rFonts w:eastAsia="Calibri" w:cs="Times New Roman"/>
          <w:szCs w:val="24"/>
          <w:lang w:eastAsia="ja-JP"/>
        </w:rPr>
      </w:pPr>
      <w:r w:rsidRPr="00AD7E7D">
        <w:rPr>
          <w:rFonts w:eastAsia="Calibri" w:cs="Times New Roman"/>
          <w:szCs w:val="24"/>
          <w:lang w:eastAsia="ja-JP"/>
        </w:rPr>
        <w:t>Током 2024. године бележи се привремени раст субвенција у смислу учешћа у БДП, узрокован д</w:t>
      </w:r>
      <w:r w:rsidR="002B1F9D" w:rsidRPr="00AD7E7D">
        <w:rPr>
          <w:rFonts w:eastAsia="Calibri" w:cs="Times New Roman"/>
          <w:szCs w:val="24"/>
          <w:lang w:eastAsia="ja-JP"/>
        </w:rPr>
        <w:t xml:space="preserve">одатним субвенцијама намењеним </w:t>
      </w:r>
      <w:r w:rsidRPr="00AD7E7D">
        <w:rPr>
          <w:rFonts w:eastAsia="Calibri" w:cs="Times New Roman"/>
          <w:szCs w:val="24"/>
          <w:lang w:eastAsia="ja-JP"/>
        </w:rPr>
        <w:t>пољопривреди, енергетици и саобраћајној инфраструктури. За наредни средњорочни период, предвиђа се релативно непромењен номинални износ субвенција, док ће њихово учешће у БДП на крају 2027. године износити 2,2%.</w:t>
      </w:r>
    </w:p>
    <w:p w14:paraId="4F7D4D75" w14:textId="77777777" w:rsidR="006D0778" w:rsidRPr="00AD7E7D" w:rsidRDefault="006D0778" w:rsidP="006D0778">
      <w:pPr>
        <w:rPr>
          <w:rFonts w:eastAsia="Calibri" w:cs="Times New Roman"/>
          <w:szCs w:val="24"/>
          <w:lang w:eastAsia="ja-JP"/>
        </w:rPr>
      </w:pPr>
      <w:r w:rsidRPr="00AD7E7D">
        <w:rPr>
          <w:rFonts w:eastAsia="Calibri" w:cs="Times New Roman"/>
          <w:szCs w:val="24"/>
          <w:lang w:eastAsia="ja-JP"/>
        </w:rPr>
        <w:t xml:space="preserve">Категорије осталих текућих расхода чине различити издаци, као што су дотације удружењима, политичким странкама, верским и спортским организацијама, казне, накнада штете итд. У наредном периоду се очекује опадајући тренд ових расхода. </w:t>
      </w:r>
    </w:p>
    <w:p w14:paraId="15116C81" w14:textId="77777777" w:rsidR="006D0778" w:rsidRPr="00AD7E7D" w:rsidRDefault="006D0778" w:rsidP="006D0778">
      <w:pPr>
        <w:rPr>
          <w:rFonts w:eastAsia="Calibri" w:cs="Times New Roman"/>
          <w:szCs w:val="24"/>
          <w:lang w:eastAsia="ja-JP"/>
        </w:rPr>
      </w:pPr>
      <w:r w:rsidRPr="00AD7E7D">
        <w:rPr>
          <w:rFonts w:eastAsia="Calibri" w:cs="Times New Roman"/>
          <w:szCs w:val="24"/>
          <w:lang w:eastAsia="ja-JP"/>
        </w:rPr>
        <w:t xml:space="preserve">Током претходних година значајно је побољшана ефикасност извршења јавних инвестиција упркос проблемима које су проузроковали пандемија и енергетска криза. У наредном средњорочном периоду очекује се пораст нивоа улагања у јавну инфраструктуру, након одлуке да се изложба Експо одржи 2027. године у Београду и реализације програма </w:t>
      </w:r>
      <w:r w:rsidRPr="00AD7E7D">
        <w:rPr>
          <w:rFonts w:cs="Times New Roman"/>
          <w:bCs/>
          <w:szCs w:val="24"/>
        </w:rPr>
        <w:t>„Скок у будућност – Србија 2027”</w:t>
      </w:r>
      <w:r w:rsidRPr="00AD7E7D">
        <w:rPr>
          <w:rFonts w:eastAsia="Calibri" w:cs="Times New Roman"/>
          <w:szCs w:val="24"/>
          <w:lang w:eastAsia="ja-JP"/>
        </w:rPr>
        <w:t xml:space="preserve">. Најзначајнији радови су на путној, железничкој, комуналној и водној инфраструктури. Поред саобраћајне инфраструктуре обезбеђена су средства за додатна капитална улагања у здравству, енергетици, заштити животне средине, просвети, култури, одбрани и другим областима које представљају најважније функције државе. </w:t>
      </w:r>
    </w:p>
    <w:p w14:paraId="587C5306" w14:textId="77777777" w:rsidR="006D0778" w:rsidRPr="00AD7E7D" w:rsidRDefault="006D0778" w:rsidP="006D0778">
      <w:pPr>
        <w:rPr>
          <w:rFonts w:cs="Times New Roman"/>
          <w:szCs w:val="24"/>
        </w:rPr>
      </w:pPr>
      <w:r w:rsidRPr="00AD7E7D">
        <w:rPr>
          <w:rFonts w:eastAsia="Calibri" w:cs="Times New Roman"/>
          <w:szCs w:val="24"/>
          <w:lang w:eastAsia="ja-JP"/>
        </w:rPr>
        <w:t xml:space="preserve">Опште опредељење фискалне политике у средњем року јесте повећање улагања у инфраструктуру на свим нивоима власти. Кад је реч о локалном нивоу власти то се пре свега односи на улагања у водоводну и канализациону инфраструктуру, управљање отпадом, локалну путну инфраструктуру и </w:t>
      </w:r>
      <w:r w:rsidRPr="00AD7E7D">
        <w:rPr>
          <w:rFonts w:eastAsia="Calibri" w:cs="Times New Roman"/>
          <w:color w:val="323E4F" w:themeColor="text2" w:themeShade="BF"/>
          <w:szCs w:val="24"/>
          <w:lang w:eastAsia="ja-JP"/>
        </w:rPr>
        <w:t>друго.</w:t>
      </w:r>
    </w:p>
    <w:p w14:paraId="3489F5EE" w14:textId="77777777" w:rsidR="006D0778" w:rsidRPr="00AD7E7D" w:rsidRDefault="006D0778" w:rsidP="006D0778">
      <w:pPr>
        <w:rPr>
          <w:rFonts w:eastAsia="Calibri" w:cs="Times New Roman"/>
          <w:szCs w:val="24"/>
          <w:lang w:eastAsia="ja-JP"/>
        </w:rPr>
      </w:pPr>
      <w:r w:rsidRPr="00AD7E7D">
        <w:rPr>
          <w:rFonts w:eastAsia="Calibri" w:cs="Times New Roman"/>
          <w:szCs w:val="24"/>
          <w:lang w:eastAsia="ja-JP"/>
        </w:rPr>
        <w:t>У средњорочном фискалном оквиру, до краја 2027. године, пројектована је избалансирана укупна фискална позиција локалне самоуправе. То значи да у збиру сви градови и општине имају приближно избалансиран буџет. Пројекција је рађена на основу кретања у претходном периоду у коме су збирно ЈЛС најчешће биле у суфициту. Овакво стање на нивоу свих локалних самоуправа је последица раздуживања у претходном периоду. То не значи да појединачне ЈЛС не могу забележити дефицит (у складу са фискалним правилом), што зависи од фискалне позиције сваке појединачне општине и града.</w:t>
      </w:r>
    </w:p>
    <w:p w14:paraId="2BAC82C1" w14:textId="77777777" w:rsidR="006D0778" w:rsidRPr="00AD7E7D" w:rsidRDefault="006D0778" w:rsidP="006D0778">
      <w:pPr>
        <w:rPr>
          <w:rFonts w:eastAsia="Calibri" w:cs="Times New Roman"/>
          <w:szCs w:val="24"/>
          <w:lang w:eastAsia="ja-JP"/>
        </w:rPr>
      </w:pPr>
      <w:r w:rsidRPr="00AD7E7D">
        <w:rPr>
          <w:rFonts w:eastAsia="Calibri" w:cs="Times New Roman"/>
          <w:szCs w:val="24"/>
          <w:lang w:eastAsia="ja-JP"/>
        </w:rPr>
        <w:lastRenderedPageBreak/>
        <w:t>На кретање категорије буџетских позајмица највише су утицала средства намењена превазилажењу негативних последица енергетске кризе. У наредном периоду очекује се снижавање учешћа ове расходне категорије на 0,2% БДП.</w:t>
      </w:r>
    </w:p>
    <w:p w14:paraId="1420F10B" w14:textId="77777777" w:rsidR="006D0778" w:rsidRPr="00AD7E7D" w:rsidRDefault="006D0778" w:rsidP="006D0778">
      <w:pPr>
        <w:rPr>
          <w:rFonts w:eastAsia="Calibri" w:cs="Times New Roman"/>
          <w:szCs w:val="24"/>
          <w:lang w:eastAsia="ja-JP"/>
        </w:rPr>
      </w:pPr>
      <w:r w:rsidRPr="00AD7E7D">
        <w:rPr>
          <w:rFonts w:eastAsia="Calibri" w:cs="Times New Roman"/>
          <w:szCs w:val="24"/>
          <w:lang w:eastAsia="ja-JP"/>
        </w:rPr>
        <w:t>Отплата по основу издатих гаранција и плаћање гаранција по комерцијалним трансакцијама представљају обавезе по основу дуга јавних предузећа које је републички буџет преузео на себе, с обзиром да та предузећа нису могла самостално да их извршавају. У претходном периоду ови расходи су значајно смањени, а планом отплате предвиђено је да ће у 2027. години ови расходи износити 0,2% БДП на годишњем нивоу.</w:t>
      </w:r>
    </w:p>
    <w:p w14:paraId="4ECBFF0C" w14:textId="77777777" w:rsidR="006D0778" w:rsidRPr="00915EC2" w:rsidRDefault="00933940" w:rsidP="00010E52">
      <w:pPr>
        <w:pStyle w:val="Heading11"/>
        <w:spacing w:before="180" w:after="180"/>
        <w:rPr>
          <w:rFonts w:ascii="Times New Roman" w:hAnsi="Times New Roman" w:cs="Times New Roman"/>
          <w:color w:val="auto"/>
          <w:sz w:val="24"/>
          <w:szCs w:val="24"/>
          <w:lang w:val="sr-Latn-RS"/>
        </w:rPr>
      </w:pPr>
      <w:bookmarkStart w:id="24" w:name="_Toc185342336"/>
      <w:r w:rsidRPr="00915EC2">
        <w:rPr>
          <w:rFonts w:ascii="Times New Roman" w:hAnsi="Times New Roman" w:cs="Times New Roman"/>
          <w:color w:val="auto"/>
          <w:sz w:val="24"/>
          <w:szCs w:val="24"/>
          <w:lang w:val="sr-Latn-RS"/>
        </w:rPr>
        <w:t>4.</w:t>
      </w:r>
      <w:r w:rsidR="006D0778" w:rsidRPr="00915EC2">
        <w:rPr>
          <w:rFonts w:ascii="Times New Roman" w:hAnsi="Times New Roman" w:cs="Times New Roman"/>
          <w:color w:val="auto"/>
          <w:sz w:val="24"/>
          <w:szCs w:val="24"/>
          <w:lang w:val="sr-Latn-RS"/>
        </w:rPr>
        <w:t>4. ЦИКЛИЧНО ПРИЛАГОЂЕНИ ФИСКАЛНИ БИЛАНС</w:t>
      </w:r>
      <w:bookmarkEnd w:id="24"/>
    </w:p>
    <w:p w14:paraId="03045737" w14:textId="77777777" w:rsidR="006D0778" w:rsidRPr="00AD7E7D" w:rsidRDefault="006D0778" w:rsidP="006D0778">
      <w:pPr>
        <w:rPr>
          <w:rFonts w:eastAsia="MS PGothic" w:cs="Times New Roman"/>
          <w:szCs w:val="24"/>
          <w:lang w:val="sr-Cyrl-RS" w:eastAsia="ja-JP"/>
        </w:rPr>
      </w:pPr>
      <w:r w:rsidRPr="00AD7E7D">
        <w:rPr>
          <w:rFonts w:eastAsia="MS PGothic" w:cs="Times New Roman"/>
          <w:szCs w:val="24"/>
          <w:lang w:val="sr-Cyrl-RS" w:eastAsia="ja-JP"/>
        </w:rPr>
        <w:t>Циклично прилагођени фискални биланс је фискални биланс из кога је искључен изоловани утицај привредног циклуса, а идентитет од кога се полази је следећи</w:t>
      </w:r>
      <w:r w:rsidRPr="00AD7E7D">
        <w:rPr>
          <w:rFonts w:eastAsia="MS PGothic" w:cs="Times New Roman"/>
          <w:szCs w:val="24"/>
          <w:vertAlign w:val="superscript"/>
          <w:lang w:val="sr-Cyrl-RS" w:eastAsia="ja-JP"/>
        </w:rPr>
        <w:footnoteReference w:id="8"/>
      </w:r>
      <w:r w:rsidRPr="00AD7E7D">
        <w:rPr>
          <w:rFonts w:eastAsia="MS PGothic" w:cs="Times New Roman"/>
          <w:szCs w:val="24"/>
          <w:lang w:val="sr-Cyrl-RS" w:eastAsia="ja-JP"/>
        </w:rPr>
        <w:t>:</w:t>
      </w:r>
    </w:p>
    <w:p w14:paraId="58928304" w14:textId="77777777" w:rsidR="006D0778" w:rsidRPr="00AD7E7D" w:rsidRDefault="006D0778" w:rsidP="006D0778">
      <w:pPr>
        <w:jc w:val="center"/>
        <w:rPr>
          <w:rFonts w:eastAsia="MS PGothic" w:cs="Times New Roman"/>
          <w:szCs w:val="24"/>
          <w:lang w:val="sr-Cyrl-RS" w:eastAsia="ja-JP"/>
        </w:rPr>
      </w:pPr>
      <w:r w:rsidRPr="00AD7E7D">
        <w:rPr>
          <w:rFonts w:eastAsia="MS PGothic" w:cs="Times New Roman"/>
          <w:szCs w:val="24"/>
          <w:lang w:val="sr-Cyrl-RS" w:eastAsia="ja-JP"/>
        </w:rPr>
        <w:t>FB = CB + CAB</w:t>
      </w:r>
    </w:p>
    <w:p w14:paraId="07B9067A" w14:textId="77777777" w:rsidR="006D0778" w:rsidRPr="00AD7E7D" w:rsidRDefault="006D0778" w:rsidP="006D0778">
      <w:pPr>
        <w:rPr>
          <w:rFonts w:eastAsia="MS PGothic" w:cs="Times New Roman"/>
          <w:szCs w:val="24"/>
          <w:lang w:val="sr-Cyrl-RS" w:eastAsia="ja-JP"/>
        </w:rPr>
      </w:pPr>
      <w:r w:rsidRPr="00AD7E7D">
        <w:rPr>
          <w:rFonts w:eastAsia="MS PGothic" w:cs="Times New Roman"/>
          <w:szCs w:val="24"/>
          <w:lang w:val="sr-Cyrl-RS" w:eastAsia="ja-JP"/>
        </w:rPr>
        <w:t>Део фискалног биланса (FB)</w:t>
      </w:r>
      <w:r w:rsidRPr="00AD7E7D">
        <w:rPr>
          <w:rFonts w:eastAsia="MS PGothic" w:cs="Times New Roman"/>
          <w:i/>
          <w:szCs w:val="24"/>
          <w:lang w:val="sr-Cyrl-RS" w:eastAsia="ja-JP"/>
        </w:rPr>
        <w:t xml:space="preserve"> </w:t>
      </w:r>
      <w:r w:rsidRPr="00AD7E7D">
        <w:rPr>
          <w:rFonts w:eastAsia="MS PGothic" w:cs="Times New Roman"/>
          <w:szCs w:val="24"/>
          <w:lang w:val="sr-Cyrl-RS" w:eastAsia="ja-JP"/>
        </w:rPr>
        <w:t>који није под утицајем цикличних флуктуација назива се циклично прилагођени фискални биланс (CAB),</w:t>
      </w:r>
      <w:r w:rsidRPr="00AD7E7D">
        <w:rPr>
          <w:rFonts w:eastAsia="MS PGothic" w:cs="Times New Roman"/>
          <w:i/>
          <w:szCs w:val="24"/>
          <w:lang w:val="sr-Cyrl-RS" w:eastAsia="ja-JP"/>
        </w:rPr>
        <w:t xml:space="preserve"> </w:t>
      </w:r>
      <w:r w:rsidRPr="00AD7E7D">
        <w:rPr>
          <w:rFonts w:eastAsia="MS PGothic" w:cs="Times New Roman"/>
          <w:szCs w:val="24"/>
          <w:lang w:val="sr-Cyrl-RS" w:eastAsia="ja-JP"/>
        </w:rPr>
        <w:t>а циљ ове процедуре је изоловање цикличне компоненте фискалног биланса (CB) која је резултат дејства производног јаза. Стварни фискални биланс биће једнак циклично прилагођеном у случају да је производни јаз једнак нули, тј. ако је стопа раста реалног БДП једнака потенцијалној. Структурни фискални биланс се даље рачунски добија елиминацијом једнократних ефеката на приходној и расходној страни, и тако показује структурну (трајну) фискалну позицију.</w:t>
      </w:r>
    </w:p>
    <w:p w14:paraId="603A2E84" w14:textId="77777777" w:rsidR="006D0778" w:rsidRPr="00AD7E7D" w:rsidRDefault="006D0778" w:rsidP="006D0778">
      <w:pPr>
        <w:rPr>
          <w:rFonts w:eastAsia="MS PGothic" w:cs="Times New Roman"/>
          <w:szCs w:val="24"/>
          <w:lang w:val="sr-Cyrl-RS" w:eastAsia="ja-JP"/>
        </w:rPr>
      </w:pPr>
      <w:r w:rsidRPr="00AD7E7D">
        <w:rPr>
          <w:rFonts w:eastAsia="MS PGothic" w:cs="Times New Roman"/>
          <w:szCs w:val="24"/>
          <w:lang w:val="sr-Cyrl-RS" w:eastAsia="ja-JP"/>
        </w:rPr>
        <w:t>Фискални простор креиран у претходном периоду и значајно структурно унапређена фискална позиција земље, омогућили су релаксацију фискалне политике у кризним временима.</w:t>
      </w:r>
    </w:p>
    <w:p w14:paraId="331760A3" w14:textId="77777777" w:rsidR="006D0778" w:rsidRPr="00AD7E7D" w:rsidRDefault="006D0778" w:rsidP="006D0778">
      <w:pPr>
        <w:rPr>
          <w:rFonts w:eastAsia="MS PGothic" w:cs="Times New Roman"/>
          <w:szCs w:val="24"/>
          <w:lang w:val="sr-Cyrl-RS" w:eastAsia="ja-JP"/>
        </w:rPr>
      </w:pPr>
      <w:r w:rsidRPr="00AD7E7D">
        <w:rPr>
          <w:rFonts w:eastAsia="MS PGothic" w:cs="Times New Roman"/>
          <w:szCs w:val="24"/>
          <w:lang w:val="sr-Cyrl-RS" w:eastAsia="ja-JP"/>
        </w:rPr>
        <w:t>Избијањем пандемије COVID-19 почетком 2020. године и увођењем мера за здравствену заштиту становништва, глобална економија је ушла у кризу без преседана. Утицај на фискалну позицију је био видљив кроз смањене прихода буџета, који су последица успоравања економске активности услед пандемије, и драматично већих расхода условљених већим трошковима здравствене заштите и доношењем обимног пакета помоћи привреди и грађанима. У таквој ситуацији, уобичајена анализа привредног циклуса, квантификација фискалних мултипликатора и оцена еластичности фискалног баланса у односу на производни јаз не даје сасвим коректне оцене фискалне позиције земље. Одговор фискалне политике на сложену економску ситуацију узроковану пандемијом коронавируса у 2020. и 2021. години, представљен је опсежним пакетом мера помоћи привреди. У случају одсуства мера подршке привреди и становништву благ пад БДП у 2020. години и снажан опоравак током 2021. године би изостао, а већа контракција привреде би утицала на знатно спорији опоравак у наредном средњорочном периоду.</w:t>
      </w:r>
    </w:p>
    <w:p w14:paraId="22E30929" w14:textId="77777777" w:rsidR="006D0778" w:rsidRDefault="006D0778" w:rsidP="006D0778">
      <w:pPr>
        <w:rPr>
          <w:rFonts w:cs="Times New Roman"/>
          <w:szCs w:val="24"/>
          <w:lang w:val="sr-Latn-RS"/>
        </w:rPr>
      </w:pPr>
    </w:p>
    <w:p w14:paraId="7AE3295B" w14:textId="77777777" w:rsidR="00010E52" w:rsidRDefault="00010E52" w:rsidP="006D0778">
      <w:pPr>
        <w:rPr>
          <w:rFonts w:cs="Times New Roman"/>
          <w:szCs w:val="24"/>
          <w:lang w:val="sr-Latn-RS"/>
        </w:rPr>
      </w:pPr>
    </w:p>
    <w:p w14:paraId="77B6827D" w14:textId="77777777" w:rsidR="00010E52" w:rsidRDefault="00010E52" w:rsidP="006D0778">
      <w:pPr>
        <w:rPr>
          <w:rFonts w:cs="Times New Roman"/>
          <w:szCs w:val="24"/>
          <w:lang w:val="sr-Latn-RS"/>
        </w:rPr>
      </w:pPr>
    </w:p>
    <w:p w14:paraId="2FB8EE1F" w14:textId="77777777" w:rsidR="00010E52" w:rsidRPr="00AD7E7D" w:rsidRDefault="00010E52" w:rsidP="006D0778">
      <w:pPr>
        <w:rPr>
          <w:rFonts w:cs="Times New Roman"/>
          <w:szCs w:val="24"/>
          <w:lang w:val="sr-Latn-RS"/>
        </w:rPr>
      </w:pPr>
    </w:p>
    <w:p w14:paraId="6493E6B6" w14:textId="77777777" w:rsidR="006D0778" w:rsidRPr="00010E52" w:rsidRDefault="006D0778" w:rsidP="006D0778">
      <w:pPr>
        <w:rPr>
          <w:rFonts w:eastAsia="MS PGothic" w:cs="Times New Roman"/>
          <w:bCs/>
          <w:i/>
          <w:szCs w:val="24"/>
          <w:lang w:val="sr-Cyrl-RS"/>
        </w:rPr>
      </w:pPr>
      <w:r w:rsidRPr="00010E52">
        <w:rPr>
          <w:rFonts w:eastAsia="MS PGothic" w:cs="Times New Roman"/>
          <w:bCs/>
          <w:i/>
          <w:szCs w:val="24"/>
          <w:lang w:val="sr-Cyrl-RS"/>
        </w:rPr>
        <w:lastRenderedPageBreak/>
        <w:t>Табела 10. Фискални биланс и компоненте за обрачун циклично прилагођеног биланса у периоду 2005–2026. године, % БДП*</w:t>
      </w:r>
    </w:p>
    <w:tbl>
      <w:tblPr>
        <w:tblStyle w:val="PlainTable2"/>
        <w:tblW w:w="0" w:type="auto"/>
        <w:jc w:val="center"/>
        <w:tblLook w:val="04A0" w:firstRow="1" w:lastRow="0" w:firstColumn="1" w:lastColumn="0" w:noHBand="0" w:noVBand="1"/>
      </w:tblPr>
      <w:tblGrid>
        <w:gridCol w:w="709"/>
        <w:gridCol w:w="1049"/>
        <w:gridCol w:w="899"/>
        <w:gridCol w:w="969"/>
        <w:gridCol w:w="1132"/>
        <w:gridCol w:w="1160"/>
        <w:gridCol w:w="1080"/>
        <w:gridCol w:w="1108"/>
        <w:gridCol w:w="920"/>
      </w:tblGrid>
      <w:tr w:rsidR="006D0778" w:rsidRPr="00AD7E7D" w14:paraId="2FB641FE" w14:textId="77777777" w:rsidTr="006D0778">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14:paraId="1906D0F3" w14:textId="77777777" w:rsidR="006D0778" w:rsidRPr="00010E52" w:rsidRDefault="006D0778" w:rsidP="006D0778">
            <w:pPr>
              <w:jc w:val="center"/>
              <w:rPr>
                <w:rFonts w:eastAsia="Times New Roman" w:cs="Times New Roman"/>
                <w:sz w:val="16"/>
                <w:szCs w:val="16"/>
              </w:rPr>
            </w:pPr>
          </w:p>
        </w:tc>
        <w:tc>
          <w:tcPr>
            <w:tcW w:w="919" w:type="dxa"/>
            <w:vAlign w:val="center"/>
            <w:hideMark/>
          </w:tcPr>
          <w:p w14:paraId="358AC548" w14:textId="77777777" w:rsidR="006D0778" w:rsidRPr="00010E52" w:rsidRDefault="006D0778" w:rsidP="006D077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6"/>
                <w:szCs w:val="16"/>
              </w:rPr>
            </w:pPr>
            <w:r w:rsidRPr="00010E52">
              <w:rPr>
                <w:rFonts w:eastAsia="Times New Roman" w:cs="Times New Roman"/>
                <w:b w:val="0"/>
                <w:sz w:val="16"/>
                <w:szCs w:val="16"/>
              </w:rPr>
              <w:t>Производни јаз</w:t>
            </w:r>
          </w:p>
        </w:tc>
        <w:tc>
          <w:tcPr>
            <w:tcW w:w="0" w:type="auto"/>
            <w:vAlign w:val="center"/>
            <w:hideMark/>
          </w:tcPr>
          <w:p w14:paraId="27BF2E2E" w14:textId="77777777" w:rsidR="006D0778" w:rsidRPr="00010E52" w:rsidRDefault="006D0778" w:rsidP="006D077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6"/>
                <w:szCs w:val="16"/>
              </w:rPr>
            </w:pPr>
            <w:r w:rsidRPr="00010E52">
              <w:rPr>
                <w:rFonts w:eastAsia="Times New Roman" w:cs="Times New Roman"/>
                <w:b w:val="0"/>
                <w:sz w:val="16"/>
                <w:szCs w:val="16"/>
              </w:rPr>
              <w:t xml:space="preserve">Фискални </w:t>
            </w:r>
            <w:r w:rsidRPr="00010E52">
              <w:rPr>
                <w:rFonts w:eastAsia="Times New Roman" w:cs="Times New Roman"/>
                <w:b w:val="0"/>
                <w:sz w:val="16"/>
                <w:szCs w:val="16"/>
              </w:rPr>
              <w:br/>
              <w:t>биланс</w:t>
            </w:r>
          </w:p>
        </w:tc>
        <w:tc>
          <w:tcPr>
            <w:tcW w:w="0" w:type="auto"/>
            <w:vAlign w:val="center"/>
            <w:hideMark/>
          </w:tcPr>
          <w:p w14:paraId="6C5B5813" w14:textId="77777777" w:rsidR="006D0778" w:rsidRPr="00010E52" w:rsidRDefault="006D0778" w:rsidP="006D077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6"/>
                <w:szCs w:val="16"/>
              </w:rPr>
            </w:pPr>
            <w:r w:rsidRPr="00010E52">
              <w:rPr>
                <w:rFonts w:eastAsia="Times New Roman" w:cs="Times New Roman"/>
                <w:b w:val="0"/>
                <w:sz w:val="16"/>
                <w:szCs w:val="16"/>
              </w:rPr>
              <w:t>Примарни фискални биланс</w:t>
            </w:r>
          </w:p>
        </w:tc>
        <w:tc>
          <w:tcPr>
            <w:tcW w:w="0" w:type="auto"/>
            <w:vAlign w:val="center"/>
            <w:hideMark/>
          </w:tcPr>
          <w:p w14:paraId="074EC80B" w14:textId="77777777" w:rsidR="006D0778" w:rsidRPr="00010E52" w:rsidRDefault="006D0778" w:rsidP="006D077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6"/>
                <w:szCs w:val="16"/>
              </w:rPr>
            </w:pPr>
            <w:r w:rsidRPr="00010E52">
              <w:rPr>
                <w:rFonts w:eastAsia="Times New Roman" w:cs="Times New Roman"/>
                <w:b w:val="0"/>
                <w:sz w:val="16"/>
                <w:szCs w:val="16"/>
              </w:rPr>
              <w:t xml:space="preserve">Циклично </w:t>
            </w:r>
            <w:r w:rsidRPr="00010E52">
              <w:rPr>
                <w:rFonts w:eastAsia="Times New Roman" w:cs="Times New Roman"/>
                <w:b w:val="0"/>
                <w:sz w:val="16"/>
                <w:szCs w:val="16"/>
              </w:rPr>
              <w:br/>
              <w:t>прилагођени</w:t>
            </w:r>
            <w:r w:rsidR="00CF6476" w:rsidRPr="00010E52">
              <w:rPr>
                <w:rFonts w:eastAsia="Times New Roman" w:cs="Times New Roman"/>
                <w:b w:val="0"/>
                <w:sz w:val="16"/>
                <w:szCs w:val="16"/>
              </w:rPr>
              <w:t xml:space="preserve"> </w:t>
            </w:r>
            <w:r w:rsidRPr="00010E52">
              <w:rPr>
                <w:rFonts w:eastAsia="Times New Roman" w:cs="Times New Roman"/>
                <w:b w:val="0"/>
                <w:sz w:val="16"/>
                <w:szCs w:val="16"/>
              </w:rPr>
              <w:t>фискални биланс</w:t>
            </w:r>
          </w:p>
        </w:tc>
        <w:tc>
          <w:tcPr>
            <w:tcW w:w="0" w:type="auto"/>
            <w:vAlign w:val="center"/>
            <w:hideMark/>
          </w:tcPr>
          <w:p w14:paraId="745CFA47" w14:textId="77777777" w:rsidR="006D0778" w:rsidRPr="00010E52" w:rsidRDefault="006D0778" w:rsidP="006D077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6"/>
                <w:szCs w:val="16"/>
              </w:rPr>
            </w:pPr>
            <w:r w:rsidRPr="00010E52">
              <w:rPr>
                <w:rFonts w:eastAsia="Times New Roman" w:cs="Times New Roman"/>
                <w:b w:val="0"/>
                <w:sz w:val="16"/>
                <w:szCs w:val="16"/>
              </w:rPr>
              <w:t xml:space="preserve">Циклично </w:t>
            </w:r>
            <w:r w:rsidRPr="00010E52">
              <w:rPr>
                <w:rFonts w:eastAsia="Times New Roman" w:cs="Times New Roman"/>
                <w:b w:val="0"/>
                <w:sz w:val="16"/>
                <w:szCs w:val="16"/>
              </w:rPr>
              <w:br/>
              <w:t>прилагођени примарни фискални биланс</w:t>
            </w:r>
          </w:p>
        </w:tc>
        <w:tc>
          <w:tcPr>
            <w:tcW w:w="0" w:type="auto"/>
            <w:vAlign w:val="center"/>
            <w:hideMark/>
          </w:tcPr>
          <w:p w14:paraId="2DFA5D0C" w14:textId="77777777" w:rsidR="006D0778" w:rsidRPr="00010E52" w:rsidRDefault="006D0778" w:rsidP="006D077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6"/>
                <w:szCs w:val="16"/>
              </w:rPr>
            </w:pPr>
            <w:r w:rsidRPr="00010E52">
              <w:rPr>
                <w:rFonts w:eastAsia="Times New Roman" w:cs="Times New Roman"/>
                <w:b w:val="0"/>
                <w:sz w:val="16"/>
                <w:szCs w:val="16"/>
              </w:rPr>
              <w:t>Структурни</w:t>
            </w:r>
            <w:r w:rsidR="00CF6476" w:rsidRPr="00010E52">
              <w:rPr>
                <w:rFonts w:eastAsia="Times New Roman" w:cs="Times New Roman"/>
                <w:b w:val="0"/>
                <w:sz w:val="16"/>
                <w:szCs w:val="16"/>
              </w:rPr>
              <w:t xml:space="preserve"> </w:t>
            </w:r>
            <w:r w:rsidRPr="00010E52">
              <w:rPr>
                <w:rFonts w:eastAsia="Times New Roman" w:cs="Times New Roman"/>
                <w:b w:val="0"/>
                <w:sz w:val="16"/>
                <w:szCs w:val="16"/>
              </w:rPr>
              <w:t>фискални биланс</w:t>
            </w:r>
          </w:p>
        </w:tc>
        <w:tc>
          <w:tcPr>
            <w:tcW w:w="0" w:type="auto"/>
            <w:vAlign w:val="center"/>
            <w:hideMark/>
          </w:tcPr>
          <w:p w14:paraId="78D05485" w14:textId="77777777" w:rsidR="006D0778" w:rsidRPr="00010E52" w:rsidRDefault="006D0778" w:rsidP="006D077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6"/>
                <w:szCs w:val="16"/>
              </w:rPr>
            </w:pPr>
            <w:r w:rsidRPr="00010E52">
              <w:rPr>
                <w:rFonts w:eastAsia="Times New Roman" w:cs="Times New Roman"/>
                <w:b w:val="0"/>
                <w:sz w:val="16"/>
                <w:szCs w:val="16"/>
              </w:rPr>
              <w:t>Структурни примарни фискални биланс</w:t>
            </w:r>
          </w:p>
        </w:tc>
        <w:tc>
          <w:tcPr>
            <w:tcW w:w="0" w:type="auto"/>
            <w:vAlign w:val="center"/>
            <w:hideMark/>
          </w:tcPr>
          <w:p w14:paraId="6B47773D" w14:textId="77777777" w:rsidR="006D0778" w:rsidRPr="00010E52" w:rsidRDefault="006D0778" w:rsidP="006D0778">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6"/>
                <w:szCs w:val="16"/>
              </w:rPr>
            </w:pPr>
            <w:r w:rsidRPr="00010E52">
              <w:rPr>
                <w:rFonts w:eastAsia="Times New Roman" w:cs="Times New Roman"/>
                <w:b w:val="0"/>
                <w:sz w:val="16"/>
                <w:szCs w:val="16"/>
              </w:rPr>
              <w:t>Фискални импулс</w:t>
            </w:r>
          </w:p>
        </w:tc>
      </w:tr>
      <w:tr w:rsidR="006D0778" w:rsidRPr="00AD7E7D" w14:paraId="5A40571B" w14:textId="77777777" w:rsidTr="006D077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7E0E7739" w14:textId="77777777" w:rsidR="006D0778" w:rsidRPr="00AD7E7D" w:rsidRDefault="006D0778" w:rsidP="006D0778">
            <w:pPr>
              <w:jc w:val="left"/>
              <w:rPr>
                <w:rFonts w:eastAsia="Times New Roman" w:cs="Times New Roman"/>
                <w:szCs w:val="24"/>
              </w:rPr>
            </w:pPr>
            <w:r w:rsidRPr="00AD7E7D">
              <w:rPr>
                <w:rFonts w:eastAsia="Times New Roman" w:cs="Times New Roman"/>
                <w:szCs w:val="24"/>
              </w:rPr>
              <w:t>2005</w:t>
            </w:r>
          </w:p>
        </w:tc>
        <w:tc>
          <w:tcPr>
            <w:tcW w:w="919" w:type="dxa"/>
            <w:hideMark/>
          </w:tcPr>
          <w:p w14:paraId="0C00D0A1"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0,0</w:t>
            </w:r>
          </w:p>
        </w:tc>
        <w:tc>
          <w:tcPr>
            <w:tcW w:w="0" w:type="auto"/>
            <w:hideMark/>
          </w:tcPr>
          <w:p w14:paraId="16505AFA"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1,1</w:t>
            </w:r>
          </w:p>
        </w:tc>
        <w:tc>
          <w:tcPr>
            <w:tcW w:w="0" w:type="auto"/>
            <w:hideMark/>
          </w:tcPr>
          <w:p w14:paraId="23BEDBEC"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2,0</w:t>
            </w:r>
          </w:p>
        </w:tc>
        <w:tc>
          <w:tcPr>
            <w:tcW w:w="0" w:type="auto"/>
            <w:noWrap/>
            <w:hideMark/>
          </w:tcPr>
          <w:p w14:paraId="6C07C1ED"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1,1</w:t>
            </w:r>
          </w:p>
        </w:tc>
        <w:tc>
          <w:tcPr>
            <w:tcW w:w="0" w:type="auto"/>
            <w:hideMark/>
          </w:tcPr>
          <w:p w14:paraId="00A78F19"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2,0</w:t>
            </w:r>
          </w:p>
        </w:tc>
        <w:tc>
          <w:tcPr>
            <w:tcW w:w="0" w:type="auto"/>
            <w:noWrap/>
            <w:hideMark/>
          </w:tcPr>
          <w:p w14:paraId="37295812"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1,3</w:t>
            </w:r>
          </w:p>
        </w:tc>
        <w:tc>
          <w:tcPr>
            <w:tcW w:w="0" w:type="auto"/>
            <w:noWrap/>
            <w:hideMark/>
          </w:tcPr>
          <w:p w14:paraId="482487E7"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2,2</w:t>
            </w:r>
          </w:p>
        </w:tc>
        <w:tc>
          <w:tcPr>
            <w:tcW w:w="0" w:type="auto"/>
            <w:noWrap/>
            <w:hideMark/>
          </w:tcPr>
          <w:p w14:paraId="3C7E744C"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 </w:t>
            </w:r>
          </w:p>
        </w:tc>
      </w:tr>
      <w:tr w:rsidR="006D0778" w:rsidRPr="00AD7E7D" w14:paraId="38351E28" w14:textId="77777777" w:rsidTr="006D0778">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715A9C4B" w14:textId="77777777" w:rsidR="006D0778" w:rsidRPr="00AD7E7D" w:rsidRDefault="006D0778" w:rsidP="006D0778">
            <w:pPr>
              <w:jc w:val="left"/>
              <w:rPr>
                <w:rFonts w:eastAsia="Times New Roman" w:cs="Times New Roman"/>
                <w:szCs w:val="24"/>
              </w:rPr>
            </w:pPr>
            <w:r w:rsidRPr="00AD7E7D">
              <w:rPr>
                <w:rFonts w:eastAsia="Times New Roman" w:cs="Times New Roman"/>
                <w:szCs w:val="24"/>
              </w:rPr>
              <w:t>2006</w:t>
            </w:r>
          </w:p>
        </w:tc>
        <w:tc>
          <w:tcPr>
            <w:tcW w:w="919" w:type="dxa"/>
            <w:hideMark/>
          </w:tcPr>
          <w:p w14:paraId="3C2AE241"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-3,3</w:t>
            </w:r>
          </w:p>
        </w:tc>
        <w:tc>
          <w:tcPr>
            <w:tcW w:w="0" w:type="auto"/>
            <w:hideMark/>
          </w:tcPr>
          <w:p w14:paraId="5436BEF0"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-1,4</w:t>
            </w:r>
          </w:p>
        </w:tc>
        <w:tc>
          <w:tcPr>
            <w:tcW w:w="0" w:type="auto"/>
            <w:hideMark/>
          </w:tcPr>
          <w:p w14:paraId="5347E988"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-0,1</w:t>
            </w:r>
          </w:p>
        </w:tc>
        <w:tc>
          <w:tcPr>
            <w:tcW w:w="0" w:type="auto"/>
            <w:noWrap/>
            <w:hideMark/>
          </w:tcPr>
          <w:p w14:paraId="08D6F946"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-0,2</w:t>
            </w:r>
          </w:p>
        </w:tc>
        <w:tc>
          <w:tcPr>
            <w:tcW w:w="0" w:type="auto"/>
            <w:hideMark/>
          </w:tcPr>
          <w:p w14:paraId="3A25B75D"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1,0</w:t>
            </w:r>
          </w:p>
        </w:tc>
        <w:tc>
          <w:tcPr>
            <w:tcW w:w="0" w:type="auto"/>
            <w:hideMark/>
          </w:tcPr>
          <w:p w14:paraId="53F848D2"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0,5</w:t>
            </w:r>
          </w:p>
        </w:tc>
        <w:tc>
          <w:tcPr>
            <w:tcW w:w="0" w:type="auto"/>
            <w:noWrap/>
            <w:hideMark/>
          </w:tcPr>
          <w:p w14:paraId="770E788D"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1,7</w:t>
            </w:r>
          </w:p>
        </w:tc>
        <w:tc>
          <w:tcPr>
            <w:tcW w:w="0" w:type="auto"/>
            <w:noWrap/>
            <w:hideMark/>
          </w:tcPr>
          <w:p w14:paraId="0133B861"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0,9</w:t>
            </w:r>
          </w:p>
        </w:tc>
      </w:tr>
      <w:tr w:rsidR="006D0778" w:rsidRPr="00AD7E7D" w14:paraId="409A64E5" w14:textId="77777777" w:rsidTr="006D077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68D2B1DB" w14:textId="77777777" w:rsidR="006D0778" w:rsidRPr="00AD7E7D" w:rsidRDefault="006D0778" w:rsidP="006D0778">
            <w:pPr>
              <w:jc w:val="left"/>
              <w:rPr>
                <w:rFonts w:eastAsia="Times New Roman" w:cs="Times New Roman"/>
                <w:szCs w:val="24"/>
              </w:rPr>
            </w:pPr>
            <w:r w:rsidRPr="00AD7E7D">
              <w:rPr>
                <w:rFonts w:eastAsia="Times New Roman" w:cs="Times New Roman"/>
                <w:szCs w:val="24"/>
              </w:rPr>
              <w:t>2007</w:t>
            </w:r>
          </w:p>
        </w:tc>
        <w:tc>
          <w:tcPr>
            <w:tcW w:w="919" w:type="dxa"/>
            <w:hideMark/>
          </w:tcPr>
          <w:p w14:paraId="75FE153E"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1,3</w:t>
            </w:r>
          </w:p>
        </w:tc>
        <w:tc>
          <w:tcPr>
            <w:tcW w:w="0" w:type="auto"/>
            <w:hideMark/>
          </w:tcPr>
          <w:p w14:paraId="2F81E0F0"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-1,7</w:t>
            </w:r>
          </w:p>
        </w:tc>
        <w:tc>
          <w:tcPr>
            <w:tcW w:w="0" w:type="auto"/>
            <w:hideMark/>
          </w:tcPr>
          <w:p w14:paraId="249F22F1"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-1,2</w:t>
            </w:r>
          </w:p>
        </w:tc>
        <w:tc>
          <w:tcPr>
            <w:tcW w:w="0" w:type="auto"/>
            <w:noWrap/>
            <w:hideMark/>
          </w:tcPr>
          <w:p w14:paraId="080C4388"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-2,2</w:t>
            </w:r>
          </w:p>
        </w:tc>
        <w:tc>
          <w:tcPr>
            <w:tcW w:w="0" w:type="auto"/>
            <w:hideMark/>
          </w:tcPr>
          <w:p w14:paraId="598772ED"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-1,7</w:t>
            </w:r>
          </w:p>
        </w:tc>
        <w:tc>
          <w:tcPr>
            <w:tcW w:w="0" w:type="auto"/>
            <w:hideMark/>
          </w:tcPr>
          <w:p w14:paraId="3C50C29E"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-1,9</w:t>
            </w:r>
          </w:p>
        </w:tc>
        <w:tc>
          <w:tcPr>
            <w:tcW w:w="0" w:type="auto"/>
            <w:noWrap/>
            <w:hideMark/>
          </w:tcPr>
          <w:p w14:paraId="0146FD0C"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-1,3</w:t>
            </w:r>
          </w:p>
        </w:tc>
        <w:tc>
          <w:tcPr>
            <w:tcW w:w="0" w:type="auto"/>
            <w:noWrap/>
            <w:hideMark/>
          </w:tcPr>
          <w:p w14:paraId="1B665A14"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2,7</w:t>
            </w:r>
          </w:p>
        </w:tc>
      </w:tr>
      <w:tr w:rsidR="006D0778" w:rsidRPr="00AD7E7D" w14:paraId="2509AAB4" w14:textId="77777777" w:rsidTr="006D0778">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7E1D69EF" w14:textId="77777777" w:rsidR="006D0778" w:rsidRPr="00AD7E7D" w:rsidRDefault="006D0778" w:rsidP="006D0778">
            <w:pPr>
              <w:jc w:val="left"/>
              <w:rPr>
                <w:rFonts w:eastAsia="Times New Roman" w:cs="Times New Roman"/>
                <w:szCs w:val="24"/>
              </w:rPr>
            </w:pPr>
            <w:r w:rsidRPr="00AD7E7D">
              <w:rPr>
                <w:rFonts w:eastAsia="Times New Roman" w:cs="Times New Roman"/>
                <w:szCs w:val="24"/>
              </w:rPr>
              <w:t>2008</w:t>
            </w:r>
          </w:p>
        </w:tc>
        <w:tc>
          <w:tcPr>
            <w:tcW w:w="919" w:type="dxa"/>
            <w:hideMark/>
          </w:tcPr>
          <w:p w14:paraId="4975FBF2"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4,1</w:t>
            </w:r>
          </w:p>
        </w:tc>
        <w:tc>
          <w:tcPr>
            <w:tcW w:w="0" w:type="auto"/>
            <w:hideMark/>
          </w:tcPr>
          <w:p w14:paraId="4E4F5226"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-2,4</w:t>
            </w:r>
          </w:p>
        </w:tc>
        <w:tc>
          <w:tcPr>
            <w:tcW w:w="0" w:type="auto"/>
            <w:hideMark/>
          </w:tcPr>
          <w:p w14:paraId="540F5079"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-1,9</w:t>
            </w:r>
          </w:p>
        </w:tc>
        <w:tc>
          <w:tcPr>
            <w:tcW w:w="0" w:type="auto"/>
            <w:noWrap/>
            <w:hideMark/>
          </w:tcPr>
          <w:p w14:paraId="6A8F1589"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-3,9</w:t>
            </w:r>
          </w:p>
        </w:tc>
        <w:tc>
          <w:tcPr>
            <w:tcW w:w="0" w:type="auto"/>
            <w:hideMark/>
          </w:tcPr>
          <w:p w14:paraId="0E3A11F9"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-3,3</w:t>
            </w:r>
          </w:p>
        </w:tc>
        <w:tc>
          <w:tcPr>
            <w:tcW w:w="0" w:type="auto"/>
            <w:hideMark/>
          </w:tcPr>
          <w:p w14:paraId="64D031D4"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-3,9</w:t>
            </w:r>
          </w:p>
        </w:tc>
        <w:tc>
          <w:tcPr>
            <w:tcW w:w="0" w:type="auto"/>
            <w:noWrap/>
            <w:hideMark/>
          </w:tcPr>
          <w:p w14:paraId="221490F2"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-3,4</w:t>
            </w:r>
          </w:p>
        </w:tc>
        <w:tc>
          <w:tcPr>
            <w:tcW w:w="0" w:type="auto"/>
            <w:noWrap/>
            <w:hideMark/>
          </w:tcPr>
          <w:p w14:paraId="0A096238"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1,7</w:t>
            </w:r>
          </w:p>
        </w:tc>
      </w:tr>
      <w:tr w:rsidR="006D0778" w:rsidRPr="00AD7E7D" w14:paraId="7C89F296" w14:textId="77777777" w:rsidTr="006D077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7EE6833E" w14:textId="77777777" w:rsidR="006D0778" w:rsidRPr="00AD7E7D" w:rsidRDefault="006D0778" w:rsidP="006D0778">
            <w:pPr>
              <w:jc w:val="left"/>
              <w:rPr>
                <w:rFonts w:eastAsia="Times New Roman" w:cs="Times New Roman"/>
                <w:szCs w:val="24"/>
              </w:rPr>
            </w:pPr>
            <w:r w:rsidRPr="00AD7E7D">
              <w:rPr>
                <w:rFonts w:eastAsia="Times New Roman" w:cs="Times New Roman"/>
                <w:szCs w:val="24"/>
              </w:rPr>
              <w:t>2009</w:t>
            </w:r>
          </w:p>
        </w:tc>
        <w:tc>
          <w:tcPr>
            <w:tcW w:w="919" w:type="dxa"/>
            <w:hideMark/>
          </w:tcPr>
          <w:p w14:paraId="6C45E924"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-0,5</w:t>
            </w:r>
          </w:p>
        </w:tc>
        <w:tc>
          <w:tcPr>
            <w:tcW w:w="0" w:type="auto"/>
            <w:hideMark/>
          </w:tcPr>
          <w:p w14:paraId="510E0197"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-4,0</w:t>
            </w:r>
          </w:p>
        </w:tc>
        <w:tc>
          <w:tcPr>
            <w:tcW w:w="0" w:type="auto"/>
            <w:hideMark/>
          </w:tcPr>
          <w:p w14:paraId="215FCCE8"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-3,4</w:t>
            </w:r>
          </w:p>
        </w:tc>
        <w:tc>
          <w:tcPr>
            <w:tcW w:w="0" w:type="auto"/>
            <w:noWrap/>
            <w:hideMark/>
          </w:tcPr>
          <w:p w14:paraId="7344ABF5"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-3,8</w:t>
            </w:r>
          </w:p>
        </w:tc>
        <w:tc>
          <w:tcPr>
            <w:tcW w:w="0" w:type="auto"/>
            <w:hideMark/>
          </w:tcPr>
          <w:p w14:paraId="2C85C161"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-3,2</w:t>
            </w:r>
          </w:p>
        </w:tc>
        <w:tc>
          <w:tcPr>
            <w:tcW w:w="0" w:type="auto"/>
            <w:hideMark/>
          </w:tcPr>
          <w:p w14:paraId="225864F5"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-3,9</w:t>
            </w:r>
          </w:p>
        </w:tc>
        <w:tc>
          <w:tcPr>
            <w:tcW w:w="0" w:type="auto"/>
            <w:noWrap/>
            <w:hideMark/>
          </w:tcPr>
          <w:p w14:paraId="3425BFC1"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-3,3</w:t>
            </w:r>
          </w:p>
        </w:tc>
        <w:tc>
          <w:tcPr>
            <w:tcW w:w="0" w:type="auto"/>
            <w:noWrap/>
            <w:hideMark/>
          </w:tcPr>
          <w:p w14:paraId="273A2429"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-0,1</w:t>
            </w:r>
          </w:p>
        </w:tc>
      </w:tr>
      <w:tr w:rsidR="006D0778" w:rsidRPr="00AD7E7D" w14:paraId="60825A5B" w14:textId="77777777" w:rsidTr="006D0778">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532C5F73" w14:textId="77777777" w:rsidR="006D0778" w:rsidRPr="00AD7E7D" w:rsidRDefault="006D0778" w:rsidP="006D0778">
            <w:pPr>
              <w:jc w:val="left"/>
              <w:rPr>
                <w:rFonts w:eastAsia="Times New Roman" w:cs="Times New Roman"/>
                <w:szCs w:val="24"/>
              </w:rPr>
            </w:pPr>
            <w:r w:rsidRPr="00AD7E7D">
              <w:rPr>
                <w:rFonts w:eastAsia="Times New Roman" w:cs="Times New Roman"/>
                <w:szCs w:val="24"/>
              </w:rPr>
              <w:t>2010</w:t>
            </w:r>
          </w:p>
        </w:tc>
        <w:tc>
          <w:tcPr>
            <w:tcW w:w="919" w:type="dxa"/>
            <w:hideMark/>
          </w:tcPr>
          <w:p w14:paraId="68569B76"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0,4</w:t>
            </w:r>
          </w:p>
        </w:tc>
        <w:tc>
          <w:tcPr>
            <w:tcW w:w="0" w:type="auto"/>
            <w:hideMark/>
          </w:tcPr>
          <w:p w14:paraId="5D96F228"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-4,2</w:t>
            </w:r>
          </w:p>
        </w:tc>
        <w:tc>
          <w:tcPr>
            <w:tcW w:w="0" w:type="auto"/>
            <w:hideMark/>
          </w:tcPr>
          <w:p w14:paraId="02D4BEC7"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-3,2</w:t>
            </w:r>
          </w:p>
        </w:tc>
        <w:tc>
          <w:tcPr>
            <w:tcW w:w="0" w:type="auto"/>
            <w:noWrap/>
            <w:hideMark/>
          </w:tcPr>
          <w:p w14:paraId="36A78E64"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-4,3</w:t>
            </w:r>
          </w:p>
        </w:tc>
        <w:tc>
          <w:tcPr>
            <w:tcW w:w="0" w:type="auto"/>
            <w:hideMark/>
          </w:tcPr>
          <w:p w14:paraId="550E71B7"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-3,4</w:t>
            </w:r>
          </w:p>
        </w:tc>
        <w:tc>
          <w:tcPr>
            <w:tcW w:w="0" w:type="auto"/>
            <w:hideMark/>
          </w:tcPr>
          <w:p w14:paraId="262D4CBA"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-4,4</w:t>
            </w:r>
          </w:p>
        </w:tc>
        <w:tc>
          <w:tcPr>
            <w:tcW w:w="0" w:type="auto"/>
            <w:noWrap/>
            <w:hideMark/>
          </w:tcPr>
          <w:p w14:paraId="32E54DD8"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-3,5</w:t>
            </w:r>
          </w:p>
        </w:tc>
        <w:tc>
          <w:tcPr>
            <w:tcW w:w="0" w:type="auto"/>
            <w:noWrap/>
            <w:hideMark/>
          </w:tcPr>
          <w:p w14:paraId="21E81BE1"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0,2</w:t>
            </w:r>
          </w:p>
        </w:tc>
      </w:tr>
      <w:tr w:rsidR="006D0778" w:rsidRPr="00AD7E7D" w14:paraId="28A45F67" w14:textId="77777777" w:rsidTr="006D077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03D14A2D" w14:textId="77777777" w:rsidR="006D0778" w:rsidRPr="00AD7E7D" w:rsidRDefault="006D0778" w:rsidP="006D0778">
            <w:pPr>
              <w:jc w:val="left"/>
              <w:rPr>
                <w:rFonts w:eastAsia="Times New Roman" w:cs="Times New Roman"/>
                <w:szCs w:val="24"/>
              </w:rPr>
            </w:pPr>
            <w:r w:rsidRPr="00AD7E7D">
              <w:rPr>
                <w:rFonts w:eastAsia="Times New Roman" w:cs="Times New Roman"/>
                <w:szCs w:val="24"/>
              </w:rPr>
              <w:t>2011</w:t>
            </w:r>
          </w:p>
        </w:tc>
        <w:tc>
          <w:tcPr>
            <w:tcW w:w="919" w:type="dxa"/>
            <w:hideMark/>
          </w:tcPr>
          <w:p w14:paraId="0F175028"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0,3</w:t>
            </w:r>
          </w:p>
        </w:tc>
        <w:tc>
          <w:tcPr>
            <w:tcW w:w="0" w:type="auto"/>
            <w:hideMark/>
          </w:tcPr>
          <w:p w14:paraId="0C6ABDAA"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-4,3</w:t>
            </w:r>
          </w:p>
        </w:tc>
        <w:tc>
          <w:tcPr>
            <w:tcW w:w="0" w:type="auto"/>
            <w:hideMark/>
          </w:tcPr>
          <w:p w14:paraId="75FADFE5"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-3,2</w:t>
            </w:r>
          </w:p>
        </w:tc>
        <w:tc>
          <w:tcPr>
            <w:tcW w:w="0" w:type="auto"/>
            <w:noWrap/>
            <w:hideMark/>
          </w:tcPr>
          <w:p w14:paraId="346C5CC9"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-4,5</w:t>
            </w:r>
          </w:p>
        </w:tc>
        <w:tc>
          <w:tcPr>
            <w:tcW w:w="0" w:type="auto"/>
            <w:hideMark/>
          </w:tcPr>
          <w:p w14:paraId="3C3069F4"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-3,4</w:t>
            </w:r>
          </w:p>
        </w:tc>
        <w:tc>
          <w:tcPr>
            <w:tcW w:w="0" w:type="auto"/>
            <w:hideMark/>
          </w:tcPr>
          <w:p w14:paraId="285D94CD"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-4,7</w:t>
            </w:r>
          </w:p>
        </w:tc>
        <w:tc>
          <w:tcPr>
            <w:tcW w:w="0" w:type="auto"/>
            <w:noWrap/>
            <w:hideMark/>
          </w:tcPr>
          <w:p w14:paraId="29224A2D"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-3,6</w:t>
            </w:r>
          </w:p>
        </w:tc>
        <w:tc>
          <w:tcPr>
            <w:tcW w:w="0" w:type="auto"/>
            <w:noWrap/>
            <w:hideMark/>
          </w:tcPr>
          <w:p w14:paraId="238461B0"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0,0</w:t>
            </w:r>
          </w:p>
        </w:tc>
      </w:tr>
      <w:tr w:rsidR="006D0778" w:rsidRPr="00AD7E7D" w14:paraId="256A6DB1" w14:textId="77777777" w:rsidTr="006D0778">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44ECAA51" w14:textId="77777777" w:rsidR="006D0778" w:rsidRPr="00AD7E7D" w:rsidRDefault="006D0778" w:rsidP="006D0778">
            <w:pPr>
              <w:jc w:val="left"/>
              <w:rPr>
                <w:rFonts w:eastAsia="Times New Roman" w:cs="Times New Roman"/>
                <w:szCs w:val="24"/>
              </w:rPr>
            </w:pPr>
            <w:r w:rsidRPr="00AD7E7D">
              <w:rPr>
                <w:rFonts w:eastAsia="Times New Roman" w:cs="Times New Roman"/>
                <w:szCs w:val="24"/>
              </w:rPr>
              <w:t>2012</w:t>
            </w:r>
          </w:p>
        </w:tc>
        <w:tc>
          <w:tcPr>
            <w:tcW w:w="919" w:type="dxa"/>
            <w:hideMark/>
          </w:tcPr>
          <w:p w14:paraId="464EAC3C"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0,0</w:t>
            </w:r>
          </w:p>
        </w:tc>
        <w:tc>
          <w:tcPr>
            <w:tcW w:w="0" w:type="auto"/>
            <w:hideMark/>
          </w:tcPr>
          <w:p w14:paraId="53324639"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-6,2</w:t>
            </w:r>
          </w:p>
        </w:tc>
        <w:tc>
          <w:tcPr>
            <w:tcW w:w="0" w:type="auto"/>
            <w:hideMark/>
          </w:tcPr>
          <w:p w14:paraId="4ABCDD09"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-4,5</w:t>
            </w:r>
          </w:p>
        </w:tc>
        <w:tc>
          <w:tcPr>
            <w:tcW w:w="0" w:type="auto"/>
            <w:noWrap/>
            <w:hideMark/>
          </w:tcPr>
          <w:p w14:paraId="4A78846D"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-6,2</w:t>
            </w:r>
          </w:p>
        </w:tc>
        <w:tc>
          <w:tcPr>
            <w:tcW w:w="0" w:type="auto"/>
            <w:hideMark/>
          </w:tcPr>
          <w:p w14:paraId="0C7D217E"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-4,5</w:t>
            </w:r>
          </w:p>
        </w:tc>
        <w:tc>
          <w:tcPr>
            <w:tcW w:w="0" w:type="auto"/>
            <w:hideMark/>
          </w:tcPr>
          <w:p w14:paraId="377A94B9"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-6,1</w:t>
            </w:r>
          </w:p>
        </w:tc>
        <w:tc>
          <w:tcPr>
            <w:tcW w:w="0" w:type="auto"/>
            <w:noWrap/>
            <w:hideMark/>
          </w:tcPr>
          <w:p w14:paraId="74A84EA7"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-4,5</w:t>
            </w:r>
          </w:p>
        </w:tc>
        <w:tc>
          <w:tcPr>
            <w:tcW w:w="0" w:type="auto"/>
            <w:noWrap/>
            <w:hideMark/>
          </w:tcPr>
          <w:p w14:paraId="77DE4783"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1,2</w:t>
            </w:r>
          </w:p>
        </w:tc>
      </w:tr>
      <w:tr w:rsidR="006D0778" w:rsidRPr="00AD7E7D" w14:paraId="17DF13B7" w14:textId="77777777" w:rsidTr="006D077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7EFEF7F0" w14:textId="77777777" w:rsidR="006D0778" w:rsidRPr="00AD7E7D" w:rsidRDefault="006D0778" w:rsidP="006D0778">
            <w:pPr>
              <w:jc w:val="left"/>
              <w:rPr>
                <w:rFonts w:eastAsia="Times New Roman" w:cs="Times New Roman"/>
                <w:szCs w:val="24"/>
              </w:rPr>
            </w:pPr>
            <w:r w:rsidRPr="00AD7E7D">
              <w:rPr>
                <w:rFonts w:eastAsia="Times New Roman" w:cs="Times New Roman"/>
                <w:szCs w:val="24"/>
              </w:rPr>
              <w:t>2013</w:t>
            </w:r>
          </w:p>
        </w:tc>
        <w:tc>
          <w:tcPr>
            <w:tcW w:w="919" w:type="dxa"/>
            <w:hideMark/>
          </w:tcPr>
          <w:p w14:paraId="167AADD2"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0,4</w:t>
            </w:r>
          </w:p>
        </w:tc>
        <w:tc>
          <w:tcPr>
            <w:tcW w:w="0" w:type="auto"/>
            <w:hideMark/>
          </w:tcPr>
          <w:p w14:paraId="7B6B2009"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-4,9</w:t>
            </w:r>
          </w:p>
        </w:tc>
        <w:tc>
          <w:tcPr>
            <w:tcW w:w="0" w:type="auto"/>
            <w:hideMark/>
          </w:tcPr>
          <w:p w14:paraId="57B8F5CD"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-2,8</w:t>
            </w:r>
          </w:p>
        </w:tc>
        <w:tc>
          <w:tcPr>
            <w:tcW w:w="0" w:type="auto"/>
            <w:noWrap/>
            <w:hideMark/>
          </w:tcPr>
          <w:p w14:paraId="6DBA8F1D"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-5,1</w:t>
            </w:r>
          </w:p>
        </w:tc>
        <w:tc>
          <w:tcPr>
            <w:tcW w:w="0" w:type="auto"/>
            <w:hideMark/>
          </w:tcPr>
          <w:p w14:paraId="29113CFA"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-3,0</w:t>
            </w:r>
          </w:p>
        </w:tc>
        <w:tc>
          <w:tcPr>
            <w:tcW w:w="0" w:type="auto"/>
            <w:hideMark/>
          </w:tcPr>
          <w:p w14:paraId="155D1CF6"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-4,8</w:t>
            </w:r>
          </w:p>
        </w:tc>
        <w:tc>
          <w:tcPr>
            <w:tcW w:w="0" w:type="auto"/>
            <w:noWrap/>
            <w:hideMark/>
          </w:tcPr>
          <w:p w14:paraId="302CD08D"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-2,7</w:t>
            </w:r>
          </w:p>
        </w:tc>
        <w:tc>
          <w:tcPr>
            <w:tcW w:w="0" w:type="auto"/>
            <w:noWrap/>
            <w:hideMark/>
          </w:tcPr>
          <w:p w14:paraId="42497A21"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-1,5</w:t>
            </w:r>
          </w:p>
        </w:tc>
      </w:tr>
      <w:tr w:rsidR="006D0778" w:rsidRPr="00AD7E7D" w14:paraId="0642D2F7" w14:textId="77777777" w:rsidTr="006D0778">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64041125" w14:textId="77777777" w:rsidR="006D0778" w:rsidRPr="00AD7E7D" w:rsidRDefault="006D0778" w:rsidP="006D0778">
            <w:pPr>
              <w:jc w:val="left"/>
              <w:rPr>
                <w:rFonts w:eastAsia="Times New Roman" w:cs="Times New Roman"/>
                <w:szCs w:val="24"/>
              </w:rPr>
            </w:pPr>
            <w:r w:rsidRPr="00AD7E7D">
              <w:rPr>
                <w:rFonts w:eastAsia="Times New Roman" w:cs="Times New Roman"/>
                <w:szCs w:val="24"/>
              </w:rPr>
              <w:t>2014</w:t>
            </w:r>
          </w:p>
        </w:tc>
        <w:tc>
          <w:tcPr>
            <w:tcW w:w="919" w:type="dxa"/>
            <w:hideMark/>
          </w:tcPr>
          <w:p w14:paraId="0B12A517"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-1,7</w:t>
            </w:r>
          </w:p>
        </w:tc>
        <w:tc>
          <w:tcPr>
            <w:tcW w:w="0" w:type="auto"/>
            <w:hideMark/>
          </w:tcPr>
          <w:p w14:paraId="6554255E"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-5,9</w:t>
            </w:r>
          </w:p>
        </w:tc>
        <w:tc>
          <w:tcPr>
            <w:tcW w:w="0" w:type="auto"/>
            <w:hideMark/>
          </w:tcPr>
          <w:p w14:paraId="682A61F6"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-3,4</w:t>
            </w:r>
          </w:p>
        </w:tc>
        <w:tc>
          <w:tcPr>
            <w:tcW w:w="0" w:type="auto"/>
            <w:noWrap/>
            <w:hideMark/>
          </w:tcPr>
          <w:p w14:paraId="3CFCF9E7"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-5,3</w:t>
            </w:r>
          </w:p>
        </w:tc>
        <w:tc>
          <w:tcPr>
            <w:tcW w:w="0" w:type="auto"/>
            <w:hideMark/>
          </w:tcPr>
          <w:p w14:paraId="500BDD19"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-2,8</w:t>
            </w:r>
          </w:p>
        </w:tc>
        <w:tc>
          <w:tcPr>
            <w:tcW w:w="0" w:type="auto"/>
            <w:hideMark/>
          </w:tcPr>
          <w:p w14:paraId="722DDB2D"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-4,5</w:t>
            </w:r>
          </w:p>
        </w:tc>
        <w:tc>
          <w:tcPr>
            <w:tcW w:w="0" w:type="auto"/>
            <w:noWrap/>
            <w:hideMark/>
          </w:tcPr>
          <w:p w14:paraId="643E380B"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-2,0</w:t>
            </w:r>
          </w:p>
        </w:tc>
        <w:tc>
          <w:tcPr>
            <w:tcW w:w="0" w:type="auto"/>
            <w:noWrap/>
            <w:hideMark/>
          </w:tcPr>
          <w:p w14:paraId="41F8F103"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-0,2</w:t>
            </w:r>
          </w:p>
        </w:tc>
      </w:tr>
      <w:tr w:rsidR="006D0778" w:rsidRPr="00AD7E7D" w14:paraId="6B053E51" w14:textId="77777777" w:rsidTr="006D077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4CA3FD29" w14:textId="77777777" w:rsidR="006D0778" w:rsidRPr="00AD7E7D" w:rsidRDefault="006D0778" w:rsidP="006D0778">
            <w:pPr>
              <w:jc w:val="left"/>
              <w:rPr>
                <w:rFonts w:eastAsia="Times New Roman" w:cs="Times New Roman"/>
                <w:szCs w:val="24"/>
              </w:rPr>
            </w:pPr>
            <w:r w:rsidRPr="00AD7E7D">
              <w:rPr>
                <w:rFonts w:eastAsia="Times New Roman" w:cs="Times New Roman"/>
                <w:szCs w:val="24"/>
              </w:rPr>
              <w:t>2015</w:t>
            </w:r>
          </w:p>
        </w:tc>
        <w:tc>
          <w:tcPr>
            <w:tcW w:w="919" w:type="dxa"/>
            <w:hideMark/>
          </w:tcPr>
          <w:p w14:paraId="4A33E6E9"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-1,4</w:t>
            </w:r>
          </w:p>
        </w:tc>
        <w:tc>
          <w:tcPr>
            <w:tcW w:w="0" w:type="auto"/>
            <w:hideMark/>
          </w:tcPr>
          <w:p w14:paraId="442E4A64"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-3,3</w:t>
            </w:r>
          </w:p>
        </w:tc>
        <w:tc>
          <w:tcPr>
            <w:tcW w:w="0" w:type="auto"/>
            <w:hideMark/>
          </w:tcPr>
          <w:p w14:paraId="3EE8BEB0"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-0,5</w:t>
            </w:r>
          </w:p>
        </w:tc>
        <w:tc>
          <w:tcPr>
            <w:tcW w:w="0" w:type="auto"/>
            <w:noWrap/>
            <w:hideMark/>
          </w:tcPr>
          <w:p w14:paraId="01E8300C"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-2,8</w:t>
            </w:r>
          </w:p>
        </w:tc>
        <w:tc>
          <w:tcPr>
            <w:tcW w:w="0" w:type="auto"/>
            <w:hideMark/>
          </w:tcPr>
          <w:p w14:paraId="4387E220"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0,1</w:t>
            </w:r>
          </w:p>
        </w:tc>
        <w:tc>
          <w:tcPr>
            <w:tcW w:w="0" w:type="auto"/>
            <w:hideMark/>
          </w:tcPr>
          <w:p w14:paraId="4EFAAE15"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-2,0</w:t>
            </w:r>
          </w:p>
        </w:tc>
        <w:tc>
          <w:tcPr>
            <w:tcW w:w="0" w:type="auto"/>
            <w:noWrap/>
            <w:hideMark/>
          </w:tcPr>
          <w:p w14:paraId="01F53EEA"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0,9</w:t>
            </w:r>
          </w:p>
        </w:tc>
        <w:tc>
          <w:tcPr>
            <w:tcW w:w="0" w:type="auto"/>
            <w:noWrap/>
            <w:hideMark/>
          </w:tcPr>
          <w:p w14:paraId="387B3DF9"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-2,9</w:t>
            </w:r>
          </w:p>
        </w:tc>
      </w:tr>
      <w:tr w:rsidR="006D0778" w:rsidRPr="00AD7E7D" w14:paraId="20D47551" w14:textId="77777777" w:rsidTr="006D0778">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4334977F" w14:textId="77777777" w:rsidR="006D0778" w:rsidRPr="00AD7E7D" w:rsidRDefault="006D0778" w:rsidP="006D0778">
            <w:pPr>
              <w:jc w:val="left"/>
              <w:rPr>
                <w:rFonts w:eastAsia="Times New Roman" w:cs="Times New Roman"/>
                <w:szCs w:val="24"/>
              </w:rPr>
            </w:pPr>
            <w:r w:rsidRPr="00AD7E7D">
              <w:rPr>
                <w:rFonts w:eastAsia="Times New Roman" w:cs="Times New Roman"/>
                <w:szCs w:val="24"/>
              </w:rPr>
              <w:t>2016</w:t>
            </w:r>
          </w:p>
        </w:tc>
        <w:tc>
          <w:tcPr>
            <w:tcW w:w="919" w:type="dxa"/>
            <w:noWrap/>
            <w:hideMark/>
          </w:tcPr>
          <w:p w14:paraId="53A4B688"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-0,4</w:t>
            </w:r>
          </w:p>
        </w:tc>
        <w:tc>
          <w:tcPr>
            <w:tcW w:w="0" w:type="auto"/>
            <w:noWrap/>
            <w:hideMark/>
          </w:tcPr>
          <w:p w14:paraId="70FB5F9D"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-1,1</w:t>
            </w:r>
          </w:p>
        </w:tc>
        <w:tc>
          <w:tcPr>
            <w:tcW w:w="0" w:type="auto"/>
            <w:noWrap/>
            <w:hideMark/>
          </w:tcPr>
          <w:p w14:paraId="768FEC90"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1,6</w:t>
            </w:r>
          </w:p>
        </w:tc>
        <w:tc>
          <w:tcPr>
            <w:tcW w:w="0" w:type="auto"/>
            <w:noWrap/>
            <w:hideMark/>
          </w:tcPr>
          <w:p w14:paraId="0A734B20"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-1,0</w:t>
            </w:r>
          </w:p>
        </w:tc>
        <w:tc>
          <w:tcPr>
            <w:tcW w:w="0" w:type="auto"/>
            <w:hideMark/>
          </w:tcPr>
          <w:p w14:paraId="0415B304"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1,8</w:t>
            </w:r>
          </w:p>
        </w:tc>
        <w:tc>
          <w:tcPr>
            <w:tcW w:w="0" w:type="auto"/>
            <w:hideMark/>
          </w:tcPr>
          <w:p w14:paraId="4F815042"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-0,9</w:t>
            </w:r>
          </w:p>
        </w:tc>
        <w:tc>
          <w:tcPr>
            <w:tcW w:w="0" w:type="auto"/>
            <w:noWrap/>
            <w:hideMark/>
          </w:tcPr>
          <w:p w14:paraId="2EF0C979"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1,8</w:t>
            </w:r>
          </w:p>
        </w:tc>
        <w:tc>
          <w:tcPr>
            <w:tcW w:w="0" w:type="auto"/>
            <w:noWrap/>
            <w:hideMark/>
          </w:tcPr>
          <w:p w14:paraId="666DE419"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-1,7</w:t>
            </w:r>
          </w:p>
        </w:tc>
      </w:tr>
      <w:tr w:rsidR="006D0778" w:rsidRPr="00AD7E7D" w14:paraId="678D6ED7" w14:textId="77777777" w:rsidTr="006D077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11A55CED" w14:textId="77777777" w:rsidR="006D0778" w:rsidRPr="00AD7E7D" w:rsidRDefault="006D0778" w:rsidP="006D0778">
            <w:pPr>
              <w:jc w:val="left"/>
              <w:rPr>
                <w:rFonts w:eastAsia="Times New Roman" w:cs="Times New Roman"/>
                <w:szCs w:val="24"/>
              </w:rPr>
            </w:pPr>
            <w:r w:rsidRPr="00AD7E7D">
              <w:rPr>
                <w:rFonts w:eastAsia="Times New Roman" w:cs="Times New Roman"/>
                <w:szCs w:val="24"/>
              </w:rPr>
              <w:t>2017</w:t>
            </w:r>
          </w:p>
        </w:tc>
        <w:tc>
          <w:tcPr>
            <w:tcW w:w="919" w:type="dxa"/>
            <w:hideMark/>
          </w:tcPr>
          <w:p w14:paraId="0FEAA1EE"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-0,6</w:t>
            </w:r>
          </w:p>
        </w:tc>
        <w:tc>
          <w:tcPr>
            <w:tcW w:w="0" w:type="auto"/>
            <w:hideMark/>
          </w:tcPr>
          <w:p w14:paraId="3752D2EC"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1,1</w:t>
            </w:r>
          </w:p>
        </w:tc>
        <w:tc>
          <w:tcPr>
            <w:tcW w:w="0" w:type="auto"/>
            <w:hideMark/>
          </w:tcPr>
          <w:p w14:paraId="7F7268B2"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3,5</w:t>
            </w:r>
          </w:p>
        </w:tc>
        <w:tc>
          <w:tcPr>
            <w:tcW w:w="0" w:type="auto"/>
            <w:noWrap/>
            <w:hideMark/>
          </w:tcPr>
          <w:p w14:paraId="63276102"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1,3</w:t>
            </w:r>
          </w:p>
        </w:tc>
        <w:tc>
          <w:tcPr>
            <w:tcW w:w="0" w:type="auto"/>
            <w:hideMark/>
          </w:tcPr>
          <w:p w14:paraId="78C17CBD"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3,7</w:t>
            </w:r>
          </w:p>
        </w:tc>
        <w:tc>
          <w:tcPr>
            <w:tcW w:w="0" w:type="auto"/>
            <w:hideMark/>
          </w:tcPr>
          <w:p w14:paraId="31DB57E5"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1,1</w:t>
            </w:r>
          </w:p>
        </w:tc>
        <w:tc>
          <w:tcPr>
            <w:tcW w:w="0" w:type="auto"/>
            <w:noWrap/>
            <w:hideMark/>
          </w:tcPr>
          <w:p w14:paraId="46C7C222"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3,6</w:t>
            </w:r>
          </w:p>
        </w:tc>
        <w:tc>
          <w:tcPr>
            <w:tcW w:w="0" w:type="auto"/>
            <w:noWrap/>
            <w:hideMark/>
          </w:tcPr>
          <w:p w14:paraId="786F794D"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-1,9</w:t>
            </w:r>
          </w:p>
        </w:tc>
      </w:tr>
      <w:tr w:rsidR="006D0778" w:rsidRPr="00AD7E7D" w14:paraId="58B92F7D" w14:textId="77777777" w:rsidTr="006D0778">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37E20F4A" w14:textId="77777777" w:rsidR="006D0778" w:rsidRPr="00AD7E7D" w:rsidRDefault="006D0778" w:rsidP="006D0778">
            <w:pPr>
              <w:jc w:val="left"/>
              <w:rPr>
                <w:rFonts w:eastAsia="Times New Roman" w:cs="Times New Roman"/>
                <w:szCs w:val="24"/>
              </w:rPr>
            </w:pPr>
            <w:r w:rsidRPr="00AD7E7D">
              <w:rPr>
                <w:rFonts w:eastAsia="Times New Roman" w:cs="Times New Roman"/>
                <w:szCs w:val="24"/>
              </w:rPr>
              <w:t>2018</w:t>
            </w:r>
          </w:p>
        </w:tc>
        <w:tc>
          <w:tcPr>
            <w:tcW w:w="919" w:type="dxa"/>
            <w:hideMark/>
          </w:tcPr>
          <w:p w14:paraId="767153E9"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0,8</w:t>
            </w:r>
          </w:p>
        </w:tc>
        <w:tc>
          <w:tcPr>
            <w:tcW w:w="0" w:type="auto"/>
            <w:hideMark/>
          </w:tcPr>
          <w:p w14:paraId="74ACFD2A"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0,6</w:t>
            </w:r>
          </w:p>
        </w:tc>
        <w:tc>
          <w:tcPr>
            <w:tcW w:w="0" w:type="auto"/>
            <w:hideMark/>
          </w:tcPr>
          <w:p w14:paraId="2B792746"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2,6</w:t>
            </w:r>
          </w:p>
        </w:tc>
        <w:tc>
          <w:tcPr>
            <w:tcW w:w="0" w:type="auto"/>
            <w:noWrap/>
            <w:hideMark/>
          </w:tcPr>
          <w:p w14:paraId="61E47B60"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0,3</w:t>
            </w:r>
          </w:p>
        </w:tc>
        <w:tc>
          <w:tcPr>
            <w:tcW w:w="0" w:type="auto"/>
            <w:hideMark/>
          </w:tcPr>
          <w:p w14:paraId="155DEEA4"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2,3</w:t>
            </w:r>
          </w:p>
        </w:tc>
        <w:tc>
          <w:tcPr>
            <w:tcW w:w="0" w:type="auto"/>
            <w:hideMark/>
          </w:tcPr>
          <w:p w14:paraId="4F98B81C"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0,2</w:t>
            </w:r>
          </w:p>
        </w:tc>
        <w:tc>
          <w:tcPr>
            <w:tcW w:w="0" w:type="auto"/>
            <w:noWrap/>
            <w:hideMark/>
          </w:tcPr>
          <w:p w14:paraId="30DBDC4B"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2,2</w:t>
            </w:r>
          </w:p>
        </w:tc>
        <w:tc>
          <w:tcPr>
            <w:tcW w:w="0" w:type="auto"/>
            <w:noWrap/>
            <w:hideMark/>
          </w:tcPr>
          <w:p w14:paraId="7D9F0614"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1,4</w:t>
            </w:r>
          </w:p>
        </w:tc>
      </w:tr>
      <w:tr w:rsidR="006D0778" w:rsidRPr="00AD7E7D" w14:paraId="3EC2AC8B" w14:textId="77777777" w:rsidTr="006D077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535FC2EC" w14:textId="77777777" w:rsidR="006D0778" w:rsidRPr="00AD7E7D" w:rsidRDefault="006D0778" w:rsidP="006D0778">
            <w:pPr>
              <w:jc w:val="left"/>
              <w:rPr>
                <w:rFonts w:eastAsia="Times New Roman" w:cs="Times New Roman"/>
                <w:szCs w:val="24"/>
              </w:rPr>
            </w:pPr>
            <w:r w:rsidRPr="00AD7E7D">
              <w:rPr>
                <w:rFonts w:eastAsia="Times New Roman" w:cs="Times New Roman"/>
                <w:szCs w:val="24"/>
              </w:rPr>
              <w:t>2019</w:t>
            </w:r>
          </w:p>
        </w:tc>
        <w:tc>
          <w:tcPr>
            <w:tcW w:w="919" w:type="dxa"/>
            <w:hideMark/>
          </w:tcPr>
          <w:p w14:paraId="1BC5C2E2"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2,1</w:t>
            </w:r>
          </w:p>
        </w:tc>
        <w:tc>
          <w:tcPr>
            <w:tcW w:w="0" w:type="auto"/>
            <w:hideMark/>
          </w:tcPr>
          <w:p w14:paraId="0CD22834"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-0,2</w:t>
            </w:r>
          </w:p>
        </w:tc>
        <w:tc>
          <w:tcPr>
            <w:tcW w:w="0" w:type="auto"/>
            <w:hideMark/>
          </w:tcPr>
          <w:p w14:paraId="755D0D08"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1,7</w:t>
            </w:r>
          </w:p>
        </w:tc>
        <w:tc>
          <w:tcPr>
            <w:tcW w:w="0" w:type="auto"/>
            <w:noWrap/>
            <w:hideMark/>
          </w:tcPr>
          <w:p w14:paraId="0DC9EA50"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-0,9</w:t>
            </w:r>
          </w:p>
        </w:tc>
        <w:tc>
          <w:tcPr>
            <w:tcW w:w="0" w:type="auto"/>
            <w:hideMark/>
          </w:tcPr>
          <w:p w14:paraId="162EC306"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1,0</w:t>
            </w:r>
          </w:p>
        </w:tc>
        <w:tc>
          <w:tcPr>
            <w:tcW w:w="0" w:type="auto"/>
            <w:hideMark/>
          </w:tcPr>
          <w:p w14:paraId="1AFC8D5B"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-1,1</w:t>
            </w:r>
          </w:p>
        </w:tc>
        <w:tc>
          <w:tcPr>
            <w:tcW w:w="0" w:type="auto"/>
            <w:noWrap/>
            <w:hideMark/>
          </w:tcPr>
          <w:p w14:paraId="65C79D2B"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0,8</w:t>
            </w:r>
          </w:p>
        </w:tc>
        <w:tc>
          <w:tcPr>
            <w:tcW w:w="0" w:type="auto"/>
            <w:noWrap/>
            <w:hideMark/>
          </w:tcPr>
          <w:p w14:paraId="35E574E8"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1,4</w:t>
            </w:r>
          </w:p>
        </w:tc>
      </w:tr>
      <w:tr w:rsidR="006D0778" w:rsidRPr="00AD7E7D" w14:paraId="19734F10" w14:textId="77777777" w:rsidTr="006D0778">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4D62162E" w14:textId="77777777" w:rsidR="006D0778" w:rsidRPr="00AD7E7D" w:rsidRDefault="006D0778" w:rsidP="006D0778">
            <w:pPr>
              <w:jc w:val="left"/>
              <w:rPr>
                <w:rFonts w:eastAsia="Times New Roman" w:cs="Times New Roman"/>
                <w:szCs w:val="24"/>
              </w:rPr>
            </w:pPr>
            <w:r w:rsidRPr="00AD7E7D">
              <w:rPr>
                <w:rFonts w:eastAsia="Times New Roman" w:cs="Times New Roman"/>
                <w:szCs w:val="24"/>
              </w:rPr>
              <w:t>2020</w:t>
            </w:r>
          </w:p>
        </w:tc>
        <w:tc>
          <w:tcPr>
            <w:tcW w:w="919" w:type="dxa"/>
            <w:hideMark/>
          </w:tcPr>
          <w:p w14:paraId="46F9B9B4"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-2,4</w:t>
            </w:r>
          </w:p>
        </w:tc>
        <w:tc>
          <w:tcPr>
            <w:tcW w:w="0" w:type="auto"/>
            <w:hideMark/>
          </w:tcPr>
          <w:p w14:paraId="755603CE"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-7,7</w:t>
            </w:r>
          </w:p>
        </w:tc>
        <w:tc>
          <w:tcPr>
            <w:tcW w:w="0" w:type="auto"/>
            <w:hideMark/>
          </w:tcPr>
          <w:p w14:paraId="7FDCF8BB"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-5,8</w:t>
            </w:r>
          </w:p>
        </w:tc>
        <w:tc>
          <w:tcPr>
            <w:tcW w:w="0" w:type="auto"/>
            <w:noWrap/>
            <w:hideMark/>
          </w:tcPr>
          <w:p w14:paraId="5B3F2AB9"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-6,8</w:t>
            </w:r>
          </w:p>
        </w:tc>
        <w:tc>
          <w:tcPr>
            <w:tcW w:w="0" w:type="auto"/>
            <w:hideMark/>
          </w:tcPr>
          <w:p w14:paraId="2156E0BD"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-4,9</w:t>
            </w:r>
          </w:p>
        </w:tc>
        <w:tc>
          <w:tcPr>
            <w:tcW w:w="0" w:type="auto"/>
            <w:hideMark/>
          </w:tcPr>
          <w:p w14:paraId="1CF86ADC"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-0,1</w:t>
            </w:r>
          </w:p>
        </w:tc>
        <w:tc>
          <w:tcPr>
            <w:tcW w:w="0" w:type="auto"/>
            <w:noWrap/>
            <w:hideMark/>
          </w:tcPr>
          <w:p w14:paraId="0128363E"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1,8</w:t>
            </w:r>
          </w:p>
        </w:tc>
        <w:tc>
          <w:tcPr>
            <w:tcW w:w="0" w:type="auto"/>
            <w:noWrap/>
            <w:hideMark/>
          </w:tcPr>
          <w:p w14:paraId="7EB5A476"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5,9</w:t>
            </w:r>
          </w:p>
        </w:tc>
      </w:tr>
      <w:tr w:rsidR="006D0778" w:rsidRPr="00AD7E7D" w14:paraId="1C7051E5" w14:textId="77777777" w:rsidTr="006D077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77ACD221" w14:textId="77777777" w:rsidR="006D0778" w:rsidRPr="00AD7E7D" w:rsidRDefault="006D0778" w:rsidP="006D0778">
            <w:pPr>
              <w:jc w:val="left"/>
              <w:rPr>
                <w:rFonts w:eastAsia="Times New Roman" w:cs="Times New Roman"/>
                <w:szCs w:val="24"/>
              </w:rPr>
            </w:pPr>
            <w:r w:rsidRPr="00AD7E7D">
              <w:rPr>
                <w:rFonts w:eastAsia="Times New Roman" w:cs="Times New Roman"/>
                <w:szCs w:val="24"/>
              </w:rPr>
              <w:t>2021</w:t>
            </w:r>
          </w:p>
        </w:tc>
        <w:tc>
          <w:tcPr>
            <w:tcW w:w="919" w:type="dxa"/>
            <w:hideMark/>
          </w:tcPr>
          <w:p w14:paraId="3C063A78"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1,4</w:t>
            </w:r>
          </w:p>
        </w:tc>
        <w:tc>
          <w:tcPr>
            <w:tcW w:w="0" w:type="auto"/>
            <w:hideMark/>
          </w:tcPr>
          <w:p w14:paraId="55FDD872"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-3,9</w:t>
            </w:r>
          </w:p>
        </w:tc>
        <w:tc>
          <w:tcPr>
            <w:tcW w:w="0" w:type="auto"/>
            <w:hideMark/>
          </w:tcPr>
          <w:p w14:paraId="066578DD"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-2,3</w:t>
            </w:r>
          </w:p>
        </w:tc>
        <w:tc>
          <w:tcPr>
            <w:tcW w:w="0" w:type="auto"/>
            <w:noWrap/>
            <w:hideMark/>
          </w:tcPr>
          <w:p w14:paraId="7DDA7BE4"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-4,5</w:t>
            </w:r>
          </w:p>
        </w:tc>
        <w:tc>
          <w:tcPr>
            <w:tcW w:w="0" w:type="auto"/>
            <w:hideMark/>
          </w:tcPr>
          <w:p w14:paraId="41CFD037"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-2,8</w:t>
            </w:r>
          </w:p>
        </w:tc>
        <w:tc>
          <w:tcPr>
            <w:tcW w:w="0" w:type="auto"/>
            <w:hideMark/>
          </w:tcPr>
          <w:p w14:paraId="5C73A785"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-0,6</w:t>
            </w:r>
          </w:p>
        </w:tc>
        <w:tc>
          <w:tcPr>
            <w:tcW w:w="0" w:type="auto"/>
            <w:noWrap/>
            <w:hideMark/>
          </w:tcPr>
          <w:p w14:paraId="5BEE757A"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1,1</w:t>
            </w:r>
          </w:p>
        </w:tc>
        <w:tc>
          <w:tcPr>
            <w:tcW w:w="0" w:type="auto"/>
            <w:noWrap/>
            <w:hideMark/>
          </w:tcPr>
          <w:p w14:paraId="661DB331"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-2,1</w:t>
            </w:r>
          </w:p>
        </w:tc>
      </w:tr>
      <w:tr w:rsidR="006D0778" w:rsidRPr="00AD7E7D" w14:paraId="0B07348B" w14:textId="77777777" w:rsidTr="006D0778">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1C0271AB" w14:textId="77777777" w:rsidR="006D0778" w:rsidRPr="00AD7E7D" w:rsidRDefault="006D0778" w:rsidP="006D0778">
            <w:pPr>
              <w:jc w:val="left"/>
              <w:rPr>
                <w:rFonts w:eastAsia="Times New Roman" w:cs="Times New Roman"/>
                <w:szCs w:val="24"/>
              </w:rPr>
            </w:pPr>
            <w:r w:rsidRPr="00AD7E7D">
              <w:rPr>
                <w:rFonts w:eastAsia="Times New Roman" w:cs="Times New Roman"/>
                <w:szCs w:val="24"/>
              </w:rPr>
              <w:t>2022</w:t>
            </w:r>
          </w:p>
        </w:tc>
        <w:tc>
          <w:tcPr>
            <w:tcW w:w="919" w:type="dxa"/>
            <w:hideMark/>
          </w:tcPr>
          <w:p w14:paraId="24CF7ECB"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0,2</w:t>
            </w:r>
          </w:p>
        </w:tc>
        <w:tc>
          <w:tcPr>
            <w:tcW w:w="0" w:type="auto"/>
            <w:hideMark/>
          </w:tcPr>
          <w:p w14:paraId="47400B23"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-3,0</w:t>
            </w:r>
          </w:p>
        </w:tc>
        <w:tc>
          <w:tcPr>
            <w:tcW w:w="0" w:type="auto"/>
            <w:hideMark/>
          </w:tcPr>
          <w:p w14:paraId="7EF80BF0"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-1,6</w:t>
            </w:r>
          </w:p>
        </w:tc>
        <w:tc>
          <w:tcPr>
            <w:tcW w:w="0" w:type="auto"/>
            <w:noWrap/>
            <w:hideMark/>
          </w:tcPr>
          <w:p w14:paraId="0CEEE84F"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-3,1</w:t>
            </w:r>
          </w:p>
        </w:tc>
        <w:tc>
          <w:tcPr>
            <w:tcW w:w="0" w:type="auto"/>
            <w:hideMark/>
          </w:tcPr>
          <w:p w14:paraId="4452C463"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-1,6</w:t>
            </w:r>
          </w:p>
        </w:tc>
        <w:tc>
          <w:tcPr>
            <w:tcW w:w="0" w:type="auto"/>
            <w:hideMark/>
          </w:tcPr>
          <w:p w14:paraId="3644F1D1"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0,1</w:t>
            </w:r>
          </w:p>
        </w:tc>
        <w:tc>
          <w:tcPr>
            <w:tcW w:w="0" w:type="auto"/>
            <w:noWrap/>
            <w:hideMark/>
          </w:tcPr>
          <w:p w14:paraId="0DFDAF54"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1,6</w:t>
            </w:r>
          </w:p>
        </w:tc>
        <w:tc>
          <w:tcPr>
            <w:tcW w:w="0" w:type="auto"/>
            <w:noWrap/>
            <w:hideMark/>
          </w:tcPr>
          <w:p w14:paraId="583BD92B"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-1,2</w:t>
            </w:r>
          </w:p>
        </w:tc>
      </w:tr>
      <w:tr w:rsidR="006D0778" w:rsidRPr="00AD7E7D" w14:paraId="5030CB08" w14:textId="77777777" w:rsidTr="006D077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2E777DE2" w14:textId="77777777" w:rsidR="006D0778" w:rsidRPr="00AD7E7D" w:rsidRDefault="006D0778" w:rsidP="006D0778">
            <w:pPr>
              <w:jc w:val="left"/>
              <w:rPr>
                <w:rFonts w:eastAsia="Times New Roman" w:cs="Times New Roman"/>
                <w:szCs w:val="24"/>
              </w:rPr>
            </w:pPr>
            <w:r w:rsidRPr="00AD7E7D">
              <w:rPr>
                <w:rFonts w:eastAsia="Times New Roman" w:cs="Times New Roman"/>
                <w:szCs w:val="24"/>
              </w:rPr>
              <w:t>2023</w:t>
            </w:r>
          </w:p>
        </w:tc>
        <w:tc>
          <w:tcPr>
            <w:tcW w:w="919" w:type="dxa"/>
            <w:hideMark/>
          </w:tcPr>
          <w:p w14:paraId="39250239"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0,1</w:t>
            </w:r>
          </w:p>
        </w:tc>
        <w:tc>
          <w:tcPr>
            <w:tcW w:w="0" w:type="auto"/>
            <w:hideMark/>
          </w:tcPr>
          <w:p w14:paraId="5BD3043F"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-2,1</w:t>
            </w:r>
          </w:p>
        </w:tc>
        <w:tc>
          <w:tcPr>
            <w:tcW w:w="0" w:type="auto"/>
            <w:hideMark/>
          </w:tcPr>
          <w:p w14:paraId="4956BFED"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-0,5</w:t>
            </w:r>
          </w:p>
        </w:tc>
        <w:tc>
          <w:tcPr>
            <w:tcW w:w="0" w:type="auto"/>
            <w:noWrap/>
            <w:hideMark/>
          </w:tcPr>
          <w:p w14:paraId="200DB52D"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-2,1</w:t>
            </w:r>
          </w:p>
        </w:tc>
        <w:tc>
          <w:tcPr>
            <w:tcW w:w="0" w:type="auto"/>
            <w:hideMark/>
          </w:tcPr>
          <w:p w14:paraId="48EC3D2A"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-0,5</w:t>
            </w:r>
          </w:p>
        </w:tc>
        <w:tc>
          <w:tcPr>
            <w:tcW w:w="0" w:type="auto"/>
            <w:hideMark/>
          </w:tcPr>
          <w:p w14:paraId="29F3487B"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-1,4</w:t>
            </w:r>
          </w:p>
        </w:tc>
        <w:tc>
          <w:tcPr>
            <w:tcW w:w="0" w:type="auto"/>
            <w:noWrap/>
            <w:hideMark/>
          </w:tcPr>
          <w:p w14:paraId="75305073"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0,2</w:t>
            </w:r>
          </w:p>
        </w:tc>
        <w:tc>
          <w:tcPr>
            <w:tcW w:w="0" w:type="auto"/>
            <w:noWrap/>
            <w:hideMark/>
          </w:tcPr>
          <w:p w14:paraId="598B4DB4"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-1,2</w:t>
            </w:r>
          </w:p>
        </w:tc>
      </w:tr>
      <w:tr w:rsidR="006D0778" w:rsidRPr="00AD7E7D" w14:paraId="5579ED04" w14:textId="77777777" w:rsidTr="006D0778">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7AE9C72C" w14:textId="77777777" w:rsidR="006D0778" w:rsidRPr="00AD7E7D" w:rsidRDefault="006D0778" w:rsidP="006D0778">
            <w:pPr>
              <w:jc w:val="left"/>
              <w:rPr>
                <w:rFonts w:eastAsia="Times New Roman" w:cs="Times New Roman"/>
                <w:szCs w:val="24"/>
              </w:rPr>
            </w:pPr>
            <w:r w:rsidRPr="00AD7E7D">
              <w:rPr>
                <w:rFonts w:eastAsia="Times New Roman" w:cs="Times New Roman"/>
                <w:szCs w:val="24"/>
              </w:rPr>
              <w:t>2024</w:t>
            </w:r>
          </w:p>
        </w:tc>
        <w:tc>
          <w:tcPr>
            <w:tcW w:w="919" w:type="dxa"/>
            <w:hideMark/>
          </w:tcPr>
          <w:p w14:paraId="758AD7F2"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-0,2</w:t>
            </w:r>
          </w:p>
        </w:tc>
        <w:tc>
          <w:tcPr>
            <w:tcW w:w="0" w:type="auto"/>
            <w:hideMark/>
          </w:tcPr>
          <w:p w14:paraId="6A8B4D95"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-2,7</w:t>
            </w:r>
          </w:p>
        </w:tc>
        <w:tc>
          <w:tcPr>
            <w:tcW w:w="0" w:type="auto"/>
            <w:hideMark/>
          </w:tcPr>
          <w:p w14:paraId="7D2C31E7"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-0,9</w:t>
            </w:r>
          </w:p>
        </w:tc>
        <w:tc>
          <w:tcPr>
            <w:tcW w:w="0" w:type="auto"/>
            <w:noWrap/>
            <w:hideMark/>
          </w:tcPr>
          <w:p w14:paraId="238376E3"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-2,6</w:t>
            </w:r>
          </w:p>
        </w:tc>
        <w:tc>
          <w:tcPr>
            <w:tcW w:w="0" w:type="auto"/>
            <w:hideMark/>
          </w:tcPr>
          <w:p w14:paraId="0574A1A2"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-0,8</w:t>
            </w:r>
          </w:p>
        </w:tc>
        <w:tc>
          <w:tcPr>
            <w:tcW w:w="0" w:type="auto"/>
            <w:hideMark/>
          </w:tcPr>
          <w:p w14:paraId="66697C0C"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-2,2</w:t>
            </w:r>
          </w:p>
        </w:tc>
        <w:tc>
          <w:tcPr>
            <w:tcW w:w="0" w:type="auto"/>
            <w:noWrap/>
            <w:hideMark/>
          </w:tcPr>
          <w:p w14:paraId="77C8BB09"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-0,4</w:t>
            </w:r>
          </w:p>
        </w:tc>
        <w:tc>
          <w:tcPr>
            <w:tcW w:w="0" w:type="auto"/>
            <w:noWrap/>
            <w:hideMark/>
          </w:tcPr>
          <w:p w14:paraId="6ABC50F0"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0,3</w:t>
            </w:r>
          </w:p>
        </w:tc>
      </w:tr>
      <w:tr w:rsidR="006D0778" w:rsidRPr="00AD7E7D" w14:paraId="2B0C96C9" w14:textId="77777777" w:rsidTr="006D077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41868686" w14:textId="77777777" w:rsidR="006D0778" w:rsidRPr="00AD7E7D" w:rsidRDefault="006D0778" w:rsidP="006D0778">
            <w:pPr>
              <w:jc w:val="left"/>
              <w:rPr>
                <w:rFonts w:eastAsia="Times New Roman" w:cs="Times New Roman"/>
                <w:szCs w:val="24"/>
              </w:rPr>
            </w:pPr>
            <w:r w:rsidRPr="00AD7E7D">
              <w:rPr>
                <w:rFonts w:eastAsia="Times New Roman" w:cs="Times New Roman"/>
                <w:szCs w:val="24"/>
              </w:rPr>
              <w:t>2025</w:t>
            </w:r>
          </w:p>
        </w:tc>
        <w:tc>
          <w:tcPr>
            <w:tcW w:w="919" w:type="dxa"/>
            <w:hideMark/>
          </w:tcPr>
          <w:p w14:paraId="60E394E0"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0,0</w:t>
            </w:r>
          </w:p>
        </w:tc>
        <w:tc>
          <w:tcPr>
            <w:tcW w:w="0" w:type="auto"/>
            <w:hideMark/>
          </w:tcPr>
          <w:p w14:paraId="15D3392F"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-3,0</w:t>
            </w:r>
          </w:p>
        </w:tc>
        <w:tc>
          <w:tcPr>
            <w:tcW w:w="0" w:type="auto"/>
            <w:hideMark/>
          </w:tcPr>
          <w:p w14:paraId="63457173"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-1,0</w:t>
            </w:r>
          </w:p>
        </w:tc>
        <w:tc>
          <w:tcPr>
            <w:tcW w:w="0" w:type="auto"/>
            <w:noWrap/>
            <w:hideMark/>
          </w:tcPr>
          <w:p w14:paraId="7A1E3D83"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-3,0</w:t>
            </w:r>
          </w:p>
        </w:tc>
        <w:tc>
          <w:tcPr>
            <w:tcW w:w="0" w:type="auto"/>
            <w:hideMark/>
          </w:tcPr>
          <w:p w14:paraId="752ACAA4"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-1,0</w:t>
            </w:r>
          </w:p>
        </w:tc>
        <w:tc>
          <w:tcPr>
            <w:tcW w:w="0" w:type="auto"/>
            <w:hideMark/>
          </w:tcPr>
          <w:p w14:paraId="05ACDFC1"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-2,3</w:t>
            </w:r>
          </w:p>
        </w:tc>
        <w:tc>
          <w:tcPr>
            <w:tcW w:w="0" w:type="auto"/>
            <w:noWrap/>
            <w:hideMark/>
          </w:tcPr>
          <w:p w14:paraId="5410B16D"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-0,3</w:t>
            </w:r>
          </w:p>
        </w:tc>
        <w:tc>
          <w:tcPr>
            <w:tcW w:w="0" w:type="auto"/>
            <w:noWrap/>
            <w:hideMark/>
          </w:tcPr>
          <w:p w14:paraId="1F7372EC"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0,2</w:t>
            </w:r>
          </w:p>
        </w:tc>
      </w:tr>
      <w:tr w:rsidR="006D0778" w:rsidRPr="00AD7E7D" w14:paraId="79960864" w14:textId="77777777" w:rsidTr="006D0778">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1D0168B3" w14:textId="77777777" w:rsidR="006D0778" w:rsidRPr="00AD7E7D" w:rsidRDefault="006D0778" w:rsidP="006D0778">
            <w:pPr>
              <w:jc w:val="left"/>
              <w:rPr>
                <w:rFonts w:eastAsia="Times New Roman" w:cs="Times New Roman"/>
                <w:szCs w:val="24"/>
              </w:rPr>
            </w:pPr>
            <w:r w:rsidRPr="00AD7E7D">
              <w:rPr>
                <w:rFonts w:eastAsia="Times New Roman" w:cs="Times New Roman"/>
                <w:szCs w:val="24"/>
              </w:rPr>
              <w:t>2026</w:t>
            </w:r>
          </w:p>
        </w:tc>
        <w:tc>
          <w:tcPr>
            <w:tcW w:w="919" w:type="dxa"/>
            <w:hideMark/>
          </w:tcPr>
          <w:p w14:paraId="5A1A6009"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0,0</w:t>
            </w:r>
          </w:p>
        </w:tc>
        <w:tc>
          <w:tcPr>
            <w:tcW w:w="0" w:type="auto"/>
            <w:hideMark/>
          </w:tcPr>
          <w:p w14:paraId="40E31E46"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-3,0</w:t>
            </w:r>
          </w:p>
        </w:tc>
        <w:tc>
          <w:tcPr>
            <w:tcW w:w="0" w:type="auto"/>
            <w:hideMark/>
          </w:tcPr>
          <w:p w14:paraId="640D3793"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-1,0</w:t>
            </w:r>
          </w:p>
        </w:tc>
        <w:tc>
          <w:tcPr>
            <w:tcW w:w="0" w:type="auto"/>
            <w:noWrap/>
            <w:hideMark/>
          </w:tcPr>
          <w:p w14:paraId="6A19DB91"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-3,0</w:t>
            </w:r>
          </w:p>
        </w:tc>
        <w:tc>
          <w:tcPr>
            <w:tcW w:w="0" w:type="auto"/>
            <w:hideMark/>
          </w:tcPr>
          <w:p w14:paraId="7D09295B"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-1,0</w:t>
            </w:r>
          </w:p>
        </w:tc>
        <w:tc>
          <w:tcPr>
            <w:tcW w:w="0" w:type="auto"/>
            <w:hideMark/>
          </w:tcPr>
          <w:p w14:paraId="63848689"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-1,7</w:t>
            </w:r>
          </w:p>
        </w:tc>
        <w:tc>
          <w:tcPr>
            <w:tcW w:w="0" w:type="auto"/>
            <w:noWrap/>
            <w:hideMark/>
          </w:tcPr>
          <w:p w14:paraId="6E2A26FC"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0,3</w:t>
            </w:r>
          </w:p>
        </w:tc>
        <w:tc>
          <w:tcPr>
            <w:tcW w:w="0" w:type="auto"/>
            <w:noWrap/>
            <w:hideMark/>
          </w:tcPr>
          <w:p w14:paraId="62267CFE" w14:textId="77777777" w:rsidR="006D0778" w:rsidRPr="00AD7E7D" w:rsidRDefault="006D0778" w:rsidP="006D077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AD7E7D">
              <w:rPr>
                <w:rFonts w:eastAsia="Times New Roman" w:cs="Times New Roman"/>
                <w:szCs w:val="24"/>
              </w:rPr>
              <w:t>0,0</w:t>
            </w:r>
          </w:p>
        </w:tc>
      </w:tr>
      <w:tr w:rsidR="006D0778" w:rsidRPr="00AD7E7D" w14:paraId="7DA564D2" w14:textId="77777777" w:rsidTr="006D077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14:paraId="0BCCE8A8" w14:textId="77777777" w:rsidR="006D0778" w:rsidRPr="00AD7E7D" w:rsidRDefault="006D0778" w:rsidP="006D0778">
            <w:pPr>
              <w:jc w:val="left"/>
              <w:rPr>
                <w:rFonts w:eastAsia="Times New Roman" w:cs="Times New Roman"/>
                <w:szCs w:val="24"/>
              </w:rPr>
            </w:pPr>
            <w:r w:rsidRPr="00AD7E7D">
              <w:rPr>
                <w:rFonts w:eastAsia="Times New Roman" w:cs="Times New Roman"/>
                <w:szCs w:val="24"/>
              </w:rPr>
              <w:t>2027</w:t>
            </w:r>
          </w:p>
        </w:tc>
        <w:tc>
          <w:tcPr>
            <w:tcW w:w="919" w:type="dxa"/>
            <w:hideMark/>
          </w:tcPr>
          <w:p w14:paraId="4F06201D"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0,7</w:t>
            </w:r>
          </w:p>
        </w:tc>
        <w:tc>
          <w:tcPr>
            <w:tcW w:w="0" w:type="auto"/>
            <w:hideMark/>
          </w:tcPr>
          <w:p w14:paraId="390AE362"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-3,0</w:t>
            </w:r>
          </w:p>
        </w:tc>
        <w:tc>
          <w:tcPr>
            <w:tcW w:w="0" w:type="auto"/>
            <w:hideMark/>
          </w:tcPr>
          <w:p w14:paraId="71C20130"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-1,1</w:t>
            </w:r>
          </w:p>
        </w:tc>
        <w:tc>
          <w:tcPr>
            <w:tcW w:w="0" w:type="auto"/>
            <w:hideMark/>
          </w:tcPr>
          <w:p w14:paraId="3AB47F6E"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-3,2</w:t>
            </w:r>
          </w:p>
        </w:tc>
        <w:tc>
          <w:tcPr>
            <w:tcW w:w="0" w:type="auto"/>
            <w:hideMark/>
          </w:tcPr>
          <w:p w14:paraId="39897581"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-1,3</w:t>
            </w:r>
          </w:p>
        </w:tc>
        <w:tc>
          <w:tcPr>
            <w:tcW w:w="0" w:type="auto"/>
            <w:hideMark/>
          </w:tcPr>
          <w:p w14:paraId="696DA7D5"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-1,7</w:t>
            </w:r>
          </w:p>
        </w:tc>
        <w:tc>
          <w:tcPr>
            <w:tcW w:w="0" w:type="auto"/>
            <w:hideMark/>
          </w:tcPr>
          <w:p w14:paraId="2ECC8BA5"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0,2</w:t>
            </w:r>
          </w:p>
        </w:tc>
        <w:tc>
          <w:tcPr>
            <w:tcW w:w="0" w:type="auto"/>
            <w:noWrap/>
            <w:hideMark/>
          </w:tcPr>
          <w:p w14:paraId="7815F6AE" w14:textId="77777777" w:rsidR="006D0778" w:rsidRPr="00AD7E7D" w:rsidRDefault="006D0778" w:rsidP="006D077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AD7E7D">
              <w:rPr>
                <w:rFonts w:eastAsia="Times New Roman" w:cs="Times New Roman"/>
                <w:szCs w:val="24"/>
              </w:rPr>
              <w:t>0,3</w:t>
            </w:r>
          </w:p>
        </w:tc>
      </w:tr>
    </w:tbl>
    <w:p w14:paraId="4D19D6FB" w14:textId="77777777" w:rsidR="006D0778" w:rsidRPr="00010E52" w:rsidRDefault="006D0778" w:rsidP="006D0778">
      <w:pPr>
        <w:shd w:val="clear" w:color="auto" w:fill="FFFFFF" w:themeFill="background1"/>
        <w:spacing w:after="0" w:line="276" w:lineRule="auto"/>
        <w:rPr>
          <w:rFonts w:eastAsia="MS PGothic" w:cs="Times New Roman"/>
          <w:sz w:val="22"/>
          <w:szCs w:val="24"/>
          <w:lang w:val="sr-Cyrl-RS" w:eastAsia="ja-JP"/>
        </w:rPr>
      </w:pPr>
      <w:r w:rsidRPr="00010E52">
        <w:rPr>
          <w:rFonts w:eastAsia="MS PGothic" w:cs="Times New Roman"/>
          <w:bCs/>
          <w:sz w:val="22"/>
          <w:szCs w:val="24"/>
          <w:lang w:val="sr-Cyrl-RS" w:eastAsia="ja-JP"/>
        </w:rPr>
        <w:t xml:space="preserve">* </w:t>
      </w:r>
      <w:r w:rsidRPr="00010E52">
        <w:rPr>
          <w:rFonts w:eastAsia="MS PGothic" w:cs="Times New Roman"/>
          <w:sz w:val="22"/>
          <w:szCs w:val="24"/>
          <w:lang w:val="sr-Cyrl-RS" w:eastAsia="ja-JP"/>
        </w:rPr>
        <w:t>За период 202</w:t>
      </w:r>
      <w:r w:rsidRPr="00010E52">
        <w:rPr>
          <w:rFonts w:eastAsia="MS PGothic" w:cs="Times New Roman"/>
          <w:sz w:val="22"/>
          <w:szCs w:val="24"/>
          <w:lang w:val="sr-Latn-RS" w:eastAsia="ja-JP"/>
        </w:rPr>
        <w:t>4</w:t>
      </w:r>
      <w:r w:rsidRPr="00010E52">
        <w:rPr>
          <w:rFonts w:eastAsia="MS PGothic" w:cs="Times New Roman"/>
          <w:sz w:val="22"/>
          <w:szCs w:val="24"/>
          <w:lang w:val="sr-Cyrl-RS" w:eastAsia="ja-JP"/>
        </w:rPr>
        <w:t>–2027. године приказане су пројектоване вредности.</w:t>
      </w:r>
    </w:p>
    <w:p w14:paraId="73593D69" w14:textId="77777777" w:rsidR="006D0778" w:rsidRPr="00010E52" w:rsidRDefault="006D0778" w:rsidP="006D0778">
      <w:pPr>
        <w:shd w:val="clear" w:color="auto" w:fill="FFFFFF" w:themeFill="background1"/>
        <w:spacing w:after="0" w:line="276" w:lineRule="auto"/>
        <w:rPr>
          <w:rFonts w:eastAsia="MS PGothic" w:cs="Times New Roman"/>
          <w:bCs/>
          <w:sz w:val="22"/>
          <w:szCs w:val="24"/>
          <w:lang w:val="sr-Cyrl-CS" w:eastAsia="ja-JP"/>
        </w:rPr>
      </w:pPr>
      <w:r w:rsidRPr="00010E52">
        <w:rPr>
          <w:rFonts w:eastAsia="MS PGothic" w:cs="Times New Roman"/>
          <w:bCs/>
          <w:sz w:val="22"/>
          <w:szCs w:val="24"/>
          <w:lang w:val="sr-Cyrl-RS" w:eastAsia="ja-JP"/>
        </w:rPr>
        <w:t xml:space="preserve">** </w:t>
      </w:r>
      <w:r w:rsidRPr="00010E52">
        <w:rPr>
          <w:rFonts w:eastAsia="MS PGothic" w:cs="Times New Roman"/>
          <w:bCs/>
          <w:sz w:val="22"/>
          <w:szCs w:val="24"/>
          <w:lang w:val="sr-Cyrl-CS" w:eastAsia="ja-JP"/>
        </w:rPr>
        <w:t>Структурни биланси добијени су искључивањем процењених једнократних прихода и расхода. За период од 2024. до 2027. године једнокра</w:t>
      </w:r>
      <w:r w:rsidRPr="00010E52">
        <w:rPr>
          <w:rFonts w:eastAsia="MS PGothic" w:cs="Times New Roman"/>
          <w:bCs/>
          <w:sz w:val="22"/>
          <w:szCs w:val="24"/>
          <w:lang w:val="sr-Cyrl-RS" w:eastAsia="ja-JP"/>
        </w:rPr>
        <w:t>т</w:t>
      </w:r>
      <w:r w:rsidRPr="00010E52">
        <w:rPr>
          <w:rFonts w:eastAsia="MS PGothic" w:cs="Times New Roman"/>
          <w:bCs/>
          <w:sz w:val="22"/>
          <w:szCs w:val="24"/>
          <w:lang w:val="sr-Cyrl-CS" w:eastAsia="ja-JP"/>
        </w:rPr>
        <w:t xml:space="preserve">ним расходима су третирани и део капиталних расхода за потребе изложбе EXPO 2027, као и део расхода за војну опрему. </w:t>
      </w:r>
    </w:p>
    <w:p w14:paraId="4195EA5E" w14:textId="77777777" w:rsidR="006D0778" w:rsidRDefault="006D0778" w:rsidP="006D0778">
      <w:pPr>
        <w:spacing w:line="276" w:lineRule="auto"/>
        <w:rPr>
          <w:rFonts w:eastAsia="Calibri" w:cs="Times New Roman"/>
          <w:sz w:val="22"/>
          <w:szCs w:val="24"/>
          <w:lang w:val="sr-Cyrl-RS"/>
        </w:rPr>
      </w:pPr>
      <w:r w:rsidRPr="00010E52">
        <w:rPr>
          <w:rFonts w:eastAsia="Calibri" w:cs="Times New Roman"/>
          <w:sz w:val="22"/>
          <w:szCs w:val="24"/>
          <w:lang w:val="sr-Cyrl-RS"/>
        </w:rPr>
        <w:t>Извор: Министарство финансија</w:t>
      </w:r>
    </w:p>
    <w:p w14:paraId="2F4CF07E" w14:textId="77777777" w:rsidR="00010E52" w:rsidRDefault="00010E52" w:rsidP="006D0778">
      <w:pPr>
        <w:spacing w:line="276" w:lineRule="auto"/>
        <w:rPr>
          <w:rFonts w:eastAsia="Calibri" w:cs="Times New Roman"/>
          <w:sz w:val="22"/>
          <w:szCs w:val="24"/>
          <w:lang w:val="sr-Cyrl-RS"/>
        </w:rPr>
      </w:pPr>
    </w:p>
    <w:p w14:paraId="35B2CB2B" w14:textId="77777777" w:rsidR="00010E52" w:rsidRPr="00010E52" w:rsidRDefault="00010E52" w:rsidP="006D0778">
      <w:pPr>
        <w:spacing w:line="276" w:lineRule="auto"/>
        <w:rPr>
          <w:rFonts w:eastAsia="Calibri" w:cs="Times New Roman"/>
          <w:sz w:val="22"/>
          <w:szCs w:val="24"/>
          <w:lang w:val="sr-Cyrl-RS"/>
        </w:rPr>
      </w:pPr>
    </w:p>
    <w:p w14:paraId="27290FB5" w14:textId="77777777" w:rsidR="006D0778" w:rsidRPr="00010E52" w:rsidRDefault="006D0778" w:rsidP="006D0778">
      <w:pPr>
        <w:spacing w:after="0"/>
        <w:rPr>
          <w:rFonts w:cs="Times New Roman"/>
          <w:i/>
          <w:szCs w:val="24"/>
          <w:lang w:val="sr-Cyrl-RS" w:eastAsia="sr-Cyrl-RS"/>
        </w:rPr>
      </w:pPr>
      <w:r w:rsidRPr="00010E52">
        <w:rPr>
          <w:rFonts w:cs="Times New Roman"/>
          <w:i/>
          <w:szCs w:val="24"/>
          <w:lang w:val="sr-Cyrl-RS"/>
        </w:rPr>
        <w:lastRenderedPageBreak/>
        <w:t>Графикон 1</w:t>
      </w:r>
      <w:r w:rsidR="006C46A3">
        <w:rPr>
          <w:rFonts w:cs="Times New Roman"/>
          <w:i/>
          <w:szCs w:val="24"/>
          <w:lang w:val="sr-Latn-RS"/>
        </w:rPr>
        <w:t>0</w:t>
      </w:r>
      <w:r w:rsidRPr="00010E52">
        <w:rPr>
          <w:rFonts w:cs="Times New Roman"/>
          <w:i/>
          <w:szCs w:val="24"/>
          <w:lang w:val="sr-Cyrl-RS"/>
        </w:rPr>
        <w:t>. Производни јаз, циклично прилаг. и структурни фиск. биланс у периоду 2005–2027. год, % БДП*</w:t>
      </w:r>
    </w:p>
    <w:p w14:paraId="6D4C597C" w14:textId="77777777" w:rsidR="006D0778" w:rsidRPr="00010E52" w:rsidRDefault="006D0778" w:rsidP="00010E52">
      <w:pPr>
        <w:spacing w:after="180"/>
        <w:rPr>
          <w:rFonts w:eastAsia="MS PGothic" w:cs="Times New Roman"/>
          <w:sz w:val="22"/>
          <w:szCs w:val="24"/>
          <w:lang w:val="sr-Cyrl-RS" w:eastAsia="ja-JP"/>
        </w:rPr>
      </w:pPr>
      <w:r w:rsidRPr="00AD7E7D">
        <w:rPr>
          <w:rFonts w:cs="Times New Roman"/>
          <w:noProof/>
          <w:szCs w:val="24"/>
        </w:rPr>
        <w:drawing>
          <wp:inline distT="0" distB="0" distL="0" distR="0" wp14:anchorId="3701DF53" wp14:editId="5DE15262">
            <wp:extent cx="5753100" cy="25146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010E52">
        <w:rPr>
          <w:rFonts w:eastAsia="MS PGothic" w:cs="Times New Roman"/>
          <w:i/>
          <w:sz w:val="22"/>
          <w:szCs w:val="24"/>
          <w:lang w:val="sr-Cyrl-RS" w:eastAsia="ja-JP"/>
        </w:rPr>
        <w:t>*</w:t>
      </w:r>
      <w:r w:rsidR="00010E52" w:rsidRPr="00010E52">
        <w:rPr>
          <w:rFonts w:eastAsia="MS PGothic" w:cs="Times New Roman"/>
          <w:i/>
          <w:sz w:val="22"/>
          <w:szCs w:val="24"/>
          <w:lang w:val="sr-Latn-RS" w:eastAsia="ja-JP"/>
        </w:rPr>
        <w:t xml:space="preserve"> </w:t>
      </w:r>
      <w:r w:rsidRPr="00010E52">
        <w:rPr>
          <w:rFonts w:eastAsia="MS PGothic" w:cs="Times New Roman"/>
          <w:i/>
          <w:sz w:val="22"/>
          <w:szCs w:val="24"/>
          <w:lang w:val="sr-Cyrl-RS" w:eastAsia="ja-JP"/>
        </w:rPr>
        <w:t>За период 2023–2027. године приказане су пројектоване вредности</w:t>
      </w:r>
    </w:p>
    <w:p w14:paraId="2511D5DF" w14:textId="77777777" w:rsidR="006D0778" w:rsidRPr="00010E52" w:rsidRDefault="006D0778" w:rsidP="006D0778">
      <w:pPr>
        <w:keepNext/>
        <w:spacing w:after="0"/>
        <w:rPr>
          <w:rFonts w:cs="Times New Roman"/>
          <w:i/>
          <w:szCs w:val="24"/>
          <w:lang w:val="sr-Cyrl-RS"/>
        </w:rPr>
      </w:pPr>
      <w:r w:rsidRPr="00010E52">
        <w:rPr>
          <w:rFonts w:cs="Times New Roman"/>
          <w:i/>
          <w:szCs w:val="24"/>
          <w:lang w:val="sr-Cyrl-RS"/>
        </w:rPr>
        <w:t>Графикон 1</w:t>
      </w:r>
      <w:r w:rsidR="006C46A3">
        <w:rPr>
          <w:rFonts w:cs="Times New Roman"/>
          <w:i/>
          <w:szCs w:val="24"/>
          <w:lang w:val="sr-Latn-RS"/>
        </w:rPr>
        <w:t>1</w:t>
      </w:r>
      <w:r w:rsidRPr="00010E52">
        <w:rPr>
          <w:rFonts w:cs="Times New Roman"/>
          <w:i/>
          <w:szCs w:val="24"/>
          <w:lang w:val="sr-Cyrl-RS"/>
        </w:rPr>
        <w:t>. Карактер и ефекти фискалне политике у периоду 2006–2027. године, % БДП*</w:t>
      </w:r>
    </w:p>
    <w:p w14:paraId="38468E2D" w14:textId="77777777" w:rsidR="006D0778" w:rsidRPr="006C46A3" w:rsidRDefault="006D0778" w:rsidP="006D0778">
      <w:pPr>
        <w:rPr>
          <w:rFonts w:cs="Times New Roman"/>
          <w:szCs w:val="24"/>
          <w:lang w:val="sr-Cyrl-RS" w:eastAsia="ja-JP"/>
        </w:rPr>
      </w:pPr>
      <w:r w:rsidRPr="00AD7E7D">
        <w:rPr>
          <w:rFonts w:cs="Times New Roman"/>
          <w:noProof/>
          <w:szCs w:val="24"/>
        </w:rPr>
        <w:drawing>
          <wp:inline distT="0" distB="0" distL="0" distR="0" wp14:anchorId="282274A3" wp14:editId="4CE14E6E">
            <wp:extent cx="5705475" cy="2390775"/>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6C46A3">
        <w:rPr>
          <w:rFonts w:cs="Times New Roman"/>
          <w:sz w:val="22"/>
          <w:szCs w:val="24"/>
          <w:lang w:val="sr-Cyrl-RS" w:eastAsia="ja-JP"/>
        </w:rPr>
        <w:t>*</w:t>
      </w:r>
      <w:r w:rsidR="00010E52" w:rsidRPr="006C46A3">
        <w:rPr>
          <w:rFonts w:cs="Times New Roman"/>
          <w:sz w:val="22"/>
          <w:szCs w:val="24"/>
          <w:lang w:val="sr-Latn-RS" w:eastAsia="ja-JP"/>
        </w:rPr>
        <w:t xml:space="preserve"> </w:t>
      </w:r>
      <w:r w:rsidRPr="006C46A3">
        <w:rPr>
          <w:rFonts w:cs="Times New Roman"/>
          <w:sz w:val="22"/>
          <w:szCs w:val="24"/>
          <w:lang w:val="sr-Cyrl-RS" w:eastAsia="ja-JP"/>
        </w:rPr>
        <w:t>За период 2023–2027. године приказане су пројектоване вредности.</w:t>
      </w:r>
    </w:p>
    <w:p w14:paraId="05C916BD" w14:textId="77777777" w:rsidR="006D0778" w:rsidRPr="00AD7E7D" w:rsidRDefault="006D0778" w:rsidP="006D0778">
      <w:pPr>
        <w:rPr>
          <w:rFonts w:cs="Times New Roman"/>
          <w:szCs w:val="24"/>
          <w:lang w:eastAsia="ja-JP"/>
        </w:rPr>
      </w:pPr>
      <w:r w:rsidRPr="00AD7E7D">
        <w:rPr>
          <w:rFonts w:eastAsia="Calibri" w:cs="Times New Roman"/>
          <w:bCs/>
          <w:szCs w:val="24"/>
        </w:rPr>
        <w:t>Структурна фискална позиција земље није нарушена у периоду између 2020. и 2022. године, због тога што су спроведене мере помоћи привреди и становништву из домена фискалне политике биле временски ограниченог карактера.</w:t>
      </w:r>
      <w:r w:rsidRPr="00AD7E7D">
        <w:rPr>
          <w:rFonts w:eastAsia="Calibri" w:cs="Times New Roman"/>
          <w:szCs w:val="24"/>
        </w:rPr>
        <w:t xml:space="preserve"> Осим тога, енергетска криза условила је значајне интервенције државе у домену обезбеђивања енергетс</w:t>
      </w:r>
      <w:r w:rsidR="00DB1F40" w:rsidRPr="00AD7E7D">
        <w:rPr>
          <w:rFonts w:eastAsia="Calibri" w:cs="Times New Roman"/>
          <w:szCs w:val="24"/>
        </w:rPr>
        <w:t xml:space="preserve">ке стабилности у 2022. години. </w:t>
      </w:r>
      <w:r w:rsidR="00DB1F40" w:rsidRPr="00AD7E7D">
        <w:rPr>
          <w:rFonts w:eastAsia="Calibri" w:cs="Times New Roman"/>
          <w:szCs w:val="24"/>
          <w:lang w:val="sr-Cyrl-RS"/>
        </w:rPr>
        <w:t>З</w:t>
      </w:r>
      <w:r w:rsidRPr="00AD7E7D">
        <w:rPr>
          <w:rFonts w:eastAsia="Calibri" w:cs="Times New Roman"/>
          <w:szCs w:val="24"/>
        </w:rPr>
        <w:t>а ове потребе, утрошено је 2,7% БДП. Током 2022</w:t>
      </w:r>
      <w:r w:rsidR="00DB1F40" w:rsidRPr="00AD7E7D">
        <w:rPr>
          <w:rFonts w:eastAsia="Calibri" w:cs="Times New Roman"/>
          <w:szCs w:val="24"/>
        </w:rPr>
        <w:t>. годинe реализована је и помоћ</w:t>
      </w:r>
      <w:r w:rsidRPr="00AD7E7D">
        <w:rPr>
          <w:rFonts w:eastAsia="Calibri" w:cs="Times New Roman"/>
          <w:szCs w:val="24"/>
        </w:rPr>
        <w:t xml:space="preserve"> становништву у висини од 0,9% БДП. Осим повећаних издатака за енергенте, помоћ становништву и привреди, обезбеђена је и смањењем акциза на </w:t>
      </w:r>
      <w:r w:rsidRPr="00AD7E7D">
        <w:rPr>
          <w:rFonts w:cs="Times New Roman"/>
          <w:szCs w:val="24"/>
          <w:lang w:eastAsia="ja-JP"/>
        </w:rPr>
        <w:t>нафтне деривате.</w:t>
      </w:r>
    </w:p>
    <w:p w14:paraId="0E7A0197" w14:textId="77777777" w:rsidR="006D0778" w:rsidRPr="00AD7E7D" w:rsidRDefault="006D0778" w:rsidP="006D0778">
      <w:pPr>
        <w:rPr>
          <w:rFonts w:cs="Times New Roman"/>
          <w:szCs w:val="24"/>
          <w:lang w:eastAsia="ja-JP"/>
        </w:rPr>
      </w:pPr>
      <w:r w:rsidRPr="00AD7E7D">
        <w:rPr>
          <w:rFonts w:cs="Times New Roman"/>
          <w:bCs/>
          <w:szCs w:val="24"/>
          <w:lang w:eastAsia="ja-JP"/>
        </w:rPr>
        <w:t>Током 2023. године</w:t>
      </w:r>
      <w:r w:rsidRPr="00AD7E7D">
        <w:rPr>
          <w:rFonts w:cs="Times New Roman"/>
          <w:szCs w:val="24"/>
          <w:lang w:eastAsia="ja-JP"/>
        </w:rPr>
        <w:t>, промена у структурној позицији сектора државе делом је условљена изменом формуле за усклађивање пензија у складу са посебним фискалним правилима као и ванредним повећањем пензија у 2022. и 2023. години. Посебно фискално правило уводи директну везу између начина усклађивања пензија и учешћа овог облика расхода у БДП. Овакво системско решење обезбеђује да примања и стандард пензионера у већој мери рефлектују економску снагу земље, без угрожавања одрживости јавних финансија. Остатак благог погоршања структурне фискалне позиције</w:t>
      </w:r>
      <w:r w:rsidR="00DB1F40" w:rsidRPr="00AD7E7D">
        <w:rPr>
          <w:rFonts w:cs="Times New Roman"/>
          <w:szCs w:val="24"/>
          <w:lang w:val="sr-Cyrl-RS" w:eastAsia="ja-JP"/>
        </w:rPr>
        <w:t>,</w:t>
      </w:r>
      <w:r w:rsidRPr="00AD7E7D">
        <w:rPr>
          <w:rFonts w:cs="Times New Roman"/>
          <w:szCs w:val="24"/>
          <w:lang w:eastAsia="ja-JP"/>
        </w:rPr>
        <w:t xml:space="preserve"> последица је и раста учешћа </w:t>
      </w:r>
      <w:r w:rsidRPr="00AD7E7D">
        <w:rPr>
          <w:rFonts w:cs="Times New Roman"/>
          <w:szCs w:val="24"/>
          <w:lang w:eastAsia="ja-JP"/>
        </w:rPr>
        <w:lastRenderedPageBreak/>
        <w:t>расхода за камате у БДП. Увећани трошкови задуживања, као последица мера за сузбијање инфлаторних тенденција на домаћем и међународном тржишту, свакако ће и у наредном периоду имати негативан ефекат сличног интензитета.</w:t>
      </w:r>
    </w:p>
    <w:p w14:paraId="799BC8C8" w14:textId="77777777" w:rsidR="006D0778" w:rsidRPr="00AD7E7D" w:rsidRDefault="006D0778" w:rsidP="006D0778">
      <w:pPr>
        <w:rPr>
          <w:rFonts w:cs="Times New Roman"/>
          <w:szCs w:val="24"/>
          <w:lang w:eastAsia="ja-JP"/>
        </w:rPr>
      </w:pPr>
      <w:r w:rsidRPr="00AD7E7D">
        <w:rPr>
          <w:rFonts w:cs="Times New Roman"/>
          <w:szCs w:val="24"/>
          <w:lang w:eastAsia="ja-JP"/>
        </w:rPr>
        <w:t>Ванредно повећање пензија крајем 2023. године, као и значајно повећање родитељског додатка у 2024. години, има пренети ефекат на кретање струк</w:t>
      </w:r>
      <w:r w:rsidRPr="00AD7E7D">
        <w:rPr>
          <w:rFonts w:cs="Times New Roman"/>
          <w:szCs w:val="24"/>
          <w:lang w:val="sr-Cyrl-RS" w:eastAsia="ja-JP"/>
        </w:rPr>
        <w:t>т</w:t>
      </w:r>
      <w:r w:rsidRPr="00AD7E7D">
        <w:rPr>
          <w:rFonts w:cs="Times New Roman"/>
          <w:szCs w:val="24"/>
          <w:lang w:eastAsia="ja-JP"/>
        </w:rPr>
        <w:t>урног резултата и током наредног периода.</w:t>
      </w:r>
      <w:r w:rsidR="00CF6476" w:rsidRPr="00AD7E7D">
        <w:rPr>
          <w:rFonts w:cs="Times New Roman"/>
          <w:szCs w:val="24"/>
          <w:lang w:eastAsia="ja-JP"/>
        </w:rPr>
        <w:t xml:space="preserve"> </w:t>
      </w:r>
      <w:r w:rsidRPr="00AD7E7D">
        <w:rPr>
          <w:rFonts w:cs="Times New Roman"/>
          <w:szCs w:val="24"/>
          <w:lang w:eastAsia="ja-JP"/>
        </w:rPr>
        <w:t>Међутим, овим фискалним оквиром, одређен</w:t>
      </w:r>
      <w:r w:rsidRPr="00AD7E7D">
        <w:rPr>
          <w:rFonts w:cs="Times New Roman"/>
          <w:szCs w:val="24"/>
          <w:lang w:val="sr-Cyrl-RS" w:eastAsia="ja-JP"/>
        </w:rPr>
        <w:t>о</w:t>
      </w:r>
      <w:r w:rsidRPr="00AD7E7D">
        <w:rPr>
          <w:rFonts w:cs="Times New Roman"/>
          <w:szCs w:val="24"/>
          <w:lang w:eastAsia="ja-JP"/>
        </w:rPr>
        <w:t xml:space="preserve"> је кретање и горња граница структурног фискалног резултата, са основним циљем да се обезбеди одржив ниво и опадајућа путања јавног дуга. У периоду од 2023. и 2025. године раст расхода за камате у одређеној мери такође повећава ниво структурног дефицита. Након тога, постепеним смањењем учешћа камата у БДП, отвара се простор за повећање других продуктивних облика расхода.</w:t>
      </w:r>
    </w:p>
    <w:p w14:paraId="68729312" w14:textId="77777777" w:rsidR="006D0778" w:rsidRPr="00AD7E7D" w:rsidRDefault="006D0778" w:rsidP="006D0778">
      <w:pPr>
        <w:spacing w:after="0"/>
        <w:rPr>
          <w:rFonts w:cs="Times New Roman"/>
          <w:szCs w:val="24"/>
          <w:lang w:val="sr-Cyrl-RS" w:eastAsia="ja-JP"/>
        </w:rPr>
      </w:pPr>
      <w:r w:rsidRPr="00AD7E7D">
        <w:rPr>
          <w:rFonts w:cs="Times New Roman"/>
          <w:szCs w:val="24"/>
          <w:lang w:eastAsia="ja-JP"/>
        </w:rPr>
        <w:t>Како је фискални импулс дефинисан као разлика два узастопна циклично прилагођена (примарна) резултата, оцењује се да је фискална политика током 2020. године била изразито експанзивно-контрациклична, усмерена на ублажавање негативног економског циклуса. Услед нешто мањег обима пакета мера економске подршке у 2021. години, фискална политика је рестриктивнија него претходне године, а по карактеру такође контрациклична. За период од 2022. до 2023. године, оцењено је да је фискална политика благо рестриктивна, и поред значајних издвајања за ублажавање енергетске кризе. Делом је то и последица раста расхода за камате који се искључују из обрачуна примарног резултата. У периоду од 2025. до 2027. године, а у складу са планираним фискалним оквиром, оцењена фискална политика је благо експанзивна. Основни разлог за то лежи у реализацији снажног инвестиционог циклуса за потребе манифестације EXPO 2027, али и осталих значајних инфраструктурних пројеката који ће, и у периоду након њихове реализације, утицати на повећање стопе привредног раста.</w:t>
      </w:r>
    </w:p>
    <w:p w14:paraId="0E810178" w14:textId="77777777" w:rsidR="006D0778" w:rsidRPr="00AD7E7D" w:rsidRDefault="006D0778" w:rsidP="006D0778">
      <w:pPr>
        <w:spacing w:after="0"/>
        <w:rPr>
          <w:rFonts w:cs="Times New Roman"/>
          <w:szCs w:val="24"/>
          <w:lang w:val="sr-Cyrl-RS"/>
        </w:rPr>
      </w:pPr>
    </w:p>
    <w:p w14:paraId="0622099A" w14:textId="77777777" w:rsidR="006D0778" w:rsidRPr="00010E52" w:rsidRDefault="006D0778" w:rsidP="006D0778">
      <w:pPr>
        <w:spacing w:after="0"/>
        <w:rPr>
          <w:rFonts w:cs="Times New Roman"/>
          <w:i/>
          <w:vanish/>
          <w:spacing w:val="-2"/>
          <w:szCs w:val="24"/>
          <w:lang w:val="sr-Cyrl-RS" w:eastAsia="sr-Cyrl-RS"/>
        </w:rPr>
      </w:pPr>
      <w:r w:rsidRPr="00010E52">
        <w:rPr>
          <w:rFonts w:cs="Times New Roman"/>
          <w:i/>
          <w:spacing w:val="-2"/>
          <w:szCs w:val="24"/>
          <w:lang w:val="sr-Cyrl-RS"/>
        </w:rPr>
        <w:t>Графикон 1</w:t>
      </w:r>
      <w:r w:rsidR="006C46A3">
        <w:rPr>
          <w:rFonts w:cs="Times New Roman"/>
          <w:i/>
          <w:spacing w:val="-2"/>
          <w:szCs w:val="24"/>
          <w:lang w:val="sr-Latn-RS"/>
        </w:rPr>
        <w:t>2</w:t>
      </w:r>
      <w:r w:rsidRPr="00010E52">
        <w:rPr>
          <w:rFonts w:cs="Times New Roman"/>
          <w:i/>
          <w:spacing w:val="-2"/>
          <w:szCs w:val="24"/>
          <w:lang w:val="sr-Cyrl-RS"/>
        </w:rPr>
        <w:t>. Карактер и ефекти фискалне политике у периоду 2006–2024. године, % БДП</w:t>
      </w:r>
    </w:p>
    <w:p w14:paraId="62D7047A" w14:textId="77777777" w:rsidR="006D0778" w:rsidRPr="00AD7E7D" w:rsidRDefault="006D0778" w:rsidP="006D0778">
      <w:pPr>
        <w:spacing w:after="160" w:line="259" w:lineRule="auto"/>
        <w:jc w:val="center"/>
        <w:rPr>
          <w:rFonts w:eastAsia="Calibri" w:cs="Times New Roman"/>
          <w:szCs w:val="24"/>
          <w:highlight w:val="yellow"/>
          <w:lang w:val="sr-Cyrl-RS"/>
        </w:rPr>
      </w:pPr>
      <w:bookmarkStart w:id="25" w:name="_Toc530635111"/>
    </w:p>
    <w:p w14:paraId="6DD3AA9D" w14:textId="77777777" w:rsidR="006D0778" w:rsidRPr="00AD7E7D" w:rsidRDefault="006D0778" w:rsidP="006D0778">
      <w:pPr>
        <w:spacing w:after="160" w:line="259" w:lineRule="auto"/>
        <w:jc w:val="center"/>
        <w:rPr>
          <w:rFonts w:eastAsia="Calibri" w:cs="Times New Roman"/>
          <w:szCs w:val="24"/>
          <w:highlight w:val="yellow"/>
          <w:lang w:val="sr-Cyrl-RS"/>
        </w:rPr>
      </w:pPr>
      <w:r w:rsidRPr="00AD7E7D">
        <w:rPr>
          <w:rFonts w:cs="Times New Roman"/>
          <w:noProof/>
          <w:szCs w:val="24"/>
        </w:rPr>
        <w:drawing>
          <wp:inline distT="0" distB="0" distL="0" distR="0" wp14:anchorId="7A8ABB28" wp14:editId="373AEEA2">
            <wp:extent cx="5638800" cy="344805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C453142" w14:textId="77777777" w:rsidR="006D0778" w:rsidRPr="00915EC2" w:rsidRDefault="00933940" w:rsidP="00E25CAC">
      <w:pPr>
        <w:pStyle w:val="Heading11"/>
        <w:spacing w:before="180" w:after="180"/>
        <w:rPr>
          <w:rFonts w:ascii="Times New Roman" w:hAnsi="Times New Roman" w:cs="Times New Roman"/>
          <w:color w:val="auto"/>
          <w:sz w:val="24"/>
          <w:szCs w:val="24"/>
          <w:lang w:val="sr-Latn-RS"/>
        </w:rPr>
      </w:pPr>
      <w:bookmarkStart w:id="26" w:name="_Toc185342337"/>
      <w:r w:rsidRPr="00915EC2">
        <w:rPr>
          <w:rFonts w:ascii="Times New Roman" w:hAnsi="Times New Roman" w:cs="Times New Roman"/>
          <w:color w:val="auto"/>
          <w:sz w:val="24"/>
          <w:szCs w:val="24"/>
          <w:lang w:val="sr-Latn-RS"/>
        </w:rPr>
        <w:lastRenderedPageBreak/>
        <w:t>4.</w:t>
      </w:r>
      <w:r w:rsidR="006D0778" w:rsidRPr="00915EC2">
        <w:rPr>
          <w:rFonts w:ascii="Times New Roman" w:hAnsi="Times New Roman" w:cs="Times New Roman"/>
          <w:color w:val="auto"/>
          <w:sz w:val="24"/>
          <w:szCs w:val="24"/>
          <w:lang w:val="sr-Latn-RS"/>
        </w:rPr>
        <w:t xml:space="preserve">5. </w:t>
      </w:r>
      <w:bookmarkEnd w:id="25"/>
      <w:r w:rsidR="006D0778" w:rsidRPr="00915EC2">
        <w:rPr>
          <w:rFonts w:ascii="Times New Roman" w:hAnsi="Times New Roman" w:cs="Times New Roman"/>
          <w:color w:val="auto"/>
          <w:sz w:val="24"/>
          <w:szCs w:val="24"/>
          <w:lang w:val="sr-Latn-RS"/>
        </w:rPr>
        <w:t>УПРАВЉАЊЕ ЈАВНИМ ДУГОМ</w:t>
      </w:r>
      <w:bookmarkEnd w:id="26"/>
    </w:p>
    <w:p w14:paraId="357FA44B" w14:textId="77777777" w:rsidR="006D0778" w:rsidRPr="00AD7E7D" w:rsidRDefault="006D0778" w:rsidP="002B1F9D">
      <w:pPr>
        <w:rPr>
          <w:rFonts w:cs="Times New Roman"/>
          <w:szCs w:val="24"/>
          <w:lang w:val="sr-Cyrl-RS" w:eastAsia="ja-JP"/>
        </w:rPr>
      </w:pPr>
      <w:r w:rsidRPr="00AD7E7D">
        <w:rPr>
          <w:rFonts w:cs="Times New Roman"/>
          <w:szCs w:val="24"/>
          <w:lang w:val="sr-Cyrl-RS" w:eastAsia="ja-JP"/>
        </w:rPr>
        <w:t>У складу са међународном праксом и према Закону о јавном дугу („Службени гласник РС”, бр. 61/05, 107/09, 78/11, 68/15, 95/18, 91/19 и 149/20), Стратегија управљања јавним дугом за наредни средњорочни период треба да буде подржана и конзистентна са општим Владиним средњорочним макроекономским оквиром и саставни је део Фискалне стратегије. Стратегија управљања јавним дугом заснива се на принципима који дефинишу потребу за транспарентним и предвидивим процесом задуживања, уз перманентан развој тржишта државних хартија од вредности и прихватљив ниво изложености финансијским ризицима.</w:t>
      </w:r>
    </w:p>
    <w:p w14:paraId="7CCE99B3" w14:textId="77777777" w:rsidR="006D0778" w:rsidRPr="00AD7E7D" w:rsidRDefault="006D0778" w:rsidP="002B1F9D">
      <w:pPr>
        <w:rPr>
          <w:rFonts w:cs="Times New Roman"/>
          <w:szCs w:val="24"/>
          <w:lang w:val="sr-Cyrl-RS" w:eastAsia="ja-JP"/>
        </w:rPr>
      </w:pPr>
      <w:r w:rsidRPr="00AD7E7D">
        <w:rPr>
          <w:rFonts w:cs="Times New Roman"/>
          <w:szCs w:val="24"/>
          <w:lang w:val="sr-Cyrl-RS" w:eastAsia="ja-JP"/>
        </w:rPr>
        <w:t>На крају септембра 202</w:t>
      </w:r>
      <w:r w:rsidRPr="00AD7E7D">
        <w:rPr>
          <w:rFonts w:cs="Times New Roman"/>
          <w:szCs w:val="24"/>
          <w:lang w:val="sr-Latn-RS" w:eastAsia="ja-JP"/>
        </w:rPr>
        <w:t>4</w:t>
      </w:r>
      <w:r w:rsidRPr="00AD7E7D">
        <w:rPr>
          <w:rFonts w:cs="Times New Roman"/>
          <w:szCs w:val="24"/>
          <w:lang w:val="sr-Cyrl-RS" w:eastAsia="ja-JP"/>
        </w:rPr>
        <w:t>. године стање дуга сектора државе износило је 4.496,5 млрд динара, односно 46,8</w:t>
      </w:r>
      <w:r w:rsidRPr="00AD7E7D">
        <w:rPr>
          <w:rFonts w:cs="Times New Roman"/>
          <w:szCs w:val="24"/>
          <w:lang w:val="sr-Latn-RS" w:eastAsia="ja-JP"/>
        </w:rPr>
        <w:t xml:space="preserve">% </w:t>
      </w:r>
      <w:r w:rsidRPr="00AD7E7D">
        <w:rPr>
          <w:rFonts w:cs="Times New Roman"/>
          <w:szCs w:val="24"/>
          <w:lang w:val="sr-Cyrl-RS" w:eastAsia="ja-JP"/>
        </w:rPr>
        <w:t>БДП. Од тога се на јавни дуг Републике Србије односило 4.467,0</w:t>
      </w:r>
      <w:r w:rsidRPr="00AD7E7D">
        <w:rPr>
          <w:rFonts w:cs="Times New Roman"/>
          <w:szCs w:val="24"/>
          <w:lang w:val="sr-Latn-RS" w:eastAsia="ja-JP"/>
        </w:rPr>
        <w:t xml:space="preserve"> </w:t>
      </w:r>
      <w:r w:rsidRPr="00AD7E7D">
        <w:rPr>
          <w:rFonts w:cs="Times New Roman"/>
          <w:szCs w:val="24"/>
          <w:lang w:val="sr-Cyrl-RS" w:eastAsia="ja-JP"/>
        </w:rPr>
        <w:t>млрд динара, док се 29,3</w:t>
      </w:r>
      <w:r w:rsidRPr="00AD7E7D">
        <w:rPr>
          <w:rFonts w:cs="Times New Roman"/>
          <w:szCs w:val="24"/>
          <w:lang w:val="sr-Latn-RS" w:eastAsia="ja-JP"/>
        </w:rPr>
        <w:t xml:space="preserve"> </w:t>
      </w:r>
      <w:r w:rsidRPr="00AD7E7D">
        <w:rPr>
          <w:rFonts w:cs="Times New Roman"/>
          <w:szCs w:val="24"/>
          <w:lang w:val="sr-Cyrl-RS" w:eastAsia="ja-JP"/>
        </w:rPr>
        <w:t>млрд динара односило на негарантовани дуг ЈЛС и 0,2</w:t>
      </w:r>
      <w:r w:rsidRPr="00AD7E7D">
        <w:rPr>
          <w:rFonts w:cs="Times New Roman"/>
          <w:szCs w:val="24"/>
          <w:lang w:val="sr-Latn-RS" w:eastAsia="ja-JP"/>
        </w:rPr>
        <w:t xml:space="preserve"> </w:t>
      </w:r>
      <w:r w:rsidRPr="00AD7E7D">
        <w:rPr>
          <w:rFonts w:cs="Times New Roman"/>
          <w:szCs w:val="24"/>
          <w:lang w:val="sr-Cyrl-RS" w:eastAsia="ja-JP"/>
        </w:rPr>
        <w:t>млрд динара на негарантовани дуг ЈП „Путеви Србијеˮ и Коридора Србије д.о.о. Београд. Директан јавни дуг Републике Србије износио је 4.256,7</w:t>
      </w:r>
      <w:r w:rsidRPr="00AD7E7D">
        <w:rPr>
          <w:rFonts w:cs="Times New Roman"/>
          <w:szCs w:val="24"/>
          <w:lang w:val="sr-Latn-RS" w:eastAsia="ja-JP"/>
        </w:rPr>
        <w:t xml:space="preserve"> </w:t>
      </w:r>
      <w:r w:rsidRPr="00AD7E7D">
        <w:rPr>
          <w:rFonts w:cs="Times New Roman"/>
          <w:szCs w:val="24"/>
          <w:lang w:val="sr-Cyrl-RS" w:eastAsia="ja-JP"/>
        </w:rPr>
        <w:t>млрд динара, док је индиректни јавни дуг Републике Србије износио 210,3 млрд динара. Унутрашњи јавни дуг Републике Србије је износио 1.285,1</w:t>
      </w:r>
      <w:r w:rsidRPr="00AD7E7D">
        <w:rPr>
          <w:rFonts w:cs="Times New Roman"/>
          <w:szCs w:val="24"/>
          <w:lang w:val="sr-Latn-RS" w:eastAsia="ja-JP"/>
        </w:rPr>
        <w:t xml:space="preserve"> </w:t>
      </w:r>
      <w:r w:rsidRPr="00AD7E7D">
        <w:rPr>
          <w:rFonts w:cs="Times New Roman"/>
          <w:szCs w:val="24"/>
          <w:lang w:val="sr-Cyrl-RS" w:eastAsia="ja-JP"/>
        </w:rPr>
        <w:t>млрд динара, а спољни јавни дуг Републике Србије износио је 3.181,9 млрд динара. Према подацима од 30. септeмбра 202</w:t>
      </w:r>
      <w:r w:rsidRPr="00AD7E7D">
        <w:rPr>
          <w:rFonts w:cs="Times New Roman"/>
          <w:szCs w:val="24"/>
          <w:lang w:val="sr-Latn-RS" w:eastAsia="ja-JP"/>
        </w:rPr>
        <w:t>4</w:t>
      </w:r>
      <w:r w:rsidR="00DB1F40" w:rsidRPr="00AD7E7D">
        <w:rPr>
          <w:rFonts w:cs="Times New Roman"/>
          <w:szCs w:val="24"/>
          <w:lang w:val="sr-Cyrl-RS" w:eastAsia="ja-JP"/>
        </w:rPr>
        <w:t>. године, у валутној структури</w:t>
      </w:r>
      <w:r w:rsidRPr="00AD7E7D">
        <w:rPr>
          <w:rFonts w:cs="Times New Roman"/>
          <w:szCs w:val="24"/>
          <w:lang w:val="sr-Cyrl-RS" w:eastAsia="ja-JP"/>
        </w:rPr>
        <w:t xml:space="preserve"> дуга сектора државе и даље највеће учешће има дуг деноминован у еврима у износу од 58,</w:t>
      </w:r>
      <w:r w:rsidRPr="00AD7E7D">
        <w:rPr>
          <w:rFonts w:cs="Times New Roman"/>
          <w:szCs w:val="24"/>
          <w:lang w:val="sr-Latn-RS" w:eastAsia="ja-JP"/>
        </w:rPr>
        <w:t>6</w:t>
      </w:r>
      <w:r w:rsidRPr="00AD7E7D">
        <w:rPr>
          <w:rFonts w:cs="Times New Roman"/>
          <w:szCs w:val="24"/>
          <w:lang w:val="sr-Cyrl-RS" w:eastAsia="ja-JP"/>
        </w:rPr>
        <w:t>% укупног дуга сектора државе. Затим су највише заступљени динар са 2</w:t>
      </w:r>
      <w:r w:rsidRPr="00AD7E7D">
        <w:rPr>
          <w:rFonts w:cs="Times New Roman"/>
          <w:szCs w:val="24"/>
          <w:lang w:val="sr-Latn-RS" w:eastAsia="ja-JP"/>
        </w:rPr>
        <w:t>1</w:t>
      </w:r>
      <w:r w:rsidRPr="00AD7E7D">
        <w:rPr>
          <w:rFonts w:cs="Times New Roman"/>
          <w:szCs w:val="24"/>
          <w:lang w:val="sr-Cyrl-RS" w:eastAsia="ja-JP"/>
        </w:rPr>
        <w:t>,</w:t>
      </w:r>
      <w:r w:rsidRPr="00AD7E7D">
        <w:rPr>
          <w:rFonts w:cs="Times New Roman"/>
          <w:szCs w:val="24"/>
          <w:lang w:val="sr-Latn-RS" w:eastAsia="ja-JP"/>
        </w:rPr>
        <w:t>9</w:t>
      </w:r>
      <w:r w:rsidRPr="00AD7E7D">
        <w:rPr>
          <w:rFonts w:cs="Times New Roman"/>
          <w:szCs w:val="24"/>
          <w:lang w:val="sr-Cyrl-RS" w:eastAsia="ja-JP"/>
        </w:rPr>
        <w:t xml:space="preserve"> % и амерички долар са 1</w:t>
      </w:r>
      <w:r w:rsidRPr="00AD7E7D">
        <w:rPr>
          <w:rFonts w:cs="Times New Roman"/>
          <w:szCs w:val="24"/>
          <w:lang w:val="sr-Latn-RS" w:eastAsia="ja-JP"/>
        </w:rPr>
        <w:t>2</w:t>
      </w:r>
      <w:r w:rsidRPr="00AD7E7D">
        <w:rPr>
          <w:rFonts w:cs="Times New Roman"/>
          <w:szCs w:val="24"/>
          <w:lang w:val="sr-Cyrl-RS" w:eastAsia="ja-JP"/>
        </w:rPr>
        <w:t>,</w:t>
      </w:r>
      <w:r w:rsidRPr="00AD7E7D">
        <w:rPr>
          <w:rFonts w:cs="Times New Roman"/>
          <w:szCs w:val="24"/>
          <w:lang w:val="sr-Latn-RS" w:eastAsia="ja-JP"/>
        </w:rPr>
        <w:t>8</w:t>
      </w:r>
      <w:r w:rsidRPr="00AD7E7D">
        <w:rPr>
          <w:rFonts w:cs="Times New Roman"/>
          <w:szCs w:val="24"/>
          <w:lang w:val="sr-Cyrl-RS" w:eastAsia="ja-JP"/>
        </w:rPr>
        <w:t>%. Остатак дуга је деноминован у специјалним правима вучења 6,</w:t>
      </w:r>
      <w:r w:rsidRPr="00AD7E7D">
        <w:rPr>
          <w:rFonts w:cs="Times New Roman"/>
          <w:szCs w:val="24"/>
          <w:lang w:val="sr-Latn-RS" w:eastAsia="ja-JP"/>
        </w:rPr>
        <w:t>2</w:t>
      </w:r>
      <w:r w:rsidRPr="00AD7E7D">
        <w:rPr>
          <w:rFonts w:cs="Times New Roman"/>
          <w:szCs w:val="24"/>
          <w:lang w:val="sr-Cyrl-RS" w:eastAsia="ja-JP"/>
        </w:rPr>
        <w:t>% и осталим валутама 0,</w:t>
      </w:r>
      <w:r w:rsidRPr="00AD7E7D">
        <w:rPr>
          <w:rFonts w:cs="Times New Roman"/>
          <w:szCs w:val="24"/>
          <w:lang w:val="sr-Latn-RS" w:eastAsia="ja-JP"/>
        </w:rPr>
        <w:t>4</w:t>
      </w:r>
      <w:r w:rsidRPr="00AD7E7D">
        <w:rPr>
          <w:rFonts w:cs="Times New Roman"/>
          <w:szCs w:val="24"/>
          <w:lang w:val="sr-Cyrl-RS" w:eastAsia="ja-JP"/>
        </w:rPr>
        <w:t>%. На дан 30. септeмбра 202</w:t>
      </w:r>
      <w:r w:rsidRPr="00AD7E7D">
        <w:rPr>
          <w:rFonts w:cs="Times New Roman"/>
          <w:szCs w:val="24"/>
          <w:lang w:val="sr-Latn-RS" w:eastAsia="ja-JP"/>
        </w:rPr>
        <w:t>4</w:t>
      </w:r>
      <w:r w:rsidRPr="00AD7E7D">
        <w:rPr>
          <w:rFonts w:cs="Times New Roman"/>
          <w:szCs w:val="24"/>
          <w:lang w:val="sr-Cyrl-RS" w:eastAsia="ja-JP"/>
        </w:rPr>
        <w:t>. године највећи део дуга сектора државе је са фиксном каматном стопом 72,</w:t>
      </w:r>
      <w:r w:rsidRPr="00AD7E7D">
        <w:rPr>
          <w:rFonts w:cs="Times New Roman"/>
          <w:szCs w:val="24"/>
          <w:lang w:val="sr-Latn-RS" w:eastAsia="ja-JP"/>
        </w:rPr>
        <w:t>3</w:t>
      </w:r>
      <w:r w:rsidRPr="00AD7E7D">
        <w:rPr>
          <w:rFonts w:cs="Times New Roman"/>
          <w:szCs w:val="24"/>
          <w:lang w:val="sr-Cyrl-RS" w:eastAsia="ja-JP"/>
        </w:rPr>
        <w:t>%, док се на дуг са варијабилном каматном стопом односило 27,</w:t>
      </w:r>
      <w:r w:rsidRPr="00AD7E7D">
        <w:rPr>
          <w:rFonts w:cs="Times New Roman"/>
          <w:szCs w:val="24"/>
          <w:lang w:val="sr-Latn-RS" w:eastAsia="ja-JP"/>
        </w:rPr>
        <w:t>7</w:t>
      </w:r>
      <w:r w:rsidRPr="00AD7E7D">
        <w:rPr>
          <w:rFonts w:cs="Times New Roman"/>
          <w:szCs w:val="24"/>
          <w:lang w:val="sr-Cyrl-RS" w:eastAsia="ja-JP"/>
        </w:rPr>
        <w:t xml:space="preserve">% укупног дуга. Међу варијабилним каматним стопама највише су заступљени Euribor </w:t>
      </w:r>
      <w:r w:rsidRPr="00AD7E7D">
        <w:rPr>
          <w:rFonts w:cs="Times New Roman"/>
          <w:szCs w:val="24"/>
          <w:lang w:val="sr-Latn-RS" w:eastAsia="ja-JP"/>
        </w:rPr>
        <w:t>69</w:t>
      </w:r>
      <w:r w:rsidRPr="00AD7E7D">
        <w:rPr>
          <w:rFonts w:cs="Times New Roman"/>
          <w:szCs w:val="24"/>
          <w:lang w:val="sr-Cyrl-RS" w:eastAsia="ja-JP"/>
        </w:rPr>
        <w:t>,</w:t>
      </w:r>
      <w:r w:rsidRPr="00AD7E7D">
        <w:rPr>
          <w:rFonts w:cs="Times New Roman"/>
          <w:szCs w:val="24"/>
          <w:lang w:val="sr-Latn-RS" w:eastAsia="ja-JP"/>
        </w:rPr>
        <w:t>7</w:t>
      </w:r>
      <w:r w:rsidRPr="00AD7E7D">
        <w:rPr>
          <w:rFonts w:cs="Times New Roman"/>
          <w:szCs w:val="24"/>
          <w:lang w:val="sr-Cyrl-RS" w:eastAsia="ja-JP"/>
        </w:rPr>
        <w:t>%, затим каматна стопа за специјална права вучења 2</w:t>
      </w:r>
      <w:r w:rsidRPr="00AD7E7D">
        <w:rPr>
          <w:rFonts w:cs="Times New Roman"/>
          <w:szCs w:val="24"/>
          <w:lang w:val="sr-Latn-RS" w:eastAsia="ja-JP"/>
        </w:rPr>
        <w:t>2</w:t>
      </w:r>
      <w:r w:rsidRPr="00AD7E7D">
        <w:rPr>
          <w:rFonts w:cs="Times New Roman"/>
          <w:szCs w:val="24"/>
          <w:lang w:val="sr-Cyrl-RS" w:eastAsia="ja-JP"/>
        </w:rPr>
        <w:t>,</w:t>
      </w:r>
      <w:r w:rsidRPr="00AD7E7D">
        <w:rPr>
          <w:rFonts w:cs="Times New Roman"/>
          <w:szCs w:val="24"/>
          <w:lang w:val="sr-Latn-RS" w:eastAsia="ja-JP"/>
        </w:rPr>
        <w:t>4</w:t>
      </w:r>
      <w:r w:rsidRPr="00AD7E7D">
        <w:rPr>
          <w:rFonts w:cs="Times New Roman"/>
          <w:szCs w:val="24"/>
          <w:lang w:val="sr-Cyrl-RS" w:eastAsia="ja-JP"/>
        </w:rPr>
        <w:t xml:space="preserve">%, Belibor </w:t>
      </w:r>
      <w:r w:rsidRPr="00AD7E7D">
        <w:rPr>
          <w:rFonts w:cs="Times New Roman"/>
          <w:szCs w:val="24"/>
          <w:lang w:val="sr-Latn-RS" w:eastAsia="ja-JP"/>
        </w:rPr>
        <w:t>7</w:t>
      </w:r>
      <w:r w:rsidRPr="00AD7E7D">
        <w:rPr>
          <w:rFonts w:cs="Times New Roman"/>
          <w:szCs w:val="24"/>
          <w:lang w:val="sr-Cyrl-RS" w:eastAsia="ja-JP"/>
        </w:rPr>
        <w:t>,</w:t>
      </w:r>
      <w:r w:rsidRPr="00AD7E7D">
        <w:rPr>
          <w:rFonts w:cs="Times New Roman"/>
          <w:szCs w:val="24"/>
          <w:lang w:val="sr-Latn-RS" w:eastAsia="ja-JP"/>
        </w:rPr>
        <w:t>7</w:t>
      </w:r>
      <w:r w:rsidRPr="00AD7E7D">
        <w:rPr>
          <w:rFonts w:cs="Times New Roman"/>
          <w:szCs w:val="24"/>
          <w:lang w:val="sr-Cyrl-RS" w:eastAsia="ja-JP"/>
        </w:rPr>
        <w:t>%, док је учешће обавеза са осталим каматним стопама 0,</w:t>
      </w:r>
      <w:r w:rsidRPr="00AD7E7D">
        <w:rPr>
          <w:rFonts w:cs="Times New Roman"/>
          <w:szCs w:val="24"/>
          <w:lang w:val="sr-Latn-RS" w:eastAsia="ja-JP"/>
        </w:rPr>
        <w:t>2</w:t>
      </w:r>
      <w:r w:rsidRPr="00AD7E7D">
        <w:rPr>
          <w:rFonts w:cs="Times New Roman"/>
          <w:szCs w:val="24"/>
          <w:lang w:val="sr-Cyrl-RS" w:eastAsia="ja-JP"/>
        </w:rPr>
        <w:t>%.</w:t>
      </w:r>
    </w:p>
    <w:p w14:paraId="1CEB5AAC" w14:textId="77777777" w:rsidR="006D0778" w:rsidRPr="00AD7E7D" w:rsidRDefault="006D0778" w:rsidP="002B1F9D">
      <w:pPr>
        <w:rPr>
          <w:rFonts w:cs="Times New Roman"/>
          <w:szCs w:val="24"/>
          <w:lang w:val="sr-Cyrl-RS" w:eastAsia="ja-JP"/>
        </w:rPr>
      </w:pPr>
      <w:r w:rsidRPr="00AD7E7D">
        <w:rPr>
          <w:rFonts w:cs="Times New Roman"/>
          <w:szCs w:val="24"/>
          <w:lang w:val="sr-Cyrl-RS" w:eastAsia="ja-JP"/>
        </w:rPr>
        <w:t>Имајући у виду пројектовани резултат буџета Републике Србије за период 202</w:t>
      </w:r>
      <w:r w:rsidRPr="00AD7E7D">
        <w:rPr>
          <w:rFonts w:cs="Times New Roman"/>
          <w:szCs w:val="24"/>
          <w:lang w:val="sr-Latn-RS" w:eastAsia="ja-JP"/>
        </w:rPr>
        <w:t>5</w:t>
      </w:r>
      <w:r w:rsidRPr="00AD7E7D">
        <w:rPr>
          <w:rFonts w:cs="Times New Roman"/>
          <w:szCs w:val="24"/>
          <w:lang w:val="sr-Cyrl-RS" w:eastAsia="ja-JP"/>
        </w:rPr>
        <w:t>–202</w:t>
      </w:r>
      <w:r w:rsidRPr="00AD7E7D">
        <w:rPr>
          <w:rFonts w:cs="Times New Roman"/>
          <w:szCs w:val="24"/>
          <w:lang w:val="sr-Latn-RS" w:eastAsia="ja-JP"/>
        </w:rPr>
        <w:t>7</w:t>
      </w:r>
      <w:r w:rsidRPr="00AD7E7D">
        <w:rPr>
          <w:rFonts w:cs="Times New Roman"/>
          <w:szCs w:val="24"/>
          <w:lang w:val="sr-Cyrl-RS" w:eastAsia="ja-JP"/>
        </w:rPr>
        <w:t>. године, укључујући и обим повлачења кредитних средстава за пројектно финансирање од буџетских корисника, ефекте промене девизног курса динара према евру и америчком долару, у основном макроекономском сценарију, јавни дуг Репбулике Србије требало би да буде на нивоу од 46,0%</w:t>
      </w:r>
      <w:r w:rsidRPr="00AD7E7D">
        <w:rPr>
          <w:rFonts w:cs="Times New Roman"/>
          <w:szCs w:val="24"/>
          <w:lang w:val="sr-Latn-RS" w:eastAsia="ja-JP"/>
        </w:rPr>
        <w:t xml:space="preserve"> </w:t>
      </w:r>
      <w:r w:rsidRPr="00AD7E7D">
        <w:rPr>
          <w:rFonts w:cs="Times New Roman"/>
          <w:szCs w:val="24"/>
          <w:lang w:val="sr-Cyrl-RS" w:eastAsia="ja-JP"/>
        </w:rPr>
        <w:t>БДП на крају 202</w:t>
      </w:r>
      <w:r w:rsidRPr="00AD7E7D">
        <w:rPr>
          <w:rFonts w:cs="Times New Roman"/>
          <w:szCs w:val="24"/>
          <w:lang w:val="sr-Latn-RS" w:eastAsia="ja-JP"/>
        </w:rPr>
        <w:t>7</w:t>
      </w:r>
      <w:r w:rsidRPr="00AD7E7D">
        <w:rPr>
          <w:rFonts w:cs="Times New Roman"/>
          <w:szCs w:val="24"/>
          <w:lang w:val="sr-Cyrl-RS" w:eastAsia="ja-JP"/>
        </w:rPr>
        <w:t>. године.</w:t>
      </w:r>
    </w:p>
    <w:p w14:paraId="0C0228AB" w14:textId="77777777" w:rsidR="006D0778" w:rsidRPr="00010E52" w:rsidRDefault="006D0778" w:rsidP="006D0778">
      <w:pPr>
        <w:keepLines/>
        <w:spacing w:after="160" w:line="259" w:lineRule="auto"/>
        <w:rPr>
          <w:rFonts w:cs="Times New Roman"/>
          <w:i/>
          <w:szCs w:val="24"/>
          <w:lang w:val="ru-RU" w:eastAsia="ja-JP"/>
        </w:rPr>
      </w:pPr>
      <w:r w:rsidRPr="00010E52">
        <w:rPr>
          <w:rFonts w:cs="Times New Roman"/>
          <w:i/>
          <w:szCs w:val="24"/>
          <w:lang w:val="ru-RU" w:eastAsia="ja-JP"/>
        </w:rPr>
        <w:t>Табела 11. Основна пројекција стања дуга сектора државе до 2027. године</w:t>
      </w:r>
    </w:p>
    <w:tbl>
      <w:tblPr>
        <w:tblW w:w="5000" w:type="pct"/>
        <w:tblLook w:val="0620" w:firstRow="1" w:lastRow="0" w:firstColumn="0" w:lastColumn="0" w:noHBand="1" w:noVBand="1"/>
      </w:tblPr>
      <w:tblGrid>
        <w:gridCol w:w="4919"/>
        <w:gridCol w:w="1026"/>
        <w:gridCol w:w="1027"/>
        <w:gridCol w:w="1027"/>
        <w:gridCol w:w="1027"/>
      </w:tblGrid>
      <w:tr w:rsidR="006D0778" w:rsidRPr="00AD7E7D" w14:paraId="53010C58" w14:textId="77777777" w:rsidTr="00D2109C">
        <w:trPr>
          <w:trHeight w:val="20"/>
          <w:tblHeader/>
        </w:trPr>
        <w:tc>
          <w:tcPr>
            <w:tcW w:w="2724" w:type="pct"/>
            <w:tcBorders>
              <w:top w:val="single" w:sz="4" w:space="0" w:color="002060"/>
              <w:bottom w:val="single" w:sz="8" w:space="0" w:color="FFFFFF" w:themeColor="background1"/>
            </w:tcBorders>
            <w:noWrap/>
            <w:hideMark/>
          </w:tcPr>
          <w:p w14:paraId="49DED3BB" w14:textId="77777777" w:rsidR="006D0778" w:rsidRPr="00AD7E7D" w:rsidRDefault="006D0778" w:rsidP="006D0778">
            <w:pPr>
              <w:keepLines/>
              <w:spacing w:after="160" w:line="259" w:lineRule="auto"/>
              <w:rPr>
                <w:rFonts w:cs="Times New Roman"/>
                <w:b/>
                <w:bCs/>
                <w:szCs w:val="24"/>
                <w:lang w:val="ru-RU" w:eastAsia="ja-JP"/>
              </w:rPr>
            </w:pPr>
          </w:p>
        </w:tc>
        <w:tc>
          <w:tcPr>
            <w:tcW w:w="569" w:type="pct"/>
            <w:tcBorders>
              <w:top w:val="single" w:sz="4" w:space="0" w:color="002060"/>
              <w:bottom w:val="single" w:sz="4" w:space="0" w:color="002060"/>
            </w:tcBorders>
            <w:noWrap/>
            <w:hideMark/>
          </w:tcPr>
          <w:p w14:paraId="046D7BD6" w14:textId="77777777" w:rsidR="006D0778" w:rsidRPr="00AD7E7D" w:rsidRDefault="006D0778" w:rsidP="006D0778">
            <w:pPr>
              <w:keepLines/>
              <w:spacing w:after="160" w:line="259" w:lineRule="auto"/>
              <w:rPr>
                <w:rFonts w:cs="Times New Roman"/>
                <w:b/>
                <w:bCs/>
                <w:szCs w:val="24"/>
                <w:lang w:val="en-GB" w:eastAsia="ja-JP"/>
              </w:rPr>
            </w:pPr>
            <w:r w:rsidRPr="00AD7E7D">
              <w:rPr>
                <w:rFonts w:cs="Times New Roman"/>
                <w:b/>
                <w:bCs/>
                <w:szCs w:val="24"/>
                <w:lang w:val="en-GB" w:eastAsia="ja-JP"/>
              </w:rPr>
              <w:t>2024 п</w:t>
            </w:r>
          </w:p>
        </w:tc>
        <w:tc>
          <w:tcPr>
            <w:tcW w:w="569" w:type="pct"/>
            <w:tcBorders>
              <w:top w:val="single" w:sz="4" w:space="0" w:color="002060"/>
              <w:bottom w:val="single" w:sz="4" w:space="0" w:color="002060"/>
            </w:tcBorders>
            <w:noWrap/>
            <w:hideMark/>
          </w:tcPr>
          <w:p w14:paraId="77347E7B" w14:textId="77777777" w:rsidR="006D0778" w:rsidRPr="00AD7E7D" w:rsidRDefault="006D0778" w:rsidP="006D0778">
            <w:pPr>
              <w:keepLines/>
              <w:spacing w:after="160" w:line="259" w:lineRule="auto"/>
              <w:rPr>
                <w:rFonts w:cs="Times New Roman"/>
                <w:b/>
                <w:bCs/>
                <w:szCs w:val="24"/>
                <w:lang w:val="en-GB" w:eastAsia="ja-JP"/>
              </w:rPr>
            </w:pPr>
            <w:r w:rsidRPr="00AD7E7D">
              <w:rPr>
                <w:rFonts w:cs="Times New Roman"/>
                <w:b/>
                <w:bCs/>
                <w:szCs w:val="24"/>
                <w:lang w:val="en-GB" w:eastAsia="ja-JP"/>
              </w:rPr>
              <w:t>2025 п</w:t>
            </w:r>
          </w:p>
        </w:tc>
        <w:tc>
          <w:tcPr>
            <w:tcW w:w="569" w:type="pct"/>
            <w:tcBorders>
              <w:top w:val="single" w:sz="4" w:space="0" w:color="002060"/>
              <w:bottom w:val="single" w:sz="4" w:space="0" w:color="002060"/>
            </w:tcBorders>
            <w:noWrap/>
            <w:hideMark/>
          </w:tcPr>
          <w:p w14:paraId="33E5284D" w14:textId="77777777" w:rsidR="006D0778" w:rsidRPr="00AD7E7D" w:rsidRDefault="006D0778" w:rsidP="006D0778">
            <w:pPr>
              <w:keepLines/>
              <w:spacing w:after="160" w:line="259" w:lineRule="auto"/>
              <w:rPr>
                <w:rFonts w:cs="Times New Roman"/>
                <w:b/>
                <w:bCs/>
                <w:szCs w:val="24"/>
                <w:lang w:val="en-GB" w:eastAsia="ja-JP"/>
              </w:rPr>
            </w:pPr>
            <w:r w:rsidRPr="00AD7E7D">
              <w:rPr>
                <w:rFonts w:cs="Times New Roman"/>
                <w:b/>
                <w:bCs/>
                <w:szCs w:val="24"/>
                <w:lang w:val="en-GB" w:eastAsia="ja-JP"/>
              </w:rPr>
              <w:t>2026 п</w:t>
            </w:r>
          </w:p>
        </w:tc>
        <w:tc>
          <w:tcPr>
            <w:tcW w:w="569" w:type="pct"/>
            <w:tcBorders>
              <w:top w:val="single" w:sz="4" w:space="0" w:color="002060"/>
              <w:bottom w:val="single" w:sz="4" w:space="0" w:color="002060"/>
            </w:tcBorders>
            <w:noWrap/>
            <w:hideMark/>
          </w:tcPr>
          <w:p w14:paraId="7947CFEF" w14:textId="77777777" w:rsidR="006D0778" w:rsidRPr="00AD7E7D" w:rsidRDefault="006D0778" w:rsidP="006D0778">
            <w:pPr>
              <w:keepLines/>
              <w:spacing w:after="160" w:line="259" w:lineRule="auto"/>
              <w:rPr>
                <w:rFonts w:cs="Times New Roman"/>
                <w:b/>
                <w:bCs/>
                <w:szCs w:val="24"/>
                <w:lang w:val="en-GB" w:eastAsia="ja-JP"/>
              </w:rPr>
            </w:pPr>
            <w:r w:rsidRPr="00AD7E7D">
              <w:rPr>
                <w:rFonts w:cs="Times New Roman"/>
                <w:b/>
                <w:bCs/>
                <w:szCs w:val="24"/>
                <w:lang w:val="en-GB" w:eastAsia="ja-JP"/>
              </w:rPr>
              <w:t>2027 п</w:t>
            </w:r>
          </w:p>
        </w:tc>
      </w:tr>
      <w:tr w:rsidR="006D0778" w:rsidRPr="00AD7E7D" w14:paraId="34A0F3E3" w14:textId="77777777" w:rsidTr="00D2109C">
        <w:trPr>
          <w:trHeight w:val="20"/>
        </w:trPr>
        <w:tc>
          <w:tcPr>
            <w:tcW w:w="2724" w:type="pct"/>
            <w:tcBorders>
              <w:top w:val="nil"/>
              <w:bottom w:val="nil"/>
            </w:tcBorders>
            <w:shd w:val="clear" w:color="auto" w:fill="auto"/>
            <w:noWrap/>
            <w:hideMark/>
          </w:tcPr>
          <w:p w14:paraId="6A436402" w14:textId="77777777" w:rsidR="006D0778" w:rsidRPr="00AD7E7D" w:rsidRDefault="006D0778" w:rsidP="006D0778">
            <w:pPr>
              <w:keepLines/>
              <w:spacing w:after="160" w:line="259" w:lineRule="auto"/>
              <w:rPr>
                <w:rFonts w:cs="Times New Roman"/>
                <w:bCs/>
                <w:szCs w:val="24"/>
                <w:lang w:val="ru-RU" w:eastAsia="ja-JP"/>
              </w:rPr>
            </w:pPr>
            <w:r w:rsidRPr="00AD7E7D">
              <w:rPr>
                <w:rFonts w:cs="Times New Roman"/>
                <w:bCs/>
                <w:szCs w:val="24"/>
                <w:lang w:val="ru-RU" w:eastAsia="ja-JP"/>
              </w:rPr>
              <w:t>Јавни дуг (централни ниво власти), млрд РСД</w:t>
            </w:r>
          </w:p>
        </w:tc>
        <w:tc>
          <w:tcPr>
            <w:tcW w:w="569" w:type="pct"/>
            <w:tcBorders>
              <w:top w:val="single" w:sz="4" w:space="0" w:color="002060"/>
              <w:bottom w:val="nil"/>
            </w:tcBorders>
            <w:shd w:val="clear" w:color="auto" w:fill="auto"/>
            <w:noWrap/>
            <w:hideMark/>
          </w:tcPr>
          <w:p w14:paraId="36608AFA" w14:textId="77777777" w:rsidR="006D0778" w:rsidRPr="00AD7E7D" w:rsidRDefault="006D0778" w:rsidP="006D0778">
            <w:pPr>
              <w:keepLines/>
              <w:spacing w:after="160" w:line="259" w:lineRule="auto"/>
              <w:rPr>
                <w:rFonts w:cs="Times New Roman"/>
                <w:bCs/>
                <w:szCs w:val="24"/>
                <w:lang w:val="en-GB" w:eastAsia="ja-JP"/>
              </w:rPr>
            </w:pPr>
            <w:r w:rsidRPr="00AD7E7D">
              <w:rPr>
                <w:rFonts w:cs="Times New Roman"/>
                <w:bCs/>
                <w:szCs w:val="24"/>
                <w:lang w:val="en-GB" w:eastAsia="ja-JP"/>
              </w:rPr>
              <w:t>4.558,3</w:t>
            </w:r>
          </w:p>
        </w:tc>
        <w:tc>
          <w:tcPr>
            <w:tcW w:w="569" w:type="pct"/>
            <w:tcBorders>
              <w:top w:val="single" w:sz="4" w:space="0" w:color="002060"/>
              <w:bottom w:val="nil"/>
            </w:tcBorders>
            <w:shd w:val="clear" w:color="auto" w:fill="auto"/>
            <w:noWrap/>
            <w:hideMark/>
          </w:tcPr>
          <w:p w14:paraId="30C06207" w14:textId="77777777" w:rsidR="006D0778" w:rsidRPr="00AD7E7D" w:rsidRDefault="006D0778" w:rsidP="006D0778">
            <w:pPr>
              <w:keepLines/>
              <w:spacing w:after="160" w:line="259" w:lineRule="auto"/>
              <w:rPr>
                <w:rFonts w:cs="Times New Roman"/>
                <w:bCs/>
                <w:szCs w:val="24"/>
                <w:lang w:val="en-GB" w:eastAsia="ja-JP"/>
              </w:rPr>
            </w:pPr>
            <w:r w:rsidRPr="00AD7E7D">
              <w:rPr>
                <w:rFonts w:cs="Times New Roman"/>
                <w:bCs/>
                <w:szCs w:val="24"/>
                <w:lang w:val="en-GB" w:eastAsia="ja-JP"/>
              </w:rPr>
              <w:t>4.854,3</w:t>
            </w:r>
          </w:p>
        </w:tc>
        <w:tc>
          <w:tcPr>
            <w:tcW w:w="569" w:type="pct"/>
            <w:tcBorders>
              <w:top w:val="single" w:sz="4" w:space="0" w:color="002060"/>
              <w:bottom w:val="nil"/>
            </w:tcBorders>
            <w:shd w:val="clear" w:color="auto" w:fill="auto"/>
            <w:noWrap/>
            <w:hideMark/>
          </w:tcPr>
          <w:p w14:paraId="5F7D6BC6" w14:textId="77777777" w:rsidR="006D0778" w:rsidRPr="00AD7E7D" w:rsidRDefault="006D0778" w:rsidP="006D0778">
            <w:pPr>
              <w:keepLines/>
              <w:spacing w:after="160" w:line="259" w:lineRule="auto"/>
              <w:rPr>
                <w:rFonts w:cs="Times New Roman"/>
                <w:bCs/>
                <w:szCs w:val="24"/>
                <w:lang w:val="en-GB" w:eastAsia="ja-JP"/>
              </w:rPr>
            </w:pPr>
            <w:r w:rsidRPr="00AD7E7D">
              <w:rPr>
                <w:rFonts w:cs="Times New Roman"/>
                <w:bCs/>
                <w:szCs w:val="24"/>
                <w:lang w:val="en-GB" w:eastAsia="ja-JP"/>
              </w:rPr>
              <w:t>5.151,3</w:t>
            </w:r>
          </w:p>
        </w:tc>
        <w:tc>
          <w:tcPr>
            <w:tcW w:w="569" w:type="pct"/>
            <w:tcBorders>
              <w:top w:val="single" w:sz="4" w:space="0" w:color="002060"/>
              <w:bottom w:val="nil"/>
            </w:tcBorders>
            <w:shd w:val="clear" w:color="auto" w:fill="auto"/>
            <w:noWrap/>
            <w:hideMark/>
          </w:tcPr>
          <w:p w14:paraId="699C84D6" w14:textId="77777777" w:rsidR="006D0778" w:rsidRPr="00AD7E7D" w:rsidRDefault="006D0778" w:rsidP="006D0778">
            <w:pPr>
              <w:keepLines/>
              <w:spacing w:after="160" w:line="259" w:lineRule="auto"/>
              <w:rPr>
                <w:rFonts w:cs="Times New Roman"/>
                <w:bCs/>
                <w:szCs w:val="24"/>
                <w:lang w:val="en-GB" w:eastAsia="ja-JP"/>
              </w:rPr>
            </w:pPr>
            <w:r w:rsidRPr="00AD7E7D">
              <w:rPr>
                <w:rFonts w:cs="Times New Roman"/>
                <w:bCs/>
                <w:szCs w:val="24"/>
                <w:lang w:val="en-GB" w:eastAsia="ja-JP"/>
              </w:rPr>
              <w:t>5.521,5</w:t>
            </w:r>
          </w:p>
        </w:tc>
      </w:tr>
      <w:tr w:rsidR="006D0778" w:rsidRPr="00AD7E7D" w14:paraId="349257A8" w14:textId="77777777" w:rsidTr="00D2109C">
        <w:trPr>
          <w:trHeight w:val="20"/>
        </w:trPr>
        <w:tc>
          <w:tcPr>
            <w:tcW w:w="2724" w:type="pct"/>
            <w:tcBorders>
              <w:top w:val="nil"/>
              <w:left w:val="nil"/>
              <w:bottom w:val="nil"/>
              <w:right w:val="nil"/>
            </w:tcBorders>
            <w:hideMark/>
          </w:tcPr>
          <w:p w14:paraId="1DB925C1" w14:textId="77777777" w:rsidR="006D0778" w:rsidRPr="00AD7E7D" w:rsidRDefault="006D0778" w:rsidP="006D0778">
            <w:pPr>
              <w:keepLines/>
              <w:spacing w:after="160" w:line="259" w:lineRule="auto"/>
              <w:rPr>
                <w:rFonts w:cs="Times New Roman"/>
                <w:bCs/>
                <w:szCs w:val="24"/>
                <w:lang w:val="ru-RU" w:eastAsia="ja-JP"/>
              </w:rPr>
            </w:pPr>
            <w:r w:rsidRPr="00AD7E7D">
              <w:rPr>
                <w:rFonts w:cs="Times New Roman"/>
                <w:bCs/>
                <w:szCs w:val="24"/>
                <w:lang w:val="ru-RU" w:eastAsia="ja-JP"/>
              </w:rPr>
              <w:t>Дуг централне државе, у % БДП</w:t>
            </w:r>
          </w:p>
        </w:tc>
        <w:tc>
          <w:tcPr>
            <w:tcW w:w="569" w:type="pct"/>
            <w:tcBorders>
              <w:top w:val="nil"/>
              <w:left w:val="nil"/>
              <w:bottom w:val="nil"/>
              <w:right w:val="nil"/>
            </w:tcBorders>
            <w:noWrap/>
            <w:hideMark/>
          </w:tcPr>
          <w:p w14:paraId="62EA323B" w14:textId="77777777" w:rsidR="006D0778" w:rsidRPr="00AD7E7D" w:rsidRDefault="006D0778" w:rsidP="006D0778">
            <w:pPr>
              <w:keepLines/>
              <w:spacing w:after="160" w:line="259" w:lineRule="auto"/>
              <w:rPr>
                <w:rFonts w:cs="Times New Roman"/>
                <w:bCs/>
                <w:szCs w:val="24"/>
                <w:lang w:val="en-GB" w:eastAsia="ja-JP"/>
              </w:rPr>
            </w:pPr>
            <w:r w:rsidRPr="00AD7E7D">
              <w:rPr>
                <w:rFonts w:cs="Times New Roman"/>
                <w:bCs/>
                <w:szCs w:val="24"/>
                <w:lang w:val="en-GB" w:eastAsia="ja-JP"/>
              </w:rPr>
              <w:t>47,5%</w:t>
            </w:r>
          </w:p>
        </w:tc>
        <w:tc>
          <w:tcPr>
            <w:tcW w:w="569" w:type="pct"/>
            <w:tcBorders>
              <w:top w:val="nil"/>
              <w:left w:val="nil"/>
              <w:bottom w:val="nil"/>
              <w:right w:val="nil"/>
            </w:tcBorders>
            <w:noWrap/>
            <w:hideMark/>
          </w:tcPr>
          <w:p w14:paraId="4D95E876" w14:textId="77777777" w:rsidR="006D0778" w:rsidRPr="00AD7E7D" w:rsidRDefault="006D0778" w:rsidP="006D0778">
            <w:pPr>
              <w:keepLines/>
              <w:spacing w:after="160" w:line="259" w:lineRule="auto"/>
              <w:rPr>
                <w:rFonts w:cs="Times New Roman"/>
                <w:bCs/>
                <w:szCs w:val="24"/>
                <w:lang w:val="en-GB" w:eastAsia="ja-JP"/>
              </w:rPr>
            </w:pPr>
            <w:r w:rsidRPr="00AD7E7D">
              <w:rPr>
                <w:rFonts w:cs="Times New Roman"/>
                <w:bCs/>
                <w:szCs w:val="24"/>
                <w:lang w:val="en-GB" w:eastAsia="ja-JP"/>
              </w:rPr>
              <w:t>47,0%</w:t>
            </w:r>
          </w:p>
        </w:tc>
        <w:tc>
          <w:tcPr>
            <w:tcW w:w="569" w:type="pct"/>
            <w:tcBorders>
              <w:top w:val="nil"/>
              <w:left w:val="nil"/>
              <w:bottom w:val="nil"/>
              <w:right w:val="nil"/>
            </w:tcBorders>
            <w:noWrap/>
            <w:hideMark/>
          </w:tcPr>
          <w:p w14:paraId="0B03C758" w14:textId="77777777" w:rsidR="006D0778" w:rsidRPr="00AD7E7D" w:rsidRDefault="006D0778" w:rsidP="006D0778">
            <w:pPr>
              <w:keepLines/>
              <w:spacing w:after="160" w:line="259" w:lineRule="auto"/>
              <w:rPr>
                <w:rFonts w:cs="Times New Roman"/>
                <w:bCs/>
                <w:szCs w:val="24"/>
                <w:lang w:val="en-GB" w:eastAsia="ja-JP"/>
              </w:rPr>
            </w:pPr>
            <w:r w:rsidRPr="00AD7E7D">
              <w:rPr>
                <w:rFonts w:cs="Times New Roman"/>
                <w:bCs/>
                <w:szCs w:val="24"/>
                <w:lang w:val="en-GB" w:eastAsia="ja-JP"/>
              </w:rPr>
              <w:t>46,5%</w:t>
            </w:r>
          </w:p>
        </w:tc>
        <w:tc>
          <w:tcPr>
            <w:tcW w:w="569" w:type="pct"/>
            <w:tcBorders>
              <w:top w:val="nil"/>
              <w:left w:val="nil"/>
              <w:bottom w:val="nil"/>
              <w:right w:val="nil"/>
            </w:tcBorders>
            <w:noWrap/>
            <w:hideMark/>
          </w:tcPr>
          <w:p w14:paraId="2B033198" w14:textId="77777777" w:rsidR="006D0778" w:rsidRPr="00AD7E7D" w:rsidRDefault="006D0778" w:rsidP="006D0778">
            <w:pPr>
              <w:keepLines/>
              <w:spacing w:after="160" w:line="259" w:lineRule="auto"/>
              <w:rPr>
                <w:rFonts w:cs="Times New Roman"/>
                <w:bCs/>
                <w:szCs w:val="24"/>
                <w:lang w:val="en-GB" w:eastAsia="ja-JP"/>
              </w:rPr>
            </w:pPr>
            <w:r w:rsidRPr="00AD7E7D">
              <w:rPr>
                <w:rFonts w:cs="Times New Roman"/>
                <w:bCs/>
                <w:szCs w:val="24"/>
                <w:lang w:val="en-GB" w:eastAsia="ja-JP"/>
              </w:rPr>
              <w:t>46,0%</w:t>
            </w:r>
          </w:p>
        </w:tc>
      </w:tr>
      <w:tr w:rsidR="006D0778" w:rsidRPr="00AD7E7D" w14:paraId="2EB329EF" w14:textId="77777777" w:rsidTr="00D2109C">
        <w:trPr>
          <w:trHeight w:val="20"/>
        </w:trPr>
        <w:tc>
          <w:tcPr>
            <w:tcW w:w="2724" w:type="pct"/>
            <w:tcBorders>
              <w:top w:val="nil"/>
              <w:bottom w:val="nil"/>
            </w:tcBorders>
            <w:shd w:val="clear" w:color="auto" w:fill="auto"/>
            <w:hideMark/>
          </w:tcPr>
          <w:p w14:paraId="6D398DC9" w14:textId="77777777" w:rsidR="006D0778" w:rsidRPr="00AD7E7D" w:rsidRDefault="006D0778" w:rsidP="006D0778">
            <w:pPr>
              <w:keepLines/>
              <w:spacing w:after="160" w:line="259" w:lineRule="auto"/>
              <w:rPr>
                <w:rFonts w:cs="Times New Roman"/>
                <w:bCs/>
                <w:szCs w:val="24"/>
                <w:lang w:val="ru-RU" w:eastAsia="ja-JP"/>
              </w:rPr>
            </w:pPr>
            <w:r w:rsidRPr="00AD7E7D">
              <w:rPr>
                <w:rFonts w:cs="Times New Roman"/>
                <w:bCs/>
                <w:szCs w:val="24"/>
                <w:lang w:val="ru-RU" w:eastAsia="ja-JP"/>
              </w:rPr>
              <w:t>Негарантовани дуг јединица локалне самоуправе*, у % БДП</w:t>
            </w:r>
          </w:p>
        </w:tc>
        <w:tc>
          <w:tcPr>
            <w:tcW w:w="569" w:type="pct"/>
            <w:tcBorders>
              <w:top w:val="nil"/>
              <w:bottom w:val="nil"/>
            </w:tcBorders>
            <w:shd w:val="clear" w:color="auto" w:fill="auto"/>
            <w:noWrap/>
            <w:hideMark/>
          </w:tcPr>
          <w:p w14:paraId="54015C58" w14:textId="77777777" w:rsidR="006D0778" w:rsidRPr="00AD7E7D" w:rsidRDefault="006D0778" w:rsidP="006D0778">
            <w:pPr>
              <w:keepLines/>
              <w:spacing w:after="160" w:line="259" w:lineRule="auto"/>
              <w:rPr>
                <w:rFonts w:cs="Times New Roman"/>
                <w:bCs/>
                <w:szCs w:val="24"/>
                <w:lang w:val="en-GB" w:eastAsia="ja-JP"/>
              </w:rPr>
            </w:pPr>
            <w:r w:rsidRPr="00AD7E7D">
              <w:rPr>
                <w:rFonts w:cs="Times New Roman"/>
                <w:bCs/>
                <w:szCs w:val="24"/>
                <w:lang w:val="en-GB" w:eastAsia="ja-JP"/>
              </w:rPr>
              <w:t>0,4%</w:t>
            </w:r>
          </w:p>
        </w:tc>
        <w:tc>
          <w:tcPr>
            <w:tcW w:w="569" w:type="pct"/>
            <w:tcBorders>
              <w:top w:val="nil"/>
              <w:bottom w:val="nil"/>
            </w:tcBorders>
            <w:shd w:val="clear" w:color="auto" w:fill="auto"/>
            <w:noWrap/>
            <w:hideMark/>
          </w:tcPr>
          <w:p w14:paraId="53406D6A" w14:textId="77777777" w:rsidR="006D0778" w:rsidRPr="00AD7E7D" w:rsidRDefault="006D0778" w:rsidP="006D0778">
            <w:pPr>
              <w:keepLines/>
              <w:spacing w:after="160" w:line="259" w:lineRule="auto"/>
              <w:rPr>
                <w:rFonts w:cs="Times New Roman"/>
                <w:bCs/>
                <w:szCs w:val="24"/>
                <w:lang w:val="en-GB" w:eastAsia="ja-JP"/>
              </w:rPr>
            </w:pPr>
            <w:r w:rsidRPr="00AD7E7D">
              <w:rPr>
                <w:rFonts w:cs="Times New Roman"/>
                <w:bCs/>
                <w:szCs w:val="24"/>
                <w:lang w:val="en-GB" w:eastAsia="ja-JP"/>
              </w:rPr>
              <w:t>0,5%</w:t>
            </w:r>
          </w:p>
        </w:tc>
        <w:tc>
          <w:tcPr>
            <w:tcW w:w="569" w:type="pct"/>
            <w:tcBorders>
              <w:top w:val="nil"/>
              <w:bottom w:val="nil"/>
            </w:tcBorders>
            <w:shd w:val="clear" w:color="auto" w:fill="auto"/>
            <w:noWrap/>
            <w:hideMark/>
          </w:tcPr>
          <w:p w14:paraId="69B2665A" w14:textId="77777777" w:rsidR="006D0778" w:rsidRPr="00AD7E7D" w:rsidRDefault="006D0778" w:rsidP="006D0778">
            <w:pPr>
              <w:keepLines/>
              <w:spacing w:after="160" w:line="259" w:lineRule="auto"/>
              <w:rPr>
                <w:rFonts w:cs="Times New Roman"/>
                <w:bCs/>
                <w:szCs w:val="24"/>
                <w:lang w:val="en-GB" w:eastAsia="ja-JP"/>
              </w:rPr>
            </w:pPr>
            <w:r w:rsidRPr="00AD7E7D">
              <w:rPr>
                <w:rFonts w:cs="Times New Roman"/>
                <w:bCs/>
                <w:szCs w:val="24"/>
                <w:lang w:val="en-GB" w:eastAsia="ja-JP"/>
              </w:rPr>
              <w:t>0,5%</w:t>
            </w:r>
          </w:p>
        </w:tc>
        <w:tc>
          <w:tcPr>
            <w:tcW w:w="569" w:type="pct"/>
            <w:tcBorders>
              <w:top w:val="nil"/>
              <w:bottom w:val="nil"/>
            </w:tcBorders>
            <w:shd w:val="clear" w:color="auto" w:fill="auto"/>
            <w:noWrap/>
            <w:hideMark/>
          </w:tcPr>
          <w:p w14:paraId="7C0D8BA5" w14:textId="77777777" w:rsidR="006D0778" w:rsidRPr="00AD7E7D" w:rsidRDefault="006D0778" w:rsidP="006D0778">
            <w:pPr>
              <w:keepLines/>
              <w:spacing w:after="160" w:line="259" w:lineRule="auto"/>
              <w:rPr>
                <w:rFonts w:cs="Times New Roman"/>
                <w:bCs/>
                <w:szCs w:val="24"/>
                <w:lang w:val="en-GB" w:eastAsia="ja-JP"/>
              </w:rPr>
            </w:pPr>
            <w:r w:rsidRPr="00AD7E7D">
              <w:rPr>
                <w:rFonts w:cs="Times New Roman"/>
                <w:bCs/>
                <w:szCs w:val="24"/>
                <w:lang w:val="en-GB" w:eastAsia="ja-JP"/>
              </w:rPr>
              <w:t>0,5%</w:t>
            </w:r>
          </w:p>
        </w:tc>
      </w:tr>
      <w:tr w:rsidR="006D0778" w:rsidRPr="00AD7E7D" w14:paraId="6C864D80" w14:textId="77777777" w:rsidTr="00D2109C">
        <w:trPr>
          <w:trHeight w:val="20"/>
        </w:trPr>
        <w:tc>
          <w:tcPr>
            <w:tcW w:w="2724" w:type="pct"/>
            <w:tcBorders>
              <w:top w:val="nil"/>
              <w:left w:val="nil"/>
              <w:bottom w:val="single" w:sz="4" w:space="0" w:color="002060"/>
              <w:right w:val="nil"/>
            </w:tcBorders>
            <w:hideMark/>
          </w:tcPr>
          <w:p w14:paraId="2A5C8C5E" w14:textId="77777777" w:rsidR="006D0778" w:rsidRPr="00AD7E7D" w:rsidRDefault="006D0778" w:rsidP="006D0778">
            <w:pPr>
              <w:keepLines/>
              <w:spacing w:after="160" w:line="259" w:lineRule="auto"/>
              <w:rPr>
                <w:rFonts w:cs="Times New Roman"/>
                <w:bCs/>
                <w:szCs w:val="24"/>
                <w:lang w:val="ru-RU" w:eastAsia="ja-JP"/>
              </w:rPr>
            </w:pPr>
            <w:r w:rsidRPr="00AD7E7D">
              <w:rPr>
                <w:rFonts w:cs="Times New Roman"/>
                <w:bCs/>
                <w:szCs w:val="24"/>
                <w:lang w:val="ru-RU" w:eastAsia="ja-JP"/>
              </w:rPr>
              <w:t>Дуг сектора државе, у % БДП</w:t>
            </w:r>
          </w:p>
        </w:tc>
        <w:tc>
          <w:tcPr>
            <w:tcW w:w="569" w:type="pct"/>
            <w:tcBorders>
              <w:top w:val="nil"/>
              <w:left w:val="nil"/>
              <w:bottom w:val="single" w:sz="4" w:space="0" w:color="002060"/>
              <w:right w:val="nil"/>
            </w:tcBorders>
            <w:noWrap/>
            <w:hideMark/>
          </w:tcPr>
          <w:p w14:paraId="3B81C41F" w14:textId="77777777" w:rsidR="006D0778" w:rsidRPr="00AD7E7D" w:rsidRDefault="006D0778" w:rsidP="006D0778">
            <w:pPr>
              <w:keepLines/>
              <w:spacing w:after="160" w:line="259" w:lineRule="auto"/>
              <w:rPr>
                <w:rFonts w:cs="Times New Roman"/>
                <w:bCs/>
                <w:szCs w:val="24"/>
                <w:lang w:val="en-GB" w:eastAsia="ja-JP"/>
              </w:rPr>
            </w:pPr>
            <w:r w:rsidRPr="00AD7E7D">
              <w:rPr>
                <w:rFonts w:cs="Times New Roman"/>
                <w:bCs/>
                <w:szCs w:val="24"/>
                <w:lang w:val="en-GB" w:eastAsia="ja-JP"/>
              </w:rPr>
              <w:t>47,9%</w:t>
            </w:r>
          </w:p>
        </w:tc>
        <w:tc>
          <w:tcPr>
            <w:tcW w:w="569" w:type="pct"/>
            <w:tcBorders>
              <w:top w:val="nil"/>
              <w:left w:val="nil"/>
              <w:bottom w:val="single" w:sz="4" w:space="0" w:color="002060"/>
              <w:right w:val="nil"/>
            </w:tcBorders>
            <w:noWrap/>
            <w:hideMark/>
          </w:tcPr>
          <w:p w14:paraId="7C4DA828" w14:textId="77777777" w:rsidR="006D0778" w:rsidRPr="00AD7E7D" w:rsidRDefault="006D0778" w:rsidP="006D0778">
            <w:pPr>
              <w:keepLines/>
              <w:spacing w:after="160" w:line="259" w:lineRule="auto"/>
              <w:rPr>
                <w:rFonts w:cs="Times New Roman"/>
                <w:bCs/>
                <w:szCs w:val="24"/>
                <w:lang w:val="en-GB" w:eastAsia="ja-JP"/>
              </w:rPr>
            </w:pPr>
            <w:r w:rsidRPr="00AD7E7D">
              <w:rPr>
                <w:rFonts w:cs="Times New Roman"/>
                <w:bCs/>
                <w:szCs w:val="24"/>
                <w:lang w:val="en-GB" w:eastAsia="ja-JP"/>
              </w:rPr>
              <w:t>47,5%</w:t>
            </w:r>
          </w:p>
        </w:tc>
        <w:tc>
          <w:tcPr>
            <w:tcW w:w="569" w:type="pct"/>
            <w:tcBorders>
              <w:top w:val="nil"/>
              <w:left w:val="nil"/>
              <w:bottom w:val="single" w:sz="4" w:space="0" w:color="002060"/>
              <w:right w:val="nil"/>
            </w:tcBorders>
            <w:noWrap/>
            <w:hideMark/>
          </w:tcPr>
          <w:p w14:paraId="4A391100" w14:textId="77777777" w:rsidR="006D0778" w:rsidRPr="00AD7E7D" w:rsidRDefault="006D0778" w:rsidP="006D0778">
            <w:pPr>
              <w:keepLines/>
              <w:spacing w:after="160" w:line="259" w:lineRule="auto"/>
              <w:rPr>
                <w:rFonts w:cs="Times New Roman"/>
                <w:bCs/>
                <w:szCs w:val="24"/>
                <w:lang w:val="en-GB" w:eastAsia="ja-JP"/>
              </w:rPr>
            </w:pPr>
            <w:r w:rsidRPr="00AD7E7D">
              <w:rPr>
                <w:rFonts w:cs="Times New Roman"/>
                <w:bCs/>
                <w:szCs w:val="24"/>
                <w:lang w:val="en-GB" w:eastAsia="ja-JP"/>
              </w:rPr>
              <w:t>47,0%</w:t>
            </w:r>
          </w:p>
        </w:tc>
        <w:tc>
          <w:tcPr>
            <w:tcW w:w="569" w:type="pct"/>
            <w:tcBorders>
              <w:top w:val="nil"/>
              <w:left w:val="nil"/>
              <w:bottom w:val="single" w:sz="4" w:space="0" w:color="002060"/>
              <w:right w:val="nil"/>
            </w:tcBorders>
            <w:noWrap/>
            <w:hideMark/>
          </w:tcPr>
          <w:p w14:paraId="0A4DFA41" w14:textId="77777777" w:rsidR="006D0778" w:rsidRPr="00AD7E7D" w:rsidRDefault="006D0778" w:rsidP="006D0778">
            <w:pPr>
              <w:keepLines/>
              <w:spacing w:after="160" w:line="259" w:lineRule="auto"/>
              <w:rPr>
                <w:rFonts w:cs="Times New Roman"/>
                <w:bCs/>
                <w:szCs w:val="24"/>
                <w:lang w:val="en-GB" w:eastAsia="ja-JP"/>
              </w:rPr>
            </w:pPr>
            <w:r w:rsidRPr="00AD7E7D">
              <w:rPr>
                <w:rFonts w:cs="Times New Roman"/>
                <w:bCs/>
                <w:szCs w:val="24"/>
                <w:lang w:val="en-GB" w:eastAsia="ja-JP"/>
              </w:rPr>
              <w:t>46,5%</w:t>
            </w:r>
          </w:p>
        </w:tc>
      </w:tr>
    </w:tbl>
    <w:p w14:paraId="7758290C" w14:textId="77777777" w:rsidR="006D0778" w:rsidRPr="00010E52" w:rsidRDefault="006D0778" w:rsidP="00010E52">
      <w:pPr>
        <w:keepLines/>
        <w:spacing w:after="60" w:line="259" w:lineRule="auto"/>
        <w:rPr>
          <w:rFonts w:cs="Times New Roman"/>
          <w:bCs/>
          <w:sz w:val="22"/>
          <w:szCs w:val="24"/>
          <w:lang w:eastAsia="ja-JP"/>
        </w:rPr>
      </w:pPr>
      <w:r w:rsidRPr="00010E52">
        <w:rPr>
          <w:rFonts w:cs="Times New Roman"/>
          <w:bCs/>
          <w:sz w:val="22"/>
          <w:szCs w:val="24"/>
          <w:lang w:eastAsia="ja-JP"/>
        </w:rPr>
        <w:t>*</w:t>
      </w:r>
      <w:r w:rsidRPr="00010E52">
        <w:rPr>
          <w:rFonts w:cs="Times New Roman"/>
          <w:sz w:val="22"/>
          <w:szCs w:val="24"/>
          <w:lang w:eastAsia="ja-JP"/>
        </w:rPr>
        <w:t xml:space="preserve"> </w:t>
      </w:r>
      <w:r w:rsidRPr="00010E52">
        <w:rPr>
          <w:rFonts w:cs="Times New Roman"/>
          <w:bCs/>
          <w:sz w:val="22"/>
          <w:szCs w:val="24"/>
          <w:lang w:eastAsia="ja-JP"/>
        </w:rPr>
        <w:t>и осталог сектора државе</w:t>
      </w:r>
    </w:p>
    <w:p w14:paraId="0C2BB3D0" w14:textId="77777777" w:rsidR="006D0778" w:rsidRPr="00010E52" w:rsidRDefault="006D0778" w:rsidP="006D0778">
      <w:pPr>
        <w:spacing w:after="160" w:line="259" w:lineRule="auto"/>
        <w:rPr>
          <w:rFonts w:cs="Times New Roman"/>
          <w:sz w:val="22"/>
          <w:szCs w:val="24"/>
          <w:lang w:val="sr-Cyrl-RS" w:eastAsia="ja-JP"/>
        </w:rPr>
      </w:pPr>
      <w:r w:rsidRPr="00010E52">
        <w:rPr>
          <w:rFonts w:cs="Times New Roman"/>
          <w:sz w:val="22"/>
          <w:szCs w:val="24"/>
          <w:lang w:val="sr-Cyrl-RS" w:eastAsia="ja-JP"/>
        </w:rPr>
        <w:t>Извор: Министарство финансија</w:t>
      </w:r>
    </w:p>
    <w:p w14:paraId="039DEF2F" w14:textId="77777777" w:rsidR="006D0778" w:rsidRPr="00AD7E7D" w:rsidRDefault="006D0778" w:rsidP="002B1F9D">
      <w:pPr>
        <w:rPr>
          <w:rFonts w:cs="Times New Roman"/>
          <w:szCs w:val="24"/>
          <w:lang w:val="sr-Cyrl-RS" w:eastAsia="ja-JP"/>
        </w:rPr>
      </w:pPr>
      <w:r w:rsidRPr="00AD7E7D">
        <w:rPr>
          <w:rFonts w:cs="Times New Roman"/>
          <w:szCs w:val="24"/>
          <w:lang w:val="sr-Cyrl-RS" w:eastAsia="ja-JP"/>
        </w:rPr>
        <w:t xml:space="preserve">Предвиђа се да ће негарантовани дуг локалног нивоа власти бити на нивоу од око </w:t>
      </w:r>
      <w:r w:rsidRPr="00AD7E7D">
        <w:rPr>
          <w:rFonts w:cs="Times New Roman"/>
          <w:szCs w:val="24"/>
          <w:lang w:val="sr-Latn-RS" w:eastAsia="ja-JP"/>
        </w:rPr>
        <w:t>0,5</w:t>
      </w:r>
      <w:r w:rsidRPr="00AD7E7D">
        <w:rPr>
          <w:rFonts w:cs="Times New Roman"/>
          <w:szCs w:val="24"/>
          <w:lang w:val="sr-Cyrl-RS" w:eastAsia="ja-JP"/>
        </w:rPr>
        <w:t xml:space="preserve">% БДП до краја </w:t>
      </w:r>
      <w:r w:rsidRPr="00AD7E7D">
        <w:rPr>
          <w:rFonts w:cs="Times New Roman"/>
          <w:szCs w:val="24"/>
          <w:lang w:val="sr-Latn-RS" w:eastAsia="ja-JP"/>
        </w:rPr>
        <w:t>2027.</w:t>
      </w:r>
      <w:r w:rsidRPr="00AD7E7D">
        <w:rPr>
          <w:rFonts w:cs="Times New Roman"/>
          <w:szCs w:val="24"/>
          <w:lang w:val="sr-Cyrl-RS" w:eastAsia="ja-JP"/>
        </w:rPr>
        <w:t xml:space="preserve"> На крају 202</w:t>
      </w:r>
      <w:r w:rsidRPr="00AD7E7D">
        <w:rPr>
          <w:rFonts w:cs="Times New Roman"/>
          <w:szCs w:val="24"/>
          <w:lang w:val="sr-Latn-RS" w:eastAsia="ja-JP"/>
        </w:rPr>
        <w:t>7</w:t>
      </w:r>
      <w:r w:rsidRPr="00AD7E7D">
        <w:rPr>
          <w:rFonts w:cs="Times New Roman"/>
          <w:szCs w:val="24"/>
          <w:lang w:val="sr-Cyrl-RS" w:eastAsia="ja-JP"/>
        </w:rPr>
        <w:t>. године стање дуга сектора државе требало би да буде на нивоу од 46,5% БДП.</w:t>
      </w:r>
    </w:p>
    <w:p w14:paraId="5CED8F87" w14:textId="77777777" w:rsidR="006D0778" w:rsidRPr="00AD7E7D" w:rsidRDefault="006D0778" w:rsidP="002B1F9D">
      <w:pPr>
        <w:rPr>
          <w:rFonts w:cs="Times New Roman"/>
          <w:szCs w:val="24"/>
          <w:lang w:val="sr-Cyrl-RS" w:eastAsia="ja-JP"/>
        </w:rPr>
      </w:pPr>
      <w:r w:rsidRPr="00AD7E7D">
        <w:rPr>
          <w:rFonts w:cs="Times New Roman"/>
          <w:szCs w:val="24"/>
          <w:lang w:val="sr-Cyrl-RS" w:eastAsia="ja-JP"/>
        </w:rPr>
        <w:lastRenderedPageBreak/>
        <w:t>Финансијски и фискални ризици могу довести до раста јавног дуга већег од предвиђеног основним сценаријем. Ризици који су присутни и који могу да доведу до раста задужености и трошкова сервисирања јавног дуга су: ризик рефинансирања, девизни ризик, тржишни ризик (ризик каматних стопа, ризик инфлације), ризик ликвидности, кредитни и оперативни ризици и ризици везани за дистрибуцију трошкова сервисирања (структура дуга, концентрација обавеза).</w:t>
      </w:r>
    </w:p>
    <w:p w14:paraId="20A80363" w14:textId="77777777" w:rsidR="006D0778" w:rsidRPr="00AD7E7D" w:rsidRDefault="006D0778" w:rsidP="002B1F9D">
      <w:pPr>
        <w:rPr>
          <w:rFonts w:cs="Times New Roman"/>
          <w:szCs w:val="24"/>
          <w:lang w:val="sr-Cyrl-RS" w:eastAsia="ja-JP"/>
        </w:rPr>
      </w:pPr>
      <w:r w:rsidRPr="00AD7E7D">
        <w:rPr>
          <w:rFonts w:cs="Times New Roman"/>
          <w:szCs w:val="24"/>
          <w:lang w:val="sr-Cyrl-RS" w:eastAsia="ja-JP"/>
        </w:rPr>
        <w:t>Због високог учешћа јавног дуга деноминованог у страној валути (7</w:t>
      </w:r>
      <w:r w:rsidRPr="00AD7E7D">
        <w:rPr>
          <w:rFonts w:cs="Times New Roman"/>
          <w:szCs w:val="24"/>
          <w:lang w:val="sr-Latn-RS" w:eastAsia="ja-JP"/>
        </w:rPr>
        <w:t>8</w:t>
      </w:r>
      <w:r w:rsidRPr="00AD7E7D">
        <w:rPr>
          <w:rFonts w:cs="Times New Roman"/>
          <w:szCs w:val="24"/>
          <w:lang w:val="sr-Cyrl-RS" w:eastAsia="ja-JP"/>
        </w:rPr>
        <w:t>,</w:t>
      </w:r>
      <w:r w:rsidRPr="00AD7E7D">
        <w:rPr>
          <w:rFonts w:cs="Times New Roman"/>
          <w:szCs w:val="24"/>
          <w:lang w:val="sr-Latn-RS" w:eastAsia="ja-JP"/>
        </w:rPr>
        <w:t>1</w:t>
      </w:r>
      <w:r w:rsidRPr="00AD7E7D">
        <w:rPr>
          <w:rFonts w:cs="Times New Roman"/>
          <w:szCs w:val="24"/>
          <w:lang w:val="sr-Cyrl-RS" w:eastAsia="ja-JP"/>
        </w:rPr>
        <w:t>%), евидентно је да ће девизни ризик детерминисати понашање рација јавни дуг/БДП у наредном периоду и битно условљавати успех мера фискалне политике на консолидацији јавних финансија и смањењу учешћа јавног дуга у БДП-у.</w:t>
      </w:r>
    </w:p>
    <w:p w14:paraId="6896C288" w14:textId="77777777" w:rsidR="006D0778" w:rsidRPr="00010E52" w:rsidRDefault="006D0778" w:rsidP="002C5470">
      <w:pPr>
        <w:keepNext/>
        <w:keepLines/>
        <w:spacing w:after="160" w:line="259" w:lineRule="auto"/>
        <w:rPr>
          <w:rFonts w:cs="Times New Roman"/>
          <w:bCs/>
          <w:i/>
          <w:szCs w:val="24"/>
          <w:lang w:val="sr-Cyrl-RS" w:eastAsia="ja-JP"/>
        </w:rPr>
      </w:pPr>
      <w:r w:rsidRPr="00010E52">
        <w:rPr>
          <w:rFonts w:cs="Times New Roman"/>
          <w:bCs/>
          <w:i/>
          <w:szCs w:val="24"/>
          <w:lang w:val="sr-Cyrl-RS" w:eastAsia="ja-JP"/>
        </w:rPr>
        <w:t>Графикон 1</w:t>
      </w:r>
      <w:r w:rsidR="006C46A3">
        <w:rPr>
          <w:rFonts w:cs="Times New Roman"/>
          <w:bCs/>
          <w:i/>
          <w:szCs w:val="24"/>
          <w:lang w:val="sr-Latn-RS" w:eastAsia="ja-JP"/>
        </w:rPr>
        <w:t>3</w:t>
      </w:r>
      <w:r w:rsidRPr="00010E52">
        <w:rPr>
          <w:rFonts w:cs="Times New Roman"/>
          <w:bCs/>
          <w:i/>
          <w:szCs w:val="24"/>
          <w:lang w:val="sr-Cyrl-RS" w:eastAsia="ja-JP"/>
        </w:rPr>
        <w:t>. Утицај промена курса динара према корпи валута из портфолија јавног дуга на промену рацио јавног дуга и БДП – Централни ниво власти</w:t>
      </w:r>
    </w:p>
    <w:p w14:paraId="7AB1C5E0" w14:textId="77777777" w:rsidR="006D0778" w:rsidRPr="00AD7E7D" w:rsidRDefault="006D0778" w:rsidP="002C5470">
      <w:pPr>
        <w:keepLines/>
        <w:widowControl w:val="0"/>
        <w:spacing w:after="160" w:line="259" w:lineRule="auto"/>
        <w:rPr>
          <w:rFonts w:cs="Times New Roman"/>
          <w:bCs/>
          <w:szCs w:val="24"/>
          <w:lang w:val="sr-Cyrl-RS" w:eastAsia="ja-JP"/>
        </w:rPr>
      </w:pPr>
      <w:r w:rsidRPr="00AD7E7D">
        <w:rPr>
          <w:rFonts w:cs="Times New Roman"/>
          <w:noProof/>
          <w:szCs w:val="24"/>
        </w:rPr>
        <w:drawing>
          <wp:inline distT="0" distB="0" distL="0" distR="0" wp14:anchorId="6AE1957D" wp14:editId="6B30D80A">
            <wp:extent cx="5391150" cy="19431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10126DA" w14:textId="77777777" w:rsidR="006D0778" w:rsidRPr="00010E52" w:rsidRDefault="006D0778" w:rsidP="00010E52">
      <w:pPr>
        <w:keepLines/>
        <w:spacing w:before="40" w:after="180" w:line="259" w:lineRule="auto"/>
        <w:rPr>
          <w:rFonts w:cs="Times New Roman"/>
          <w:bCs/>
          <w:sz w:val="22"/>
          <w:szCs w:val="24"/>
          <w:lang w:val="sr-Cyrl-RS" w:eastAsia="ja-JP"/>
        </w:rPr>
      </w:pPr>
      <w:r w:rsidRPr="00010E52">
        <w:rPr>
          <w:rFonts w:cs="Times New Roman"/>
          <w:bCs/>
          <w:sz w:val="22"/>
          <w:szCs w:val="24"/>
          <w:lang w:val="sr-Cyrl-RS" w:eastAsia="ja-JP"/>
        </w:rPr>
        <w:t>Извор: Министарство финансија</w:t>
      </w:r>
    </w:p>
    <w:p w14:paraId="743C3210" w14:textId="77777777" w:rsidR="006D0778" w:rsidRPr="00AD7E7D" w:rsidRDefault="006D0778" w:rsidP="002B1F9D">
      <w:pPr>
        <w:rPr>
          <w:rFonts w:cs="Times New Roman"/>
          <w:szCs w:val="24"/>
          <w:lang w:val="sr-Cyrl-RS" w:eastAsia="ja-JP"/>
        </w:rPr>
      </w:pPr>
      <w:r w:rsidRPr="00AD7E7D">
        <w:rPr>
          <w:rFonts w:cs="Times New Roman"/>
          <w:szCs w:val="24"/>
          <w:lang w:val="sr-Cyrl-RS" w:eastAsia="ja-JP"/>
        </w:rPr>
        <w:t>На графикону је представљено кретање рација јавног дуга централног нивоа државе и БДП у зависности од промене курса динара према одређеној корпи валута. Приказана је основна пројекција са алтернативним сценаријима у зависности од апрецијације, односно депрецијације курса динара у распону од 10% апрецијације до 10% депрецијације динара у односу на корпу валута. Применом наведених сценарија може се видети да би се рацио за 2027. годину кретао у распону од 42,4% до 49,7%, док би за основни сценарио био на нивоу од 46,0%.</w:t>
      </w:r>
    </w:p>
    <w:p w14:paraId="44598AD8" w14:textId="77777777" w:rsidR="006D0778" w:rsidRPr="00AD7E7D" w:rsidRDefault="006D0778" w:rsidP="002B1F9D">
      <w:pPr>
        <w:rPr>
          <w:rFonts w:cs="Times New Roman"/>
          <w:szCs w:val="24"/>
          <w:lang w:val="sr-Cyrl-RS" w:eastAsia="ja-JP"/>
        </w:rPr>
      </w:pPr>
      <w:r w:rsidRPr="00AD7E7D">
        <w:rPr>
          <w:rFonts w:cs="Times New Roman"/>
          <w:szCs w:val="24"/>
          <w:lang w:val="sr-Cyrl-RS" w:eastAsia="ja-JP"/>
        </w:rPr>
        <w:t>Стратегија управљања јавним дугом у наредном средњорочном периоду полази од претпоставке да ће финансирање бити обезбеђено задуживањем и на домаћем и на међународном финансијском тржишту. Флексибилност у домену избора тржишта на коме ће се вршити задуживање, валуте задуживања и инструмента финансирања један је од неопходних услова како би финансирање издатака буџета Републике Србије било обезбеђено. Одлука о годишњем задуживању се доноси у оквиру закона о буџету за одређену фискалну годину. У зависности од промене основних фискалних агрегата могућа је корекција плана задуживања током фискалне године.</w:t>
      </w:r>
    </w:p>
    <w:p w14:paraId="3A306433" w14:textId="77777777" w:rsidR="006D0778" w:rsidRPr="00AD7E7D" w:rsidRDefault="006D0778" w:rsidP="002B1F9D">
      <w:pPr>
        <w:rPr>
          <w:rFonts w:cs="Times New Roman"/>
          <w:szCs w:val="24"/>
          <w:lang w:val="sr-Cyrl-RS" w:eastAsia="ja-JP"/>
        </w:rPr>
      </w:pPr>
      <w:r w:rsidRPr="00AD7E7D">
        <w:rPr>
          <w:rFonts w:cs="Times New Roman"/>
          <w:szCs w:val="24"/>
          <w:lang w:val="sr-Cyrl-RS" w:eastAsia="ja-JP"/>
        </w:rPr>
        <w:t>У циљу оптимизације портфолија и ефикаснијег управљања јавним дугом, урађена је анализа трошкова и ризика алтернативних стратегија задуживања, применом модела Светске банке (Medium Term Debt Strategy Model – MTDS), у условима основног сценариjа, али и у условима шокова који могу довести до промене основног сценариjа: девизни курс, промена каматних стопа на међународном и домаћем тржишту, комбиновани шок.</w:t>
      </w:r>
    </w:p>
    <w:p w14:paraId="6D80C94C" w14:textId="77777777" w:rsidR="006D0778" w:rsidRPr="00AD7E7D" w:rsidRDefault="006D0778" w:rsidP="002B1F9D">
      <w:pPr>
        <w:rPr>
          <w:rFonts w:cs="Times New Roman"/>
          <w:szCs w:val="24"/>
          <w:lang w:val="sr-Cyrl-RS" w:eastAsia="ja-JP"/>
        </w:rPr>
      </w:pPr>
      <w:r w:rsidRPr="00AD7E7D">
        <w:rPr>
          <w:rFonts w:cs="Times New Roman"/>
          <w:szCs w:val="24"/>
          <w:lang w:val="sr-Cyrl-RS" w:eastAsia="ja-JP"/>
        </w:rPr>
        <w:lastRenderedPageBreak/>
        <w:t>У циљу смањивања изложености варијабилним каматним стопама, уговарање нових обавеза се врши по фиксним каматним стопама, тамо где је то могуће, а поготову у домену зајмова намењених за финансирање инвестиционих пројеката.</w:t>
      </w:r>
    </w:p>
    <w:p w14:paraId="00B76179" w14:textId="77777777" w:rsidR="006D0778" w:rsidRPr="00AD7E7D" w:rsidRDefault="006D0778" w:rsidP="002B1F9D">
      <w:pPr>
        <w:rPr>
          <w:rFonts w:cs="Times New Roman"/>
          <w:szCs w:val="24"/>
          <w:lang w:val="sr-Cyrl-RS" w:eastAsia="ja-JP"/>
        </w:rPr>
      </w:pPr>
      <w:bookmarkStart w:id="27" w:name="_Toc530635112"/>
      <w:bookmarkEnd w:id="27"/>
      <w:r w:rsidRPr="00AD7E7D">
        <w:rPr>
          <w:rFonts w:cs="Times New Roman"/>
          <w:szCs w:val="24"/>
          <w:lang w:val="sr-Cyrl-RS" w:eastAsia="ja-JP"/>
        </w:rPr>
        <w:t xml:space="preserve">Рејтинг агенција Standard and Poor’s је 4. </w:t>
      </w:r>
      <w:r w:rsidR="00DB1F40" w:rsidRPr="00AD7E7D">
        <w:rPr>
          <w:rFonts w:cs="Times New Roman"/>
          <w:szCs w:val="24"/>
          <w:lang w:val="sr-Cyrl-RS" w:eastAsia="ja-JP"/>
        </w:rPr>
        <w:t>октобра 2024. године повећала</w:t>
      </w:r>
      <w:r w:rsidRPr="00AD7E7D">
        <w:rPr>
          <w:rFonts w:cs="Times New Roman"/>
          <w:szCs w:val="24"/>
          <w:lang w:val="sr-Cyrl-RS" w:eastAsia="ja-JP"/>
        </w:rPr>
        <w:t xml:space="preserve"> кредитни рејтинг Републике Србије на инвестициони, на нивоу БББ- са стабилним изгледима за његово даље побољшање. И код остале две агенције се ускоро очекује добијање инвестиционог рејтинга, на шта указују и њихови последњи извештаји.</w:t>
      </w:r>
    </w:p>
    <w:p w14:paraId="162311FC" w14:textId="77777777" w:rsidR="006D0778" w:rsidRPr="00AD7E7D" w:rsidRDefault="006D0778" w:rsidP="002B1F9D">
      <w:pPr>
        <w:rPr>
          <w:rFonts w:cs="Times New Roman"/>
          <w:szCs w:val="24"/>
          <w:lang w:val="sr-Cyrl-RS" w:eastAsia="ja-JP"/>
        </w:rPr>
      </w:pPr>
      <w:r w:rsidRPr="00AD7E7D">
        <w:rPr>
          <w:rFonts w:cs="Times New Roman"/>
          <w:szCs w:val="24"/>
          <w:lang w:val="sr-Cyrl-RS" w:eastAsia="ja-JP"/>
        </w:rPr>
        <w:t>Добијање инвестиционог рејтинга ће значајно утицати на даље смањивање трошкова финансирања Републике Србије. Очекује се проширивање базе инвеститора</w:t>
      </w:r>
      <w:r w:rsidRPr="00AD7E7D">
        <w:rPr>
          <w:rFonts w:cs="Times New Roman"/>
          <w:szCs w:val="24"/>
          <w:lang w:val="sr-Latn-RS" w:eastAsia="ja-JP"/>
        </w:rPr>
        <w:t xml:space="preserve">, </w:t>
      </w:r>
      <w:r w:rsidRPr="00AD7E7D">
        <w:rPr>
          <w:rFonts w:cs="Times New Roman"/>
          <w:szCs w:val="24"/>
          <w:lang w:val="sr-Cyrl-RS" w:eastAsia="ja-JP"/>
        </w:rPr>
        <w:t xml:space="preserve">што ће довести до нижих трошкова задуживања и на домаћем и на међународном тржишту, услед мање ризичности које носе инструменти које ће издавати Република Србија. Нижи трошкови задуживања ће довести до уштеда у буџету, уз истовремено смањивање ризичности портофолија јавног дуга. </w:t>
      </w:r>
    </w:p>
    <w:p w14:paraId="5A75BEC6" w14:textId="77777777" w:rsidR="006D0778" w:rsidRPr="00AD7E7D" w:rsidRDefault="006D0778" w:rsidP="002B1F9D">
      <w:pPr>
        <w:rPr>
          <w:rFonts w:cs="Times New Roman"/>
          <w:szCs w:val="24"/>
          <w:lang w:val="sr-Cyrl-RS" w:eastAsia="ja-JP"/>
        </w:rPr>
      </w:pPr>
      <w:r w:rsidRPr="00AD7E7D">
        <w:rPr>
          <w:rFonts w:cs="Times New Roman"/>
          <w:szCs w:val="24"/>
          <w:lang w:val="sr-Cyrl-RS" w:eastAsia="ja-JP"/>
        </w:rPr>
        <w:t>Увођењем „бенчмарк” емисија обвезница остварен је позитиван ефекат на обим и континуитет секундарног трговања, као и на унапређење тржишне ефикасности у поступку продаје државних хартија на примарном тржишту.</w:t>
      </w:r>
    </w:p>
    <w:p w14:paraId="7224892E" w14:textId="77777777" w:rsidR="006D0778" w:rsidRPr="00010E52" w:rsidRDefault="006D0778" w:rsidP="002B1F9D">
      <w:pPr>
        <w:rPr>
          <w:rFonts w:cs="Times New Roman"/>
          <w:szCs w:val="24"/>
          <w:lang w:val="sr-Cyrl-RS" w:eastAsia="ja-JP"/>
        </w:rPr>
      </w:pPr>
      <w:r w:rsidRPr="00AD7E7D">
        <w:rPr>
          <w:rFonts w:cs="Times New Roman"/>
          <w:bCs/>
          <w:szCs w:val="24"/>
          <w:lang w:val="sr-Cyrl-RS" w:eastAsia="ja-JP"/>
        </w:rPr>
        <w:t>У</w:t>
      </w:r>
      <w:r w:rsidR="005B0363" w:rsidRPr="00AD7E7D">
        <w:rPr>
          <w:rFonts w:cs="Times New Roman"/>
          <w:bCs/>
          <w:szCs w:val="24"/>
          <w:lang w:val="sr-Cyrl-RS" w:eastAsia="ja-JP"/>
        </w:rPr>
        <w:t xml:space="preserve"> наредном</w:t>
      </w:r>
      <w:r w:rsidRPr="00AD7E7D">
        <w:rPr>
          <w:rFonts w:cs="Times New Roman"/>
          <w:bCs/>
          <w:szCs w:val="24"/>
          <w:lang w:val="sr-Cyrl-RS" w:eastAsia="ja-JP"/>
        </w:rPr>
        <w:t xml:space="preserve"> </w:t>
      </w:r>
      <w:r w:rsidRPr="00AD7E7D">
        <w:rPr>
          <w:rFonts w:cs="Times New Roman"/>
          <w:szCs w:val="24"/>
          <w:lang w:val="sr-Cyrl-RS" w:eastAsia="ja-JP"/>
        </w:rPr>
        <w:t xml:space="preserve">периоду очекује се унапређење ефикасности примарног тржишта путем приступа Euroclear платформи, као механизма продаје државних хартија од вредности који директно, у дужем року, доприноси смањењу трошкова задуживања, као </w:t>
      </w:r>
      <w:r w:rsidR="00010E52">
        <w:rPr>
          <w:rFonts w:cs="Times New Roman"/>
          <w:szCs w:val="24"/>
          <w:lang w:val="sr-Cyrl-RS" w:eastAsia="ja-JP"/>
        </w:rPr>
        <w:t>и смањењу ризика рефинансирања.</w:t>
      </w:r>
    </w:p>
    <w:p w14:paraId="7EAFAABC" w14:textId="77777777" w:rsidR="006D0778" w:rsidRPr="00915EC2" w:rsidRDefault="00933940" w:rsidP="00E25CAC">
      <w:pPr>
        <w:pStyle w:val="Heading11"/>
        <w:spacing w:before="180" w:after="180"/>
        <w:rPr>
          <w:rFonts w:ascii="Times New Roman" w:hAnsi="Times New Roman" w:cs="Times New Roman"/>
          <w:color w:val="auto"/>
          <w:sz w:val="24"/>
          <w:szCs w:val="24"/>
          <w:lang w:val="sr-Latn-RS"/>
        </w:rPr>
      </w:pPr>
      <w:bookmarkStart w:id="28" w:name="_Toc185342338"/>
      <w:r w:rsidRPr="00915EC2">
        <w:rPr>
          <w:rFonts w:ascii="Times New Roman" w:hAnsi="Times New Roman" w:cs="Times New Roman"/>
          <w:color w:val="auto"/>
          <w:sz w:val="24"/>
          <w:szCs w:val="24"/>
          <w:lang w:val="sr-Latn-RS"/>
        </w:rPr>
        <w:t>4.</w:t>
      </w:r>
      <w:r w:rsidR="006D0778" w:rsidRPr="00915EC2">
        <w:rPr>
          <w:rFonts w:ascii="Times New Roman" w:hAnsi="Times New Roman" w:cs="Times New Roman"/>
          <w:color w:val="auto"/>
          <w:sz w:val="24"/>
          <w:szCs w:val="24"/>
          <w:lang w:val="sr-Latn-RS"/>
        </w:rPr>
        <w:t>6. АНАЛИЗА ОСЕТЉИВОСТИ И ПОРЕЂЕЊЕ СА ПРЕТХОДНИМ ПРОГРАМОМ</w:t>
      </w:r>
      <w:bookmarkEnd w:id="28"/>
    </w:p>
    <w:p w14:paraId="3435E668" w14:textId="77777777" w:rsidR="006D0778" w:rsidRPr="00AD7E7D" w:rsidRDefault="006D0778" w:rsidP="002B1F9D">
      <w:pPr>
        <w:rPr>
          <w:rFonts w:eastAsia="MS PGothic" w:cs="Times New Roman"/>
          <w:szCs w:val="24"/>
          <w:lang w:val="sr-Cyrl-RS" w:eastAsia="ja-JP"/>
        </w:rPr>
      </w:pPr>
      <w:r w:rsidRPr="00AD7E7D">
        <w:rPr>
          <w:rFonts w:eastAsia="MS PGothic" w:cs="Times New Roman"/>
          <w:szCs w:val="24"/>
          <w:lang w:val="sr-Cyrl-RS" w:eastAsia="ja-JP"/>
        </w:rPr>
        <w:t>Фискални ризици представљају изложеност јавних финансија одређеним околностима које могу проузроковати одступања од пројектованог фискалног оквира. До одступања може доћи у приходима, расходима, фискалном резултату, као и у имовини и обавезама државе, у односу на оно што је планирано и очекивано. На спољашње ризике, попут природних катастрофа или глобалних финансијских криза, Влада не може да утиче, али могуће је дефинисати излазне стратегије које би ублажиле њихово дејство (очување стабилности у добрим временима како би у условима рецесије или кризе фискална политика имала простора за адекватан одговор, осигурање у случају природних катастрофа и сл.). Унутрашњи ризици, односно њихова материјализација последица су активности у јавном сектору, те се на вероватноћу њихове реализације може утицати одлукама и политикама Владе.</w:t>
      </w:r>
    </w:p>
    <w:p w14:paraId="12D50438" w14:textId="77777777" w:rsidR="006D0778" w:rsidRPr="00AD7E7D" w:rsidRDefault="006D0778" w:rsidP="002B1F9D">
      <w:pPr>
        <w:rPr>
          <w:rFonts w:eastAsia="MS PGothic" w:cs="Times New Roman"/>
          <w:szCs w:val="24"/>
          <w:lang w:val="sr-Cyrl-RS" w:eastAsia="ja-JP"/>
        </w:rPr>
      </w:pPr>
      <w:r w:rsidRPr="00AD7E7D">
        <w:rPr>
          <w:rFonts w:eastAsia="MS PGothic" w:cs="Times New Roman"/>
          <w:szCs w:val="24"/>
          <w:lang w:val="sr-Cyrl-RS" w:eastAsia="ja-JP"/>
        </w:rPr>
        <w:t>Идентификација највећих фискалних ризика који могу утицати на државне финансије у средњем року полазна је тачка у бољем управљању фискалним ризицима. О одређеним фискалним ризицима постоје детаљни подаци и лако се може идентификовати да ли ће и са коликом вероватноћом утицати на фискалне агрегате у средњем року. За друге, пак, не постоје довољно детаљни подаци, али и само њихово идентификовање подиже свест о могућности да у наредном периоду доведу до одступања од планираног фискалног оквира.</w:t>
      </w:r>
    </w:p>
    <w:p w14:paraId="110F830E" w14:textId="77777777" w:rsidR="006D0778" w:rsidRPr="00AD7E7D" w:rsidRDefault="006D0778" w:rsidP="002B1F9D">
      <w:pPr>
        <w:rPr>
          <w:rFonts w:eastAsia="MS PGothic" w:cs="Times New Roman"/>
          <w:szCs w:val="24"/>
          <w:lang w:val="sr-Cyrl-RS" w:eastAsia="ja-JP"/>
        </w:rPr>
      </w:pPr>
      <w:r w:rsidRPr="00AD7E7D">
        <w:rPr>
          <w:rFonts w:eastAsia="MS PGothic" w:cs="Times New Roman"/>
          <w:szCs w:val="24"/>
          <w:lang w:val="sr-Cyrl-RS" w:eastAsia="ja-JP"/>
        </w:rPr>
        <w:t xml:space="preserve">Министарство финансија има водећу улогу у управљању фискалним ризицима. Као кључна институција за средњорочно макроекономско и фискално планирање, формулацију и управљање буџетом, Министарство финансија мора имати и водећу улогу у успостављању институционалне и законске структуре, те изградњи капацитета неопходних за управљање фискалним ризицима. Намера је да резултат ових активности буде идентификација и процена ризика и предлагање излазних стратегија, као помоћ </w:t>
      </w:r>
      <w:r w:rsidRPr="00AD7E7D">
        <w:rPr>
          <w:rFonts w:eastAsia="MS PGothic" w:cs="Times New Roman"/>
          <w:szCs w:val="24"/>
          <w:lang w:val="sr-Cyrl-RS" w:eastAsia="ja-JP"/>
        </w:rPr>
        <w:lastRenderedPageBreak/>
        <w:t>Влади у очувању стабилности јавних финансија, што је кључни циљ фискалне политике и један од основних предуслова за динамичнији привредни раст.</w:t>
      </w:r>
    </w:p>
    <w:p w14:paraId="1B237818" w14:textId="77777777" w:rsidR="006D0778" w:rsidRPr="00AD7E7D" w:rsidRDefault="006D0778" w:rsidP="006D0778">
      <w:pPr>
        <w:spacing w:after="0"/>
        <w:rPr>
          <w:rFonts w:eastAsia="MS PGothic" w:cs="Times New Roman"/>
          <w:szCs w:val="24"/>
          <w:lang w:val="sr-Cyrl-RS" w:eastAsia="ja-JP"/>
        </w:rPr>
      </w:pPr>
      <w:r w:rsidRPr="00AD7E7D">
        <w:rPr>
          <w:rFonts w:eastAsia="MS PGothic" w:cs="Times New Roman"/>
          <w:szCs w:val="24"/>
          <w:lang w:val="sr-Cyrl-RS" w:eastAsia="ja-JP"/>
        </w:rPr>
        <w:t>У циљу спровођења наведеног процеса праћења фискалних ризика, у октобру 2021. године, усвојена је Јединствена методологија, која је припремљена уз помоћ Светске банке, која обухвата четири основне методологије и то: 1) Методологију за праћење фискалних ризика који произлазе из пословања јавних предузећа; 2) Методологију за праћење фискалних ризика по буџет Републике Србије који произлазе из вршења надлежности јединица локалне самоуправе; 3) Методологију за праћење фискалних ризика по основу судских поступака; 4) Методологију за праћење фискалних ризика који се јављају као последица елементарних непогода.</w:t>
      </w:r>
    </w:p>
    <w:p w14:paraId="3AC2F98D" w14:textId="77777777" w:rsidR="006D0778" w:rsidRPr="00AD7E7D" w:rsidRDefault="006D0778" w:rsidP="006D0778">
      <w:pPr>
        <w:spacing w:after="0"/>
        <w:rPr>
          <w:rFonts w:eastAsia="MS PGothic" w:cs="Times New Roman"/>
          <w:szCs w:val="24"/>
          <w:lang w:val="sr-Cyrl-RS" w:eastAsia="ja-JP"/>
        </w:rPr>
      </w:pPr>
    </w:p>
    <w:p w14:paraId="64EC5EFA" w14:textId="77777777" w:rsidR="006D0778" w:rsidRPr="00AD7E7D" w:rsidRDefault="006D0778" w:rsidP="00010E52">
      <w:pPr>
        <w:rPr>
          <w:rFonts w:eastAsia="MS PGothic" w:cs="Times New Roman"/>
          <w:spacing w:val="-2"/>
          <w:szCs w:val="24"/>
          <w:lang w:val="sr-Cyrl-RS" w:eastAsia="ja-JP"/>
        </w:rPr>
      </w:pPr>
      <w:r w:rsidRPr="00AD7E7D">
        <w:rPr>
          <w:rFonts w:eastAsia="MS PGothic" w:cs="Times New Roman"/>
          <w:szCs w:val="24"/>
          <w:lang w:eastAsia="ja-JP"/>
        </w:rPr>
        <w:t>Гаранције издате од стране државе утичу на висину јавног дуга, али и на висину дефицита, уколико отплату по кредиту уместо првобитног дужника преузме држава. Издате гаранције су према дефиницији одређеној Законом о јавном дугу</w:t>
      </w:r>
      <w:r w:rsidRPr="00AD7E7D">
        <w:rPr>
          <w:rFonts w:eastAsia="MS PGothic" w:cs="Times New Roman"/>
          <w:szCs w:val="24"/>
          <w:vertAlign w:val="superscript"/>
          <w:lang w:eastAsia="ja-JP"/>
        </w:rPr>
        <w:footnoteReference w:id="9"/>
      </w:r>
      <w:r w:rsidRPr="00AD7E7D">
        <w:rPr>
          <w:rFonts w:eastAsia="MS PGothic" w:cs="Times New Roman"/>
          <w:szCs w:val="24"/>
          <w:lang w:eastAsia="ja-JP"/>
        </w:rPr>
        <w:t xml:space="preserve"> део индиректних обавеза и у укупном износу се укључују у јавни дуг. . На дан 30. септембра 2024. године укупно стање јавног дуга у сектору државе износило је 4.4</w:t>
      </w:r>
      <w:r w:rsidRPr="00AD7E7D">
        <w:rPr>
          <w:rFonts w:eastAsia="MS PGothic" w:cs="Times New Roman"/>
          <w:szCs w:val="24"/>
          <w:lang w:val="sr-Cyrl-RS" w:eastAsia="ja-JP"/>
        </w:rPr>
        <w:t>96,5</w:t>
      </w:r>
      <w:r w:rsidRPr="00AD7E7D">
        <w:rPr>
          <w:rFonts w:eastAsia="MS PGothic" w:cs="Times New Roman"/>
          <w:szCs w:val="24"/>
          <w:lang w:eastAsia="ja-JP"/>
        </w:rPr>
        <w:t xml:space="preserve"> млрд динара, што чини 46,8% БДП, од чега директне обавезе чине 4.256,7 млрд динара (44,3% БДП), индиректне обавезе 210,3 млрд динара (2,2% БДП) и негарантовани остали дуг сектора државе 29,5 млрд динара (0,3% БДП).</w:t>
      </w:r>
    </w:p>
    <w:p w14:paraId="5B0484F8" w14:textId="30AD7B7B" w:rsidR="006D0778" w:rsidRPr="00010E52" w:rsidRDefault="006D0778" w:rsidP="006D0778">
      <w:pPr>
        <w:spacing w:after="0" w:line="276" w:lineRule="auto"/>
        <w:rPr>
          <w:rFonts w:eastAsia="Calibri" w:cs="Times New Roman"/>
          <w:i/>
          <w:szCs w:val="24"/>
          <w:lang w:val="sr-Cyrl-RS" w:eastAsia="ja-JP"/>
        </w:rPr>
      </w:pPr>
      <w:r w:rsidRPr="00010E52">
        <w:rPr>
          <w:rFonts w:eastAsia="Calibri" w:cs="Times New Roman"/>
          <w:i/>
          <w:szCs w:val="24"/>
          <w:lang w:val="sr-Cyrl-RS" w:eastAsia="ja-JP"/>
        </w:rPr>
        <w:t>Графикон 1</w:t>
      </w:r>
      <w:r w:rsidR="006C46A3">
        <w:rPr>
          <w:rFonts w:eastAsia="Calibri" w:cs="Times New Roman"/>
          <w:i/>
          <w:szCs w:val="24"/>
          <w:lang w:val="sr-Latn-RS" w:eastAsia="ja-JP"/>
        </w:rPr>
        <w:t>4</w:t>
      </w:r>
      <w:r w:rsidRPr="00010E52">
        <w:rPr>
          <w:rFonts w:eastAsia="Calibri" w:cs="Times New Roman"/>
          <w:i/>
          <w:szCs w:val="24"/>
          <w:lang w:val="sr-Cyrl-RS" w:eastAsia="ja-JP"/>
        </w:rPr>
        <w:t xml:space="preserve">. Учешће индиректног дуга </w:t>
      </w:r>
      <w:r w:rsidRPr="00852413">
        <w:rPr>
          <w:rFonts w:eastAsia="Calibri" w:cs="Times New Roman"/>
          <w:i/>
          <w:szCs w:val="24"/>
          <w:lang w:val="sr-Cyrl-RS" w:eastAsia="ja-JP"/>
        </w:rPr>
        <w:t xml:space="preserve">у </w:t>
      </w:r>
      <w:r w:rsidR="00414C71" w:rsidRPr="00852413">
        <w:rPr>
          <w:i/>
          <w:lang w:val="sr-Cyrl-RS"/>
        </w:rPr>
        <w:t>дугу сектора државе</w:t>
      </w:r>
    </w:p>
    <w:p w14:paraId="576E0A5D" w14:textId="77777777" w:rsidR="006D0778" w:rsidRPr="00AD7E7D" w:rsidRDefault="006D0778" w:rsidP="006D0778">
      <w:pPr>
        <w:spacing w:after="0" w:line="276" w:lineRule="auto"/>
        <w:rPr>
          <w:rFonts w:eastAsia="Calibri" w:cs="Times New Roman"/>
          <w:szCs w:val="24"/>
          <w:highlight w:val="yellow"/>
          <w:lang w:val="sr-Cyrl-RS" w:eastAsia="ja-JP"/>
        </w:rPr>
      </w:pPr>
      <w:r w:rsidRPr="00AD7E7D">
        <w:rPr>
          <w:rFonts w:cs="Times New Roman"/>
          <w:noProof/>
          <w:szCs w:val="24"/>
        </w:rPr>
        <w:drawing>
          <wp:inline distT="0" distB="0" distL="0" distR="0" wp14:anchorId="4BDCECBF" wp14:editId="757331A0">
            <wp:extent cx="5743575" cy="2743200"/>
            <wp:effectExtent l="0" t="0" r="0" b="0"/>
            <wp:docPr id="24" name="Chart 24">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3907DAF" w14:textId="77777777" w:rsidR="006D0778" w:rsidRPr="00AD7E7D" w:rsidRDefault="006D0778" w:rsidP="006D0778">
      <w:pPr>
        <w:spacing w:after="240"/>
        <w:rPr>
          <w:rFonts w:eastAsia="MS PGothic" w:cs="Times New Roman"/>
          <w:szCs w:val="24"/>
          <w:lang w:eastAsia="ja-JP"/>
        </w:rPr>
      </w:pPr>
      <w:r w:rsidRPr="00AD7E7D">
        <w:rPr>
          <w:rFonts w:eastAsia="MS PGothic" w:cs="Times New Roman"/>
          <w:szCs w:val="24"/>
          <w:lang w:eastAsia="ja-JP"/>
        </w:rPr>
        <w:t>Ограничења постављена на издавање нових гаранција у последњих 10 година дала су резултате, те се учешће индиректних обавеза у укупном јавном дугу смањивало из године у годину. Индиректне обавезе (издате гаранције од стране Републике Србије) су учествовале са 9,5% у дугу сектора државе на крају 2015. године, док су на крају 2023. године оне чиниле 5,0% дуга сектора државе. На дан 30. септембра 2024. године, индиректне обавезе су учествовале са 4,7% у дугу сектора државе.</w:t>
      </w:r>
    </w:p>
    <w:p w14:paraId="49326BA1" w14:textId="77777777" w:rsidR="006D0778" w:rsidRPr="00AD7E7D" w:rsidRDefault="006D0778" w:rsidP="006D0778">
      <w:pPr>
        <w:rPr>
          <w:rFonts w:eastAsia="MS PGothic" w:cs="Times New Roman"/>
          <w:szCs w:val="24"/>
          <w:lang w:eastAsia="ja-JP"/>
        </w:rPr>
      </w:pPr>
      <w:r w:rsidRPr="00AD7E7D">
        <w:rPr>
          <w:rFonts w:eastAsia="MS PGothic" w:cs="Times New Roman"/>
          <w:szCs w:val="24"/>
          <w:lang w:eastAsia="ja-JP"/>
        </w:rPr>
        <w:t>Главнице по основу гарантованих кредита, сервисиране из буџета Републике Србије у 2023. години износиле су 27,2 млрд динара (2022. година 21,3 млрд динара), од чега 23,8 млрд динара утиче на дефицит. Рачуноводствена методологија, до 2014. године, није у расходе укључивала отплате по основу гаранција.</w:t>
      </w:r>
    </w:p>
    <w:p w14:paraId="2E57DD26" w14:textId="77777777" w:rsidR="006D0778" w:rsidRPr="00AD7E7D" w:rsidRDefault="006D0778" w:rsidP="006D0778">
      <w:pPr>
        <w:spacing w:afterLines="120" w:after="288"/>
        <w:rPr>
          <w:rFonts w:eastAsia="MS PGothic" w:cs="Times New Roman"/>
          <w:szCs w:val="24"/>
          <w:lang w:eastAsia="ja-JP"/>
        </w:rPr>
      </w:pPr>
      <w:r w:rsidRPr="00AD7E7D">
        <w:rPr>
          <w:rFonts w:eastAsia="MS PGothic" w:cs="Times New Roman"/>
          <w:szCs w:val="24"/>
          <w:lang w:eastAsia="ja-JP"/>
        </w:rPr>
        <w:lastRenderedPageBreak/>
        <w:t>Од 2014. године део ових расхода је укључен у расходе буџета. Независно од буџетског и рачуноводственог приказа, дуг који уместо главног дужника плаћа држава повећава укупне потребе за задуживањем.</w:t>
      </w:r>
    </w:p>
    <w:p w14:paraId="7BCBD697" w14:textId="77777777" w:rsidR="006D0778" w:rsidRPr="00010E52" w:rsidRDefault="006D0778" w:rsidP="006D0778">
      <w:pPr>
        <w:keepNext/>
        <w:widowControl w:val="0"/>
        <w:spacing w:after="0" w:line="276" w:lineRule="auto"/>
        <w:rPr>
          <w:rFonts w:eastAsia="Calibri" w:cs="Times New Roman"/>
          <w:i/>
          <w:szCs w:val="24"/>
          <w:lang w:val="sr-Cyrl-RS" w:eastAsia="ja-JP"/>
        </w:rPr>
      </w:pPr>
      <w:r w:rsidRPr="00010E52">
        <w:rPr>
          <w:rFonts w:eastAsia="Calibri" w:cs="Times New Roman"/>
          <w:i/>
          <w:szCs w:val="24"/>
          <w:lang w:val="sr-Cyrl-RS" w:eastAsia="ja-JP"/>
        </w:rPr>
        <w:t>Графикон 1</w:t>
      </w:r>
      <w:r w:rsidR="006C46A3">
        <w:rPr>
          <w:rFonts w:eastAsia="Calibri" w:cs="Times New Roman"/>
          <w:i/>
          <w:szCs w:val="24"/>
          <w:lang w:val="sr-Latn-RS" w:eastAsia="ja-JP"/>
        </w:rPr>
        <w:t>5</w:t>
      </w:r>
      <w:r w:rsidRPr="00010E52">
        <w:rPr>
          <w:rFonts w:eastAsia="Calibri" w:cs="Times New Roman"/>
          <w:i/>
          <w:szCs w:val="24"/>
          <w:lang w:val="sr-Cyrl-RS" w:eastAsia="ja-JP"/>
        </w:rPr>
        <w:t>. Отплата дуга по основу активираних гаранција, у млрд динара</w:t>
      </w:r>
    </w:p>
    <w:p w14:paraId="55F44C40" w14:textId="77777777" w:rsidR="006D0778" w:rsidRPr="00AD7E7D" w:rsidRDefault="006D0778" w:rsidP="006D0778">
      <w:pPr>
        <w:spacing w:after="0" w:line="276" w:lineRule="auto"/>
        <w:rPr>
          <w:rFonts w:eastAsia="Calibri" w:cs="Times New Roman"/>
          <w:szCs w:val="24"/>
          <w:highlight w:val="yellow"/>
          <w:lang w:val="sr-Cyrl-RS" w:eastAsia="ja-JP"/>
        </w:rPr>
      </w:pPr>
      <w:r w:rsidRPr="00AD7E7D">
        <w:rPr>
          <w:rFonts w:cs="Times New Roman"/>
          <w:noProof/>
          <w:szCs w:val="24"/>
        </w:rPr>
        <w:drawing>
          <wp:inline distT="0" distB="0" distL="0" distR="0" wp14:anchorId="5F43C9F3" wp14:editId="46A74ED0">
            <wp:extent cx="5731510" cy="2400300"/>
            <wp:effectExtent l="0" t="0" r="2540" b="0"/>
            <wp:docPr id="25" name="Chart 1">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81E1496" w14:textId="77777777" w:rsidR="006D0778" w:rsidRPr="00AD7E7D" w:rsidRDefault="006D0778" w:rsidP="006D0778">
      <w:pPr>
        <w:rPr>
          <w:rFonts w:eastAsia="MS PGothic" w:cs="Times New Roman"/>
          <w:szCs w:val="24"/>
          <w:lang w:eastAsia="ja-JP"/>
        </w:rPr>
      </w:pPr>
      <w:r w:rsidRPr="00AD7E7D">
        <w:rPr>
          <w:rFonts w:eastAsia="MS PGothic" w:cs="Times New Roman"/>
          <w:szCs w:val="24"/>
          <w:lang w:eastAsia="ja-JP"/>
        </w:rPr>
        <w:t>План отплате по основу гаранција (укупно главница и камата) у Закону о буџету Републике Србије за 2024. годину износи 41,3 млрд динара, од чега се у расходе који утичу на резултат укључује 28,5 млрд динара за отплату главнице по гаранцијама.</w:t>
      </w:r>
    </w:p>
    <w:p w14:paraId="55087018" w14:textId="03F74603" w:rsidR="006D0778" w:rsidRDefault="006D0778" w:rsidP="006D0778">
      <w:pPr>
        <w:spacing w:line="257" w:lineRule="auto"/>
        <w:rPr>
          <w:rFonts w:eastAsia="MS PGothic" w:cs="Times New Roman"/>
          <w:szCs w:val="24"/>
          <w:lang w:val="sr-Cyrl-RS" w:eastAsia="ja-JP"/>
        </w:rPr>
      </w:pPr>
      <w:r w:rsidRPr="00AD7E7D">
        <w:rPr>
          <w:rFonts w:eastAsia="MS PGothic" w:cs="Times New Roman"/>
          <w:szCs w:val="24"/>
          <w:lang w:eastAsia="ja-JP"/>
        </w:rPr>
        <w:t xml:space="preserve">Индиректни дуг, те укључивање дела отплата по основу гаранција у буџетске расходе, и повећање дефицита по том основу, повећали су свест о растућим фискалним ризицима који произилазе по основу издатих гаранција. </w:t>
      </w:r>
      <w:r w:rsidR="00BA4053">
        <w:rPr>
          <w:rFonts w:eastAsia="MS PGothic" w:cs="Times New Roman"/>
          <w:szCs w:val="24"/>
          <w:lang w:val="sr-Cyrl-RS" w:eastAsia="ja-JP"/>
        </w:rPr>
        <w:t xml:space="preserve"> </w:t>
      </w:r>
    </w:p>
    <w:p w14:paraId="1CEFA5A9" w14:textId="77777777" w:rsidR="00BA4053" w:rsidRPr="00AD7E7D" w:rsidRDefault="00BA4053" w:rsidP="00BA4053">
      <w:pPr>
        <w:rPr>
          <w:rFonts w:eastAsia="MS PGothic" w:cs="Times New Roman"/>
          <w:szCs w:val="24"/>
          <w:lang w:val="sr-Cyrl-RS" w:eastAsia="ja-JP"/>
        </w:rPr>
      </w:pPr>
      <w:r w:rsidRPr="00AD7E7D">
        <w:rPr>
          <w:rFonts w:eastAsia="MS PGothic" w:cs="Times New Roman"/>
          <w:szCs w:val="24"/>
          <w:lang w:val="sr-Cyrl-RS" w:eastAsia="ja-JP"/>
        </w:rPr>
        <w:t xml:space="preserve">Законом о изменама и допунама </w:t>
      </w:r>
      <w:r w:rsidRPr="00AD7E7D">
        <w:rPr>
          <w:rFonts w:eastAsia="MS PGothic" w:cs="Times New Roman"/>
          <w:szCs w:val="24"/>
          <w:lang w:eastAsia="ja-JP"/>
        </w:rPr>
        <w:t>Закона о буџету Републике Србије за 2024. годину, члан 3</w:t>
      </w:r>
      <w:r w:rsidRPr="00AD7E7D">
        <w:rPr>
          <w:rFonts w:eastAsia="MS PGothic" w:cs="Times New Roman"/>
          <w:szCs w:val="24"/>
          <w:lang w:val="sr-Cyrl-RS" w:eastAsia="ja-JP"/>
        </w:rPr>
        <w:t>а</w:t>
      </w:r>
      <w:r w:rsidRPr="00AD7E7D">
        <w:rPr>
          <w:rFonts w:eastAsia="MS PGothic" w:cs="Times New Roman"/>
          <w:szCs w:val="24"/>
          <w:lang w:eastAsia="ja-JP"/>
        </w:rPr>
        <w:t xml:space="preserve">, планирано је издавање гаранција највише до 405 млрд динара. </w:t>
      </w:r>
      <w:r w:rsidRPr="00AD7E7D">
        <w:rPr>
          <w:rFonts w:eastAsia="MS PGothic" w:cs="Times New Roman"/>
          <w:szCs w:val="24"/>
          <w:lang w:val="sr-Cyrl-RS" w:eastAsia="ja-JP"/>
        </w:rPr>
        <w:t xml:space="preserve">Додатно, </w:t>
      </w:r>
      <w:r w:rsidRPr="00AD7E7D">
        <w:rPr>
          <w:rFonts w:eastAsia="MS PGothic" w:cs="Times New Roman"/>
          <w:szCs w:val="24"/>
          <w:lang w:eastAsia="ja-JP"/>
        </w:rPr>
        <w:t>омогућено је да се обим издатих гаранција повећа, ради очувања и јачања финансијске стабилности или спречавања наступања или отклањања последица ванредних околности које могу да угрозе живот и здравље људи или да проузрокују штету већих размера, у износу до 20 млрд динара, а на предлог министарства надлежног за послове финансија.</w:t>
      </w:r>
    </w:p>
    <w:p w14:paraId="09841D6E" w14:textId="77777777" w:rsidR="00BA4053" w:rsidRPr="0036093A" w:rsidRDefault="00BA4053" w:rsidP="006D0778">
      <w:pPr>
        <w:spacing w:line="257" w:lineRule="auto"/>
        <w:rPr>
          <w:rFonts w:eastAsia="MS PGothic" w:cs="Times New Roman"/>
          <w:szCs w:val="24"/>
          <w:lang w:val="sr-Cyrl-RS" w:eastAsia="ja-JP"/>
        </w:rPr>
      </w:pPr>
    </w:p>
    <w:p w14:paraId="3FC12C00" w14:textId="77777777" w:rsidR="006D0778" w:rsidRPr="00AD7E7D" w:rsidRDefault="006D0778" w:rsidP="006D0778">
      <w:pPr>
        <w:spacing w:line="257" w:lineRule="auto"/>
        <w:rPr>
          <w:rFonts w:eastAsia="MS PGothic" w:cs="Times New Roman"/>
          <w:szCs w:val="24"/>
          <w:lang w:eastAsia="ja-JP"/>
        </w:rPr>
      </w:pPr>
      <w:r w:rsidRPr="00AD7E7D">
        <w:rPr>
          <w:rFonts w:eastAsia="MS PGothic" w:cs="Times New Roman"/>
          <w:szCs w:val="24"/>
          <w:lang w:eastAsia="ja-JP"/>
        </w:rPr>
        <w:t>Поред ограничења у издавању државних гаранција кључни корак у смањењу и отклањању фискалних ризика по овом основу је у реформи државних предузећа, корисника гаранција, како би били способни да отплаћују своје кредите. Већи број предузећа, која су и највећи корисници гаранција, налазе се у процесу реструктурирања, односно спровођења планова реструктурирања урађених у сарадњи са међународним финансијским институцијама.</w:t>
      </w:r>
    </w:p>
    <w:p w14:paraId="55556060" w14:textId="77777777" w:rsidR="006D0778" w:rsidRPr="00AD7E7D" w:rsidRDefault="006D0778" w:rsidP="006D0778">
      <w:pPr>
        <w:rPr>
          <w:rFonts w:eastAsia="MS PGothic" w:cs="Times New Roman"/>
          <w:szCs w:val="24"/>
          <w:lang w:val="sr-Cyrl-RS" w:eastAsia="ja-JP"/>
        </w:rPr>
      </w:pPr>
      <w:r w:rsidRPr="00AD7E7D">
        <w:rPr>
          <w:rFonts w:eastAsia="MS PGothic" w:cs="Times New Roman"/>
          <w:szCs w:val="24"/>
          <w:lang w:val="sr-Cyrl-RS" w:eastAsia="ja-JP"/>
        </w:rPr>
        <w:t>Структурне реформе јавних и државних предузећа, њихово оспособљавање за тржишну утакмицу и финансијску одрживост, с једне стране, и ограничено и циљано издавање нових гаранција, с друге стране, допринеће умањењу фискалних ризика по овом основу и одржавању расхода у планираним, тј. пројектованим оквирима у наредном средњорочном периоду.</w:t>
      </w:r>
    </w:p>
    <w:p w14:paraId="475F1A04" w14:textId="77777777" w:rsidR="006D0778" w:rsidRPr="00AD7E7D" w:rsidRDefault="006D0778" w:rsidP="006D0778">
      <w:pPr>
        <w:rPr>
          <w:rFonts w:eastAsia="MS PGothic" w:cs="Times New Roman"/>
          <w:szCs w:val="24"/>
          <w:lang w:val="sr-Cyrl-RS" w:eastAsia="ja-JP"/>
        </w:rPr>
      </w:pPr>
      <w:r w:rsidRPr="00AD7E7D">
        <w:rPr>
          <w:rFonts w:eastAsia="MS PGothic" w:cs="Times New Roman"/>
          <w:szCs w:val="24"/>
          <w:lang w:eastAsia="ja-JP"/>
        </w:rPr>
        <w:t xml:space="preserve">Пословање државних предузећа представља значајан извор фискалних ризика, како на страни буџетских прихода, тако и на страни расхода. Државна предузећа се у пословању суочавају са бројним проблемима, од наплате потраживања, до редовног измиривања обавеза према повериоцима, држави и запосленима и сл. Држава као оснивач и њихов </w:t>
      </w:r>
      <w:r w:rsidRPr="00AD7E7D">
        <w:rPr>
          <w:rFonts w:eastAsia="MS PGothic" w:cs="Times New Roman"/>
          <w:szCs w:val="24"/>
          <w:lang w:eastAsia="ja-JP"/>
        </w:rPr>
        <w:lastRenderedPageBreak/>
        <w:t>једини власник је одговорна за пословање и њихов је најважнији ослонац у случају неликвидности. Постоји неколико канала кроз које се могу материјализовати фискални ризици везани за пословање државних предузећа. Највећи, али не и једини ризик, су државне гаранције дате за кредите државних предузећа. Одрживост, ефикасност и профитабилност државних предузећа утичу на приходе буџета, односно на износ добити коју уплаћују у буџет. Квалитет производа и услуга које обезбеђују државна предузећа утичу на ефикасност и профитабилност приватног сектора и у крајњој инстанци на ниво пореза који уплаћују у буџет.</w:t>
      </w:r>
    </w:p>
    <w:p w14:paraId="2675EECF" w14:textId="77777777" w:rsidR="006D0778" w:rsidRPr="00AD7E7D" w:rsidRDefault="002B1F9D" w:rsidP="006D0778">
      <w:pPr>
        <w:rPr>
          <w:rFonts w:cs="Times New Roman"/>
          <w:szCs w:val="24"/>
          <w:highlight w:val="yellow"/>
          <w:lang w:val="sr-Cyrl-RS" w:eastAsia="ja-JP"/>
        </w:rPr>
      </w:pPr>
      <w:r w:rsidRPr="00AD7E7D">
        <w:rPr>
          <w:rFonts w:eastAsia="MS PGothic" w:cs="Times New Roman"/>
          <w:szCs w:val="24"/>
          <w:lang w:val="sr-Cyrl-RS" w:eastAsia="ja-JP"/>
        </w:rPr>
        <w:t>У оквиру Министарства финансија</w:t>
      </w:r>
      <w:r w:rsidR="006D0778" w:rsidRPr="00AD7E7D">
        <w:rPr>
          <w:rFonts w:eastAsia="MS PGothic" w:cs="Times New Roman"/>
          <w:szCs w:val="24"/>
          <w:lang w:eastAsia="ja-JP"/>
        </w:rPr>
        <w:t xml:space="preserve"> прати</w:t>
      </w:r>
      <w:r w:rsidRPr="00AD7E7D">
        <w:rPr>
          <w:rFonts w:eastAsia="MS PGothic" w:cs="Times New Roman"/>
          <w:szCs w:val="24"/>
          <w:lang w:val="sr-Cyrl-RS" w:eastAsia="ja-JP"/>
        </w:rPr>
        <w:t xml:space="preserve"> се</w:t>
      </w:r>
      <w:r w:rsidR="006D0778" w:rsidRPr="00AD7E7D">
        <w:rPr>
          <w:rFonts w:eastAsia="MS PGothic" w:cs="Times New Roman"/>
          <w:szCs w:val="24"/>
          <w:lang w:eastAsia="ja-JP"/>
        </w:rPr>
        <w:t xml:space="preserve"> рад 36 стратешких предузећа која су у већинском власништву РС и која представљају значајан сегмент српске привреде. Ова предузећа су на крају тре</w:t>
      </w:r>
      <w:r w:rsidR="006D0778" w:rsidRPr="00AD7E7D">
        <w:rPr>
          <w:rFonts w:eastAsia="MS PGothic" w:cs="Times New Roman"/>
          <w:szCs w:val="24"/>
          <w:lang w:val="sr-Cyrl-RS" w:eastAsia="ja-JP"/>
        </w:rPr>
        <w:t>ће</w:t>
      </w:r>
      <w:r w:rsidR="006D0778" w:rsidRPr="00AD7E7D">
        <w:rPr>
          <w:rFonts w:eastAsia="MS PGothic" w:cs="Times New Roman"/>
          <w:szCs w:val="24"/>
          <w:lang w:eastAsia="ja-JP"/>
        </w:rPr>
        <w:t xml:space="preserve">г квартала 2024. године запошљавала 65,8 хиљада људи. Њихов рад уређен је Законом о јавним предузећима, који је усвојен у фебруару 2016. године, Законом о управљању привредним друштвима која су у власништву Републике Србије, а који је усвојен у септембру </w:t>
      </w:r>
      <w:r w:rsidR="006D0778" w:rsidRPr="00AD7E7D">
        <w:rPr>
          <w:rFonts w:eastAsia="MS PGothic" w:cs="Times New Roman"/>
          <w:spacing w:val="-4"/>
          <w:szCs w:val="24"/>
          <w:lang w:eastAsia="ja-JP"/>
        </w:rPr>
        <w:t>2023. године, као и подсекторским законима који дефинишу специфична подручја која нису обухваћена Законом о јавним предузећима (Закон о енергетици, Закон о привредним друштвима и др).</w:t>
      </w:r>
    </w:p>
    <w:p w14:paraId="15574F7F" w14:textId="77777777" w:rsidR="006D0778" w:rsidRPr="00AD7E7D" w:rsidRDefault="006D0778" w:rsidP="006D0778">
      <w:pPr>
        <w:rPr>
          <w:rFonts w:cs="Times New Roman"/>
          <w:szCs w:val="24"/>
          <w:highlight w:val="yellow"/>
          <w:lang w:val="sr-Cyrl-RS"/>
        </w:rPr>
      </w:pPr>
      <w:r w:rsidRPr="00AD7E7D">
        <w:rPr>
          <w:rFonts w:eastAsia="MS PGothic" w:cs="Times New Roman"/>
          <w:szCs w:val="24"/>
          <w:lang w:val="sr-Cyrl-RS" w:eastAsia="ja-JP"/>
        </w:rPr>
        <w:t>Током јесени 2021. године десили су се поремећаји на енергетском тржишту у свету. Криза у енергетском сектору се само надовезала на већ постојећу кризу изазвану пандемијом COVID-19. Због повећане тражње узроковане постпандемијским развојем економије и проблема у снабдевању, односно недовољне понуде и недовољних залиха, цене природног гаса су достигле историјске максимуме. Ово је подстакло тражњу за осталим енергентима, чије су цене изузетно порасле. Високе цене осталих енергената, а у Европи и смањена производња из електрана на ветар и високе цене дозвола за емисију CO</w:t>
      </w:r>
      <w:r w:rsidRPr="00AD7E7D">
        <w:rPr>
          <w:rFonts w:eastAsia="MS PGothic" w:cs="Times New Roman"/>
          <w:szCs w:val="24"/>
          <w:vertAlign w:val="subscript"/>
          <w:lang w:val="sr-Cyrl-RS" w:eastAsia="ja-JP"/>
        </w:rPr>
        <w:t>2</w:t>
      </w:r>
      <w:r w:rsidRPr="00AD7E7D">
        <w:rPr>
          <w:rFonts w:eastAsia="MS PGothic" w:cs="Times New Roman"/>
          <w:szCs w:val="24"/>
          <w:lang w:val="sr-Cyrl-RS" w:eastAsia="ja-JP"/>
        </w:rPr>
        <w:t xml:space="preserve"> довеле су до раста цена електричне енергије, такође до историјских максимума. У таквим условима, порасла је производња електричне енергије из угља, јер је она била повољнија од производње из гаса.</w:t>
      </w:r>
    </w:p>
    <w:p w14:paraId="51917BE0" w14:textId="77777777" w:rsidR="006D0778" w:rsidRPr="00AD7E7D" w:rsidRDefault="006D0778" w:rsidP="006D0778">
      <w:pPr>
        <w:rPr>
          <w:rFonts w:cs="Times New Roman"/>
          <w:spacing w:val="-4"/>
          <w:szCs w:val="24"/>
          <w:highlight w:val="yellow"/>
          <w:lang w:val="sr-Cyrl-RS"/>
        </w:rPr>
      </w:pPr>
      <w:r w:rsidRPr="00AD7E7D">
        <w:rPr>
          <w:rFonts w:cs="Times New Roman"/>
          <w:spacing w:val="-4"/>
          <w:szCs w:val="24"/>
          <w:lang w:val="sr-Cyrl-RS"/>
        </w:rPr>
        <w:t>До сада се више пута показало, да раст неког од основних енергената, попут нафте и гаса, доводи до раста осталих цена на тржишту, а на целу ову већ тешку ситуацију се надовезала и криза у Украјини, те се као један од кључних проблема наметнуло питање енергетске сигурности и европске зависности од руских фосилних горива. Овај след догађаја утицао је да цене електричне енергије и природног гаса у свету достигну цене знатно веће од уобичајених у последњих неколико година. Енергетска криза неизбежно се прелила и на Србију, а највише су погођена енергетска предузећа, претежно АД „Електропривреда Србије” и ЈП „Србијагас”.</w:t>
      </w:r>
    </w:p>
    <w:p w14:paraId="554A17D1" w14:textId="77777777" w:rsidR="006D0778" w:rsidRPr="00AD7E7D" w:rsidRDefault="006D0778" w:rsidP="006D0778">
      <w:pPr>
        <w:rPr>
          <w:rFonts w:eastAsia="MS PGothic" w:cs="Times New Roman"/>
          <w:szCs w:val="24"/>
          <w:lang w:eastAsia="ja-JP"/>
        </w:rPr>
      </w:pPr>
      <w:r w:rsidRPr="00AD7E7D">
        <w:rPr>
          <w:rFonts w:eastAsia="MS PGothic" w:cs="Times New Roman"/>
          <w:szCs w:val="24"/>
          <w:lang w:eastAsia="ja-JP"/>
        </w:rPr>
        <w:t>Због високих цена електричне енергије у претходном периоду, које су угрожавале пословање привредних субјеката у Републици Србији, као и енергетских субјеката који обављају делатност преноса, односно дистрибуције електричне енергије (у вези набавке електричне енергије за губитке), препоручено је да „Електропривреда Србије” ад те субјекте снабдева по ценама нижим од тржишних, чиме је „Електропривреда Србије” ад била изложена финансијском ризику, односно ризик раста цена у потпуности je био пребачен на „Електропривреду Србије” ад. У другој половини 2023. године цене енергената на светском тржишту су се стабилизовале, а што је за последицу имало и стабилност енергетског сектора у Републици Србији.</w:t>
      </w:r>
    </w:p>
    <w:p w14:paraId="168085CB" w14:textId="77777777" w:rsidR="006D0778" w:rsidRPr="00AD7E7D" w:rsidRDefault="006D0778" w:rsidP="006D0778">
      <w:pPr>
        <w:rPr>
          <w:rFonts w:eastAsia="MS PGothic" w:cs="Times New Roman"/>
          <w:szCs w:val="24"/>
          <w:highlight w:val="yellow"/>
          <w:lang w:eastAsia="ja-JP"/>
        </w:rPr>
      </w:pPr>
      <w:r w:rsidRPr="00AD7E7D">
        <w:rPr>
          <w:rFonts w:eastAsia="MS PGothic" w:cs="Times New Roman"/>
          <w:szCs w:val="24"/>
          <w:lang w:eastAsia="ja-JP"/>
        </w:rPr>
        <w:t xml:space="preserve">Република Србија је наставила и у 2023. години да финансијским и стратешким мерама обезбеђује и осигурава снабдевање кључним енергентима. Поред наведеног, уложен је додатни напор да се настави са трансформацијом предузећа из енергетског сектора, тако је 6. априла 2023. године промењена правна форма „Електропривреде Србије” ад из јавног предузећа у нејавно акционарско друштво. Повећање цена електричне енергије </w:t>
      </w:r>
      <w:r w:rsidRPr="00AD7E7D">
        <w:rPr>
          <w:rFonts w:eastAsia="MS PGothic" w:cs="Times New Roman"/>
          <w:szCs w:val="24"/>
          <w:lang w:eastAsia="ja-JP"/>
        </w:rPr>
        <w:lastRenderedPageBreak/>
        <w:t>током 2022-2023. године, рационално планирање ресурса, кретање цене енергената и позитивни хидролошки трендови утицали су да „Електропривреда Србије” ад заврши 2023. годину са историјским нето добитком од 112,4 млрд динара. Остварени резултат делимично је коришћен за отплату кредита за ликвидност и инвестиционе пројекте што ће имати позитиван ефекат на будуће пословање предузећа. Иако су направљени позитивни помаци у пословању, главни изазов за наредни период је наставак започетих реформи као и енергетска транзиција која ће омогућити постепен прелазак на све већу производњу енергије из обновљивих извора, а што ће свакако захтевати финансијску консолидацију и значајна инвестициона улагања.</w:t>
      </w:r>
    </w:p>
    <w:p w14:paraId="5B99808E" w14:textId="77777777" w:rsidR="006D0778" w:rsidRPr="00AD7E7D" w:rsidRDefault="006D0778" w:rsidP="006D0778">
      <w:pPr>
        <w:rPr>
          <w:rFonts w:eastAsia="MS PGothic" w:cs="Times New Roman"/>
          <w:szCs w:val="24"/>
          <w:highlight w:val="yellow"/>
          <w:lang w:eastAsia="ja-JP"/>
        </w:rPr>
      </w:pPr>
      <w:r w:rsidRPr="00AD7E7D">
        <w:rPr>
          <w:rFonts w:eastAsia="MS PGothic" w:cs="Times New Roman"/>
          <w:szCs w:val="24"/>
          <w:lang w:eastAsia="ja-JP"/>
        </w:rPr>
        <w:t>Важну улогу за енергетску стабилност има и друго прeдузeћe из oблaсти eлeктрoeнeргeтикe – „Елeктродист</w:t>
      </w:r>
      <w:r w:rsidR="00DB1F40" w:rsidRPr="00AD7E7D">
        <w:rPr>
          <w:rFonts w:eastAsia="MS PGothic" w:cs="Times New Roman"/>
          <w:szCs w:val="24"/>
          <w:lang w:eastAsia="ja-JP"/>
        </w:rPr>
        <w:t>рибуциja Србијe” доо (ЕДС), која</w:t>
      </w:r>
      <w:r w:rsidRPr="00AD7E7D">
        <w:rPr>
          <w:rFonts w:eastAsia="MS PGothic" w:cs="Times New Roman"/>
          <w:szCs w:val="24"/>
          <w:lang w:eastAsia="ja-JP"/>
        </w:rPr>
        <w:t xml:space="preserve"> од 2021. године послује самостално (до 2021. године у саставу ЕПС-а ад). У претходној 2023. години, основни приходи од мрежарине EДС-у нису били дoвoљни зa oдрживo пoслoвањe услед чега је Република Србија интервенисала у виду краткорочних бескaмaтних пoзaјмица. Високе цене електричне енергије и осталe околности у енергетском сектору утицале су на пословање овог привредног субјекта да 2023. годину заврши са негативним резултатом од 1 млрд динара. Иако се ЕДС сусретао са бројним изазовима у претходном периоду, позитиван аспект у пословању представљају значајна инвестициона улагања. У првој половини 2024. године окончан је пројекат Реконструкција дистрибутивне мреже којим је замењено преко 34 хиљаде дрвених бандера бетонским, наставља се са реализацијом пројекта Паметна бројила који се финансира делом из донације ЕУ и из кредита ЕБРД и ЕИБ, као и пројекат Аутоматизација средњенапонске дистрибутивне мреже који се реализује у сарадњи са компанијом Schneider Electric. Претходно наведени инвестициони пројекти утицаће на решавање једног од главних структурних проблема ЕДС-а којима ће се значајно унапредити дистрибутивне мреже, а што ће допринети смањењу губитака на мрежи. Република Србија препознала је изазове који се налазе пред овим привредним субјектом и за 2024. годину планиран је наставак подршке у виду обезбеђења гаранција у износу од 32,7 млрд динара.</w:t>
      </w:r>
    </w:p>
    <w:p w14:paraId="2AE5B030" w14:textId="77777777" w:rsidR="006D0778" w:rsidRPr="00AD7E7D" w:rsidRDefault="006D0778" w:rsidP="006D0778">
      <w:pPr>
        <w:rPr>
          <w:rFonts w:eastAsia="MS PGothic" w:cs="Times New Roman"/>
          <w:szCs w:val="24"/>
          <w:lang w:eastAsia="ja-JP"/>
        </w:rPr>
      </w:pPr>
      <w:r w:rsidRPr="00AD7E7D">
        <w:rPr>
          <w:rFonts w:eastAsia="MS PGothic" w:cs="Times New Roman"/>
          <w:szCs w:val="24"/>
          <w:lang w:eastAsia="ja-JP"/>
        </w:rPr>
        <w:t>Што се тиче ЈП „Србијагас”, неповољна тржишна кретања у 2021. и 2022. години и финансијска позиција дистрибутера природног гаса утицали су да Република Србија у претходном периоду учествује у финансирању набавки резервних количина гаса као и суфинансирању редовних набавки. Проактивним режимом рада током 2022. и 2023. године обезбеђени су додатни складишни капацитети за природни гас у Мађарској, одакле су се ускладиштене количине повремено повлачиле у зимској сезони 2022/2023. и 2023/2024. године, а преостале количине омогућиће додатну сигурност снабдевања тржишта током зимске сезоне 2024/2025. године. Кретање цена енергената на светском тржишту утицало је да и ЈП „Србијагас” током 2022/2023. године неколико пута изврши корекцију продајних цена гаса, а што је допринело побољшању финансијске позиције овог јавног предузећа. Битно је истаћи и да је ЈП „Србијагас” крајем 2023. године потписало Уговор о испорукама природног гаса у Републику Србију са азербејџанском државном нафтном компанијом „СОКАР”, која је значајан произвођач и извозник фосилних горива, а првенствено природног гаса. Потписивањем овог Уговора наставило се са диверсификацијом у снабдевању чиме се ствара додатна сигурност у случају поремећаја на глобалном тржишту. За 2024. годину планиран је наставак инвестиционих улагања, пре свега у делатностима транспорта и дистрибуцији гаса, односно наставак развоја дистрибутивне мреже и јачање транспортних капацитета гасовода у Републици Србији.</w:t>
      </w:r>
    </w:p>
    <w:p w14:paraId="48A4EACB" w14:textId="77777777" w:rsidR="006D0778" w:rsidRPr="00AD7E7D" w:rsidRDefault="006D0778" w:rsidP="006D0778">
      <w:pPr>
        <w:rPr>
          <w:rFonts w:eastAsia="MS PGothic" w:cs="Times New Roman"/>
          <w:szCs w:val="24"/>
          <w:lang w:eastAsia="ja-JP"/>
        </w:rPr>
      </w:pPr>
      <w:bookmarkStart w:id="29" w:name="_Hlk179981160"/>
      <w:r w:rsidRPr="00AD7E7D">
        <w:rPr>
          <w:rFonts w:eastAsia="MS PGothic" w:cs="Times New Roman"/>
          <w:szCs w:val="24"/>
          <w:lang w:eastAsia="ja-JP"/>
        </w:rPr>
        <w:t xml:space="preserve">Ефекти енергетске кризе у свету, нису заобишли ни ЈП „Путеви Србије” који су идентификовани као носилац високог фискалног ризика због раста цена основних </w:t>
      </w:r>
      <w:r w:rsidRPr="00AD7E7D">
        <w:rPr>
          <w:rFonts w:eastAsia="MS PGothic" w:cs="Times New Roman"/>
          <w:szCs w:val="24"/>
          <w:lang w:eastAsia="ja-JP"/>
        </w:rPr>
        <w:lastRenderedPageBreak/>
        <w:t>енергената и главних сировина потребних за обављање основне делатности, што би могло додатно да погорша финансијску позицију овог јавног предузећа, а самим тим и повећа ослањање на буџет Републике Србије. У циљу благовременог спречавања утицаја на буџет током 2023. године Република Србија је донела низ мера. Како би се избегли негативни ефекти и њихов утицај на буџет Републике Србије, ЈП „Путеви Србије” су од 1. априла 2023. године повећали цене путарина за 14%, односно 8% за возила са ТАГ уређајем</w:t>
      </w:r>
      <w:bookmarkEnd w:id="29"/>
      <w:r w:rsidRPr="00AD7E7D">
        <w:rPr>
          <w:rFonts w:eastAsia="MS PGothic" w:cs="Times New Roman"/>
          <w:szCs w:val="24"/>
          <w:lang w:eastAsia="ja-JP"/>
        </w:rPr>
        <w:t xml:space="preserve">, a такође је средином 2024. године извршенa нова измена ценовника. </w:t>
      </w:r>
    </w:p>
    <w:p w14:paraId="79D040EA" w14:textId="77777777" w:rsidR="006D0778" w:rsidRPr="00AD7E7D" w:rsidRDefault="006D0778" w:rsidP="006D0778">
      <w:pPr>
        <w:rPr>
          <w:rFonts w:cs="Times New Roman"/>
          <w:szCs w:val="24"/>
        </w:rPr>
      </w:pPr>
      <w:r w:rsidRPr="00AD7E7D">
        <w:rPr>
          <w:rFonts w:eastAsia="MS PGothic" w:cs="Times New Roman"/>
          <w:szCs w:val="24"/>
          <w:lang w:eastAsia="ja-JP"/>
        </w:rPr>
        <w:t>Слична ситуација идентификована је и код „Коридори Србије” доо, због високих издатака за капиталне инвестиције које су у надлежности овог друштва, те самим тим, промене цена основних сировина могу значајно повећати трошкове спровођења пројеката и повећати ослањање на буџет Републике Србије, у циљу континуиране реализације пројекта.</w:t>
      </w:r>
    </w:p>
    <w:p w14:paraId="455742AD" w14:textId="77777777" w:rsidR="006D0778" w:rsidRPr="00AD7E7D" w:rsidRDefault="006D0778" w:rsidP="006D0778">
      <w:pPr>
        <w:rPr>
          <w:rFonts w:eastAsia="MS PGothic" w:cs="Times New Roman"/>
          <w:szCs w:val="24"/>
          <w:lang w:eastAsia="ja-JP"/>
        </w:rPr>
      </w:pPr>
      <w:r w:rsidRPr="00AD7E7D">
        <w:rPr>
          <w:rFonts w:eastAsia="MS PGothic" w:cs="Times New Roman"/>
          <w:szCs w:val="24"/>
          <w:lang w:eastAsia="ja-JP"/>
        </w:rPr>
        <w:t xml:space="preserve">Укупна имовина државних предузећа на крају 2023. године износила је 3.587 млрд динара, и њу чини углавном стална имовина која учествује са 85,7% с обзиром да већина државних предузећа послује у капитално интензивним гранама. Укупне обавезе обухватају кредите, обавезе према добављачима и обавезе по другим основама и оне су значајно порасле у периоду између 2021. и 2022. године, што је у складу са појавом енергетских шокова на тржишту. Кредитне обавезе на крају 2023. године имале су учешће од 38,7% у укупним обавезама предузећа, односно 37,8% на крају </w:t>
      </w:r>
      <w:r w:rsidRPr="00AD7E7D">
        <w:rPr>
          <w:rFonts w:eastAsia="MS PGothic" w:cs="Times New Roman"/>
          <w:szCs w:val="24"/>
          <w:lang w:val="sr-Cyrl-RS" w:eastAsia="ja-JP"/>
        </w:rPr>
        <w:t>треће</w:t>
      </w:r>
      <w:r w:rsidRPr="00AD7E7D">
        <w:rPr>
          <w:rFonts w:eastAsia="MS PGothic" w:cs="Times New Roman"/>
          <w:szCs w:val="24"/>
          <w:lang w:eastAsia="ja-JP"/>
        </w:rPr>
        <w:t>г квартала 2024. године.</w:t>
      </w:r>
    </w:p>
    <w:p w14:paraId="3FA5AF74" w14:textId="77777777" w:rsidR="006D0778" w:rsidRPr="00010E52" w:rsidRDefault="006D0778" w:rsidP="006D0778">
      <w:pPr>
        <w:spacing w:after="80" w:line="276" w:lineRule="auto"/>
        <w:rPr>
          <w:rFonts w:eastAsia="Calibri" w:cs="Times New Roman"/>
          <w:i/>
          <w:szCs w:val="24"/>
          <w:lang w:val="sr-Cyrl-RS" w:eastAsia="ja-JP"/>
        </w:rPr>
      </w:pPr>
      <w:r w:rsidRPr="00010E52">
        <w:rPr>
          <w:rFonts w:eastAsia="Calibri" w:cs="Times New Roman"/>
          <w:i/>
          <w:szCs w:val="24"/>
          <w:lang w:val="sr-Cyrl-RS" w:eastAsia="ja-JP"/>
        </w:rPr>
        <w:t>Табела 1</w:t>
      </w:r>
      <w:r w:rsidR="006C46A3">
        <w:rPr>
          <w:rFonts w:eastAsia="Calibri" w:cs="Times New Roman"/>
          <w:i/>
          <w:szCs w:val="24"/>
          <w:lang w:val="sr-Latn-RS" w:eastAsia="ja-JP"/>
        </w:rPr>
        <w:t>2</w:t>
      </w:r>
      <w:r w:rsidRPr="00010E52">
        <w:rPr>
          <w:rFonts w:eastAsia="Calibri" w:cs="Times New Roman"/>
          <w:i/>
          <w:szCs w:val="24"/>
          <w:lang w:val="sr-Cyrl-RS" w:eastAsia="ja-JP"/>
        </w:rPr>
        <w:t>. Главни финансијски показатељи пословања државних предузећа, млрд динара</w:t>
      </w:r>
    </w:p>
    <w:tbl>
      <w:tblPr>
        <w:tblW w:w="8957" w:type="dxa"/>
        <w:tblLook w:val="04A0" w:firstRow="1" w:lastRow="0" w:firstColumn="1" w:lastColumn="0" w:noHBand="0" w:noVBand="1"/>
      </w:tblPr>
      <w:tblGrid>
        <w:gridCol w:w="3294"/>
        <w:gridCol w:w="1273"/>
        <w:gridCol w:w="1273"/>
        <w:gridCol w:w="1263"/>
        <w:gridCol w:w="1854"/>
      </w:tblGrid>
      <w:tr w:rsidR="006D0778" w:rsidRPr="00AD7E7D" w14:paraId="565D35E8" w14:textId="77777777" w:rsidTr="00D2109C">
        <w:trPr>
          <w:trHeight w:val="25"/>
        </w:trPr>
        <w:tc>
          <w:tcPr>
            <w:tcW w:w="3294" w:type="dxa"/>
            <w:tcBorders>
              <w:top w:val="single" w:sz="4" w:space="0" w:color="002060"/>
              <w:left w:val="nil"/>
              <w:bottom w:val="single" w:sz="4" w:space="0" w:color="002060"/>
              <w:right w:val="nil"/>
            </w:tcBorders>
            <w:shd w:val="clear" w:color="auto" w:fill="FFFFFF" w:themeFill="background1"/>
            <w:noWrap/>
            <w:vAlign w:val="center"/>
            <w:hideMark/>
          </w:tcPr>
          <w:p w14:paraId="5248CF5A" w14:textId="77777777" w:rsidR="006D0778" w:rsidRPr="00AD7E7D" w:rsidRDefault="006D0778" w:rsidP="006D0778">
            <w:pPr>
              <w:spacing w:after="0"/>
              <w:rPr>
                <w:rFonts w:eastAsia="Times New Roman" w:cs="Times New Roman"/>
                <w:b/>
                <w:bCs/>
                <w:szCs w:val="24"/>
              </w:rPr>
            </w:pPr>
            <w:r w:rsidRPr="00AD7E7D">
              <w:rPr>
                <w:rFonts w:eastAsia="Times New Roman" w:cs="Times New Roman"/>
                <w:b/>
                <w:bCs/>
                <w:szCs w:val="24"/>
              </w:rPr>
              <w:t>Опис</w:t>
            </w:r>
          </w:p>
        </w:tc>
        <w:tc>
          <w:tcPr>
            <w:tcW w:w="1273" w:type="dxa"/>
            <w:tcBorders>
              <w:top w:val="single" w:sz="4" w:space="0" w:color="002060"/>
              <w:left w:val="nil"/>
              <w:bottom w:val="single" w:sz="4" w:space="0" w:color="002060"/>
              <w:right w:val="nil"/>
            </w:tcBorders>
            <w:shd w:val="clear" w:color="auto" w:fill="FFFFFF" w:themeFill="background1"/>
            <w:noWrap/>
            <w:vAlign w:val="center"/>
            <w:hideMark/>
          </w:tcPr>
          <w:p w14:paraId="4E47A435" w14:textId="77777777" w:rsidR="006D0778" w:rsidRPr="00AD7E7D" w:rsidRDefault="006D0778" w:rsidP="006D0778">
            <w:pPr>
              <w:spacing w:after="0"/>
              <w:jc w:val="center"/>
              <w:rPr>
                <w:rFonts w:eastAsia="Times New Roman" w:cs="Times New Roman"/>
                <w:b/>
                <w:bCs/>
                <w:szCs w:val="24"/>
              </w:rPr>
            </w:pPr>
            <w:r w:rsidRPr="00AD7E7D">
              <w:rPr>
                <w:rFonts w:eastAsia="Times New Roman" w:cs="Times New Roman"/>
                <w:b/>
                <w:bCs/>
                <w:szCs w:val="24"/>
              </w:rPr>
              <w:t>2021</w:t>
            </w:r>
          </w:p>
        </w:tc>
        <w:tc>
          <w:tcPr>
            <w:tcW w:w="1273" w:type="dxa"/>
            <w:tcBorders>
              <w:top w:val="single" w:sz="4" w:space="0" w:color="002060"/>
              <w:left w:val="nil"/>
              <w:bottom w:val="single" w:sz="4" w:space="0" w:color="002060"/>
              <w:right w:val="nil"/>
            </w:tcBorders>
            <w:shd w:val="clear" w:color="auto" w:fill="FFFFFF" w:themeFill="background1"/>
            <w:noWrap/>
            <w:vAlign w:val="center"/>
            <w:hideMark/>
          </w:tcPr>
          <w:p w14:paraId="2D737067" w14:textId="77777777" w:rsidR="006D0778" w:rsidRPr="00AD7E7D" w:rsidRDefault="006D0778" w:rsidP="006D0778">
            <w:pPr>
              <w:spacing w:after="0"/>
              <w:jc w:val="center"/>
              <w:rPr>
                <w:rFonts w:eastAsia="Times New Roman" w:cs="Times New Roman"/>
                <w:b/>
                <w:bCs/>
                <w:szCs w:val="24"/>
              </w:rPr>
            </w:pPr>
            <w:r w:rsidRPr="00AD7E7D">
              <w:rPr>
                <w:rFonts w:eastAsia="Times New Roman" w:cs="Times New Roman"/>
                <w:b/>
                <w:bCs/>
                <w:szCs w:val="24"/>
              </w:rPr>
              <w:t>2022</w:t>
            </w:r>
          </w:p>
        </w:tc>
        <w:tc>
          <w:tcPr>
            <w:tcW w:w="1263" w:type="dxa"/>
            <w:tcBorders>
              <w:top w:val="single" w:sz="4" w:space="0" w:color="002060"/>
              <w:left w:val="nil"/>
              <w:bottom w:val="single" w:sz="4" w:space="0" w:color="002060"/>
              <w:right w:val="nil"/>
            </w:tcBorders>
            <w:shd w:val="clear" w:color="auto" w:fill="FFFFFF" w:themeFill="background1"/>
            <w:noWrap/>
            <w:vAlign w:val="center"/>
            <w:hideMark/>
          </w:tcPr>
          <w:p w14:paraId="40ABEF84" w14:textId="77777777" w:rsidR="006D0778" w:rsidRPr="00AD7E7D" w:rsidRDefault="006D0778" w:rsidP="006D0778">
            <w:pPr>
              <w:spacing w:after="0"/>
              <w:jc w:val="center"/>
              <w:rPr>
                <w:rFonts w:eastAsia="Times New Roman" w:cs="Times New Roman"/>
                <w:b/>
                <w:bCs/>
                <w:szCs w:val="24"/>
              </w:rPr>
            </w:pPr>
            <w:r w:rsidRPr="00AD7E7D">
              <w:rPr>
                <w:rFonts w:eastAsia="Times New Roman" w:cs="Times New Roman"/>
                <w:b/>
                <w:bCs/>
                <w:szCs w:val="24"/>
              </w:rPr>
              <w:t>2023</w:t>
            </w:r>
          </w:p>
        </w:tc>
        <w:tc>
          <w:tcPr>
            <w:tcW w:w="1854" w:type="dxa"/>
            <w:tcBorders>
              <w:top w:val="single" w:sz="4" w:space="0" w:color="002060"/>
              <w:left w:val="nil"/>
              <w:bottom w:val="single" w:sz="4" w:space="0" w:color="002060"/>
              <w:right w:val="nil"/>
            </w:tcBorders>
            <w:shd w:val="clear" w:color="auto" w:fill="FFFFFF" w:themeFill="background1"/>
            <w:noWrap/>
            <w:vAlign w:val="center"/>
            <w:hideMark/>
          </w:tcPr>
          <w:p w14:paraId="1F107B77" w14:textId="77777777" w:rsidR="006D0778" w:rsidRPr="00AD7E7D" w:rsidRDefault="006D0778" w:rsidP="006D0778">
            <w:pPr>
              <w:spacing w:after="0"/>
              <w:jc w:val="center"/>
              <w:rPr>
                <w:rFonts w:eastAsia="Times New Roman" w:cs="Times New Roman"/>
                <w:b/>
                <w:bCs/>
                <w:szCs w:val="24"/>
              </w:rPr>
            </w:pPr>
            <w:r w:rsidRPr="00AD7E7D">
              <w:rPr>
                <w:rFonts w:eastAsia="Times New Roman" w:cs="Times New Roman"/>
                <w:b/>
                <w:bCs/>
                <w:szCs w:val="24"/>
              </w:rPr>
              <w:t>Q3 2024</w:t>
            </w:r>
          </w:p>
        </w:tc>
      </w:tr>
      <w:tr w:rsidR="006D0778" w:rsidRPr="00AD7E7D" w14:paraId="7B4A6515" w14:textId="77777777" w:rsidTr="00D2109C">
        <w:trPr>
          <w:trHeight w:val="25"/>
        </w:trPr>
        <w:tc>
          <w:tcPr>
            <w:tcW w:w="3294" w:type="dxa"/>
            <w:tcBorders>
              <w:top w:val="nil"/>
              <w:left w:val="nil"/>
              <w:bottom w:val="nil"/>
              <w:right w:val="nil"/>
            </w:tcBorders>
            <w:shd w:val="clear" w:color="000000" w:fill="FFFFFF"/>
            <w:noWrap/>
            <w:vAlign w:val="center"/>
            <w:hideMark/>
          </w:tcPr>
          <w:p w14:paraId="50E9EF87" w14:textId="77777777" w:rsidR="006D0778" w:rsidRPr="00AD7E7D" w:rsidRDefault="006D0778" w:rsidP="006D0778">
            <w:pPr>
              <w:spacing w:after="0"/>
              <w:rPr>
                <w:rFonts w:eastAsia="Times New Roman" w:cs="Times New Roman"/>
                <w:b/>
                <w:bCs/>
                <w:szCs w:val="24"/>
              </w:rPr>
            </w:pPr>
            <w:r w:rsidRPr="00AD7E7D">
              <w:rPr>
                <w:rFonts w:eastAsia="Times New Roman" w:cs="Times New Roman"/>
                <w:b/>
                <w:bCs/>
                <w:szCs w:val="24"/>
              </w:rPr>
              <w:t>Укупна имовина</w:t>
            </w:r>
          </w:p>
        </w:tc>
        <w:tc>
          <w:tcPr>
            <w:tcW w:w="1273" w:type="dxa"/>
            <w:tcBorders>
              <w:top w:val="nil"/>
              <w:left w:val="nil"/>
              <w:bottom w:val="nil"/>
              <w:right w:val="nil"/>
            </w:tcBorders>
            <w:shd w:val="clear" w:color="000000" w:fill="FFFFFF"/>
            <w:noWrap/>
            <w:vAlign w:val="center"/>
            <w:hideMark/>
          </w:tcPr>
          <w:p w14:paraId="3996FD9D"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3.217</w:t>
            </w:r>
          </w:p>
        </w:tc>
        <w:tc>
          <w:tcPr>
            <w:tcW w:w="1273" w:type="dxa"/>
            <w:tcBorders>
              <w:top w:val="nil"/>
              <w:left w:val="nil"/>
              <w:bottom w:val="nil"/>
              <w:right w:val="nil"/>
            </w:tcBorders>
            <w:shd w:val="clear" w:color="000000" w:fill="FFFFFF"/>
            <w:noWrap/>
            <w:vAlign w:val="center"/>
            <w:hideMark/>
          </w:tcPr>
          <w:p w14:paraId="708C3544"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3.454</w:t>
            </w:r>
          </w:p>
        </w:tc>
        <w:tc>
          <w:tcPr>
            <w:tcW w:w="1263" w:type="dxa"/>
            <w:tcBorders>
              <w:top w:val="nil"/>
              <w:left w:val="nil"/>
              <w:bottom w:val="nil"/>
              <w:right w:val="nil"/>
            </w:tcBorders>
            <w:shd w:val="clear" w:color="000000" w:fill="FFFFFF"/>
            <w:noWrap/>
            <w:vAlign w:val="center"/>
            <w:hideMark/>
          </w:tcPr>
          <w:p w14:paraId="4DE46B9C"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3.587</w:t>
            </w:r>
          </w:p>
        </w:tc>
        <w:tc>
          <w:tcPr>
            <w:tcW w:w="1854" w:type="dxa"/>
            <w:tcBorders>
              <w:top w:val="nil"/>
              <w:left w:val="nil"/>
              <w:bottom w:val="nil"/>
              <w:right w:val="nil"/>
            </w:tcBorders>
            <w:shd w:val="clear" w:color="000000" w:fill="FFFFFF"/>
            <w:noWrap/>
            <w:vAlign w:val="center"/>
            <w:hideMark/>
          </w:tcPr>
          <w:p w14:paraId="4F012DE4" w14:textId="77777777" w:rsidR="006D0778" w:rsidRPr="00AD7E7D" w:rsidRDefault="00101941" w:rsidP="006D0778">
            <w:pPr>
              <w:spacing w:after="0"/>
              <w:jc w:val="center"/>
              <w:rPr>
                <w:rFonts w:eastAsia="Times New Roman" w:cs="Times New Roman"/>
                <w:szCs w:val="24"/>
              </w:rPr>
            </w:pPr>
            <w:r w:rsidRPr="00AD7E7D">
              <w:rPr>
                <w:rFonts w:eastAsia="Times New Roman" w:cs="Times New Roman"/>
                <w:szCs w:val="24"/>
              </w:rPr>
              <w:t>3.615</w:t>
            </w:r>
          </w:p>
        </w:tc>
      </w:tr>
      <w:tr w:rsidR="006D0778" w:rsidRPr="00AD7E7D" w14:paraId="32FB94CF" w14:textId="77777777" w:rsidTr="00D2109C">
        <w:trPr>
          <w:trHeight w:val="25"/>
        </w:trPr>
        <w:tc>
          <w:tcPr>
            <w:tcW w:w="3294" w:type="dxa"/>
            <w:tcBorders>
              <w:top w:val="nil"/>
              <w:left w:val="nil"/>
              <w:bottom w:val="nil"/>
              <w:right w:val="nil"/>
            </w:tcBorders>
            <w:shd w:val="clear" w:color="000000" w:fill="FFFFFF"/>
            <w:noWrap/>
            <w:vAlign w:val="center"/>
            <w:hideMark/>
          </w:tcPr>
          <w:p w14:paraId="7014CDFD" w14:textId="77777777" w:rsidR="006D0778" w:rsidRPr="00AD7E7D" w:rsidRDefault="006D0778" w:rsidP="006D0778">
            <w:pPr>
              <w:spacing w:after="0"/>
              <w:rPr>
                <w:rFonts w:eastAsia="Times New Roman" w:cs="Times New Roman"/>
                <w:szCs w:val="24"/>
              </w:rPr>
            </w:pPr>
            <w:r w:rsidRPr="00AD7E7D">
              <w:rPr>
                <w:rFonts w:eastAsia="Times New Roman" w:cs="Times New Roman"/>
                <w:szCs w:val="24"/>
              </w:rPr>
              <w:t>Стална имовина</w:t>
            </w:r>
          </w:p>
        </w:tc>
        <w:tc>
          <w:tcPr>
            <w:tcW w:w="1273" w:type="dxa"/>
            <w:tcBorders>
              <w:top w:val="nil"/>
              <w:left w:val="nil"/>
              <w:bottom w:val="nil"/>
              <w:right w:val="nil"/>
            </w:tcBorders>
            <w:shd w:val="clear" w:color="000000" w:fill="FFFFFF"/>
            <w:noWrap/>
            <w:vAlign w:val="center"/>
            <w:hideMark/>
          </w:tcPr>
          <w:p w14:paraId="692F4A62"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2.872</w:t>
            </w:r>
          </w:p>
        </w:tc>
        <w:tc>
          <w:tcPr>
            <w:tcW w:w="1273" w:type="dxa"/>
            <w:tcBorders>
              <w:top w:val="nil"/>
              <w:left w:val="nil"/>
              <w:bottom w:val="nil"/>
              <w:right w:val="nil"/>
            </w:tcBorders>
            <w:shd w:val="clear" w:color="000000" w:fill="FFFFFF"/>
            <w:noWrap/>
            <w:vAlign w:val="center"/>
            <w:hideMark/>
          </w:tcPr>
          <w:p w14:paraId="56458BF5"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2.936</w:t>
            </w:r>
          </w:p>
        </w:tc>
        <w:tc>
          <w:tcPr>
            <w:tcW w:w="1263" w:type="dxa"/>
            <w:tcBorders>
              <w:top w:val="nil"/>
              <w:left w:val="nil"/>
              <w:bottom w:val="nil"/>
              <w:right w:val="nil"/>
            </w:tcBorders>
            <w:shd w:val="clear" w:color="000000" w:fill="FFFFFF"/>
            <w:noWrap/>
            <w:vAlign w:val="center"/>
            <w:hideMark/>
          </w:tcPr>
          <w:p w14:paraId="45172798"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3.074</w:t>
            </w:r>
          </w:p>
        </w:tc>
        <w:tc>
          <w:tcPr>
            <w:tcW w:w="1854" w:type="dxa"/>
            <w:tcBorders>
              <w:top w:val="nil"/>
              <w:left w:val="nil"/>
              <w:bottom w:val="nil"/>
              <w:right w:val="nil"/>
            </w:tcBorders>
            <w:shd w:val="clear" w:color="000000" w:fill="FFFFFF"/>
            <w:noWrap/>
            <w:vAlign w:val="center"/>
            <w:hideMark/>
          </w:tcPr>
          <w:p w14:paraId="2456DA25"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3.166</w:t>
            </w:r>
          </w:p>
        </w:tc>
      </w:tr>
      <w:tr w:rsidR="006D0778" w:rsidRPr="00AD7E7D" w14:paraId="2C0A8942" w14:textId="77777777" w:rsidTr="00D2109C">
        <w:trPr>
          <w:trHeight w:val="25"/>
        </w:trPr>
        <w:tc>
          <w:tcPr>
            <w:tcW w:w="3294" w:type="dxa"/>
            <w:tcBorders>
              <w:top w:val="nil"/>
              <w:left w:val="nil"/>
              <w:bottom w:val="nil"/>
              <w:right w:val="nil"/>
            </w:tcBorders>
            <w:shd w:val="clear" w:color="000000" w:fill="FFFFFF"/>
            <w:noWrap/>
            <w:vAlign w:val="center"/>
            <w:hideMark/>
          </w:tcPr>
          <w:p w14:paraId="78889B18" w14:textId="77777777" w:rsidR="006D0778" w:rsidRPr="00AD7E7D" w:rsidRDefault="006D0778" w:rsidP="006D0778">
            <w:pPr>
              <w:spacing w:after="0"/>
              <w:rPr>
                <w:rFonts w:eastAsia="Times New Roman" w:cs="Times New Roman"/>
                <w:szCs w:val="24"/>
              </w:rPr>
            </w:pPr>
            <w:r w:rsidRPr="00AD7E7D">
              <w:rPr>
                <w:rFonts w:eastAsia="Times New Roman" w:cs="Times New Roman"/>
                <w:szCs w:val="24"/>
              </w:rPr>
              <w:t>Обртна имовина</w:t>
            </w:r>
          </w:p>
        </w:tc>
        <w:tc>
          <w:tcPr>
            <w:tcW w:w="1273" w:type="dxa"/>
            <w:tcBorders>
              <w:top w:val="nil"/>
              <w:left w:val="nil"/>
              <w:bottom w:val="nil"/>
              <w:right w:val="nil"/>
            </w:tcBorders>
            <w:shd w:val="clear" w:color="000000" w:fill="FFFFFF"/>
            <w:noWrap/>
            <w:vAlign w:val="center"/>
            <w:hideMark/>
          </w:tcPr>
          <w:p w14:paraId="2BB2D604"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340</w:t>
            </w:r>
          </w:p>
        </w:tc>
        <w:tc>
          <w:tcPr>
            <w:tcW w:w="1273" w:type="dxa"/>
            <w:tcBorders>
              <w:top w:val="nil"/>
              <w:left w:val="nil"/>
              <w:bottom w:val="nil"/>
              <w:right w:val="nil"/>
            </w:tcBorders>
            <w:shd w:val="clear" w:color="000000" w:fill="FFFFFF"/>
            <w:noWrap/>
            <w:vAlign w:val="center"/>
            <w:hideMark/>
          </w:tcPr>
          <w:p w14:paraId="06C91952"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513</w:t>
            </w:r>
          </w:p>
        </w:tc>
        <w:tc>
          <w:tcPr>
            <w:tcW w:w="1263" w:type="dxa"/>
            <w:tcBorders>
              <w:top w:val="nil"/>
              <w:left w:val="nil"/>
              <w:bottom w:val="nil"/>
              <w:right w:val="nil"/>
            </w:tcBorders>
            <w:shd w:val="clear" w:color="000000" w:fill="FFFFFF"/>
            <w:noWrap/>
            <w:vAlign w:val="center"/>
            <w:hideMark/>
          </w:tcPr>
          <w:p w14:paraId="6BDD054D"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507</w:t>
            </w:r>
          </w:p>
        </w:tc>
        <w:tc>
          <w:tcPr>
            <w:tcW w:w="1854" w:type="dxa"/>
            <w:tcBorders>
              <w:top w:val="nil"/>
              <w:left w:val="nil"/>
              <w:bottom w:val="nil"/>
              <w:right w:val="nil"/>
            </w:tcBorders>
            <w:shd w:val="clear" w:color="000000" w:fill="FFFFFF"/>
            <w:noWrap/>
            <w:vAlign w:val="center"/>
            <w:hideMark/>
          </w:tcPr>
          <w:p w14:paraId="192142C0"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444</w:t>
            </w:r>
          </w:p>
        </w:tc>
      </w:tr>
      <w:tr w:rsidR="006D0778" w:rsidRPr="00AD7E7D" w14:paraId="656E1651" w14:textId="77777777" w:rsidTr="00D2109C">
        <w:trPr>
          <w:trHeight w:val="25"/>
        </w:trPr>
        <w:tc>
          <w:tcPr>
            <w:tcW w:w="3294" w:type="dxa"/>
            <w:tcBorders>
              <w:top w:val="nil"/>
              <w:left w:val="nil"/>
              <w:bottom w:val="nil"/>
              <w:right w:val="nil"/>
            </w:tcBorders>
            <w:shd w:val="clear" w:color="000000" w:fill="FFFFFF"/>
            <w:noWrap/>
            <w:vAlign w:val="center"/>
            <w:hideMark/>
          </w:tcPr>
          <w:p w14:paraId="2B4063B9" w14:textId="77777777" w:rsidR="006D0778" w:rsidRPr="00AD7E7D" w:rsidRDefault="006D0778" w:rsidP="006D0778">
            <w:pPr>
              <w:spacing w:after="0"/>
              <w:rPr>
                <w:rFonts w:eastAsia="Times New Roman" w:cs="Times New Roman"/>
                <w:b/>
                <w:bCs/>
                <w:szCs w:val="24"/>
              </w:rPr>
            </w:pPr>
            <w:r w:rsidRPr="00AD7E7D">
              <w:rPr>
                <w:rFonts w:eastAsia="Times New Roman" w:cs="Times New Roman"/>
                <w:b/>
                <w:bCs/>
                <w:szCs w:val="24"/>
              </w:rPr>
              <w:t>Укупни капитал</w:t>
            </w:r>
          </w:p>
        </w:tc>
        <w:tc>
          <w:tcPr>
            <w:tcW w:w="1273" w:type="dxa"/>
            <w:tcBorders>
              <w:top w:val="nil"/>
              <w:left w:val="nil"/>
              <w:bottom w:val="nil"/>
              <w:right w:val="nil"/>
            </w:tcBorders>
            <w:shd w:val="clear" w:color="000000" w:fill="FFFFFF"/>
            <w:noWrap/>
            <w:vAlign w:val="center"/>
            <w:hideMark/>
          </w:tcPr>
          <w:p w14:paraId="603E7344"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1.963</w:t>
            </w:r>
          </w:p>
        </w:tc>
        <w:tc>
          <w:tcPr>
            <w:tcW w:w="1273" w:type="dxa"/>
            <w:tcBorders>
              <w:top w:val="nil"/>
              <w:left w:val="nil"/>
              <w:bottom w:val="nil"/>
              <w:right w:val="nil"/>
            </w:tcBorders>
            <w:shd w:val="clear" w:color="000000" w:fill="FFFFFF"/>
            <w:noWrap/>
            <w:vAlign w:val="center"/>
            <w:hideMark/>
          </w:tcPr>
          <w:p w14:paraId="56D8E758"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1.896</w:t>
            </w:r>
          </w:p>
        </w:tc>
        <w:tc>
          <w:tcPr>
            <w:tcW w:w="1263" w:type="dxa"/>
            <w:tcBorders>
              <w:top w:val="nil"/>
              <w:left w:val="nil"/>
              <w:bottom w:val="nil"/>
              <w:right w:val="nil"/>
            </w:tcBorders>
            <w:shd w:val="clear" w:color="000000" w:fill="FFFFFF"/>
            <w:noWrap/>
            <w:vAlign w:val="center"/>
            <w:hideMark/>
          </w:tcPr>
          <w:p w14:paraId="5A300D88"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2.048</w:t>
            </w:r>
          </w:p>
        </w:tc>
        <w:tc>
          <w:tcPr>
            <w:tcW w:w="1854" w:type="dxa"/>
            <w:tcBorders>
              <w:top w:val="nil"/>
              <w:left w:val="nil"/>
              <w:bottom w:val="nil"/>
              <w:right w:val="nil"/>
            </w:tcBorders>
            <w:shd w:val="clear" w:color="000000" w:fill="FFFFFF"/>
            <w:noWrap/>
            <w:vAlign w:val="center"/>
            <w:hideMark/>
          </w:tcPr>
          <w:p w14:paraId="00841033"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2.079</w:t>
            </w:r>
          </w:p>
        </w:tc>
      </w:tr>
      <w:tr w:rsidR="006D0778" w:rsidRPr="00AD7E7D" w14:paraId="2B0CCBA5" w14:textId="77777777" w:rsidTr="00D2109C">
        <w:trPr>
          <w:trHeight w:val="25"/>
        </w:trPr>
        <w:tc>
          <w:tcPr>
            <w:tcW w:w="3294" w:type="dxa"/>
            <w:tcBorders>
              <w:top w:val="nil"/>
              <w:left w:val="nil"/>
              <w:bottom w:val="nil"/>
              <w:right w:val="nil"/>
            </w:tcBorders>
            <w:shd w:val="clear" w:color="000000" w:fill="FFFFFF"/>
            <w:noWrap/>
            <w:vAlign w:val="center"/>
            <w:hideMark/>
          </w:tcPr>
          <w:p w14:paraId="4B5B1E8F" w14:textId="77777777" w:rsidR="006D0778" w:rsidRPr="00AD7E7D" w:rsidRDefault="006D0778" w:rsidP="006D0778">
            <w:pPr>
              <w:spacing w:after="0"/>
              <w:rPr>
                <w:rFonts w:eastAsia="Times New Roman" w:cs="Times New Roman"/>
                <w:b/>
                <w:bCs/>
                <w:szCs w:val="24"/>
              </w:rPr>
            </w:pPr>
            <w:r w:rsidRPr="00AD7E7D">
              <w:rPr>
                <w:rFonts w:eastAsia="Times New Roman" w:cs="Times New Roman"/>
                <w:b/>
                <w:bCs/>
                <w:szCs w:val="24"/>
              </w:rPr>
              <w:t>Укупне обавезе</w:t>
            </w:r>
          </w:p>
        </w:tc>
        <w:tc>
          <w:tcPr>
            <w:tcW w:w="1273" w:type="dxa"/>
            <w:tcBorders>
              <w:top w:val="nil"/>
              <w:left w:val="nil"/>
              <w:bottom w:val="nil"/>
              <w:right w:val="nil"/>
            </w:tcBorders>
            <w:shd w:val="clear" w:color="000000" w:fill="FFFFFF"/>
            <w:noWrap/>
            <w:vAlign w:val="center"/>
            <w:hideMark/>
          </w:tcPr>
          <w:p w14:paraId="01B01FEE"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1.254</w:t>
            </w:r>
          </w:p>
        </w:tc>
        <w:tc>
          <w:tcPr>
            <w:tcW w:w="1273" w:type="dxa"/>
            <w:tcBorders>
              <w:top w:val="nil"/>
              <w:left w:val="nil"/>
              <w:bottom w:val="nil"/>
              <w:right w:val="nil"/>
            </w:tcBorders>
            <w:shd w:val="clear" w:color="000000" w:fill="FFFFFF"/>
            <w:noWrap/>
            <w:vAlign w:val="center"/>
            <w:hideMark/>
          </w:tcPr>
          <w:p w14:paraId="5CC5A7FA"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1.558</w:t>
            </w:r>
          </w:p>
        </w:tc>
        <w:tc>
          <w:tcPr>
            <w:tcW w:w="1263" w:type="dxa"/>
            <w:tcBorders>
              <w:top w:val="nil"/>
              <w:left w:val="nil"/>
              <w:bottom w:val="nil"/>
              <w:right w:val="nil"/>
            </w:tcBorders>
            <w:shd w:val="clear" w:color="000000" w:fill="FFFFFF"/>
            <w:noWrap/>
            <w:vAlign w:val="center"/>
            <w:hideMark/>
          </w:tcPr>
          <w:p w14:paraId="25CA1CB5"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1.539</w:t>
            </w:r>
          </w:p>
        </w:tc>
        <w:tc>
          <w:tcPr>
            <w:tcW w:w="1854" w:type="dxa"/>
            <w:tcBorders>
              <w:top w:val="nil"/>
              <w:left w:val="nil"/>
              <w:bottom w:val="nil"/>
              <w:right w:val="nil"/>
            </w:tcBorders>
            <w:shd w:val="clear" w:color="000000" w:fill="FFFFFF"/>
            <w:noWrap/>
            <w:vAlign w:val="center"/>
            <w:hideMark/>
          </w:tcPr>
          <w:p w14:paraId="55BC1209"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1.536</w:t>
            </w:r>
          </w:p>
        </w:tc>
      </w:tr>
      <w:tr w:rsidR="006D0778" w:rsidRPr="00AD7E7D" w14:paraId="0EFDDDF3" w14:textId="77777777" w:rsidTr="00D2109C">
        <w:trPr>
          <w:trHeight w:val="25"/>
        </w:trPr>
        <w:tc>
          <w:tcPr>
            <w:tcW w:w="3294" w:type="dxa"/>
            <w:tcBorders>
              <w:top w:val="nil"/>
              <w:left w:val="nil"/>
              <w:bottom w:val="single" w:sz="4" w:space="0" w:color="002060"/>
              <w:right w:val="nil"/>
            </w:tcBorders>
            <w:shd w:val="clear" w:color="000000" w:fill="FFFFFF"/>
            <w:noWrap/>
            <w:vAlign w:val="center"/>
            <w:hideMark/>
          </w:tcPr>
          <w:p w14:paraId="24ED53C2" w14:textId="77777777" w:rsidR="006D0778" w:rsidRPr="00AD7E7D" w:rsidRDefault="006D0778" w:rsidP="006D0778">
            <w:pPr>
              <w:spacing w:after="0"/>
              <w:rPr>
                <w:rFonts w:eastAsia="Times New Roman" w:cs="Times New Roman"/>
                <w:szCs w:val="24"/>
              </w:rPr>
            </w:pPr>
            <w:r w:rsidRPr="00AD7E7D">
              <w:rPr>
                <w:rFonts w:eastAsia="Times New Roman" w:cs="Times New Roman"/>
                <w:szCs w:val="24"/>
              </w:rPr>
              <w:t>Кредитне обавезе</w:t>
            </w:r>
          </w:p>
        </w:tc>
        <w:tc>
          <w:tcPr>
            <w:tcW w:w="1273" w:type="dxa"/>
            <w:tcBorders>
              <w:top w:val="nil"/>
              <w:left w:val="nil"/>
              <w:bottom w:val="single" w:sz="4" w:space="0" w:color="002060"/>
              <w:right w:val="nil"/>
            </w:tcBorders>
            <w:shd w:val="clear" w:color="000000" w:fill="FFFFFF"/>
            <w:noWrap/>
            <w:vAlign w:val="center"/>
            <w:hideMark/>
          </w:tcPr>
          <w:p w14:paraId="3FB2F2A6"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500</w:t>
            </w:r>
          </w:p>
        </w:tc>
        <w:tc>
          <w:tcPr>
            <w:tcW w:w="1273" w:type="dxa"/>
            <w:tcBorders>
              <w:top w:val="nil"/>
              <w:left w:val="nil"/>
              <w:bottom w:val="single" w:sz="4" w:space="0" w:color="002060"/>
              <w:right w:val="nil"/>
            </w:tcBorders>
            <w:shd w:val="clear" w:color="000000" w:fill="FFFFFF"/>
            <w:noWrap/>
            <w:vAlign w:val="center"/>
            <w:hideMark/>
          </w:tcPr>
          <w:p w14:paraId="4F13947C"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650</w:t>
            </w:r>
          </w:p>
        </w:tc>
        <w:tc>
          <w:tcPr>
            <w:tcW w:w="1263" w:type="dxa"/>
            <w:tcBorders>
              <w:top w:val="nil"/>
              <w:left w:val="nil"/>
              <w:bottom w:val="single" w:sz="4" w:space="0" w:color="002060"/>
              <w:right w:val="nil"/>
            </w:tcBorders>
            <w:shd w:val="clear" w:color="000000" w:fill="FFFFFF"/>
            <w:noWrap/>
            <w:vAlign w:val="center"/>
            <w:hideMark/>
          </w:tcPr>
          <w:p w14:paraId="3D342C25" w14:textId="77777777" w:rsidR="006D0778" w:rsidRPr="00AD7E7D" w:rsidRDefault="006D0778" w:rsidP="006D0778">
            <w:pPr>
              <w:spacing w:after="0"/>
              <w:jc w:val="center"/>
              <w:rPr>
                <w:rFonts w:eastAsia="Times New Roman" w:cs="Times New Roman"/>
                <w:szCs w:val="24"/>
                <w:highlight w:val="yellow"/>
              </w:rPr>
            </w:pPr>
            <w:r w:rsidRPr="00AD7E7D">
              <w:rPr>
                <w:rFonts w:eastAsia="Times New Roman" w:cs="Times New Roman"/>
                <w:szCs w:val="24"/>
              </w:rPr>
              <w:t>596</w:t>
            </w:r>
          </w:p>
        </w:tc>
        <w:tc>
          <w:tcPr>
            <w:tcW w:w="1854" w:type="dxa"/>
            <w:tcBorders>
              <w:top w:val="nil"/>
              <w:left w:val="nil"/>
              <w:bottom w:val="single" w:sz="4" w:space="0" w:color="002060"/>
              <w:right w:val="nil"/>
            </w:tcBorders>
            <w:shd w:val="clear" w:color="000000" w:fill="FFFFFF"/>
            <w:noWrap/>
            <w:vAlign w:val="center"/>
            <w:hideMark/>
          </w:tcPr>
          <w:p w14:paraId="158E4BC7" w14:textId="77777777" w:rsidR="006D0778" w:rsidRPr="00AD7E7D" w:rsidRDefault="006D0778" w:rsidP="006D0778">
            <w:pPr>
              <w:spacing w:after="0"/>
              <w:jc w:val="center"/>
              <w:rPr>
                <w:rFonts w:eastAsia="Times New Roman" w:cs="Times New Roman"/>
                <w:szCs w:val="24"/>
                <w:highlight w:val="yellow"/>
              </w:rPr>
            </w:pPr>
            <w:r w:rsidRPr="00AD7E7D">
              <w:rPr>
                <w:rFonts w:eastAsia="Times New Roman" w:cs="Times New Roman"/>
                <w:szCs w:val="24"/>
              </w:rPr>
              <w:t>580</w:t>
            </w:r>
          </w:p>
        </w:tc>
      </w:tr>
    </w:tbl>
    <w:p w14:paraId="3C385FC9" w14:textId="77777777" w:rsidR="006D0778" w:rsidRPr="00010E52" w:rsidRDefault="006D0778" w:rsidP="006D0778">
      <w:pPr>
        <w:spacing w:line="276" w:lineRule="auto"/>
        <w:rPr>
          <w:rFonts w:eastAsia="Calibri" w:cs="Times New Roman"/>
          <w:bCs/>
          <w:sz w:val="22"/>
          <w:szCs w:val="24"/>
          <w:lang w:val="sr-Cyrl-RS" w:eastAsia="ja-JP"/>
        </w:rPr>
      </w:pPr>
      <w:r w:rsidRPr="00010E52">
        <w:rPr>
          <w:rFonts w:eastAsia="Calibri" w:cs="Times New Roman"/>
          <w:bCs/>
          <w:sz w:val="22"/>
          <w:szCs w:val="24"/>
          <w:lang w:val="sr-Cyrl-RS" w:eastAsia="ja-JP"/>
        </w:rPr>
        <w:t xml:space="preserve"> Извор: Финансијски извештаји (АПР) и квартални извештаји за 2024. годину</w:t>
      </w:r>
    </w:p>
    <w:p w14:paraId="59BF77D0" w14:textId="77777777" w:rsidR="006D0778" w:rsidRPr="00AD7E7D" w:rsidRDefault="006D0778" w:rsidP="006D0778">
      <w:pPr>
        <w:rPr>
          <w:rFonts w:eastAsia="MS PGothic" w:cs="Times New Roman"/>
          <w:szCs w:val="24"/>
          <w:lang w:val="sr-Cyrl-RS" w:eastAsia="ja-JP"/>
        </w:rPr>
      </w:pPr>
      <w:r w:rsidRPr="00AD7E7D">
        <w:rPr>
          <w:rFonts w:eastAsia="MS PGothic" w:cs="Times New Roman"/>
          <w:szCs w:val="24"/>
          <w:lang w:val="sr-Cyrl-RS" w:eastAsia="ja-JP"/>
        </w:rPr>
        <w:t xml:space="preserve">Укупан нето резултат утврђен у трећем кварталу 2024. године је добитак у износу од 31,5 млрд динара. Резултат текуће године је прецењен за трошкове амортизације ЈП „Путеви Србије”, јер предузеће ове трошкове књижи тек на крају године у целокупном износу за дату годину. Пословни приходи и укупни приходи код државних предузећа бележе растући тренд и у последње три године најбоље остварење забележено је на крају 2023. године, док је код пословних расхода и укупних расхода дошло до смањења у односу на 2022. годину што је у складу са рационалнијим пословањем предузећа. </w:t>
      </w:r>
    </w:p>
    <w:p w14:paraId="21643F94" w14:textId="77777777" w:rsidR="006D0778" w:rsidRPr="00AD7E7D" w:rsidRDefault="006D0778" w:rsidP="006D0778">
      <w:pPr>
        <w:rPr>
          <w:rFonts w:eastAsia="MS PGothic" w:cs="Times New Roman"/>
          <w:szCs w:val="24"/>
          <w:lang w:eastAsia="ja-JP"/>
        </w:rPr>
      </w:pPr>
      <w:r w:rsidRPr="00AD7E7D">
        <w:rPr>
          <w:rFonts w:eastAsia="MS PGothic" w:cs="Times New Roman"/>
          <w:szCs w:val="24"/>
          <w:lang w:eastAsia="ja-JP"/>
        </w:rPr>
        <w:t>Нето резултат на крају 2023. године остварен је у позитивном износу од 114,3 млрд динара, што представља значајно побољшање у односу на претходне године када су државна предузећа бележила негативан нето резултат. Највећи допринос укупном резултату државних предузећа дала је „Електропривреда Србије” а</w:t>
      </w:r>
      <w:r w:rsidR="00F25393" w:rsidRPr="00AD7E7D">
        <w:rPr>
          <w:rFonts w:eastAsia="MS PGothic" w:cs="Times New Roman"/>
          <w:szCs w:val="24"/>
          <w:lang w:val="sr-Cyrl-RS" w:eastAsia="ja-JP"/>
        </w:rPr>
        <w:t>.</w:t>
      </w:r>
      <w:r w:rsidRPr="00AD7E7D">
        <w:rPr>
          <w:rFonts w:eastAsia="MS PGothic" w:cs="Times New Roman"/>
          <w:szCs w:val="24"/>
          <w:lang w:eastAsia="ja-JP"/>
        </w:rPr>
        <w:t>д. При анализирању кварталних остварења финансијских показатеља потребно је узети у обзир да одређен</w:t>
      </w:r>
      <w:r w:rsidRPr="00AD7E7D">
        <w:rPr>
          <w:rFonts w:eastAsia="MS PGothic" w:cs="Times New Roman"/>
          <w:szCs w:val="24"/>
          <w:lang w:val="sr-Cyrl-RS" w:eastAsia="ja-JP"/>
        </w:rPr>
        <w:t>и</w:t>
      </w:r>
      <w:r w:rsidRPr="00AD7E7D">
        <w:rPr>
          <w:rFonts w:eastAsia="MS PGothic" w:cs="Times New Roman"/>
          <w:szCs w:val="24"/>
          <w:lang w:eastAsia="ja-JP"/>
        </w:rPr>
        <w:t xml:space="preserve"> број предузећа има сезонску компоненту у пословању.</w:t>
      </w:r>
    </w:p>
    <w:p w14:paraId="1DE7E284" w14:textId="77777777" w:rsidR="006D0778" w:rsidRPr="00010E52" w:rsidRDefault="006D0778" w:rsidP="006D0778">
      <w:pPr>
        <w:keepNext/>
        <w:spacing w:after="80" w:line="276" w:lineRule="auto"/>
        <w:rPr>
          <w:rFonts w:eastAsia="Calibri" w:cs="Times New Roman"/>
          <w:i/>
          <w:szCs w:val="24"/>
          <w:lang w:val="sr-Cyrl-RS" w:eastAsia="ja-JP"/>
        </w:rPr>
      </w:pPr>
      <w:r w:rsidRPr="00010E52">
        <w:rPr>
          <w:rFonts w:eastAsia="Calibri" w:cs="Times New Roman"/>
          <w:i/>
          <w:szCs w:val="24"/>
          <w:lang w:val="sr-Cyrl-RS" w:eastAsia="ja-JP"/>
        </w:rPr>
        <w:t>Табела 1</w:t>
      </w:r>
      <w:r w:rsidR="006C46A3">
        <w:rPr>
          <w:rFonts w:eastAsia="Calibri" w:cs="Times New Roman"/>
          <w:i/>
          <w:szCs w:val="24"/>
          <w:lang w:val="sr-Latn-RS" w:eastAsia="ja-JP"/>
        </w:rPr>
        <w:t>3</w:t>
      </w:r>
      <w:r w:rsidRPr="00010E52">
        <w:rPr>
          <w:rFonts w:eastAsia="Calibri" w:cs="Times New Roman"/>
          <w:i/>
          <w:szCs w:val="24"/>
          <w:lang w:val="sr-Cyrl-RS" w:eastAsia="ja-JP"/>
        </w:rPr>
        <w:t xml:space="preserve">. </w:t>
      </w:r>
      <w:r w:rsidRPr="00010E52">
        <w:rPr>
          <w:rFonts w:eastAsia="Calibri" w:cs="Times New Roman"/>
          <w:i/>
          <w:szCs w:val="24"/>
          <w:lang w:val="sr-Cyrl-CS" w:eastAsia="ja-JP"/>
        </w:rPr>
        <w:t>Основни показатељи пословања државних предузећа на дан 30.09.2024. године</w:t>
      </w:r>
      <w:r w:rsidRPr="00010E52">
        <w:rPr>
          <w:rFonts w:eastAsia="Calibri" w:cs="Times New Roman"/>
          <w:i/>
          <w:szCs w:val="24"/>
          <w:lang w:val="sr-Cyrl-RS" w:eastAsia="ja-JP"/>
        </w:rPr>
        <w:t>, млрд динара</w:t>
      </w:r>
    </w:p>
    <w:tbl>
      <w:tblPr>
        <w:tblW w:w="5000" w:type="pct"/>
        <w:jc w:val="center"/>
        <w:tblLook w:val="04A0" w:firstRow="1" w:lastRow="0" w:firstColumn="1" w:lastColumn="0" w:noHBand="0" w:noVBand="1"/>
      </w:tblPr>
      <w:tblGrid>
        <w:gridCol w:w="4298"/>
        <w:gridCol w:w="1123"/>
        <w:gridCol w:w="1123"/>
        <w:gridCol w:w="1123"/>
        <w:gridCol w:w="1359"/>
      </w:tblGrid>
      <w:tr w:rsidR="006D0778" w:rsidRPr="00AD7E7D" w14:paraId="7FDCD0B3" w14:textId="77777777" w:rsidTr="00D2109C">
        <w:trPr>
          <w:trHeight w:val="20"/>
          <w:jc w:val="center"/>
        </w:trPr>
        <w:tc>
          <w:tcPr>
            <w:tcW w:w="2381" w:type="pct"/>
            <w:tcBorders>
              <w:top w:val="single" w:sz="4" w:space="0" w:color="002060"/>
              <w:left w:val="nil"/>
              <w:bottom w:val="single" w:sz="4" w:space="0" w:color="002060"/>
              <w:right w:val="nil"/>
            </w:tcBorders>
            <w:shd w:val="clear" w:color="auto" w:fill="FFFFFF" w:themeFill="background1"/>
            <w:noWrap/>
            <w:vAlign w:val="center"/>
            <w:hideMark/>
          </w:tcPr>
          <w:p w14:paraId="63E99BF2" w14:textId="77777777" w:rsidR="006D0778" w:rsidRPr="00AD7E7D" w:rsidRDefault="006D0778" w:rsidP="006D0778">
            <w:pPr>
              <w:spacing w:after="0"/>
              <w:jc w:val="center"/>
              <w:rPr>
                <w:rFonts w:eastAsia="Times New Roman" w:cs="Times New Roman"/>
                <w:b/>
                <w:bCs/>
                <w:szCs w:val="24"/>
              </w:rPr>
            </w:pPr>
            <w:r w:rsidRPr="00AD7E7D">
              <w:rPr>
                <w:rFonts w:eastAsia="Times New Roman" w:cs="Times New Roman"/>
                <w:b/>
                <w:bCs/>
                <w:szCs w:val="24"/>
              </w:rPr>
              <w:t>Опис</w:t>
            </w:r>
          </w:p>
        </w:tc>
        <w:tc>
          <w:tcPr>
            <w:tcW w:w="622" w:type="pct"/>
            <w:tcBorders>
              <w:top w:val="single" w:sz="4" w:space="0" w:color="002060"/>
              <w:left w:val="nil"/>
              <w:bottom w:val="single" w:sz="4" w:space="0" w:color="002060"/>
              <w:right w:val="nil"/>
            </w:tcBorders>
            <w:shd w:val="clear" w:color="auto" w:fill="FFFFFF" w:themeFill="background1"/>
            <w:noWrap/>
            <w:vAlign w:val="center"/>
            <w:hideMark/>
          </w:tcPr>
          <w:p w14:paraId="14108362" w14:textId="77777777" w:rsidR="006D0778" w:rsidRPr="00AD7E7D" w:rsidRDefault="006D0778" w:rsidP="006D0778">
            <w:pPr>
              <w:spacing w:after="0"/>
              <w:jc w:val="center"/>
              <w:rPr>
                <w:rFonts w:eastAsia="Times New Roman" w:cs="Times New Roman"/>
                <w:b/>
                <w:bCs/>
                <w:szCs w:val="24"/>
              </w:rPr>
            </w:pPr>
            <w:r w:rsidRPr="00AD7E7D">
              <w:rPr>
                <w:rFonts w:eastAsia="Times New Roman" w:cs="Times New Roman"/>
                <w:b/>
                <w:bCs/>
                <w:szCs w:val="24"/>
              </w:rPr>
              <w:t>2021</w:t>
            </w:r>
          </w:p>
        </w:tc>
        <w:tc>
          <w:tcPr>
            <w:tcW w:w="622" w:type="pct"/>
            <w:tcBorders>
              <w:top w:val="single" w:sz="4" w:space="0" w:color="002060"/>
              <w:left w:val="nil"/>
              <w:bottom w:val="single" w:sz="4" w:space="0" w:color="002060"/>
              <w:right w:val="nil"/>
            </w:tcBorders>
            <w:shd w:val="clear" w:color="auto" w:fill="FFFFFF" w:themeFill="background1"/>
            <w:noWrap/>
            <w:vAlign w:val="center"/>
            <w:hideMark/>
          </w:tcPr>
          <w:p w14:paraId="588D12BA" w14:textId="77777777" w:rsidR="006D0778" w:rsidRPr="00AD7E7D" w:rsidRDefault="006D0778" w:rsidP="006D0778">
            <w:pPr>
              <w:spacing w:after="0"/>
              <w:jc w:val="center"/>
              <w:rPr>
                <w:rFonts w:eastAsia="Times New Roman" w:cs="Times New Roman"/>
                <w:b/>
                <w:bCs/>
                <w:szCs w:val="24"/>
              </w:rPr>
            </w:pPr>
            <w:r w:rsidRPr="00AD7E7D">
              <w:rPr>
                <w:rFonts w:eastAsia="Times New Roman" w:cs="Times New Roman"/>
                <w:b/>
                <w:bCs/>
                <w:szCs w:val="24"/>
              </w:rPr>
              <w:t>2022</w:t>
            </w:r>
          </w:p>
        </w:tc>
        <w:tc>
          <w:tcPr>
            <w:tcW w:w="622" w:type="pct"/>
            <w:tcBorders>
              <w:top w:val="single" w:sz="4" w:space="0" w:color="002060"/>
              <w:left w:val="nil"/>
              <w:bottom w:val="single" w:sz="4" w:space="0" w:color="002060"/>
              <w:right w:val="nil"/>
            </w:tcBorders>
            <w:shd w:val="clear" w:color="auto" w:fill="FFFFFF" w:themeFill="background1"/>
            <w:noWrap/>
            <w:vAlign w:val="center"/>
            <w:hideMark/>
          </w:tcPr>
          <w:p w14:paraId="37145864" w14:textId="77777777" w:rsidR="006D0778" w:rsidRPr="00AD7E7D" w:rsidRDefault="006D0778" w:rsidP="006D0778">
            <w:pPr>
              <w:spacing w:after="0"/>
              <w:jc w:val="center"/>
              <w:rPr>
                <w:rFonts w:eastAsia="Times New Roman" w:cs="Times New Roman"/>
                <w:b/>
                <w:bCs/>
                <w:szCs w:val="24"/>
              </w:rPr>
            </w:pPr>
            <w:r w:rsidRPr="00AD7E7D">
              <w:rPr>
                <w:rFonts w:eastAsia="Times New Roman" w:cs="Times New Roman"/>
                <w:b/>
                <w:bCs/>
                <w:szCs w:val="24"/>
              </w:rPr>
              <w:t>2023</w:t>
            </w:r>
          </w:p>
        </w:tc>
        <w:tc>
          <w:tcPr>
            <w:tcW w:w="753" w:type="pct"/>
            <w:tcBorders>
              <w:top w:val="single" w:sz="4" w:space="0" w:color="002060"/>
              <w:left w:val="nil"/>
              <w:bottom w:val="single" w:sz="4" w:space="0" w:color="002060"/>
              <w:right w:val="nil"/>
            </w:tcBorders>
            <w:shd w:val="clear" w:color="auto" w:fill="FFFFFF" w:themeFill="background1"/>
            <w:noWrap/>
            <w:vAlign w:val="center"/>
            <w:hideMark/>
          </w:tcPr>
          <w:p w14:paraId="228FC09B" w14:textId="77777777" w:rsidR="006D0778" w:rsidRPr="00AD7E7D" w:rsidRDefault="006D0778" w:rsidP="006D0778">
            <w:pPr>
              <w:spacing w:after="0"/>
              <w:jc w:val="center"/>
              <w:rPr>
                <w:rFonts w:eastAsia="Times New Roman" w:cs="Times New Roman"/>
                <w:b/>
                <w:bCs/>
                <w:szCs w:val="24"/>
              </w:rPr>
            </w:pPr>
            <w:r w:rsidRPr="00AD7E7D">
              <w:rPr>
                <w:rFonts w:eastAsia="Times New Roman" w:cs="Times New Roman"/>
                <w:b/>
                <w:bCs/>
                <w:szCs w:val="24"/>
              </w:rPr>
              <w:t>Q3 2024</w:t>
            </w:r>
          </w:p>
        </w:tc>
      </w:tr>
      <w:tr w:rsidR="006D0778" w:rsidRPr="00AD7E7D" w14:paraId="5352ECA2" w14:textId="77777777" w:rsidTr="00D2109C">
        <w:trPr>
          <w:trHeight w:val="20"/>
          <w:jc w:val="center"/>
        </w:trPr>
        <w:tc>
          <w:tcPr>
            <w:tcW w:w="2381" w:type="pct"/>
            <w:tcBorders>
              <w:top w:val="nil"/>
              <w:left w:val="nil"/>
              <w:bottom w:val="nil"/>
              <w:right w:val="nil"/>
            </w:tcBorders>
            <w:shd w:val="clear" w:color="000000" w:fill="FFFFFF"/>
            <w:noWrap/>
            <w:vAlign w:val="center"/>
            <w:hideMark/>
          </w:tcPr>
          <w:p w14:paraId="553F4D6D" w14:textId="77777777" w:rsidR="006D0778" w:rsidRPr="00AD7E7D" w:rsidRDefault="006D0778" w:rsidP="006D0778">
            <w:pPr>
              <w:spacing w:after="0"/>
              <w:jc w:val="left"/>
              <w:rPr>
                <w:rFonts w:eastAsia="Times New Roman" w:cs="Times New Roman"/>
                <w:szCs w:val="24"/>
              </w:rPr>
            </w:pPr>
            <w:r w:rsidRPr="00AD7E7D">
              <w:rPr>
                <w:rFonts w:eastAsia="Times New Roman" w:cs="Times New Roman"/>
                <w:szCs w:val="24"/>
              </w:rPr>
              <w:lastRenderedPageBreak/>
              <w:t>Пословни приходи</w:t>
            </w:r>
          </w:p>
        </w:tc>
        <w:tc>
          <w:tcPr>
            <w:tcW w:w="622" w:type="pct"/>
            <w:tcBorders>
              <w:top w:val="nil"/>
              <w:left w:val="nil"/>
              <w:bottom w:val="nil"/>
              <w:right w:val="nil"/>
            </w:tcBorders>
            <w:shd w:val="clear" w:color="000000" w:fill="FFFFFF"/>
            <w:noWrap/>
            <w:vAlign w:val="center"/>
            <w:hideMark/>
          </w:tcPr>
          <w:p w14:paraId="788A25BC"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739,1</w:t>
            </w:r>
          </w:p>
        </w:tc>
        <w:tc>
          <w:tcPr>
            <w:tcW w:w="622" w:type="pct"/>
            <w:tcBorders>
              <w:top w:val="nil"/>
              <w:left w:val="nil"/>
              <w:bottom w:val="nil"/>
              <w:right w:val="nil"/>
            </w:tcBorders>
            <w:shd w:val="clear" w:color="000000" w:fill="FFFFFF"/>
            <w:noWrap/>
            <w:vAlign w:val="center"/>
            <w:hideMark/>
          </w:tcPr>
          <w:p w14:paraId="66D6A703"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905,2</w:t>
            </w:r>
          </w:p>
        </w:tc>
        <w:tc>
          <w:tcPr>
            <w:tcW w:w="622" w:type="pct"/>
            <w:tcBorders>
              <w:top w:val="nil"/>
              <w:left w:val="nil"/>
              <w:bottom w:val="nil"/>
              <w:right w:val="nil"/>
            </w:tcBorders>
            <w:shd w:val="clear" w:color="000000" w:fill="FFFFFF"/>
            <w:noWrap/>
            <w:vAlign w:val="center"/>
            <w:hideMark/>
          </w:tcPr>
          <w:p w14:paraId="53D218E5"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1.018,5</w:t>
            </w:r>
          </w:p>
        </w:tc>
        <w:tc>
          <w:tcPr>
            <w:tcW w:w="753" w:type="pct"/>
            <w:tcBorders>
              <w:top w:val="nil"/>
              <w:left w:val="nil"/>
              <w:bottom w:val="nil"/>
              <w:right w:val="nil"/>
            </w:tcBorders>
            <w:shd w:val="clear" w:color="000000" w:fill="FFFFFF"/>
            <w:noWrap/>
            <w:vAlign w:val="center"/>
            <w:hideMark/>
          </w:tcPr>
          <w:p w14:paraId="3E11FE3B"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711,0</w:t>
            </w:r>
          </w:p>
        </w:tc>
      </w:tr>
      <w:tr w:rsidR="006D0778" w:rsidRPr="00AD7E7D" w14:paraId="31B17826" w14:textId="77777777" w:rsidTr="00D2109C">
        <w:trPr>
          <w:trHeight w:val="20"/>
          <w:jc w:val="center"/>
        </w:trPr>
        <w:tc>
          <w:tcPr>
            <w:tcW w:w="2381" w:type="pct"/>
            <w:tcBorders>
              <w:top w:val="nil"/>
              <w:left w:val="nil"/>
              <w:bottom w:val="nil"/>
              <w:right w:val="nil"/>
            </w:tcBorders>
            <w:shd w:val="clear" w:color="000000" w:fill="FFFFFF"/>
            <w:noWrap/>
            <w:vAlign w:val="center"/>
            <w:hideMark/>
          </w:tcPr>
          <w:p w14:paraId="2F4CDC78" w14:textId="77777777" w:rsidR="006D0778" w:rsidRPr="00AD7E7D" w:rsidRDefault="006D0778" w:rsidP="006D0778">
            <w:pPr>
              <w:spacing w:after="0"/>
              <w:jc w:val="left"/>
              <w:rPr>
                <w:rFonts w:eastAsia="Times New Roman" w:cs="Times New Roman"/>
                <w:szCs w:val="24"/>
              </w:rPr>
            </w:pPr>
            <w:r w:rsidRPr="00AD7E7D">
              <w:rPr>
                <w:rFonts w:eastAsia="Times New Roman" w:cs="Times New Roman"/>
                <w:szCs w:val="24"/>
              </w:rPr>
              <w:t>Пословни расходи</w:t>
            </w:r>
          </w:p>
        </w:tc>
        <w:tc>
          <w:tcPr>
            <w:tcW w:w="622" w:type="pct"/>
            <w:tcBorders>
              <w:top w:val="nil"/>
              <w:left w:val="nil"/>
              <w:bottom w:val="nil"/>
              <w:right w:val="nil"/>
            </w:tcBorders>
            <w:shd w:val="clear" w:color="000000" w:fill="FFFFFF"/>
            <w:noWrap/>
            <w:vAlign w:val="center"/>
            <w:hideMark/>
          </w:tcPr>
          <w:p w14:paraId="32B2A45D"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741,0</w:t>
            </w:r>
          </w:p>
        </w:tc>
        <w:tc>
          <w:tcPr>
            <w:tcW w:w="622" w:type="pct"/>
            <w:tcBorders>
              <w:top w:val="nil"/>
              <w:left w:val="nil"/>
              <w:bottom w:val="nil"/>
              <w:right w:val="nil"/>
            </w:tcBorders>
            <w:shd w:val="clear" w:color="000000" w:fill="FFFFFF"/>
            <w:noWrap/>
            <w:vAlign w:val="center"/>
            <w:hideMark/>
          </w:tcPr>
          <w:p w14:paraId="0A58432E"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950,9</w:t>
            </w:r>
          </w:p>
        </w:tc>
        <w:tc>
          <w:tcPr>
            <w:tcW w:w="622" w:type="pct"/>
            <w:tcBorders>
              <w:top w:val="nil"/>
              <w:left w:val="nil"/>
              <w:bottom w:val="nil"/>
              <w:right w:val="nil"/>
            </w:tcBorders>
            <w:shd w:val="clear" w:color="000000" w:fill="FFFFFF"/>
            <w:noWrap/>
            <w:vAlign w:val="center"/>
            <w:hideMark/>
          </w:tcPr>
          <w:p w14:paraId="7715E272"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870,9</w:t>
            </w:r>
          </w:p>
        </w:tc>
        <w:tc>
          <w:tcPr>
            <w:tcW w:w="753" w:type="pct"/>
            <w:tcBorders>
              <w:top w:val="nil"/>
              <w:left w:val="nil"/>
              <w:bottom w:val="nil"/>
              <w:right w:val="nil"/>
            </w:tcBorders>
            <w:shd w:val="clear" w:color="000000" w:fill="FFFFFF"/>
            <w:noWrap/>
            <w:vAlign w:val="center"/>
            <w:hideMark/>
          </w:tcPr>
          <w:p w14:paraId="1D9D2C19"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653,0</w:t>
            </w:r>
          </w:p>
        </w:tc>
      </w:tr>
      <w:tr w:rsidR="006D0778" w:rsidRPr="00AD7E7D" w14:paraId="537582FD" w14:textId="77777777" w:rsidTr="00D2109C">
        <w:trPr>
          <w:trHeight w:val="20"/>
          <w:jc w:val="center"/>
        </w:trPr>
        <w:tc>
          <w:tcPr>
            <w:tcW w:w="2381" w:type="pct"/>
            <w:tcBorders>
              <w:top w:val="nil"/>
              <w:left w:val="nil"/>
              <w:bottom w:val="nil"/>
              <w:right w:val="nil"/>
            </w:tcBorders>
            <w:shd w:val="clear" w:color="000000" w:fill="FFFFFF"/>
            <w:noWrap/>
            <w:vAlign w:val="center"/>
            <w:hideMark/>
          </w:tcPr>
          <w:p w14:paraId="005B2512" w14:textId="77777777" w:rsidR="006D0778" w:rsidRPr="00AD7E7D" w:rsidRDefault="006D0778" w:rsidP="006D0778">
            <w:pPr>
              <w:spacing w:after="0"/>
              <w:ind w:firstLineChars="100" w:firstLine="240"/>
              <w:jc w:val="left"/>
              <w:rPr>
                <w:rFonts w:eastAsia="Times New Roman" w:cs="Times New Roman"/>
                <w:szCs w:val="24"/>
              </w:rPr>
            </w:pPr>
            <w:r w:rsidRPr="00AD7E7D">
              <w:rPr>
                <w:rFonts w:eastAsia="Times New Roman" w:cs="Times New Roman"/>
                <w:szCs w:val="24"/>
              </w:rPr>
              <w:t>Трошкови зарада</w:t>
            </w:r>
          </w:p>
        </w:tc>
        <w:tc>
          <w:tcPr>
            <w:tcW w:w="622" w:type="pct"/>
            <w:tcBorders>
              <w:top w:val="nil"/>
              <w:left w:val="nil"/>
              <w:bottom w:val="nil"/>
              <w:right w:val="nil"/>
            </w:tcBorders>
            <w:shd w:val="clear" w:color="000000" w:fill="FFFFFF"/>
            <w:noWrap/>
            <w:vAlign w:val="center"/>
            <w:hideMark/>
          </w:tcPr>
          <w:p w14:paraId="43A9E028"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115,0</w:t>
            </w:r>
          </w:p>
        </w:tc>
        <w:tc>
          <w:tcPr>
            <w:tcW w:w="622" w:type="pct"/>
            <w:tcBorders>
              <w:top w:val="nil"/>
              <w:left w:val="nil"/>
              <w:bottom w:val="nil"/>
              <w:right w:val="nil"/>
            </w:tcBorders>
            <w:shd w:val="clear" w:color="000000" w:fill="FFFFFF"/>
            <w:noWrap/>
            <w:vAlign w:val="center"/>
            <w:hideMark/>
          </w:tcPr>
          <w:p w14:paraId="67093659"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118,5</w:t>
            </w:r>
          </w:p>
        </w:tc>
        <w:tc>
          <w:tcPr>
            <w:tcW w:w="622" w:type="pct"/>
            <w:tcBorders>
              <w:top w:val="nil"/>
              <w:left w:val="nil"/>
              <w:bottom w:val="nil"/>
              <w:right w:val="nil"/>
            </w:tcBorders>
            <w:shd w:val="clear" w:color="000000" w:fill="FFFFFF"/>
            <w:noWrap/>
            <w:vAlign w:val="center"/>
            <w:hideMark/>
          </w:tcPr>
          <w:p w14:paraId="6776D80F"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127,9</w:t>
            </w:r>
          </w:p>
        </w:tc>
        <w:tc>
          <w:tcPr>
            <w:tcW w:w="753" w:type="pct"/>
            <w:tcBorders>
              <w:top w:val="nil"/>
              <w:left w:val="nil"/>
              <w:bottom w:val="nil"/>
              <w:right w:val="nil"/>
            </w:tcBorders>
            <w:shd w:val="clear" w:color="000000" w:fill="FFFFFF"/>
            <w:noWrap/>
            <w:vAlign w:val="center"/>
            <w:hideMark/>
          </w:tcPr>
          <w:p w14:paraId="554BAE96"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103,6</w:t>
            </w:r>
          </w:p>
        </w:tc>
      </w:tr>
      <w:tr w:rsidR="006D0778" w:rsidRPr="00AD7E7D" w14:paraId="4EEA0B69" w14:textId="77777777" w:rsidTr="00D2109C">
        <w:trPr>
          <w:trHeight w:val="20"/>
          <w:jc w:val="center"/>
        </w:trPr>
        <w:tc>
          <w:tcPr>
            <w:tcW w:w="2381" w:type="pct"/>
            <w:tcBorders>
              <w:top w:val="nil"/>
              <w:left w:val="nil"/>
              <w:bottom w:val="nil"/>
              <w:right w:val="nil"/>
            </w:tcBorders>
            <w:shd w:val="clear" w:color="000000" w:fill="FFFFFF"/>
            <w:noWrap/>
            <w:vAlign w:val="center"/>
            <w:hideMark/>
          </w:tcPr>
          <w:p w14:paraId="5E2EFD39" w14:textId="77777777" w:rsidR="006D0778" w:rsidRPr="00AD7E7D" w:rsidRDefault="006D0778" w:rsidP="006D0778">
            <w:pPr>
              <w:spacing w:after="0"/>
              <w:jc w:val="left"/>
              <w:rPr>
                <w:rFonts w:eastAsia="Times New Roman" w:cs="Times New Roman"/>
                <w:szCs w:val="24"/>
              </w:rPr>
            </w:pPr>
            <w:r w:rsidRPr="00AD7E7D">
              <w:rPr>
                <w:rFonts w:eastAsia="Times New Roman" w:cs="Times New Roman"/>
                <w:szCs w:val="24"/>
              </w:rPr>
              <w:t>ЕБИТ (пословни резултат)</w:t>
            </w:r>
          </w:p>
        </w:tc>
        <w:tc>
          <w:tcPr>
            <w:tcW w:w="622" w:type="pct"/>
            <w:tcBorders>
              <w:top w:val="nil"/>
              <w:left w:val="nil"/>
              <w:bottom w:val="nil"/>
              <w:right w:val="nil"/>
            </w:tcBorders>
            <w:shd w:val="clear" w:color="000000" w:fill="FFFFFF"/>
            <w:noWrap/>
            <w:vAlign w:val="center"/>
            <w:hideMark/>
          </w:tcPr>
          <w:p w14:paraId="4BB56154"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(1,9)</w:t>
            </w:r>
          </w:p>
        </w:tc>
        <w:tc>
          <w:tcPr>
            <w:tcW w:w="622" w:type="pct"/>
            <w:tcBorders>
              <w:top w:val="nil"/>
              <w:left w:val="nil"/>
              <w:bottom w:val="nil"/>
              <w:right w:val="nil"/>
            </w:tcBorders>
            <w:shd w:val="clear" w:color="000000" w:fill="FFFFFF"/>
            <w:noWrap/>
            <w:vAlign w:val="center"/>
            <w:hideMark/>
          </w:tcPr>
          <w:p w14:paraId="0863A365"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(45,7)</w:t>
            </w:r>
          </w:p>
        </w:tc>
        <w:tc>
          <w:tcPr>
            <w:tcW w:w="622" w:type="pct"/>
            <w:tcBorders>
              <w:top w:val="nil"/>
              <w:left w:val="nil"/>
              <w:bottom w:val="nil"/>
              <w:right w:val="nil"/>
            </w:tcBorders>
            <w:shd w:val="clear" w:color="000000" w:fill="FFFFFF"/>
            <w:noWrap/>
            <w:vAlign w:val="center"/>
            <w:hideMark/>
          </w:tcPr>
          <w:p w14:paraId="717FFEEE"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147,6</w:t>
            </w:r>
          </w:p>
        </w:tc>
        <w:tc>
          <w:tcPr>
            <w:tcW w:w="753" w:type="pct"/>
            <w:tcBorders>
              <w:top w:val="nil"/>
              <w:left w:val="nil"/>
              <w:bottom w:val="nil"/>
              <w:right w:val="nil"/>
            </w:tcBorders>
            <w:shd w:val="clear" w:color="000000" w:fill="FFFFFF"/>
            <w:noWrap/>
            <w:vAlign w:val="center"/>
            <w:hideMark/>
          </w:tcPr>
          <w:p w14:paraId="5663D4DD"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58,0</w:t>
            </w:r>
          </w:p>
        </w:tc>
      </w:tr>
      <w:tr w:rsidR="006D0778" w:rsidRPr="00AD7E7D" w14:paraId="0EAFC6E2" w14:textId="77777777" w:rsidTr="00D2109C">
        <w:trPr>
          <w:trHeight w:val="20"/>
          <w:jc w:val="center"/>
        </w:trPr>
        <w:tc>
          <w:tcPr>
            <w:tcW w:w="2381" w:type="pct"/>
            <w:tcBorders>
              <w:top w:val="nil"/>
              <w:left w:val="nil"/>
              <w:bottom w:val="nil"/>
              <w:right w:val="nil"/>
            </w:tcBorders>
            <w:shd w:val="clear" w:color="000000" w:fill="FFFFFF"/>
            <w:noWrap/>
            <w:vAlign w:val="center"/>
            <w:hideMark/>
          </w:tcPr>
          <w:p w14:paraId="03C48EEB" w14:textId="77777777" w:rsidR="006D0778" w:rsidRPr="00AD7E7D" w:rsidRDefault="006D0778" w:rsidP="006D0778">
            <w:pPr>
              <w:spacing w:after="0"/>
              <w:jc w:val="left"/>
              <w:rPr>
                <w:rFonts w:eastAsia="Times New Roman" w:cs="Times New Roman"/>
                <w:szCs w:val="24"/>
              </w:rPr>
            </w:pPr>
            <w:r w:rsidRPr="00AD7E7D">
              <w:rPr>
                <w:rFonts w:eastAsia="Times New Roman" w:cs="Times New Roman"/>
                <w:szCs w:val="24"/>
              </w:rPr>
              <w:t>Укупни приходи</w:t>
            </w:r>
          </w:p>
        </w:tc>
        <w:tc>
          <w:tcPr>
            <w:tcW w:w="622" w:type="pct"/>
            <w:tcBorders>
              <w:top w:val="nil"/>
              <w:left w:val="nil"/>
              <w:bottom w:val="nil"/>
              <w:right w:val="nil"/>
            </w:tcBorders>
            <w:shd w:val="clear" w:color="000000" w:fill="FFFFFF"/>
            <w:noWrap/>
            <w:vAlign w:val="center"/>
            <w:hideMark/>
          </w:tcPr>
          <w:p w14:paraId="26AB83B2"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775,8</w:t>
            </w:r>
          </w:p>
        </w:tc>
        <w:tc>
          <w:tcPr>
            <w:tcW w:w="622" w:type="pct"/>
            <w:tcBorders>
              <w:top w:val="nil"/>
              <w:left w:val="nil"/>
              <w:bottom w:val="nil"/>
              <w:right w:val="nil"/>
            </w:tcBorders>
            <w:shd w:val="clear" w:color="000000" w:fill="FFFFFF"/>
            <w:noWrap/>
            <w:vAlign w:val="center"/>
            <w:hideMark/>
          </w:tcPr>
          <w:p w14:paraId="1CE81198"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937,7</w:t>
            </w:r>
          </w:p>
        </w:tc>
        <w:tc>
          <w:tcPr>
            <w:tcW w:w="622" w:type="pct"/>
            <w:tcBorders>
              <w:top w:val="nil"/>
              <w:left w:val="nil"/>
              <w:bottom w:val="nil"/>
              <w:right w:val="nil"/>
            </w:tcBorders>
            <w:shd w:val="clear" w:color="000000" w:fill="FFFFFF"/>
            <w:noWrap/>
            <w:vAlign w:val="center"/>
            <w:hideMark/>
          </w:tcPr>
          <w:p w14:paraId="0DF7A41A"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1.057,5</w:t>
            </w:r>
          </w:p>
        </w:tc>
        <w:tc>
          <w:tcPr>
            <w:tcW w:w="753" w:type="pct"/>
            <w:tcBorders>
              <w:top w:val="nil"/>
              <w:left w:val="nil"/>
              <w:bottom w:val="nil"/>
              <w:right w:val="nil"/>
            </w:tcBorders>
            <w:shd w:val="clear" w:color="000000" w:fill="FFFFFF"/>
            <w:noWrap/>
            <w:vAlign w:val="center"/>
            <w:hideMark/>
          </w:tcPr>
          <w:p w14:paraId="705F2F8A"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733,6</w:t>
            </w:r>
          </w:p>
        </w:tc>
      </w:tr>
      <w:tr w:rsidR="006D0778" w:rsidRPr="00AD7E7D" w14:paraId="2C6D01DF" w14:textId="77777777" w:rsidTr="00D2109C">
        <w:trPr>
          <w:trHeight w:val="20"/>
          <w:jc w:val="center"/>
        </w:trPr>
        <w:tc>
          <w:tcPr>
            <w:tcW w:w="2381" w:type="pct"/>
            <w:tcBorders>
              <w:top w:val="nil"/>
              <w:left w:val="nil"/>
              <w:bottom w:val="nil"/>
              <w:right w:val="nil"/>
            </w:tcBorders>
            <w:shd w:val="clear" w:color="000000" w:fill="FFFFFF"/>
            <w:noWrap/>
            <w:vAlign w:val="center"/>
            <w:hideMark/>
          </w:tcPr>
          <w:p w14:paraId="086D886C" w14:textId="77777777" w:rsidR="006D0778" w:rsidRPr="00AD7E7D" w:rsidRDefault="006D0778" w:rsidP="006D0778">
            <w:pPr>
              <w:spacing w:after="0"/>
              <w:jc w:val="left"/>
              <w:rPr>
                <w:rFonts w:eastAsia="Times New Roman" w:cs="Times New Roman"/>
                <w:szCs w:val="24"/>
              </w:rPr>
            </w:pPr>
            <w:r w:rsidRPr="00AD7E7D">
              <w:rPr>
                <w:rFonts w:eastAsia="Times New Roman" w:cs="Times New Roman"/>
                <w:szCs w:val="24"/>
              </w:rPr>
              <w:t>Укупни расходи</w:t>
            </w:r>
          </w:p>
        </w:tc>
        <w:tc>
          <w:tcPr>
            <w:tcW w:w="622" w:type="pct"/>
            <w:tcBorders>
              <w:top w:val="nil"/>
              <w:left w:val="nil"/>
              <w:bottom w:val="nil"/>
              <w:right w:val="nil"/>
            </w:tcBorders>
            <w:shd w:val="clear" w:color="000000" w:fill="FFFFFF"/>
            <w:noWrap/>
            <w:vAlign w:val="center"/>
            <w:hideMark/>
          </w:tcPr>
          <w:p w14:paraId="6D17532D"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787,8</w:t>
            </w:r>
          </w:p>
        </w:tc>
        <w:tc>
          <w:tcPr>
            <w:tcW w:w="622" w:type="pct"/>
            <w:tcBorders>
              <w:top w:val="nil"/>
              <w:left w:val="nil"/>
              <w:bottom w:val="nil"/>
              <w:right w:val="nil"/>
            </w:tcBorders>
            <w:shd w:val="clear" w:color="000000" w:fill="FFFFFF"/>
            <w:noWrap/>
            <w:vAlign w:val="center"/>
            <w:hideMark/>
          </w:tcPr>
          <w:p w14:paraId="32DECB2D"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1.006,0</w:t>
            </w:r>
          </w:p>
        </w:tc>
        <w:tc>
          <w:tcPr>
            <w:tcW w:w="622" w:type="pct"/>
            <w:tcBorders>
              <w:top w:val="nil"/>
              <w:left w:val="nil"/>
              <w:bottom w:val="nil"/>
              <w:right w:val="nil"/>
            </w:tcBorders>
            <w:shd w:val="clear" w:color="000000" w:fill="FFFFFF"/>
            <w:noWrap/>
            <w:vAlign w:val="center"/>
            <w:hideMark/>
          </w:tcPr>
          <w:p w14:paraId="2825517E"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921,8</w:t>
            </w:r>
          </w:p>
        </w:tc>
        <w:tc>
          <w:tcPr>
            <w:tcW w:w="753" w:type="pct"/>
            <w:tcBorders>
              <w:top w:val="nil"/>
              <w:left w:val="nil"/>
              <w:bottom w:val="nil"/>
              <w:right w:val="nil"/>
            </w:tcBorders>
            <w:shd w:val="clear" w:color="000000" w:fill="FFFFFF"/>
            <w:noWrap/>
            <w:vAlign w:val="center"/>
            <w:hideMark/>
          </w:tcPr>
          <w:p w14:paraId="3AB427F0"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692,6</w:t>
            </w:r>
          </w:p>
        </w:tc>
      </w:tr>
      <w:tr w:rsidR="006D0778" w:rsidRPr="00AD7E7D" w14:paraId="04C59B39" w14:textId="77777777" w:rsidTr="00D2109C">
        <w:trPr>
          <w:trHeight w:val="20"/>
          <w:jc w:val="center"/>
        </w:trPr>
        <w:tc>
          <w:tcPr>
            <w:tcW w:w="2381" w:type="pct"/>
            <w:tcBorders>
              <w:top w:val="nil"/>
              <w:left w:val="nil"/>
              <w:bottom w:val="nil"/>
              <w:right w:val="nil"/>
            </w:tcBorders>
            <w:shd w:val="clear" w:color="000000" w:fill="FFFFFF"/>
            <w:noWrap/>
            <w:vAlign w:val="center"/>
            <w:hideMark/>
          </w:tcPr>
          <w:p w14:paraId="6CEDA020" w14:textId="77777777" w:rsidR="006D0778" w:rsidRPr="00AD7E7D" w:rsidRDefault="006D0778" w:rsidP="006D0778">
            <w:pPr>
              <w:spacing w:after="0"/>
              <w:jc w:val="left"/>
              <w:rPr>
                <w:rFonts w:eastAsia="Times New Roman" w:cs="Times New Roman"/>
                <w:b/>
                <w:bCs/>
                <w:szCs w:val="24"/>
              </w:rPr>
            </w:pPr>
            <w:r w:rsidRPr="00AD7E7D">
              <w:rPr>
                <w:rFonts w:eastAsia="Times New Roman" w:cs="Times New Roman"/>
                <w:b/>
                <w:bCs/>
                <w:szCs w:val="24"/>
              </w:rPr>
              <w:t>Нето резултат</w:t>
            </w:r>
          </w:p>
        </w:tc>
        <w:tc>
          <w:tcPr>
            <w:tcW w:w="622" w:type="pct"/>
            <w:tcBorders>
              <w:top w:val="nil"/>
              <w:left w:val="nil"/>
              <w:bottom w:val="nil"/>
              <w:right w:val="nil"/>
            </w:tcBorders>
            <w:shd w:val="clear" w:color="000000" w:fill="FFFFFF"/>
            <w:noWrap/>
            <w:vAlign w:val="center"/>
            <w:hideMark/>
          </w:tcPr>
          <w:p w14:paraId="7324DCD7"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(13,9)</w:t>
            </w:r>
          </w:p>
        </w:tc>
        <w:tc>
          <w:tcPr>
            <w:tcW w:w="622" w:type="pct"/>
            <w:tcBorders>
              <w:top w:val="nil"/>
              <w:left w:val="nil"/>
              <w:bottom w:val="nil"/>
              <w:right w:val="nil"/>
            </w:tcBorders>
            <w:shd w:val="clear" w:color="000000" w:fill="FFFFFF"/>
            <w:noWrap/>
            <w:vAlign w:val="center"/>
            <w:hideMark/>
          </w:tcPr>
          <w:p w14:paraId="68390FA0"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(68,8)</w:t>
            </w:r>
          </w:p>
        </w:tc>
        <w:tc>
          <w:tcPr>
            <w:tcW w:w="622" w:type="pct"/>
            <w:tcBorders>
              <w:top w:val="nil"/>
              <w:left w:val="nil"/>
              <w:bottom w:val="nil"/>
              <w:right w:val="nil"/>
            </w:tcBorders>
            <w:shd w:val="clear" w:color="000000" w:fill="FFFFFF"/>
            <w:noWrap/>
            <w:vAlign w:val="center"/>
            <w:hideMark/>
          </w:tcPr>
          <w:p w14:paraId="70196023"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114,3</w:t>
            </w:r>
          </w:p>
        </w:tc>
        <w:tc>
          <w:tcPr>
            <w:tcW w:w="753" w:type="pct"/>
            <w:tcBorders>
              <w:top w:val="nil"/>
              <w:left w:val="nil"/>
              <w:bottom w:val="nil"/>
              <w:right w:val="nil"/>
            </w:tcBorders>
            <w:shd w:val="clear" w:color="000000" w:fill="FFFFFF"/>
            <w:noWrap/>
            <w:vAlign w:val="center"/>
            <w:hideMark/>
          </w:tcPr>
          <w:p w14:paraId="188A17F4"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31,5</w:t>
            </w:r>
          </w:p>
        </w:tc>
      </w:tr>
      <w:tr w:rsidR="006D0778" w:rsidRPr="00AD7E7D" w14:paraId="46C6EA4B" w14:textId="77777777" w:rsidTr="00D2109C">
        <w:trPr>
          <w:trHeight w:val="20"/>
          <w:jc w:val="center"/>
        </w:trPr>
        <w:tc>
          <w:tcPr>
            <w:tcW w:w="2381" w:type="pct"/>
            <w:tcBorders>
              <w:top w:val="single" w:sz="4" w:space="0" w:color="002060"/>
              <w:left w:val="nil"/>
              <w:bottom w:val="single" w:sz="4" w:space="0" w:color="002060"/>
              <w:right w:val="nil"/>
            </w:tcBorders>
            <w:shd w:val="clear" w:color="auto" w:fill="FFFFFF" w:themeFill="background1"/>
            <w:noWrap/>
            <w:vAlign w:val="center"/>
            <w:hideMark/>
          </w:tcPr>
          <w:p w14:paraId="2BE09A4C" w14:textId="77777777" w:rsidR="006D0778" w:rsidRPr="00AD7E7D" w:rsidRDefault="006D0778" w:rsidP="006D0778">
            <w:pPr>
              <w:spacing w:after="0"/>
              <w:jc w:val="left"/>
              <w:rPr>
                <w:rFonts w:eastAsia="Times New Roman" w:cs="Times New Roman"/>
                <w:b/>
                <w:bCs/>
                <w:szCs w:val="24"/>
              </w:rPr>
            </w:pPr>
            <w:r w:rsidRPr="00AD7E7D">
              <w:rPr>
                <w:rFonts w:eastAsia="Times New Roman" w:cs="Times New Roman"/>
                <w:b/>
                <w:bCs/>
                <w:szCs w:val="24"/>
              </w:rPr>
              <w:t>Број ДП која су остварила добит</w:t>
            </w:r>
          </w:p>
        </w:tc>
        <w:tc>
          <w:tcPr>
            <w:tcW w:w="622" w:type="pct"/>
            <w:tcBorders>
              <w:top w:val="single" w:sz="4" w:space="0" w:color="002060"/>
              <w:left w:val="nil"/>
              <w:bottom w:val="single" w:sz="4" w:space="0" w:color="002060"/>
              <w:right w:val="nil"/>
            </w:tcBorders>
            <w:shd w:val="clear" w:color="auto" w:fill="FFFFFF" w:themeFill="background1"/>
            <w:noWrap/>
            <w:vAlign w:val="center"/>
            <w:hideMark/>
          </w:tcPr>
          <w:p w14:paraId="628C1F1D" w14:textId="77777777" w:rsidR="006D0778" w:rsidRPr="00AD7E7D" w:rsidRDefault="006D0778" w:rsidP="006D0778">
            <w:pPr>
              <w:spacing w:after="0"/>
              <w:jc w:val="center"/>
              <w:rPr>
                <w:rFonts w:eastAsia="Times New Roman" w:cs="Times New Roman"/>
                <w:b/>
                <w:bCs/>
                <w:szCs w:val="24"/>
              </w:rPr>
            </w:pPr>
            <w:r w:rsidRPr="00AD7E7D">
              <w:rPr>
                <w:rFonts w:eastAsia="Times New Roman" w:cs="Times New Roman"/>
                <w:b/>
                <w:bCs/>
                <w:szCs w:val="24"/>
              </w:rPr>
              <w:t>26</w:t>
            </w:r>
          </w:p>
        </w:tc>
        <w:tc>
          <w:tcPr>
            <w:tcW w:w="622" w:type="pct"/>
            <w:tcBorders>
              <w:top w:val="single" w:sz="4" w:space="0" w:color="002060"/>
              <w:left w:val="nil"/>
              <w:bottom w:val="single" w:sz="4" w:space="0" w:color="002060"/>
              <w:right w:val="nil"/>
            </w:tcBorders>
            <w:shd w:val="clear" w:color="auto" w:fill="FFFFFF" w:themeFill="background1"/>
            <w:noWrap/>
            <w:vAlign w:val="center"/>
            <w:hideMark/>
          </w:tcPr>
          <w:p w14:paraId="34927CA5" w14:textId="77777777" w:rsidR="006D0778" w:rsidRPr="00AD7E7D" w:rsidRDefault="006D0778" w:rsidP="006D0778">
            <w:pPr>
              <w:spacing w:after="0"/>
              <w:jc w:val="center"/>
              <w:rPr>
                <w:rFonts w:eastAsia="Times New Roman" w:cs="Times New Roman"/>
                <w:b/>
                <w:bCs/>
                <w:szCs w:val="24"/>
              </w:rPr>
            </w:pPr>
            <w:r w:rsidRPr="00AD7E7D">
              <w:rPr>
                <w:rFonts w:eastAsia="Times New Roman" w:cs="Times New Roman"/>
                <w:b/>
                <w:bCs/>
                <w:szCs w:val="24"/>
              </w:rPr>
              <w:t>25</w:t>
            </w:r>
          </w:p>
        </w:tc>
        <w:tc>
          <w:tcPr>
            <w:tcW w:w="622" w:type="pct"/>
            <w:tcBorders>
              <w:top w:val="single" w:sz="4" w:space="0" w:color="002060"/>
              <w:left w:val="nil"/>
              <w:bottom w:val="single" w:sz="4" w:space="0" w:color="002060"/>
              <w:right w:val="nil"/>
            </w:tcBorders>
            <w:shd w:val="clear" w:color="auto" w:fill="FFFFFF" w:themeFill="background1"/>
            <w:noWrap/>
            <w:vAlign w:val="center"/>
            <w:hideMark/>
          </w:tcPr>
          <w:p w14:paraId="72C48900" w14:textId="77777777" w:rsidR="006D0778" w:rsidRPr="00AD7E7D" w:rsidRDefault="006D0778" w:rsidP="006D0778">
            <w:pPr>
              <w:spacing w:after="0"/>
              <w:jc w:val="center"/>
              <w:rPr>
                <w:rFonts w:eastAsia="Times New Roman" w:cs="Times New Roman"/>
                <w:b/>
                <w:bCs/>
                <w:szCs w:val="24"/>
              </w:rPr>
            </w:pPr>
            <w:r w:rsidRPr="00AD7E7D">
              <w:rPr>
                <w:rFonts w:eastAsia="Times New Roman" w:cs="Times New Roman"/>
                <w:b/>
                <w:bCs/>
                <w:szCs w:val="24"/>
              </w:rPr>
              <w:t>28</w:t>
            </w:r>
          </w:p>
        </w:tc>
        <w:tc>
          <w:tcPr>
            <w:tcW w:w="753" w:type="pct"/>
            <w:tcBorders>
              <w:top w:val="single" w:sz="4" w:space="0" w:color="002060"/>
              <w:left w:val="nil"/>
              <w:bottom w:val="single" w:sz="4" w:space="0" w:color="002060"/>
              <w:right w:val="nil"/>
            </w:tcBorders>
            <w:shd w:val="clear" w:color="auto" w:fill="FFFFFF" w:themeFill="background1"/>
            <w:noWrap/>
            <w:vAlign w:val="center"/>
            <w:hideMark/>
          </w:tcPr>
          <w:p w14:paraId="78C8B4A4" w14:textId="77777777" w:rsidR="006D0778" w:rsidRPr="00AD7E7D" w:rsidRDefault="006D0778" w:rsidP="006D0778">
            <w:pPr>
              <w:spacing w:after="0"/>
              <w:jc w:val="center"/>
              <w:rPr>
                <w:rFonts w:eastAsia="Times New Roman" w:cs="Times New Roman"/>
                <w:b/>
                <w:bCs/>
                <w:szCs w:val="24"/>
              </w:rPr>
            </w:pPr>
            <w:r w:rsidRPr="00AD7E7D">
              <w:rPr>
                <w:rFonts w:eastAsia="Times New Roman" w:cs="Times New Roman"/>
                <w:b/>
                <w:bCs/>
                <w:szCs w:val="24"/>
              </w:rPr>
              <w:t>22</w:t>
            </w:r>
          </w:p>
        </w:tc>
      </w:tr>
      <w:tr w:rsidR="006D0778" w:rsidRPr="00AD7E7D" w14:paraId="174AE1F5" w14:textId="77777777" w:rsidTr="00D2109C">
        <w:trPr>
          <w:trHeight w:val="20"/>
          <w:jc w:val="center"/>
        </w:trPr>
        <w:tc>
          <w:tcPr>
            <w:tcW w:w="2381" w:type="pct"/>
            <w:tcBorders>
              <w:top w:val="nil"/>
              <w:left w:val="nil"/>
              <w:bottom w:val="single" w:sz="4" w:space="0" w:color="002060"/>
              <w:right w:val="nil"/>
            </w:tcBorders>
            <w:shd w:val="clear" w:color="auto" w:fill="FFFFFF" w:themeFill="background1"/>
            <w:noWrap/>
            <w:vAlign w:val="center"/>
            <w:hideMark/>
          </w:tcPr>
          <w:p w14:paraId="58171CAE" w14:textId="77777777" w:rsidR="006D0778" w:rsidRPr="00AD7E7D" w:rsidRDefault="006D0778" w:rsidP="006D0778">
            <w:pPr>
              <w:spacing w:after="0"/>
              <w:jc w:val="left"/>
              <w:rPr>
                <w:rFonts w:eastAsia="Times New Roman" w:cs="Times New Roman"/>
                <w:b/>
                <w:bCs/>
                <w:szCs w:val="24"/>
              </w:rPr>
            </w:pPr>
            <w:r w:rsidRPr="00AD7E7D">
              <w:rPr>
                <w:rFonts w:eastAsia="Times New Roman" w:cs="Times New Roman"/>
                <w:b/>
                <w:bCs/>
                <w:szCs w:val="24"/>
              </w:rPr>
              <w:t>Број ДП која су остварила губитак</w:t>
            </w:r>
          </w:p>
        </w:tc>
        <w:tc>
          <w:tcPr>
            <w:tcW w:w="622" w:type="pct"/>
            <w:tcBorders>
              <w:top w:val="nil"/>
              <w:left w:val="nil"/>
              <w:bottom w:val="single" w:sz="4" w:space="0" w:color="002060"/>
              <w:right w:val="nil"/>
            </w:tcBorders>
            <w:shd w:val="clear" w:color="auto" w:fill="FFFFFF" w:themeFill="background1"/>
            <w:noWrap/>
            <w:vAlign w:val="center"/>
            <w:hideMark/>
          </w:tcPr>
          <w:p w14:paraId="09B42C76" w14:textId="77777777" w:rsidR="006D0778" w:rsidRPr="00AD7E7D" w:rsidRDefault="006D0778" w:rsidP="006D0778">
            <w:pPr>
              <w:spacing w:after="0"/>
              <w:jc w:val="center"/>
              <w:rPr>
                <w:rFonts w:eastAsia="Times New Roman" w:cs="Times New Roman"/>
                <w:b/>
                <w:bCs/>
                <w:szCs w:val="24"/>
              </w:rPr>
            </w:pPr>
            <w:r w:rsidRPr="00AD7E7D">
              <w:rPr>
                <w:rFonts w:eastAsia="Times New Roman" w:cs="Times New Roman"/>
                <w:b/>
                <w:bCs/>
                <w:szCs w:val="24"/>
              </w:rPr>
              <w:t>10</w:t>
            </w:r>
          </w:p>
        </w:tc>
        <w:tc>
          <w:tcPr>
            <w:tcW w:w="622" w:type="pct"/>
            <w:tcBorders>
              <w:top w:val="nil"/>
              <w:left w:val="nil"/>
              <w:bottom w:val="single" w:sz="4" w:space="0" w:color="002060"/>
              <w:right w:val="nil"/>
            </w:tcBorders>
            <w:shd w:val="clear" w:color="auto" w:fill="FFFFFF" w:themeFill="background1"/>
            <w:noWrap/>
            <w:vAlign w:val="center"/>
            <w:hideMark/>
          </w:tcPr>
          <w:p w14:paraId="601A57E6" w14:textId="77777777" w:rsidR="006D0778" w:rsidRPr="00AD7E7D" w:rsidRDefault="006D0778" w:rsidP="006D0778">
            <w:pPr>
              <w:spacing w:after="0"/>
              <w:jc w:val="center"/>
              <w:rPr>
                <w:rFonts w:eastAsia="Times New Roman" w:cs="Times New Roman"/>
                <w:b/>
                <w:bCs/>
                <w:szCs w:val="24"/>
              </w:rPr>
            </w:pPr>
            <w:r w:rsidRPr="00AD7E7D">
              <w:rPr>
                <w:rFonts w:eastAsia="Times New Roman" w:cs="Times New Roman"/>
                <w:b/>
                <w:bCs/>
                <w:szCs w:val="24"/>
              </w:rPr>
              <w:t>11</w:t>
            </w:r>
          </w:p>
        </w:tc>
        <w:tc>
          <w:tcPr>
            <w:tcW w:w="622" w:type="pct"/>
            <w:tcBorders>
              <w:top w:val="nil"/>
              <w:left w:val="nil"/>
              <w:bottom w:val="single" w:sz="4" w:space="0" w:color="002060"/>
              <w:right w:val="nil"/>
            </w:tcBorders>
            <w:shd w:val="clear" w:color="auto" w:fill="FFFFFF" w:themeFill="background1"/>
            <w:noWrap/>
            <w:vAlign w:val="center"/>
            <w:hideMark/>
          </w:tcPr>
          <w:p w14:paraId="6DAAF2C3" w14:textId="77777777" w:rsidR="006D0778" w:rsidRPr="00AD7E7D" w:rsidRDefault="006D0778" w:rsidP="006D0778">
            <w:pPr>
              <w:spacing w:after="0"/>
              <w:jc w:val="center"/>
              <w:rPr>
                <w:rFonts w:eastAsia="Times New Roman" w:cs="Times New Roman"/>
                <w:b/>
                <w:bCs/>
                <w:szCs w:val="24"/>
              </w:rPr>
            </w:pPr>
            <w:r w:rsidRPr="00AD7E7D">
              <w:rPr>
                <w:rFonts w:eastAsia="Times New Roman" w:cs="Times New Roman"/>
                <w:b/>
                <w:bCs/>
                <w:szCs w:val="24"/>
              </w:rPr>
              <w:t>8</w:t>
            </w:r>
          </w:p>
        </w:tc>
        <w:tc>
          <w:tcPr>
            <w:tcW w:w="753" w:type="pct"/>
            <w:tcBorders>
              <w:top w:val="nil"/>
              <w:left w:val="nil"/>
              <w:bottom w:val="single" w:sz="4" w:space="0" w:color="002060"/>
              <w:right w:val="nil"/>
            </w:tcBorders>
            <w:shd w:val="clear" w:color="auto" w:fill="FFFFFF" w:themeFill="background1"/>
            <w:noWrap/>
            <w:vAlign w:val="center"/>
            <w:hideMark/>
          </w:tcPr>
          <w:p w14:paraId="5230055F" w14:textId="77777777" w:rsidR="006D0778" w:rsidRPr="00AD7E7D" w:rsidRDefault="006D0778" w:rsidP="006D0778">
            <w:pPr>
              <w:spacing w:after="0"/>
              <w:jc w:val="center"/>
              <w:rPr>
                <w:rFonts w:eastAsia="Times New Roman" w:cs="Times New Roman"/>
                <w:b/>
                <w:bCs/>
                <w:szCs w:val="24"/>
              </w:rPr>
            </w:pPr>
            <w:r w:rsidRPr="00AD7E7D">
              <w:rPr>
                <w:rFonts w:eastAsia="Times New Roman" w:cs="Times New Roman"/>
                <w:b/>
                <w:bCs/>
                <w:szCs w:val="24"/>
              </w:rPr>
              <w:t>14</w:t>
            </w:r>
          </w:p>
        </w:tc>
      </w:tr>
    </w:tbl>
    <w:p w14:paraId="2ECB42AE" w14:textId="77777777" w:rsidR="006D0778" w:rsidRPr="00010E52" w:rsidRDefault="006D0778" w:rsidP="00010E52">
      <w:pPr>
        <w:spacing w:before="40" w:after="180" w:line="276" w:lineRule="auto"/>
        <w:rPr>
          <w:rFonts w:eastAsia="MS PGothic" w:cs="Times New Roman"/>
          <w:sz w:val="22"/>
          <w:szCs w:val="24"/>
          <w:lang w:eastAsia="ja-JP"/>
        </w:rPr>
      </w:pPr>
      <w:r w:rsidRPr="00010E52">
        <w:rPr>
          <w:rFonts w:eastAsia="MS PGothic" w:cs="Times New Roman"/>
          <w:sz w:val="22"/>
          <w:szCs w:val="24"/>
          <w:lang w:eastAsia="ja-JP"/>
        </w:rPr>
        <w:t>Извор: Финансијски извештаји (АПР) и квартални извештај за 2024. годину</w:t>
      </w:r>
    </w:p>
    <w:p w14:paraId="46C9DC69" w14:textId="77777777" w:rsidR="006D0778" w:rsidRPr="00AD7E7D" w:rsidRDefault="006D0778" w:rsidP="006D0778">
      <w:pPr>
        <w:spacing w:after="240"/>
        <w:rPr>
          <w:rFonts w:eastAsia="MS PGothic" w:cs="Times New Roman"/>
          <w:szCs w:val="24"/>
          <w:lang w:eastAsia="ja-JP"/>
        </w:rPr>
      </w:pPr>
      <w:r w:rsidRPr="00AD7E7D">
        <w:rPr>
          <w:rFonts w:eastAsia="MS PGothic" w:cs="Times New Roman"/>
          <w:szCs w:val="24"/>
          <w:lang w:eastAsia="ja-JP"/>
        </w:rPr>
        <w:t>Највећи део субвенција предузећа углавном користе за капиталне пројекте, док одређени број предузећа користи и за одржавање текуће ликвидности. Учешће исплаћених субвенција у укупним расходима буџета из године у годину креће се у распону 3-4%.</w:t>
      </w:r>
    </w:p>
    <w:p w14:paraId="491981C2" w14:textId="77777777" w:rsidR="006D0778" w:rsidRPr="00010E52" w:rsidRDefault="006D0778" w:rsidP="006D0778">
      <w:pPr>
        <w:jc w:val="left"/>
        <w:rPr>
          <w:rFonts w:eastAsia="MS PGothic" w:cs="Times New Roman"/>
          <w:i/>
          <w:szCs w:val="24"/>
          <w:lang w:eastAsia="ja-JP"/>
        </w:rPr>
      </w:pPr>
      <w:r w:rsidRPr="00010E52">
        <w:rPr>
          <w:rFonts w:eastAsia="MS PGothic" w:cs="Times New Roman"/>
          <w:i/>
          <w:szCs w:val="24"/>
          <w:lang w:eastAsia="ja-JP"/>
        </w:rPr>
        <w:t>Табела 1</w:t>
      </w:r>
      <w:r w:rsidR="006C46A3">
        <w:rPr>
          <w:rFonts w:eastAsia="MS PGothic" w:cs="Times New Roman"/>
          <w:i/>
          <w:szCs w:val="24"/>
          <w:lang w:eastAsia="ja-JP"/>
        </w:rPr>
        <w:t>4</w:t>
      </w:r>
      <w:r w:rsidRPr="00010E52">
        <w:rPr>
          <w:rFonts w:eastAsia="MS PGothic" w:cs="Times New Roman"/>
          <w:i/>
          <w:szCs w:val="24"/>
          <w:lang w:eastAsia="ja-JP"/>
        </w:rPr>
        <w:t>. Преглед корисника субвенције (36 ДП) и њихово учешће у укупним расходима буџета РС</w:t>
      </w:r>
    </w:p>
    <w:tbl>
      <w:tblPr>
        <w:tblW w:w="5000" w:type="pct"/>
        <w:tblLook w:val="04A0" w:firstRow="1" w:lastRow="0" w:firstColumn="1" w:lastColumn="0" w:noHBand="0" w:noVBand="1"/>
      </w:tblPr>
      <w:tblGrid>
        <w:gridCol w:w="4491"/>
        <w:gridCol w:w="1133"/>
        <w:gridCol w:w="1134"/>
        <w:gridCol w:w="1134"/>
        <w:gridCol w:w="1134"/>
      </w:tblGrid>
      <w:tr w:rsidR="006D0778" w:rsidRPr="00AD7E7D" w14:paraId="7633D9CB" w14:textId="77777777" w:rsidTr="00D2109C">
        <w:trPr>
          <w:trHeight w:val="20"/>
        </w:trPr>
        <w:tc>
          <w:tcPr>
            <w:tcW w:w="2348" w:type="pct"/>
            <w:tcBorders>
              <w:top w:val="single" w:sz="4" w:space="0" w:color="002060"/>
              <w:left w:val="nil"/>
              <w:bottom w:val="single" w:sz="4" w:space="0" w:color="002060"/>
              <w:right w:val="nil"/>
            </w:tcBorders>
            <w:shd w:val="clear" w:color="auto" w:fill="FFFFFF" w:themeFill="background1"/>
            <w:noWrap/>
            <w:vAlign w:val="center"/>
            <w:hideMark/>
          </w:tcPr>
          <w:p w14:paraId="7293D29B" w14:textId="77777777" w:rsidR="006D0778" w:rsidRPr="00AD7E7D" w:rsidRDefault="006D0778" w:rsidP="006D0778">
            <w:pPr>
              <w:spacing w:after="0"/>
              <w:jc w:val="center"/>
              <w:rPr>
                <w:rFonts w:eastAsia="Times New Roman" w:cs="Times New Roman"/>
                <w:b/>
                <w:bCs/>
                <w:szCs w:val="24"/>
              </w:rPr>
            </w:pPr>
            <w:r w:rsidRPr="00AD7E7D">
              <w:rPr>
                <w:rFonts w:eastAsia="Times New Roman" w:cs="Times New Roman"/>
                <w:b/>
                <w:bCs/>
                <w:szCs w:val="24"/>
              </w:rPr>
              <w:t>Године</w:t>
            </w:r>
          </w:p>
        </w:tc>
        <w:tc>
          <w:tcPr>
            <w:tcW w:w="663" w:type="pct"/>
            <w:tcBorders>
              <w:top w:val="single" w:sz="4" w:space="0" w:color="002060"/>
              <w:left w:val="nil"/>
              <w:bottom w:val="single" w:sz="4" w:space="0" w:color="002060"/>
              <w:right w:val="nil"/>
            </w:tcBorders>
            <w:shd w:val="clear" w:color="auto" w:fill="FFFFFF" w:themeFill="background1"/>
            <w:noWrap/>
            <w:vAlign w:val="center"/>
            <w:hideMark/>
          </w:tcPr>
          <w:p w14:paraId="2C036A10" w14:textId="77777777" w:rsidR="006D0778" w:rsidRPr="00AD7E7D" w:rsidRDefault="006D0778" w:rsidP="006D0778">
            <w:pPr>
              <w:spacing w:after="0"/>
              <w:jc w:val="center"/>
              <w:rPr>
                <w:rFonts w:eastAsia="Times New Roman" w:cs="Times New Roman"/>
                <w:b/>
                <w:bCs/>
                <w:szCs w:val="24"/>
              </w:rPr>
            </w:pPr>
            <w:r w:rsidRPr="00AD7E7D">
              <w:rPr>
                <w:rFonts w:eastAsia="Times New Roman" w:cs="Times New Roman"/>
                <w:b/>
                <w:bCs/>
                <w:szCs w:val="24"/>
              </w:rPr>
              <w:t>2020</w:t>
            </w:r>
          </w:p>
        </w:tc>
        <w:tc>
          <w:tcPr>
            <w:tcW w:w="663" w:type="pct"/>
            <w:tcBorders>
              <w:top w:val="single" w:sz="4" w:space="0" w:color="002060"/>
              <w:left w:val="nil"/>
              <w:bottom w:val="single" w:sz="4" w:space="0" w:color="002060"/>
              <w:right w:val="nil"/>
            </w:tcBorders>
            <w:shd w:val="clear" w:color="auto" w:fill="FFFFFF" w:themeFill="background1"/>
            <w:noWrap/>
            <w:vAlign w:val="center"/>
            <w:hideMark/>
          </w:tcPr>
          <w:p w14:paraId="1A08B511" w14:textId="77777777" w:rsidR="006D0778" w:rsidRPr="00AD7E7D" w:rsidRDefault="006D0778" w:rsidP="006D0778">
            <w:pPr>
              <w:spacing w:after="0"/>
              <w:jc w:val="center"/>
              <w:rPr>
                <w:rFonts w:eastAsia="Times New Roman" w:cs="Times New Roman"/>
                <w:b/>
                <w:bCs/>
                <w:szCs w:val="24"/>
              </w:rPr>
            </w:pPr>
            <w:r w:rsidRPr="00AD7E7D">
              <w:rPr>
                <w:rFonts w:eastAsia="Times New Roman" w:cs="Times New Roman"/>
                <w:b/>
                <w:bCs/>
                <w:szCs w:val="24"/>
              </w:rPr>
              <w:t>2021</w:t>
            </w:r>
          </w:p>
        </w:tc>
        <w:tc>
          <w:tcPr>
            <w:tcW w:w="663" w:type="pct"/>
            <w:tcBorders>
              <w:top w:val="single" w:sz="4" w:space="0" w:color="002060"/>
              <w:left w:val="nil"/>
              <w:bottom w:val="single" w:sz="4" w:space="0" w:color="002060"/>
              <w:right w:val="nil"/>
            </w:tcBorders>
            <w:shd w:val="clear" w:color="auto" w:fill="FFFFFF" w:themeFill="background1"/>
            <w:noWrap/>
            <w:vAlign w:val="center"/>
            <w:hideMark/>
          </w:tcPr>
          <w:p w14:paraId="5B170B11" w14:textId="77777777" w:rsidR="006D0778" w:rsidRPr="00AD7E7D" w:rsidRDefault="006D0778" w:rsidP="006D0778">
            <w:pPr>
              <w:spacing w:after="0"/>
              <w:jc w:val="center"/>
              <w:rPr>
                <w:rFonts w:eastAsia="Times New Roman" w:cs="Times New Roman"/>
                <w:b/>
                <w:bCs/>
                <w:szCs w:val="24"/>
              </w:rPr>
            </w:pPr>
            <w:r w:rsidRPr="00AD7E7D">
              <w:rPr>
                <w:rFonts w:eastAsia="Times New Roman" w:cs="Times New Roman"/>
                <w:b/>
                <w:bCs/>
                <w:szCs w:val="24"/>
              </w:rPr>
              <w:t>2022</w:t>
            </w:r>
          </w:p>
        </w:tc>
        <w:tc>
          <w:tcPr>
            <w:tcW w:w="663" w:type="pct"/>
            <w:tcBorders>
              <w:top w:val="single" w:sz="4" w:space="0" w:color="002060"/>
              <w:left w:val="nil"/>
              <w:bottom w:val="single" w:sz="4" w:space="0" w:color="002060"/>
              <w:right w:val="nil"/>
            </w:tcBorders>
            <w:shd w:val="clear" w:color="auto" w:fill="FFFFFF" w:themeFill="background1"/>
            <w:noWrap/>
            <w:vAlign w:val="center"/>
            <w:hideMark/>
          </w:tcPr>
          <w:p w14:paraId="1E10665E" w14:textId="77777777" w:rsidR="006D0778" w:rsidRPr="00AD7E7D" w:rsidRDefault="006D0778" w:rsidP="006D0778">
            <w:pPr>
              <w:spacing w:after="0"/>
              <w:jc w:val="center"/>
              <w:rPr>
                <w:rFonts w:eastAsia="Times New Roman" w:cs="Times New Roman"/>
                <w:b/>
                <w:bCs/>
                <w:szCs w:val="24"/>
              </w:rPr>
            </w:pPr>
            <w:r w:rsidRPr="00AD7E7D">
              <w:rPr>
                <w:rFonts w:eastAsia="Times New Roman" w:cs="Times New Roman"/>
                <w:b/>
                <w:bCs/>
                <w:szCs w:val="24"/>
              </w:rPr>
              <w:t>2023</w:t>
            </w:r>
          </w:p>
        </w:tc>
      </w:tr>
      <w:tr w:rsidR="006D0778" w:rsidRPr="00AD7E7D" w14:paraId="542FB2B8" w14:textId="77777777" w:rsidTr="00D2109C">
        <w:trPr>
          <w:trHeight w:val="20"/>
        </w:trPr>
        <w:tc>
          <w:tcPr>
            <w:tcW w:w="2348" w:type="pct"/>
            <w:tcBorders>
              <w:top w:val="nil"/>
              <w:left w:val="nil"/>
              <w:bottom w:val="nil"/>
              <w:right w:val="nil"/>
            </w:tcBorders>
            <w:shd w:val="clear" w:color="000000" w:fill="FFFFFF"/>
            <w:noWrap/>
            <w:vAlign w:val="center"/>
            <w:hideMark/>
          </w:tcPr>
          <w:p w14:paraId="3E37430C" w14:textId="77777777" w:rsidR="006D0778" w:rsidRPr="00AD7E7D" w:rsidRDefault="006D0778" w:rsidP="006D0778">
            <w:pPr>
              <w:spacing w:after="0"/>
              <w:jc w:val="left"/>
              <w:rPr>
                <w:rFonts w:eastAsia="Times New Roman" w:cs="Times New Roman"/>
                <w:szCs w:val="24"/>
              </w:rPr>
            </w:pPr>
            <w:r w:rsidRPr="00AD7E7D">
              <w:rPr>
                <w:rFonts w:eastAsia="Times New Roman" w:cs="Times New Roman"/>
                <w:szCs w:val="24"/>
              </w:rPr>
              <w:t>Број корисника субвенција (од 36 ДП)</w:t>
            </w:r>
          </w:p>
        </w:tc>
        <w:tc>
          <w:tcPr>
            <w:tcW w:w="663" w:type="pct"/>
            <w:tcBorders>
              <w:top w:val="nil"/>
              <w:left w:val="nil"/>
              <w:bottom w:val="nil"/>
              <w:right w:val="nil"/>
            </w:tcBorders>
            <w:shd w:val="clear" w:color="000000" w:fill="FFFFFF"/>
            <w:noWrap/>
            <w:vAlign w:val="center"/>
            <w:hideMark/>
          </w:tcPr>
          <w:p w14:paraId="6913F867"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23</w:t>
            </w:r>
          </w:p>
        </w:tc>
        <w:tc>
          <w:tcPr>
            <w:tcW w:w="663" w:type="pct"/>
            <w:tcBorders>
              <w:top w:val="nil"/>
              <w:left w:val="nil"/>
              <w:bottom w:val="nil"/>
              <w:right w:val="nil"/>
            </w:tcBorders>
            <w:shd w:val="clear" w:color="000000" w:fill="FFFFFF"/>
            <w:noWrap/>
            <w:vAlign w:val="center"/>
            <w:hideMark/>
          </w:tcPr>
          <w:p w14:paraId="3E2D677A"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25</w:t>
            </w:r>
          </w:p>
        </w:tc>
        <w:tc>
          <w:tcPr>
            <w:tcW w:w="663" w:type="pct"/>
            <w:tcBorders>
              <w:top w:val="nil"/>
              <w:left w:val="nil"/>
              <w:bottom w:val="nil"/>
              <w:right w:val="nil"/>
            </w:tcBorders>
            <w:shd w:val="clear" w:color="000000" w:fill="FFFFFF"/>
            <w:noWrap/>
            <w:vAlign w:val="center"/>
            <w:hideMark/>
          </w:tcPr>
          <w:p w14:paraId="6EE787E9"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25</w:t>
            </w:r>
          </w:p>
        </w:tc>
        <w:tc>
          <w:tcPr>
            <w:tcW w:w="663" w:type="pct"/>
            <w:tcBorders>
              <w:top w:val="nil"/>
              <w:left w:val="nil"/>
              <w:bottom w:val="nil"/>
              <w:right w:val="nil"/>
            </w:tcBorders>
            <w:shd w:val="clear" w:color="000000" w:fill="FFFFFF"/>
            <w:noWrap/>
            <w:vAlign w:val="center"/>
            <w:hideMark/>
          </w:tcPr>
          <w:p w14:paraId="4355F89F"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27</w:t>
            </w:r>
          </w:p>
        </w:tc>
      </w:tr>
      <w:tr w:rsidR="006D0778" w:rsidRPr="00AD7E7D" w14:paraId="6D9F4D82" w14:textId="77777777" w:rsidTr="00D2109C">
        <w:trPr>
          <w:trHeight w:val="20"/>
        </w:trPr>
        <w:tc>
          <w:tcPr>
            <w:tcW w:w="2348" w:type="pct"/>
            <w:tcBorders>
              <w:top w:val="nil"/>
              <w:left w:val="nil"/>
              <w:bottom w:val="nil"/>
              <w:right w:val="nil"/>
            </w:tcBorders>
            <w:shd w:val="clear" w:color="000000" w:fill="FFFFFF"/>
            <w:noWrap/>
            <w:vAlign w:val="center"/>
            <w:hideMark/>
          </w:tcPr>
          <w:p w14:paraId="44E81735" w14:textId="77777777" w:rsidR="006D0778" w:rsidRPr="00AD7E7D" w:rsidRDefault="006D0778" w:rsidP="006D0778">
            <w:pPr>
              <w:spacing w:after="0"/>
              <w:jc w:val="left"/>
              <w:rPr>
                <w:rFonts w:eastAsia="Times New Roman" w:cs="Times New Roman"/>
                <w:szCs w:val="24"/>
              </w:rPr>
            </w:pPr>
            <w:r w:rsidRPr="00AD7E7D">
              <w:rPr>
                <w:rFonts w:eastAsia="Times New Roman" w:cs="Times New Roman"/>
                <w:szCs w:val="24"/>
              </w:rPr>
              <w:t>Исплаћене субвенције (млрд РСД)</w:t>
            </w:r>
          </w:p>
        </w:tc>
        <w:tc>
          <w:tcPr>
            <w:tcW w:w="663" w:type="pct"/>
            <w:tcBorders>
              <w:top w:val="nil"/>
              <w:left w:val="nil"/>
              <w:bottom w:val="nil"/>
              <w:right w:val="nil"/>
            </w:tcBorders>
            <w:shd w:val="clear" w:color="000000" w:fill="FFFFFF"/>
            <w:noWrap/>
            <w:vAlign w:val="center"/>
            <w:hideMark/>
          </w:tcPr>
          <w:p w14:paraId="16CF2858"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66,7</w:t>
            </w:r>
          </w:p>
        </w:tc>
        <w:tc>
          <w:tcPr>
            <w:tcW w:w="663" w:type="pct"/>
            <w:tcBorders>
              <w:top w:val="nil"/>
              <w:left w:val="nil"/>
              <w:bottom w:val="nil"/>
              <w:right w:val="nil"/>
            </w:tcBorders>
            <w:shd w:val="clear" w:color="000000" w:fill="FFFFFF"/>
            <w:noWrap/>
            <w:vAlign w:val="center"/>
            <w:hideMark/>
          </w:tcPr>
          <w:p w14:paraId="244B7483"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67,3</w:t>
            </w:r>
          </w:p>
        </w:tc>
        <w:tc>
          <w:tcPr>
            <w:tcW w:w="663" w:type="pct"/>
            <w:tcBorders>
              <w:top w:val="nil"/>
              <w:left w:val="nil"/>
              <w:bottom w:val="nil"/>
              <w:right w:val="nil"/>
            </w:tcBorders>
            <w:shd w:val="clear" w:color="000000" w:fill="FFFFFF"/>
            <w:noWrap/>
            <w:vAlign w:val="center"/>
            <w:hideMark/>
          </w:tcPr>
          <w:p w14:paraId="7DC1966F"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56,0</w:t>
            </w:r>
          </w:p>
        </w:tc>
        <w:tc>
          <w:tcPr>
            <w:tcW w:w="663" w:type="pct"/>
            <w:tcBorders>
              <w:top w:val="nil"/>
              <w:left w:val="nil"/>
              <w:bottom w:val="nil"/>
              <w:right w:val="nil"/>
            </w:tcBorders>
            <w:shd w:val="clear" w:color="000000" w:fill="FFFFFF"/>
            <w:noWrap/>
            <w:vAlign w:val="center"/>
            <w:hideMark/>
          </w:tcPr>
          <w:p w14:paraId="06B52028"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67,9</w:t>
            </w:r>
          </w:p>
        </w:tc>
      </w:tr>
      <w:tr w:rsidR="006D0778" w:rsidRPr="00AD7E7D" w14:paraId="3A724FE9" w14:textId="77777777" w:rsidTr="00D2109C">
        <w:trPr>
          <w:trHeight w:val="20"/>
        </w:trPr>
        <w:tc>
          <w:tcPr>
            <w:tcW w:w="2348" w:type="pct"/>
            <w:tcBorders>
              <w:top w:val="nil"/>
              <w:left w:val="nil"/>
              <w:bottom w:val="nil"/>
              <w:right w:val="nil"/>
            </w:tcBorders>
            <w:shd w:val="clear" w:color="000000" w:fill="FFFFFF"/>
            <w:noWrap/>
            <w:vAlign w:val="center"/>
            <w:hideMark/>
          </w:tcPr>
          <w:p w14:paraId="136D7029" w14:textId="77777777" w:rsidR="006D0778" w:rsidRPr="00AD7E7D" w:rsidRDefault="006D0778" w:rsidP="006D0778">
            <w:pPr>
              <w:spacing w:after="0"/>
              <w:jc w:val="left"/>
              <w:rPr>
                <w:rFonts w:eastAsia="Times New Roman" w:cs="Times New Roman"/>
                <w:szCs w:val="24"/>
              </w:rPr>
            </w:pPr>
            <w:r w:rsidRPr="00AD7E7D">
              <w:rPr>
                <w:rFonts w:eastAsia="Times New Roman" w:cs="Times New Roman"/>
                <w:szCs w:val="24"/>
              </w:rPr>
              <w:t>Укупни расходи буџета РС (млрд РСД)</w:t>
            </w:r>
          </w:p>
        </w:tc>
        <w:tc>
          <w:tcPr>
            <w:tcW w:w="663" w:type="pct"/>
            <w:tcBorders>
              <w:top w:val="nil"/>
              <w:left w:val="nil"/>
              <w:bottom w:val="nil"/>
              <w:right w:val="nil"/>
            </w:tcBorders>
            <w:shd w:val="clear" w:color="000000" w:fill="FFFFFF"/>
            <w:noWrap/>
            <w:vAlign w:val="center"/>
            <w:hideMark/>
          </w:tcPr>
          <w:p w14:paraId="68749927"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1.717</w:t>
            </w:r>
          </w:p>
        </w:tc>
        <w:tc>
          <w:tcPr>
            <w:tcW w:w="663" w:type="pct"/>
            <w:tcBorders>
              <w:top w:val="nil"/>
              <w:left w:val="nil"/>
              <w:bottom w:val="nil"/>
              <w:right w:val="nil"/>
            </w:tcBorders>
            <w:shd w:val="clear" w:color="000000" w:fill="FFFFFF"/>
            <w:noWrap/>
            <w:vAlign w:val="center"/>
            <w:hideMark/>
          </w:tcPr>
          <w:p w14:paraId="5C245937"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1.751</w:t>
            </w:r>
          </w:p>
        </w:tc>
        <w:tc>
          <w:tcPr>
            <w:tcW w:w="663" w:type="pct"/>
            <w:tcBorders>
              <w:top w:val="nil"/>
              <w:left w:val="nil"/>
              <w:bottom w:val="nil"/>
              <w:right w:val="nil"/>
            </w:tcBorders>
            <w:shd w:val="clear" w:color="000000" w:fill="FFFFFF"/>
            <w:noWrap/>
            <w:vAlign w:val="center"/>
            <w:hideMark/>
          </w:tcPr>
          <w:p w14:paraId="797F69F8"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1.915</w:t>
            </w:r>
          </w:p>
        </w:tc>
        <w:tc>
          <w:tcPr>
            <w:tcW w:w="663" w:type="pct"/>
            <w:tcBorders>
              <w:top w:val="nil"/>
              <w:left w:val="nil"/>
              <w:bottom w:val="nil"/>
              <w:right w:val="nil"/>
            </w:tcBorders>
            <w:shd w:val="clear" w:color="000000" w:fill="FFFFFF"/>
            <w:noWrap/>
            <w:vAlign w:val="center"/>
            <w:hideMark/>
          </w:tcPr>
          <w:p w14:paraId="28114AE1"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2.068</w:t>
            </w:r>
          </w:p>
        </w:tc>
      </w:tr>
      <w:tr w:rsidR="006D0778" w:rsidRPr="00AD7E7D" w14:paraId="003A280D" w14:textId="77777777" w:rsidTr="00D2109C">
        <w:trPr>
          <w:trHeight w:val="20"/>
        </w:trPr>
        <w:tc>
          <w:tcPr>
            <w:tcW w:w="2348" w:type="pct"/>
            <w:tcBorders>
              <w:top w:val="nil"/>
              <w:left w:val="nil"/>
              <w:bottom w:val="single" w:sz="4" w:space="0" w:color="002060"/>
              <w:right w:val="nil"/>
            </w:tcBorders>
            <w:shd w:val="clear" w:color="000000" w:fill="FFFFFF"/>
            <w:noWrap/>
            <w:vAlign w:val="center"/>
            <w:hideMark/>
          </w:tcPr>
          <w:p w14:paraId="4E7083FF" w14:textId="77777777" w:rsidR="006D0778" w:rsidRPr="00AD7E7D" w:rsidRDefault="006D0778" w:rsidP="006D0778">
            <w:pPr>
              <w:spacing w:after="0"/>
              <w:jc w:val="left"/>
              <w:rPr>
                <w:rFonts w:eastAsia="Times New Roman" w:cs="Times New Roman"/>
                <w:b/>
                <w:bCs/>
                <w:i/>
                <w:iCs/>
                <w:szCs w:val="24"/>
              </w:rPr>
            </w:pPr>
            <w:r w:rsidRPr="00AD7E7D">
              <w:rPr>
                <w:rFonts w:eastAsia="Times New Roman" w:cs="Times New Roman"/>
                <w:b/>
                <w:bCs/>
                <w:i/>
                <w:iCs/>
                <w:szCs w:val="24"/>
              </w:rPr>
              <w:t>% исплаћене субвенције/расходи буџета</w:t>
            </w:r>
          </w:p>
        </w:tc>
        <w:tc>
          <w:tcPr>
            <w:tcW w:w="663" w:type="pct"/>
            <w:tcBorders>
              <w:top w:val="nil"/>
              <w:left w:val="nil"/>
              <w:bottom w:val="single" w:sz="4" w:space="0" w:color="002060"/>
              <w:right w:val="nil"/>
            </w:tcBorders>
            <w:shd w:val="clear" w:color="000000" w:fill="FFFFFF"/>
            <w:noWrap/>
            <w:vAlign w:val="center"/>
            <w:hideMark/>
          </w:tcPr>
          <w:p w14:paraId="4D84AC1F" w14:textId="77777777" w:rsidR="006D0778" w:rsidRPr="00AD7E7D" w:rsidRDefault="006D0778" w:rsidP="006D0778">
            <w:pPr>
              <w:spacing w:after="0"/>
              <w:jc w:val="center"/>
              <w:rPr>
                <w:rFonts w:eastAsia="Times New Roman" w:cs="Times New Roman"/>
                <w:b/>
                <w:bCs/>
                <w:i/>
                <w:iCs/>
                <w:szCs w:val="24"/>
              </w:rPr>
            </w:pPr>
            <w:r w:rsidRPr="00AD7E7D">
              <w:rPr>
                <w:rFonts w:eastAsia="Times New Roman" w:cs="Times New Roman"/>
                <w:b/>
                <w:bCs/>
                <w:i/>
                <w:iCs/>
                <w:szCs w:val="24"/>
              </w:rPr>
              <w:t>3,9%</w:t>
            </w:r>
          </w:p>
        </w:tc>
        <w:tc>
          <w:tcPr>
            <w:tcW w:w="663" w:type="pct"/>
            <w:tcBorders>
              <w:top w:val="nil"/>
              <w:left w:val="nil"/>
              <w:bottom w:val="single" w:sz="4" w:space="0" w:color="002060"/>
              <w:right w:val="nil"/>
            </w:tcBorders>
            <w:shd w:val="clear" w:color="000000" w:fill="FFFFFF"/>
            <w:noWrap/>
            <w:vAlign w:val="center"/>
            <w:hideMark/>
          </w:tcPr>
          <w:p w14:paraId="75CBFCF9" w14:textId="77777777" w:rsidR="006D0778" w:rsidRPr="00AD7E7D" w:rsidRDefault="006D0778" w:rsidP="006D0778">
            <w:pPr>
              <w:spacing w:after="0"/>
              <w:jc w:val="center"/>
              <w:rPr>
                <w:rFonts w:eastAsia="Times New Roman" w:cs="Times New Roman"/>
                <w:b/>
                <w:bCs/>
                <w:i/>
                <w:iCs/>
                <w:szCs w:val="24"/>
              </w:rPr>
            </w:pPr>
            <w:r w:rsidRPr="00AD7E7D">
              <w:rPr>
                <w:rFonts w:eastAsia="Times New Roman" w:cs="Times New Roman"/>
                <w:b/>
                <w:bCs/>
                <w:i/>
                <w:iCs/>
                <w:szCs w:val="24"/>
              </w:rPr>
              <w:t>3,8%</w:t>
            </w:r>
          </w:p>
        </w:tc>
        <w:tc>
          <w:tcPr>
            <w:tcW w:w="663" w:type="pct"/>
            <w:tcBorders>
              <w:top w:val="nil"/>
              <w:left w:val="nil"/>
              <w:bottom w:val="single" w:sz="4" w:space="0" w:color="002060"/>
              <w:right w:val="nil"/>
            </w:tcBorders>
            <w:shd w:val="clear" w:color="000000" w:fill="FFFFFF"/>
            <w:noWrap/>
            <w:vAlign w:val="center"/>
            <w:hideMark/>
          </w:tcPr>
          <w:p w14:paraId="2DB4C2E3" w14:textId="77777777" w:rsidR="006D0778" w:rsidRPr="00AD7E7D" w:rsidRDefault="006D0778" w:rsidP="006D0778">
            <w:pPr>
              <w:spacing w:after="0"/>
              <w:jc w:val="center"/>
              <w:rPr>
                <w:rFonts w:eastAsia="Times New Roman" w:cs="Times New Roman"/>
                <w:b/>
                <w:bCs/>
                <w:i/>
                <w:iCs/>
                <w:szCs w:val="24"/>
              </w:rPr>
            </w:pPr>
            <w:r w:rsidRPr="00AD7E7D">
              <w:rPr>
                <w:rFonts w:eastAsia="Times New Roman" w:cs="Times New Roman"/>
                <w:b/>
                <w:bCs/>
                <w:i/>
                <w:iCs/>
                <w:szCs w:val="24"/>
              </w:rPr>
              <w:t>2,9%</w:t>
            </w:r>
          </w:p>
        </w:tc>
        <w:tc>
          <w:tcPr>
            <w:tcW w:w="663" w:type="pct"/>
            <w:tcBorders>
              <w:top w:val="nil"/>
              <w:left w:val="nil"/>
              <w:bottom w:val="single" w:sz="4" w:space="0" w:color="002060"/>
              <w:right w:val="nil"/>
            </w:tcBorders>
            <w:shd w:val="clear" w:color="000000" w:fill="FFFFFF"/>
            <w:noWrap/>
            <w:vAlign w:val="center"/>
            <w:hideMark/>
          </w:tcPr>
          <w:p w14:paraId="0AA53DA2" w14:textId="77777777" w:rsidR="006D0778" w:rsidRPr="00AD7E7D" w:rsidRDefault="006D0778" w:rsidP="006D0778">
            <w:pPr>
              <w:spacing w:after="0"/>
              <w:jc w:val="center"/>
              <w:rPr>
                <w:rFonts w:eastAsia="Times New Roman" w:cs="Times New Roman"/>
                <w:b/>
                <w:bCs/>
                <w:i/>
                <w:iCs/>
                <w:szCs w:val="24"/>
              </w:rPr>
            </w:pPr>
            <w:r w:rsidRPr="00AD7E7D">
              <w:rPr>
                <w:rFonts w:eastAsia="Times New Roman" w:cs="Times New Roman"/>
                <w:b/>
                <w:bCs/>
                <w:i/>
                <w:iCs/>
                <w:szCs w:val="24"/>
              </w:rPr>
              <w:t>3,3%</w:t>
            </w:r>
          </w:p>
        </w:tc>
      </w:tr>
    </w:tbl>
    <w:p w14:paraId="521F370A" w14:textId="77777777" w:rsidR="006D0778" w:rsidRPr="00010E52" w:rsidRDefault="006D0778" w:rsidP="00010E52">
      <w:pPr>
        <w:spacing w:before="40" w:after="180" w:line="276" w:lineRule="auto"/>
        <w:rPr>
          <w:rFonts w:eastAsia="MS PGothic" w:cs="Times New Roman"/>
          <w:sz w:val="22"/>
          <w:szCs w:val="24"/>
          <w:lang w:eastAsia="ja-JP"/>
        </w:rPr>
      </w:pPr>
      <w:r w:rsidRPr="00010E52">
        <w:rPr>
          <w:rFonts w:eastAsia="MS PGothic" w:cs="Times New Roman"/>
          <w:sz w:val="22"/>
          <w:szCs w:val="24"/>
          <w:lang w:eastAsia="ja-JP"/>
        </w:rPr>
        <w:t xml:space="preserve"> Извор: Министарство финансија</w:t>
      </w:r>
    </w:p>
    <w:p w14:paraId="128F5CF1" w14:textId="77777777" w:rsidR="006D0778" w:rsidRPr="00AD7E7D" w:rsidRDefault="006D0778" w:rsidP="006D0778">
      <w:pPr>
        <w:rPr>
          <w:rFonts w:eastAsia="MS PGothic" w:cs="Times New Roman"/>
          <w:szCs w:val="24"/>
          <w:lang w:val="sr-Cyrl-RS" w:eastAsia="ja-JP"/>
        </w:rPr>
      </w:pPr>
      <w:r w:rsidRPr="00AD7E7D">
        <w:rPr>
          <w:rFonts w:eastAsia="MS PGothic" w:cs="Times New Roman"/>
          <w:szCs w:val="24"/>
          <w:lang w:val="sr-Cyrl-RS" w:eastAsia="ja-JP"/>
        </w:rPr>
        <w:t xml:space="preserve">Нови Закон о управљању привредним друштвима у власништву Републике Србије, чија je примена почела у септембру 2024. године, требало би да допринесе смањењу фискалних ризика и унапређењу рада државних предузећа. Овим законом ће се кроз централизовано управљање омогућити боље праћење рада државних предузећа, а промена правне форме јавних предузећа у акционарска друштва или друштва са ограниченом одговорношћу допринеће професионализацији корпоративног управљања, чиме ће се повећати економска ефикасност и конкурентност привреде. Општи циљ овог закона је да се створи одрживо и ефикасно управљање предузећима у власништву Републике Србије. </w:t>
      </w:r>
    </w:p>
    <w:p w14:paraId="20ED5767" w14:textId="77777777" w:rsidR="006D0778" w:rsidRPr="00AD7E7D" w:rsidRDefault="002B1F9D" w:rsidP="006D0778">
      <w:pPr>
        <w:rPr>
          <w:rFonts w:eastAsia="MS PGothic" w:cs="Times New Roman"/>
          <w:szCs w:val="24"/>
          <w:lang w:val="sr-Cyrl-RS" w:eastAsia="ja-JP"/>
        </w:rPr>
      </w:pPr>
      <w:r w:rsidRPr="00AD7E7D">
        <w:rPr>
          <w:rFonts w:eastAsia="MS PGothic" w:cs="Times New Roman"/>
          <w:szCs w:val="24"/>
          <w:lang w:val="sr-Cyrl-RS" w:eastAsia="ja-JP"/>
        </w:rPr>
        <w:t>Процена</w:t>
      </w:r>
      <w:r w:rsidR="006D0778" w:rsidRPr="00AD7E7D">
        <w:rPr>
          <w:rFonts w:eastAsia="MS PGothic" w:cs="Times New Roman"/>
          <w:szCs w:val="24"/>
          <w:lang w:val="sr-Cyrl-RS" w:eastAsia="ja-JP"/>
        </w:rPr>
        <w:t xml:space="preserve"> фискалних ризика државних предузећа</w:t>
      </w:r>
      <w:r w:rsidRPr="00AD7E7D">
        <w:rPr>
          <w:rFonts w:eastAsia="MS PGothic" w:cs="Times New Roman"/>
          <w:szCs w:val="24"/>
          <w:lang w:val="sr-Cyrl-RS" w:eastAsia="ja-JP"/>
        </w:rPr>
        <w:t xml:space="preserve"> израђује се</w:t>
      </w:r>
      <w:r w:rsidR="006D0778" w:rsidRPr="00AD7E7D">
        <w:rPr>
          <w:rFonts w:eastAsia="MS PGothic" w:cs="Times New Roman"/>
          <w:szCs w:val="24"/>
          <w:lang w:val="sr-Cyrl-RS" w:eastAsia="ja-JP"/>
        </w:rPr>
        <w:t xml:space="preserve"> уз помоћ Алтман З-скор модела. Поред основног модела користи се и прилагођени Алтман З" који се примењује углавном за тржишта у развоју, односно примењује се у оним земљама које немају развијено тржиште капитала. Прилагођени Алтман З"-скор модел представља линеарну комбинацију од 4 финансијска рацио показатеља којима су додељени одговарајући коефицијенти.</w:t>
      </w:r>
    </w:p>
    <w:p w14:paraId="4C3ED9B1" w14:textId="77777777" w:rsidR="006D0778" w:rsidRPr="00AD7E7D" w:rsidRDefault="006D0778" w:rsidP="006D0778">
      <w:pPr>
        <w:spacing w:before="160"/>
        <w:rPr>
          <w:rFonts w:eastAsia="MS PGothic" w:cs="Times New Roman"/>
          <w:szCs w:val="24"/>
          <w:lang w:eastAsia="ja-JP"/>
        </w:rPr>
      </w:pPr>
      <w:r w:rsidRPr="00AD7E7D">
        <w:rPr>
          <w:rFonts w:eastAsia="MS PGothic" w:cs="Times New Roman"/>
          <w:szCs w:val="24"/>
          <w:lang w:eastAsia="ja-JP"/>
        </w:rPr>
        <w:t>Према подацима из званичних финансијских извештаја достављених на дан 31. децембра 2023. године, од 36 државних предузећа, применом овог модела идентификовано је учешће 19,4% државних предузећа која су високоризична, 16,7% државних предузећа имају умерен ризик док преостала државна предузећа (63,9%) имају низак ризик у пословању. Државна предузећа код којих је идентификован висок ризик пословања су из енергетског сектора, железничког саобраћаја и грађевинско-техничке гране. Посматрано кроз годишње периоде, приметан је опадајући тренд код високоризичних предузећа, где је у 2021. години било 10 високоризичних предузећа, док се на крају 2023. године тај број смањио на 7.</w:t>
      </w:r>
    </w:p>
    <w:p w14:paraId="22323BE3" w14:textId="77777777" w:rsidR="006D0778" w:rsidRPr="00AD7E7D" w:rsidRDefault="006D0778" w:rsidP="006D0778">
      <w:pPr>
        <w:rPr>
          <w:rFonts w:eastAsia="MS PGothic" w:cs="Times New Roman"/>
          <w:szCs w:val="24"/>
          <w:lang w:eastAsia="ja-JP"/>
        </w:rPr>
      </w:pPr>
      <w:r w:rsidRPr="00AD7E7D">
        <w:rPr>
          <w:rFonts w:eastAsia="MS PGothic" w:cs="Times New Roman"/>
          <w:szCs w:val="24"/>
          <w:lang w:eastAsia="ja-JP"/>
        </w:rPr>
        <w:lastRenderedPageBreak/>
        <w:t>Квантификација ризика представља један од главних изазова у процени ризика и његовом материјалном изражавању. Према моделу који</w:t>
      </w:r>
      <w:r w:rsidR="007D5448" w:rsidRPr="00AD7E7D">
        <w:rPr>
          <w:rFonts w:eastAsia="MS PGothic" w:cs="Times New Roman"/>
          <w:szCs w:val="24"/>
          <w:lang w:val="sr-Cyrl-RS" w:eastAsia="ja-JP"/>
        </w:rPr>
        <w:t xml:space="preserve"> се</w:t>
      </w:r>
      <w:r w:rsidRPr="00AD7E7D">
        <w:rPr>
          <w:rFonts w:eastAsia="MS PGothic" w:cs="Times New Roman"/>
          <w:szCs w:val="24"/>
          <w:lang w:eastAsia="ja-JP"/>
        </w:rPr>
        <w:t xml:space="preserve"> примењује, квантификација ризика подразумева идентификовање и приказ потенцијалних издатака који могу настати за појединачна предузећа, односно представљају потенцијалну претњу за буџет Републике Србије, јер могу довести до непланираних интервенција у отплати обавеза државним предузећима. Ови издаци се најче</w:t>
      </w:r>
      <w:r w:rsidR="007D5448" w:rsidRPr="00AD7E7D">
        <w:rPr>
          <w:rFonts w:eastAsia="MS PGothic" w:cs="Times New Roman"/>
          <w:szCs w:val="24"/>
          <w:lang w:eastAsia="ja-JP"/>
        </w:rPr>
        <w:t>шће називају „очекивани издаци“</w:t>
      </w:r>
      <w:r w:rsidRPr="00AD7E7D">
        <w:rPr>
          <w:rFonts w:eastAsia="MS PGothic" w:cs="Times New Roman"/>
          <w:szCs w:val="24"/>
          <w:lang w:eastAsia="ja-JP"/>
        </w:rPr>
        <w:t>и они представљају статистички прорачун, који укључује комбинацију вероватноће настанка издатка и величине годишњих обавеза по кредитима, као једних од најосетљивијих и највећих издатaка који могу захтевати подршку из буџета.</w:t>
      </w:r>
    </w:p>
    <w:p w14:paraId="7C302C1B" w14:textId="77777777" w:rsidR="006D0778" w:rsidRPr="00AD7E7D" w:rsidRDefault="006D0778" w:rsidP="006D0778">
      <w:pPr>
        <w:rPr>
          <w:rFonts w:eastAsia="MS PGothic" w:cs="Times New Roman"/>
          <w:szCs w:val="24"/>
          <w:lang w:eastAsia="ja-JP"/>
        </w:rPr>
      </w:pPr>
      <w:r w:rsidRPr="00AD7E7D">
        <w:rPr>
          <w:rFonts w:eastAsia="MS PGothic" w:cs="Times New Roman"/>
          <w:szCs w:val="24"/>
          <w:lang w:eastAsia="ja-JP"/>
        </w:rPr>
        <w:t>Према резултатима модела, укупан фискални ризик односно очекивани издатака за 36 државних предузећа за 2024. годину процењује се на око 5,1 млрд динара. Ови резултати указују на неопходност континуираног праћења и управљања ризиком како би се ублажиле потенцијалне финансијске последице по јавне финансије, уз истовремено развијање мера које би ојачале стабилност ових предузећа.</w:t>
      </w:r>
    </w:p>
    <w:p w14:paraId="5F19144C" w14:textId="77777777" w:rsidR="006D0778" w:rsidRPr="00AD7E7D" w:rsidRDefault="006D0778" w:rsidP="006D0778">
      <w:pPr>
        <w:rPr>
          <w:rFonts w:eastAsia="MS PGothic" w:cs="Times New Roman"/>
          <w:szCs w:val="24"/>
          <w:lang w:eastAsia="ja-JP"/>
        </w:rPr>
      </w:pPr>
      <w:r w:rsidRPr="00AD7E7D">
        <w:rPr>
          <w:rFonts w:eastAsia="MS PGothic" w:cs="Times New Roman"/>
          <w:szCs w:val="24"/>
          <w:lang w:eastAsia="ja-JP"/>
        </w:rPr>
        <w:t>Очекивани издаци у наредне три године пројектовани су на незнатно нижем нивоу. Процене указују да ће у 2025. години износити 4,8 млрд динара, у 2026. такође 4,8 млрд динара, док се за 2027. годину предвиђа смањење на 4,6 млрд динара. Имајући у виду да на величину очекиваног издатка директно утичу годишње обавезе по кредитима, свако ново задуживање предузећа довело би до повећања очекиваног издатка, што указује на значај контроле дуга и одрживог управљања финансијским обавезама.</w:t>
      </w:r>
    </w:p>
    <w:p w14:paraId="602C97A0" w14:textId="77777777" w:rsidR="006D0778" w:rsidRPr="00AD7E7D" w:rsidRDefault="006D0778" w:rsidP="006D0778">
      <w:pPr>
        <w:rPr>
          <w:rFonts w:eastAsia="MS PGothic" w:cs="Times New Roman"/>
          <w:szCs w:val="24"/>
          <w:lang w:eastAsia="ja-JP"/>
        </w:rPr>
      </w:pPr>
      <w:r w:rsidRPr="00AD7E7D">
        <w:rPr>
          <w:rFonts w:eastAsia="MS PGothic" w:cs="Times New Roman"/>
          <w:szCs w:val="24"/>
          <w:lang w:eastAsia="ja-JP"/>
        </w:rPr>
        <w:t>Министарство финансија у наредном периоду наставиће са даљим унапређењем анализа, прикупљањем квалитативни</w:t>
      </w:r>
      <w:r w:rsidRPr="00AD7E7D">
        <w:rPr>
          <w:rFonts w:eastAsia="MS PGothic" w:cs="Times New Roman"/>
          <w:szCs w:val="24"/>
          <w:lang w:val="sr-Cyrl-RS" w:eastAsia="ja-JP"/>
        </w:rPr>
        <w:t>х</w:t>
      </w:r>
      <w:r w:rsidRPr="00AD7E7D">
        <w:rPr>
          <w:rFonts w:eastAsia="MS PGothic" w:cs="Times New Roman"/>
          <w:szCs w:val="24"/>
          <w:lang w:eastAsia="ja-JP"/>
        </w:rPr>
        <w:t xml:space="preserve"> информаци</w:t>
      </w:r>
      <w:r w:rsidR="007D5448" w:rsidRPr="00AD7E7D">
        <w:rPr>
          <w:rFonts w:eastAsia="MS PGothic" w:cs="Times New Roman"/>
          <w:szCs w:val="24"/>
          <w:lang w:eastAsia="ja-JP"/>
        </w:rPr>
        <w:t>ја, унапређењем модела, а све у</w:t>
      </w:r>
      <w:r w:rsidRPr="00AD7E7D">
        <w:rPr>
          <w:rFonts w:eastAsia="MS PGothic" w:cs="Times New Roman"/>
          <w:szCs w:val="24"/>
          <w:lang w:eastAsia="ja-JP"/>
        </w:rPr>
        <w:t xml:space="preserve"> циљу да се модел учини свеобухватнијим и прецизнијим, како би се обезбедила поуздана основа за управљање ризицима и подржала одрживост јавних финансија.</w:t>
      </w:r>
    </w:p>
    <w:p w14:paraId="29C1C42C" w14:textId="77777777" w:rsidR="006D0778" w:rsidRPr="00AD7E7D" w:rsidRDefault="006D0778" w:rsidP="006D0778">
      <w:pPr>
        <w:rPr>
          <w:rFonts w:eastAsia="MS PGothic" w:cs="Times New Roman"/>
          <w:color w:val="44546A"/>
          <w:szCs w:val="24"/>
          <w:lang w:eastAsia="ja-JP"/>
        </w:rPr>
      </w:pPr>
      <w:r w:rsidRPr="00AD7E7D">
        <w:rPr>
          <w:rFonts w:cs="Times New Roman"/>
          <w:szCs w:val="24"/>
          <w:lang w:val="sr-Cyrl-RS" w:eastAsia="ja-JP"/>
        </w:rPr>
        <w:t xml:space="preserve">Уплата добити од стране јавних предузећа и дивиденди друштава капитала у којима држава има власништво представљају значајан део непореских прихода. </w:t>
      </w:r>
      <w:r w:rsidRPr="00AD7E7D">
        <w:rPr>
          <w:rFonts w:eastAsia="MS PGothic" w:cs="Times New Roman"/>
          <w:szCs w:val="24"/>
          <w:lang w:val="sr-Cyrl-RS" w:eastAsia="ja-JP"/>
        </w:rPr>
        <w:t>Привредна друштва чији је оснивач Република Србија или у којима Република Србија има учешће у власништву дужна су да најкасније до 30. новембра текуће буџетске године у буџет Републике Србије уплате најмање 50% сразмерног дела добити по завршном рачуну за 2022. годину, који у складу са законом који уређује привредна друштва припада Републици Србији као члану друштва.</w:t>
      </w:r>
      <w:r w:rsidRPr="00AD7E7D">
        <w:rPr>
          <w:rFonts w:eastAsia="MS PGothic" w:cs="Times New Roman"/>
          <w:szCs w:val="24"/>
          <w:lang w:eastAsia="ja-JP"/>
        </w:rPr>
        <w:t xml:space="preserve"> Од стране 36 државних предузећа, у току 2023. године по овом основу уплаћено је 4,3 млрд динара у буџет Републике.</w:t>
      </w:r>
    </w:p>
    <w:p w14:paraId="098F86CF" w14:textId="77777777" w:rsidR="006D0778" w:rsidRPr="00AD7E7D" w:rsidRDefault="006D0778" w:rsidP="006D0778">
      <w:pPr>
        <w:rPr>
          <w:rFonts w:cs="Times New Roman"/>
          <w:szCs w:val="24"/>
          <w:lang w:val="sr-Cyrl-RS" w:eastAsia="ja-JP"/>
        </w:rPr>
      </w:pPr>
      <w:r w:rsidRPr="00AD7E7D">
        <w:rPr>
          <w:rFonts w:cs="Times New Roman"/>
          <w:szCs w:val="24"/>
          <w:lang w:val="sr-Cyrl-RS" w:eastAsia="ja-JP"/>
        </w:rPr>
        <w:t>Пре периода фискалне консолидације Република Србија имала је значајне фискалне трошкове спашавања државних банака. Укупни трошкови државних интервенција у банкарском сектору у периоду 2012–2015. године износили су око 900 милиона евра. То је износ издвојен за докапитализацију банака, различите финансијске трансакције приликом припајања неуспешних банака успешнијим, укључујући и исплату осигураних и неосигураних депозита (за шта су коришћена и средства Фонда за осигурање депозита).</w:t>
      </w:r>
    </w:p>
    <w:p w14:paraId="623356DD" w14:textId="77777777" w:rsidR="006D0778" w:rsidRPr="00AD7E7D" w:rsidRDefault="006D0778" w:rsidP="006D0778">
      <w:pPr>
        <w:rPr>
          <w:rFonts w:cs="Times New Roman"/>
          <w:szCs w:val="24"/>
          <w:lang w:val="sr-Cyrl-RS" w:eastAsia="ja-JP"/>
        </w:rPr>
      </w:pPr>
      <w:r w:rsidRPr="00AD7E7D">
        <w:rPr>
          <w:rFonts w:cs="Times New Roman"/>
          <w:szCs w:val="24"/>
          <w:lang w:val="sr-Cyrl-RS" w:eastAsia="ja-JP"/>
        </w:rPr>
        <w:t>Република Србија данас у банкарском сектору земље има директан удео у капиталу Банке Поштанска штедионица а.д. Београд (78,54%) и Српске банке а.д. Београд (76,69%).</w:t>
      </w:r>
    </w:p>
    <w:p w14:paraId="669847CE" w14:textId="77777777" w:rsidR="006D0778" w:rsidRPr="00AD7E7D" w:rsidRDefault="006D0778" w:rsidP="006D0778">
      <w:pPr>
        <w:rPr>
          <w:rFonts w:cs="Times New Roman"/>
          <w:szCs w:val="24"/>
          <w:lang w:val="sr-Cyrl-RS" w:eastAsia="ja-JP"/>
        </w:rPr>
      </w:pPr>
      <w:r w:rsidRPr="00AD7E7D">
        <w:rPr>
          <w:rFonts w:cs="Times New Roman"/>
          <w:szCs w:val="24"/>
          <w:lang w:val="sr-Cyrl-RS" w:eastAsia="ja-JP"/>
        </w:rPr>
        <w:t>У циљу доследног спровођења излазне стратегије и смањења фискалних ризика по овом основу настављају се реформске активности у области државних финансијских институција започете 2012. године, односно 2015. године.</w:t>
      </w:r>
    </w:p>
    <w:p w14:paraId="7B079CC6" w14:textId="77777777" w:rsidR="006D0778" w:rsidRPr="00AD7E7D" w:rsidRDefault="006D0778" w:rsidP="006D0778">
      <w:pPr>
        <w:rPr>
          <w:rFonts w:cs="Times New Roman"/>
          <w:szCs w:val="24"/>
          <w:lang w:val="sr-Cyrl-CS" w:eastAsia="ja-JP"/>
        </w:rPr>
      </w:pPr>
      <w:r w:rsidRPr="00AD7E7D">
        <w:rPr>
          <w:rFonts w:cs="Times New Roman"/>
          <w:szCs w:val="24"/>
          <w:lang w:val="sr-Cyrl-CS" w:eastAsia="ja-JP"/>
        </w:rPr>
        <w:t xml:space="preserve">Пословну стратегију за период 2024-2026. година усвојила је Скупштина </w:t>
      </w:r>
      <w:r w:rsidRPr="00AD7E7D">
        <w:rPr>
          <w:rFonts w:cs="Times New Roman"/>
          <w:szCs w:val="24"/>
          <w:lang w:val="sr-Cyrl-RS" w:eastAsia="ja-JP"/>
        </w:rPr>
        <w:t>Банке Поштанска штедионица (</w:t>
      </w:r>
      <w:r w:rsidRPr="00AD7E7D">
        <w:rPr>
          <w:rFonts w:cs="Times New Roman"/>
          <w:szCs w:val="24"/>
          <w:lang w:val="sr-Cyrl-CS" w:eastAsia="ja-JP"/>
        </w:rPr>
        <w:t xml:space="preserve">БПШ) у децембру 2023. године. Према пословној стратегији, </w:t>
      </w:r>
      <w:r w:rsidRPr="00AD7E7D">
        <w:rPr>
          <w:rFonts w:cs="Times New Roman"/>
          <w:szCs w:val="24"/>
          <w:lang w:val="sr-Cyrl-CS" w:eastAsia="ja-JP"/>
        </w:rPr>
        <w:lastRenderedPageBreak/>
        <w:t>БПШ ће наставити са реализацијом активности са акцентом на даље унапређење и развој у следећим областима: пословање са физичким лицима, предузетницима, микро, малим и средњим правним лицима, јединицама локалне самоуправе, јавним предузећима чији је оснивач Република Србија или аутономна покрајина или јединица локалне самоуправе и привредним друштвима у којима Република Србија или аутономна покрајина или јединица локалне самоуправе има власништво; побољшање интерне организације банке, корпоративног управљања и управљања ризиком; јачање ИТ инфраструктуре.</w:t>
      </w:r>
    </w:p>
    <w:p w14:paraId="6E164A31" w14:textId="77777777" w:rsidR="006D0778" w:rsidRPr="00AD7E7D" w:rsidRDefault="006D0778" w:rsidP="006D0778">
      <w:pPr>
        <w:rPr>
          <w:rFonts w:cs="Times New Roman"/>
          <w:szCs w:val="24"/>
          <w:lang w:val="sr-Cyrl-CS" w:eastAsia="ja-JP"/>
        </w:rPr>
      </w:pPr>
      <w:r w:rsidRPr="00AD7E7D">
        <w:rPr>
          <w:rFonts w:cs="Times New Roman"/>
          <w:szCs w:val="24"/>
          <w:lang w:val="sr-Cyrl-CS" w:eastAsia="ja-JP"/>
        </w:rPr>
        <w:t>Како би се омогућило ублажавање економских и финансијских последица, насталих услед пандемије COVID-19, Банка поступа у складу са Законом о утврђивању гарантне шеме као мере подршке привреди за ублажавање последица пандемије болести COVID-19 изазване вирусом SARS-CoV-2 („Службени гласник РС”, бр. 153/20 и 40/21) и Законом о утврђивању друге гарантне шеме као мера додатне подршке привреди услед продуженог негативног утицаја пандемије болести COVID-19 изазване вирусом SARS-CoV-2 („Службени гласник РС”, бр. 40/21 и 129/21).</w:t>
      </w:r>
    </w:p>
    <w:p w14:paraId="68293A27" w14:textId="77777777" w:rsidR="006D0778" w:rsidRPr="00AD7E7D" w:rsidRDefault="006D0778" w:rsidP="006D0778">
      <w:pPr>
        <w:rPr>
          <w:rFonts w:cs="Times New Roman"/>
          <w:szCs w:val="24"/>
          <w:lang w:val="sr-Cyrl-CS" w:eastAsia="ja-JP"/>
        </w:rPr>
      </w:pPr>
      <w:r w:rsidRPr="00AD7E7D">
        <w:rPr>
          <w:rFonts w:cs="Times New Roman"/>
          <w:szCs w:val="24"/>
          <w:lang w:val="sr-Cyrl-CS" w:eastAsia="ja-JP"/>
        </w:rPr>
        <w:t>У складу са Владином стратегијом за државне банке, формирана је Стручна радна група за трансформацију Српске банке у специјализовану финансијску институцију за пружање свих врста финансијских услуга и подршке наменској индустрији Републике Србије дана 21. јануара 2019. године и почела је са формалним радом у марту 2019. године када је одржана конститутивна седница. Због наставка пандемије COVID-19, као и кризе изазване ратом у Украјини и текућих активности у оквиру Министарства финансија, очекује се да ће активности усмерене на трансформацију Српске банке бити настављене</w:t>
      </w:r>
      <w:r w:rsidRPr="00AD7E7D">
        <w:rPr>
          <w:rFonts w:cs="Times New Roman"/>
          <w:szCs w:val="24"/>
          <w:lang w:val="sr-Cyrl-RS" w:eastAsia="ja-JP"/>
        </w:rPr>
        <w:t xml:space="preserve"> </w:t>
      </w:r>
      <w:r w:rsidRPr="00AD7E7D">
        <w:rPr>
          <w:rFonts w:cs="Times New Roman"/>
          <w:szCs w:val="24"/>
          <w:lang w:val="sr-Cyrl-CS" w:eastAsia="ja-JP"/>
        </w:rPr>
        <w:t>у наредном периоду.</w:t>
      </w:r>
    </w:p>
    <w:p w14:paraId="10A8C9DB" w14:textId="77777777" w:rsidR="006D0778" w:rsidRPr="00AD7E7D" w:rsidRDefault="006D0778" w:rsidP="006D0778">
      <w:pPr>
        <w:rPr>
          <w:rFonts w:cs="Times New Roman"/>
          <w:szCs w:val="24"/>
          <w:lang w:val="sr-Cyrl-RS" w:eastAsia="ja-JP"/>
        </w:rPr>
      </w:pPr>
      <w:r w:rsidRPr="00AD7E7D">
        <w:rPr>
          <w:rFonts w:cs="Times New Roman"/>
          <w:szCs w:val="24"/>
          <w:lang w:val="sr-Cyrl-RS" w:eastAsia="ja-JP"/>
        </w:rPr>
        <w:t>Реформа прописа који уређују српски финансијски систем спроведена је фебруара 2015. године. Једна од карактеристика те реформе јесте и пренос надлежности праћења резултата пословања и рада органа управљања у банкама, друштвима за осигурање и другим финансијским институцијама чији је акционар Република Србија, као и организовање и спровођење поступка продаје акција у њима, са АОД на Министарство финансија, почев од 1. априла 2015. године. Реформом прописа је у домаћу регулативу транспонована и Директива о реструктурирању банака (</w:t>
      </w:r>
      <w:r w:rsidRPr="00AD7E7D">
        <w:rPr>
          <w:rFonts w:cs="Times New Roman"/>
          <w:i/>
          <w:szCs w:val="24"/>
          <w:lang w:val="sr-Cyrl-RS" w:eastAsia="ja-JP"/>
        </w:rPr>
        <w:t>Bank Recovery and Resolution Directive – BRRD</w:t>
      </w:r>
      <w:r w:rsidRPr="00AD7E7D">
        <w:rPr>
          <w:rFonts w:cs="Times New Roman"/>
          <w:szCs w:val="24"/>
          <w:lang w:val="sr-Cyrl-RS" w:eastAsia="ja-JP"/>
        </w:rPr>
        <w:t>) и функција реструктурирања банака поверена је НБС. У децембру 2016. године усвојен је сет прописа којима се у домаћи регулаторни оквир имплементирају Базел III стандарди, чиме је постигнут значајан степен усклађености домаћих прописа са релевантним прописима ЕУ у овој области, а током 2017. године се наставило са активностима на унапређењу домаћих прописа којима се уређује пословање банака, а у циљу њиховог даљег усклађивања са прописима ЕУ. Основни циљеви усвајања ових прописа су повећање отпорности банкарског сектора повећањем квалитета капитала и увођењем заштитних слојева капитала, боље праћење и контрола изложености банке ризику ликвидности, даље јачање тржишне дисциплине и транспарентности пословања банака у Републици Србији објављивањем свих релевантних информација о пословању банке, као и прилагођавање извештајног система новим регулаторним решењима.</w:t>
      </w:r>
    </w:p>
    <w:p w14:paraId="36548850" w14:textId="77777777" w:rsidR="006D0778" w:rsidRPr="00AD7E7D" w:rsidRDefault="006D0778" w:rsidP="006D0778">
      <w:pPr>
        <w:rPr>
          <w:rFonts w:cs="Times New Roman"/>
          <w:szCs w:val="24"/>
          <w:highlight w:val="yellow"/>
          <w:lang w:val="sr-Cyrl-RS" w:eastAsia="ja-JP"/>
        </w:rPr>
      </w:pPr>
      <w:r w:rsidRPr="00AD7E7D">
        <w:rPr>
          <w:rFonts w:cs="Times New Roman"/>
          <w:szCs w:val="24"/>
          <w:lang w:val="sr-Cyrl-RS" w:eastAsia="ja-JP"/>
        </w:rPr>
        <w:t xml:space="preserve">Један од ограничавајућих фактора за раст кредитне активности представљао је релативно висок ниво проблематичних кредита. У августу 2015. године усвојена је Стратегија за решавање проблематичних кредита која се спроводи имплементацијом два трогодишња акциона плана, један припремљен од стране Владе и други припремљен од стране НБС, у циљу спуштања нивоа проблематичних кредита. Кључне области имплементације подразумевале су јачање капацитета банака за решавање </w:t>
      </w:r>
      <w:r w:rsidRPr="00AD7E7D">
        <w:rPr>
          <w:rFonts w:cs="Times New Roman"/>
          <w:szCs w:val="24"/>
          <w:lang w:val="sr-Cyrl-RS" w:eastAsia="ja-JP"/>
        </w:rPr>
        <w:lastRenderedPageBreak/>
        <w:t>проблематичних кредита, унапређење регулативе за процену вредности средстава обезбеђења, развој тржишта проблематичних кредита и др.</w:t>
      </w:r>
    </w:p>
    <w:p w14:paraId="63FE2FEA" w14:textId="77777777" w:rsidR="006D0778" w:rsidRPr="00AD7E7D" w:rsidRDefault="006D0778" w:rsidP="006D0778">
      <w:pPr>
        <w:spacing w:after="60" w:line="238" w:lineRule="auto"/>
        <w:rPr>
          <w:rFonts w:eastAsia="MS PGothic" w:cs="Times New Roman"/>
          <w:szCs w:val="24"/>
          <w:lang w:val="sr-Cyrl-RS" w:eastAsia="ja-JP"/>
        </w:rPr>
      </w:pPr>
      <w:r w:rsidRPr="00AD7E7D">
        <w:rPr>
          <w:rFonts w:eastAsia="MS PGothic" w:cs="Times New Roman"/>
          <w:szCs w:val="24"/>
          <w:lang w:val="sr-Cyrl-RS" w:eastAsia="ja-JP"/>
        </w:rPr>
        <w:t>Од доношења поменуте стратегије, усвојен је и измењен већи број законских и подзаконских аката, унапређен је институционални капацитет и спроведене су бројне мере за лакши отпис и пренос ненаплативих потраживања. Стварањем стабилних услова пословања, српска економија је ушла у инвестициони циклус 2015. године, и од тада инвестиције по обиму представљају добар део раста економије. Профитабилност привреде расте у условима ниске и стабилне инфлације и релативно</w:t>
      </w:r>
      <w:r w:rsidRPr="00AD7E7D">
        <w:rPr>
          <w:rFonts w:eastAsia="Calibri" w:cs="Times New Roman"/>
          <w:szCs w:val="24"/>
          <w:lang w:val="sr-Cyrl-RS" w:eastAsia="ja-JP"/>
        </w:rPr>
        <w:t xml:space="preserve"> </w:t>
      </w:r>
      <w:r w:rsidRPr="00AD7E7D">
        <w:rPr>
          <w:rFonts w:eastAsia="MS PGothic" w:cs="Times New Roman"/>
          <w:szCs w:val="24"/>
          <w:lang w:val="sr-Cyrl-RS" w:eastAsia="ja-JP"/>
        </w:rPr>
        <w:t>стабилног курса. Све су то били кључни фактори за одрживо решавање питања проблематичних кредита. То се јасно види и из чињенице да је у гранама које су и носиоци раста, забележен и највећи пад проблематичних кредита – што је евидентно у прерађивачкој индустрији и грађевинарству.</w:t>
      </w:r>
    </w:p>
    <w:p w14:paraId="29810F75" w14:textId="77777777" w:rsidR="006D0778" w:rsidRPr="00AD7E7D" w:rsidRDefault="006D0778" w:rsidP="006D0778">
      <w:pPr>
        <w:spacing w:after="60" w:line="238" w:lineRule="auto"/>
        <w:rPr>
          <w:rFonts w:eastAsia="MS PGothic" w:cs="Times New Roman"/>
          <w:szCs w:val="24"/>
          <w:lang w:val="sr-Cyrl-RS" w:eastAsia="ja-JP"/>
        </w:rPr>
      </w:pPr>
      <w:r w:rsidRPr="00AD7E7D">
        <w:rPr>
          <w:rFonts w:eastAsia="MS PGothic" w:cs="Times New Roman"/>
          <w:szCs w:val="24"/>
          <w:lang w:val="sr-Cyrl-RS" w:eastAsia="ja-JP"/>
        </w:rPr>
        <w:t>Осигурање депозита је механизам који доприноси очувању финансијске стабилности и обезбеђује заштиту депонената. Систем осигурања депозита обезбеђује да се сваком заштићеном депоненту исплати целокупан износ улога у свакој банци до осигураног износа од 50.000 евра у случају стечаја или ликвидације банке. Осигурање депозита регулисано је Законом о осигурању депозита. Гаранција исплате осигураних депозита од стране државе, било директно средствима из буџета, или индиректно издавањем гаранција за задуживање АОД, извор је фискалних ризика и могућих фискалних трошкова. Међутим, захваљујући постигнутој стабилности банкарског сектора, од 2015. године није било потребе за коришћењем средстава фонда за осигурање депозита, нити државе по основу исплата осигураних износа депозита.</w:t>
      </w:r>
    </w:p>
    <w:p w14:paraId="573AC11C" w14:textId="77777777" w:rsidR="006D0778" w:rsidRPr="00AD7E7D" w:rsidRDefault="006D0778" w:rsidP="006D0778">
      <w:pPr>
        <w:spacing w:after="60" w:line="238" w:lineRule="auto"/>
        <w:rPr>
          <w:rFonts w:cs="Times New Roman"/>
          <w:szCs w:val="24"/>
          <w:lang w:val="sr-Cyrl-RS" w:eastAsia="ja-JP"/>
        </w:rPr>
      </w:pPr>
      <w:r w:rsidRPr="00AD7E7D">
        <w:rPr>
          <w:rFonts w:cs="Times New Roman"/>
          <w:szCs w:val="24"/>
          <w:lang w:val="sr-Cyrl-RS" w:eastAsia="ja-JP"/>
        </w:rPr>
        <w:t>Имајући у виду ситуацију насталу проглашењем ванредног стања у Републици Србији, како би се омогућило ублажавање економских и финансијских последица насталих услед пандемије COVID-19 предузете су мере подршке привреди које су имале за циљ повећање ликвидности привредних субјеката. Једна од мера јесте била и доношење Закона о утврђивању гарантне шеме као мере подршке привреди за ублажавање последица пандемије болести COVID-19 изазване вирусом SARS-CоV-2, док је током 2021. године донет Закон о утврђивању друге гарантне шеме којим је одобрено додатних 500 милина евра помоћи. Укупно, у склопу обе гарантне шеме, банке су пласирале око 2,5 млрд евра кредита.</w:t>
      </w:r>
    </w:p>
    <w:p w14:paraId="040F4590" w14:textId="77777777" w:rsidR="006D0778" w:rsidRPr="00AD7E7D" w:rsidRDefault="006D0778" w:rsidP="006D0778">
      <w:pPr>
        <w:rPr>
          <w:rFonts w:eastAsia="MS PGothic" w:cs="Times New Roman"/>
          <w:szCs w:val="24"/>
          <w:lang w:eastAsia="ja-JP"/>
        </w:rPr>
      </w:pPr>
      <w:r w:rsidRPr="00AD7E7D">
        <w:rPr>
          <w:rFonts w:cs="Times New Roman"/>
          <w:szCs w:val="24"/>
          <w:lang w:val="sr-Cyrl-RS" w:eastAsia="ja-JP"/>
        </w:rPr>
        <w:t xml:space="preserve">Постоје значајни фискални ризици по основу судских одлука, домаћих и међународних судова, казни и накнада штете од стране државних органа. </w:t>
      </w:r>
      <w:r w:rsidRPr="00AD7E7D">
        <w:rPr>
          <w:rFonts w:eastAsia="MS PGothic" w:cs="Times New Roman"/>
          <w:szCs w:val="24"/>
          <w:lang w:val="sr-Cyrl-RS" w:eastAsia="ja-JP"/>
        </w:rPr>
        <w:t>Република Србија је по основу новчаних казни и пенала по решењу судова и накнаде штете за повреде или штету нанету од стране државних органа у периоду 2009–2020 из републичког буџета укупно платила 121 млрд динара. У 2021. години из буџета Републике Србије по том основу је плаћено 16,6 млрд динара, у 2022. години је плаћено 26,8 млрд динара,</w:t>
      </w:r>
      <w:r w:rsidRPr="00AD7E7D">
        <w:rPr>
          <w:rFonts w:eastAsia="MS PGothic" w:cs="Times New Roman"/>
          <w:szCs w:val="24"/>
          <w:lang w:val="sr-Latn-RS" w:eastAsia="ja-JP"/>
        </w:rPr>
        <w:t xml:space="preserve"> </w:t>
      </w:r>
      <w:r w:rsidRPr="00AD7E7D">
        <w:rPr>
          <w:rFonts w:eastAsia="MS PGothic" w:cs="Times New Roman"/>
          <w:szCs w:val="24"/>
          <w:lang w:val="sr-Cyrl-RS" w:eastAsia="ja-JP"/>
        </w:rPr>
        <w:t xml:space="preserve">у 2023. години 25,4 млрд динара, док је и 2024. години планирано 32,8 млрд динара. </w:t>
      </w:r>
      <w:r w:rsidRPr="00AD7E7D">
        <w:rPr>
          <w:rFonts w:eastAsia="MS PGothic" w:cs="Times New Roman"/>
          <w:szCs w:val="24"/>
          <w:lang w:eastAsia="ja-JP"/>
        </w:rPr>
        <w:t xml:space="preserve">У складу са постојећим трендом кретања извршења републичког буџета у периоду од 2018. до 2023. године може </w:t>
      </w:r>
      <w:r w:rsidRPr="00AD7E7D">
        <w:rPr>
          <w:rFonts w:eastAsia="MS PGothic" w:cs="Times New Roman"/>
          <w:szCs w:val="24"/>
          <w:lang w:val="sr-Cyrl-RS" w:eastAsia="ja-JP"/>
        </w:rPr>
        <w:t>се</w:t>
      </w:r>
      <w:r w:rsidRPr="00AD7E7D">
        <w:rPr>
          <w:rFonts w:eastAsia="MS PGothic" w:cs="Times New Roman"/>
          <w:szCs w:val="24"/>
          <w:lang w:eastAsia="ja-JP"/>
        </w:rPr>
        <w:t xml:space="preserve"> очекивати да ће се у наредне 3 године расходи републичког буџета по основу судских поступака, базирано на пројекцијама по изведеној константној стопи раста у наведеном периоду, кретати на нивоу од 28,0 до 33,9 млрд динара, односно оквирно 30,0 млрд динара просечно годишње, са могућом тенденцијом благог раста.</w:t>
      </w:r>
      <w:r w:rsidRPr="00AD7E7D">
        <w:rPr>
          <w:rFonts w:eastAsia="MS PGothic" w:cs="Times New Roman"/>
          <w:szCs w:val="24"/>
          <w:lang w:val="sr-Cyrl-RS" w:eastAsia="ja-JP"/>
        </w:rPr>
        <w:t xml:space="preserve"> </w:t>
      </w:r>
      <w:r w:rsidRPr="00AD7E7D">
        <w:rPr>
          <w:rFonts w:cs="Times New Roman"/>
          <w:szCs w:val="24"/>
          <w:lang w:val="sr-Cyrl-RS" w:eastAsia="ja-JP"/>
        </w:rPr>
        <w:t xml:space="preserve">Одлука Европског суда за људска права обавезала је Републику Србију да исплати јавни дуг по основу неисплаћене девизне штедње коју су држављани бивших република СФРЈ и држављани Републике Србије положили код банака са седиштем на територији Републике Србије и њиховим филијалама на територијама бивших република СФРЈ. Такође, потенцијалне обавезе могу проистећи и из одлука Уставног суда по основу поднетих уставних жалби и одлука Европског суда за људска права по поднетим </w:t>
      </w:r>
      <w:r w:rsidRPr="00AD7E7D">
        <w:rPr>
          <w:rFonts w:cs="Times New Roman"/>
          <w:szCs w:val="24"/>
          <w:lang w:val="sr-Cyrl-RS" w:eastAsia="ja-JP"/>
        </w:rPr>
        <w:lastRenderedPageBreak/>
        <w:t>представкама радника некадашњих друштвених предузећа (неисплаћене зараде, доприноси за обавезно социјално осигурање, затезне камате, трошкови поступка, потраживања по основу комерцијалних трансакција).</w:t>
      </w:r>
    </w:p>
    <w:p w14:paraId="58EC587D" w14:textId="77777777" w:rsidR="006D0778" w:rsidRPr="00AD7E7D" w:rsidRDefault="006D0778" w:rsidP="006D0778">
      <w:pPr>
        <w:rPr>
          <w:rFonts w:eastAsia="MS PGothic" w:cs="Times New Roman"/>
          <w:szCs w:val="24"/>
          <w:lang w:eastAsia="ja-JP"/>
        </w:rPr>
      </w:pPr>
      <w:r w:rsidRPr="00AD7E7D">
        <w:rPr>
          <w:rFonts w:cs="Times New Roman"/>
          <w:szCs w:val="24"/>
          <w:lang w:val="sr-Cyrl-RS" w:eastAsia="ja-JP"/>
        </w:rPr>
        <w:t>Стално присутан ризик од елементарних непогода и природних катастрофа обавезује улагање у програме превенције како би се умањили потенцијални фискални трошкови за отклањање штета насталих по том основу. Под превенцијом се мисли на укључивање ширег спектра финансијских инструмената (као што су резервни фондови, потенцијалне кредитне линије, а нарочито осигурање) који треба да буду на располагању држави. Република Србија се у 2014. суочила са катастрофалним последицама поплава, чија је укупна штета (са губицима) процењена на више од 1,7 млрд евра. Влада је у децембру 2014. усвојила Национални програм за управљање ризицима од елементарних непогода, који ће бити реализован у сарадњи са Светском банком, Уједињеним нацијама и ЕУ. У оквиру Националног програма, новембра 2018. године је донет још један кровни закон који се бави проблематиком елементарних непогода и катастрофа, Закон о смањењу ризика од катастрофа и управљању ванредним ситуацијама.</w:t>
      </w:r>
      <w:r w:rsidRPr="00AD7E7D">
        <w:rPr>
          <w:rFonts w:eastAsia="MS PGothic" w:cs="Times New Roman"/>
          <w:szCs w:val="24"/>
          <w:lang w:eastAsia="ja-JP"/>
        </w:rPr>
        <w:t xml:space="preserve"> </w:t>
      </w:r>
    </w:p>
    <w:p w14:paraId="7E0B8F92" w14:textId="77777777" w:rsidR="006D0778" w:rsidRPr="00AD7E7D" w:rsidRDefault="006D0778" w:rsidP="006D0778">
      <w:pPr>
        <w:rPr>
          <w:rFonts w:eastAsia="MS PGothic" w:cs="Times New Roman"/>
          <w:szCs w:val="24"/>
          <w:lang w:eastAsia="ja-JP"/>
        </w:rPr>
      </w:pPr>
      <w:r w:rsidRPr="00AD7E7D">
        <w:rPr>
          <w:rFonts w:eastAsia="MS PGothic" w:cs="Times New Roman"/>
          <w:szCs w:val="24"/>
          <w:lang w:eastAsia="ja-JP"/>
        </w:rPr>
        <w:t xml:space="preserve">Све већа учесталост и интензитет елементарних и других непогода као и повећање расхода за санирање последица истих, наглашава потребу за константним опрезом када је ова врста фискалних ризика у питању. </w:t>
      </w:r>
      <w:r w:rsidRPr="00AD7E7D">
        <w:rPr>
          <w:rFonts w:eastAsia="MS PGothic" w:cs="Times New Roman"/>
          <w:szCs w:val="24"/>
          <w:lang w:val="sr-Cyrl-RS" w:eastAsia="ja-JP"/>
        </w:rPr>
        <w:t xml:space="preserve">Током </w:t>
      </w:r>
      <w:r w:rsidRPr="00AD7E7D">
        <w:rPr>
          <w:rFonts w:eastAsia="MS PGothic" w:cs="Times New Roman"/>
          <w:szCs w:val="24"/>
          <w:lang w:eastAsia="ja-JP"/>
        </w:rPr>
        <w:t>2021. године усвојена је Јединствена методологија за праћење фискалних ризика у Републици Србији која, између осталог, обухвата и Методологију за праћење фискалних ризика који се јављају као последица елементарних непогода, а токо</w:t>
      </w:r>
      <w:r w:rsidRPr="00AD7E7D">
        <w:rPr>
          <w:rFonts w:eastAsia="MS PGothic" w:cs="Times New Roman"/>
          <w:szCs w:val="24"/>
          <w:lang w:val="sr-Cyrl-RS" w:eastAsia="ja-JP"/>
        </w:rPr>
        <w:t xml:space="preserve">м </w:t>
      </w:r>
      <w:r w:rsidRPr="00AD7E7D">
        <w:rPr>
          <w:rFonts w:eastAsia="MS PGothic" w:cs="Times New Roman"/>
          <w:szCs w:val="24"/>
          <w:lang w:eastAsia="ja-JP"/>
        </w:rPr>
        <w:t>2022. године је, у сарадњи са Светском банком, развијен</w:t>
      </w:r>
      <w:r w:rsidRPr="00AD7E7D">
        <w:rPr>
          <w:rFonts w:eastAsia="MS PGothic" w:cs="Times New Roman"/>
          <w:szCs w:val="24"/>
          <w:lang w:val="sr-Cyrl-RS" w:eastAsia="ja-JP"/>
        </w:rPr>
        <w:t xml:space="preserve"> и</w:t>
      </w:r>
      <w:r w:rsidRPr="00AD7E7D">
        <w:rPr>
          <w:rFonts w:eastAsia="MS PGothic" w:cs="Times New Roman"/>
          <w:szCs w:val="24"/>
          <w:lang w:eastAsia="ja-JP"/>
        </w:rPr>
        <w:t xml:space="preserve"> модел за процену фискалних ризика од елементарних непогода</w:t>
      </w:r>
      <w:r w:rsidRPr="00AD7E7D">
        <w:rPr>
          <w:rFonts w:eastAsia="MS PGothic" w:cs="Times New Roman"/>
          <w:szCs w:val="24"/>
          <w:lang w:val="sr-Cyrl-RS" w:eastAsia="ja-JP"/>
        </w:rPr>
        <w:t xml:space="preserve">. </w:t>
      </w:r>
      <w:r w:rsidRPr="00AD7E7D">
        <w:rPr>
          <w:rFonts w:eastAsia="MS PGothic" w:cs="Times New Roman"/>
          <w:szCs w:val="24"/>
          <w:lang w:eastAsia="ja-JP"/>
        </w:rPr>
        <w:t>Модел за праћење фискалних ризика од елементарних непогода даје квантификовану процену негативног ефекта елементарне непогоде на бруто домаћи производ земље, фискални дефицит и последично јавни дуг.</w:t>
      </w:r>
      <w:r w:rsidR="00CF6476" w:rsidRPr="00AD7E7D">
        <w:rPr>
          <w:rFonts w:eastAsia="MS PGothic" w:cs="Times New Roman"/>
          <w:szCs w:val="24"/>
          <w:lang w:eastAsia="ja-JP"/>
        </w:rPr>
        <w:t xml:space="preserve"> </w:t>
      </w:r>
    </w:p>
    <w:p w14:paraId="1C8FBDEA" w14:textId="77777777" w:rsidR="006D0778" w:rsidRPr="00AD7E7D" w:rsidRDefault="006D0778" w:rsidP="006D0778">
      <w:pPr>
        <w:rPr>
          <w:rFonts w:eastAsia="MS PGothic" w:cs="Times New Roman"/>
          <w:szCs w:val="24"/>
          <w:lang w:eastAsia="ja-JP"/>
        </w:rPr>
      </w:pPr>
      <w:r w:rsidRPr="00AD7E7D">
        <w:rPr>
          <w:rFonts w:eastAsia="MS PGothic" w:cs="Times New Roman"/>
          <w:szCs w:val="24"/>
          <w:lang w:eastAsia="ja-JP"/>
        </w:rPr>
        <w:t>У складу са наведеним, процене изведене на основу података компаније за моделирање ризика „Applied Research Institute Worldwide Corporation“ - из тзв. „АIR“ модела, показују да штете повезане са поплавама, зависно од интензитета и вероватноће дешавања, могу да се крећу од 135 милиона долара до 5,7 милијарди долара. Иако се ризици од земљотреса сматрају умереним, према истим проценама, штете повезане са земљотресима могу се кретати од 132 милиона долара до чак 7,6 милијарди долара. Зависно од врсте и интензитета елементарне непогоде, разликује се и очекивана контракција БДП, односно остваривање мањег раста БДП у години манифестовања елементарне непогоде, у односу на раст БДП који би се остварио да се</w:t>
      </w:r>
      <w:r w:rsidR="00CF6476" w:rsidRPr="00AD7E7D">
        <w:rPr>
          <w:rFonts w:eastAsia="MS PGothic" w:cs="Times New Roman"/>
          <w:szCs w:val="24"/>
          <w:lang w:eastAsia="ja-JP"/>
        </w:rPr>
        <w:t xml:space="preserve"> </w:t>
      </w:r>
      <w:r w:rsidRPr="00AD7E7D">
        <w:rPr>
          <w:rFonts w:eastAsia="MS PGothic" w:cs="Times New Roman"/>
          <w:szCs w:val="24"/>
          <w:lang w:eastAsia="ja-JP"/>
        </w:rPr>
        <w:t>елементарна непогода није догодила. Тако у случају земљотреса, стопа раста БДП се може смањити од 0,02% за земљотресе слабијег интензитета до значајних 1,39% за ређе земљотресе великих размера. Када су у питању поплаве, контракција раста БДП се може кретати од 0,02% за поплаве слабијег интензитета до, на</w:t>
      </w:r>
      <w:r w:rsidRPr="00AD7E7D">
        <w:rPr>
          <w:rFonts w:eastAsia="MS PGothic" w:cs="Times New Roman"/>
          <w:szCs w:val="24"/>
          <w:lang w:val="sr-Cyrl-RS" w:eastAsia="ja-JP"/>
        </w:rPr>
        <w:t>јј</w:t>
      </w:r>
      <w:r w:rsidRPr="00AD7E7D">
        <w:rPr>
          <w:rFonts w:eastAsia="MS PGothic" w:cs="Times New Roman"/>
          <w:szCs w:val="24"/>
          <w:lang w:eastAsia="ja-JP"/>
        </w:rPr>
        <w:t>а</w:t>
      </w:r>
      <w:r w:rsidRPr="00AD7E7D">
        <w:rPr>
          <w:rFonts w:eastAsia="MS PGothic" w:cs="Times New Roman"/>
          <w:szCs w:val="24"/>
          <w:lang w:val="sr-Cyrl-RS" w:eastAsia="ja-JP"/>
        </w:rPr>
        <w:t>ч</w:t>
      </w:r>
      <w:r w:rsidRPr="00AD7E7D">
        <w:rPr>
          <w:rFonts w:eastAsia="MS PGothic" w:cs="Times New Roman"/>
          <w:szCs w:val="24"/>
          <w:lang w:eastAsia="ja-JP"/>
        </w:rPr>
        <w:t>их 1,05% за ређе поплаве великих размера. На бази модела за процену фискалних ризика од елементарних непогода за Републику Србију, може се закључити да се, у случају земљотреса, фискални дефицит може повећати у интервалу 0,04% до 2,5% БДП годишње, што даље може утицати на раст јавног дуга од 0,05% до преко 6,4% БДП у годинама након шока, проузрокованог земљотресом већег интензитета. У случају поплава, имамо сличну ситуацију, односно фискални дефицит се може повећати у интервалу 0,04% до 1,9% БДП годишње, што даље може утицати на раст јавног дуга од 0,06% до преко 4,8%</w:t>
      </w:r>
      <w:r w:rsidRPr="00AD7E7D">
        <w:rPr>
          <w:rFonts w:eastAsia="MS PGothic" w:cs="Times New Roman"/>
          <w:bCs/>
          <w:color w:val="1F3864" w:themeColor="accent5" w:themeShade="80"/>
          <w:szCs w:val="24"/>
          <w:lang w:eastAsia="ja-JP"/>
        </w:rPr>
        <w:t xml:space="preserve"> Б</w:t>
      </w:r>
      <w:r w:rsidRPr="00AD7E7D">
        <w:rPr>
          <w:rFonts w:eastAsia="MS PGothic" w:cs="Times New Roman"/>
          <w:szCs w:val="24"/>
          <w:lang w:eastAsia="ja-JP"/>
        </w:rPr>
        <w:t>ДП у годинама након шока, проузрокованог поплавама већих размера.</w:t>
      </w:r>
    </w:p>
    <w:p w14:paraId="517586CF" w14:textId="77777777" w:rsidR="006D0778" w:rsidRPr="00010E52" w:rsidRDefault="006D0778" w:rsidP="006D0778">
      <w:pPr>
        <w:rPr>
          <w:rFonts w:eastAsia="MS PGothic" w:cs="Times New Roman"/>
          <w:i/>
          <w:szCs w:val="24"/>
          <w:lang w:val="sr-Cyrl-RS" w:eastAsia="ja-JP"/>
        </w:rPr>
      </w:pPr>
      <w:r w:rsidRPr="00010E52">
        <w:rPr>
          <w:rFonts w:eastAsia="MS PGothic" w:cs="Times New Roman"/>
          <w:i/>
          <w:szCs w:val="24"/>
          <w:lang w:val="sr-Cyrl-RS" w:eastAsia="ja-JP"/>
        </w:rPr>
        <w:t>Табела 1</w:t>
      </w:r>
      <w:r w:rsidR="006C46A3">
        <w:rPr>
          <w:rFonts w:eastAsia="MS PGothic" w:cs="Times New Roman"/>
          <w:i/>
          <w:szCs w:val="24"/>
          <w:lang w:val="sr-Latn-RS" w:eastAsia="ja-JP"/>
        </w:rPr>
        <w:t>5</w:t>
      </w:r>
      <w:r w:rsidRPr="00010E52">
        <w:rPr>
          <w:rFonts w:eastAsia="MS PGothic" w:cs="Times New Roman"/>
          <w:i/>
          <w:szCs w:val="24"/>
          <w:lang w:val="sr-Cyrl-RS" w:eastAsia="ja-JP"/>
        </w:rPr>
        <w:t>. П</w:t>
      </w:r>
      <w:r w:rsidRPr="00010E52">
        <w:rPr>
          <w:rFonts w:eastAsia="MS PGothic" w:cs="Times New Roman"/>
          <w:i/>
          <w:szCs w:val="24"/>
          <w:lang w:eastAsia="ja-JP"/>
        </w:rPr>
        <w:t>ромене фискалних варијабли зависно од врсте елементарних непогода</w:t>
      </w:r>
      <w:r w:rsidRPr="00010E52">
        <w:rPr>
          <w:rFonts w:eastAsia="MS PGothic" w:cs="Times New Roman"/>
          <w:i/>
          <w:szCs w:val="24"/>
          <w:lang w:val="sr-Cyrl-RS" w:eastAsia="ja-JP"/>
        </w:rPr>
        <w:t xml:space="preserve">, </w:t>
      </w:r>
      <w:r w:rsidRPr="00010E52">
        <w:rPr>
          <w:rFonts w:eastAsia="MS PGothic" w:cs="Times New Roman"/>
          <w:i/>
          <w:szCs w:val="24"/>
          <w:lang w:eastAsia="ja-JP"/>
        </w:rPr>
        <w:t>у % БДП</w:t>
      </w:r>
    </w:p>
    <w:tbl>
      <w:tblPr>
        <w:tblW w:w="9065" w:type="dxa"/>
        <w:tblLook w:val="04A0" w:firstRow="1" w:lastRow="0" w:firstColumn="1" w:lastColumn="0" w:noHBand="0" w:noVBand="1"/>
      </w:tblPr>
      <w:tblGrid>
        <w:gridCol w:w="517"/>
        <w:gridCol w:w="1580"/>
        <w:gridCol w:w="1523"/>
        <w:gridCol w:w="1359"/>
        <w:gridCol w:w="1362"/>
        <w:gridCol w:w="1362"/>
        <w:gridCol w:w="1362"/>
      </w:tblGrid>
      <w:tr w:rsidR="006D0778" w:rsidRPr="00AD7E7D" w14:paraId="7A0DBC96" w14:textId="77777777" w:rsidTr="00D2109C">
        <w:trPr>
          <w:trHeight w:val="716"/>
        </w:trPr>
        <w:tc>
          <w:tcPr>
            <w:tcW w:w="2109" w:type="dxa"/>
            <w:gridSpan w:val="2"/>
            <w:tcBorders>
              <w:top w:val="nil"/>
              <w:left w:val="nil"/>
              <w:bottom w:val="single" w:sz="4" w:space="0" w:color="auto"/>
              <w:right w:val="nil"/>
            </w:tcBorders>
            <w:shd w:val="clear" w:color="auto" w:fill="auto"/>
            <w:vAlign w:val="center"/>
            <w:hideMark/>
          </w:tcPr>
          <w:p w14:paraId="24C19402"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lastRenderedPageBreak/>
              <w:t>Сценарио</w:t>
            </w:r>
          </w:p>
        </w:tc>
        <w:tc>
          <w:tcPr>
            <w:tcW w:w="1422" w:type="dxa"/>
            <w:tcBorders>
              <w:top w:val="nil"/>
              <w:left w:val="nil"/>
              <w:bottom w:val="single" w:sz="4" w:space="0" w:color="auto"/>
              <w:right w:val="nil"/>
            </w:tcBorders>
            <w:shd w:val="clear" w:color="auto" w:fill="auto"/>
            <w:vAlign w:val="center"/>
            <w:hideMark/>
          </w:tcPr>
          <w:p w14:paraId="3157DE47"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Вероватноћа догађаја</w:t>
            </w:r>
          </w:p>
        </w:tc>
        <w:tc>
          <w:tcPr>
            <w:tcW w:w="1382" w:type="dxa"/>
            <w:tcBorders>
              <w:top w:val="nil"/>
              <w:left w:val="nil"/>
              <w:bottom w:val="single" w:sz="4" w:space="0" w:color="auto"/>
              <w:right w:val="nil"/>
            </w:tcBorders>
            <w:shd w:val="clear" w:color="auto" w:fill="auto"/>
            <w:vAlign w:val="center"/>
            <w:hideMark/>
          </w:tcPr>
          <w:p w14:paraId="12F7238F" w14:textId="77777777" w:rsidR="006D0778" w:rsidRPr="00AD7E7D" w:rsidRDefault="006D0778" w:rsidP="007B25C2">
            <w:pPr>
              <w:spacing w:after="0"/>
              <w:jc w:val="right"/>
              <w:rPr>
                <w:rFonts w:eastAsia="Times New Roman" w:cs="Times New Roman"/>
                <w:szCs w:val="24"/>
              </w:rPr>
            </w:pPr>
            <w:r w:rsidRPr="00AD7E7D">
              <w:rPr>
                <w:rFonts w:eastAsia="Times New Roman" w:cs="Times New Roman"/>
                <w:szCs w:val="24"/>
              </w:rPr>
              <w:t>2024</w:t>
            </w:r>
          </w:p>
        </w:tc>
        <w:tc>
          <w:tcPr>
            <w:tcW w:w="1384" w:type="dxa"/>
            <w:tcBorders>
              <w:top w:val="nil"/>
              <w:left w:val="nil"/>
              <w:bottom w:val="single" w:sz="4" w:space="0" w:color="auto"/>
              <w:right w:val="nil"/>
            </w:tcBorders>
            <w:shd w:val="clear" w:color="auto" w:fill="auto"/>
            <w:vAlign w:val="center"/>
            <w:hideMark/>
          </w:tcPr>
          <w:p w14:paraId="2E1BEFA7" w14:textId="77777777" w:rsidR="006D0778" w:rsidRPr="00AD7E7D" w:rsidRDefault="006D0778" w:rsidP="007B25C2">
            <w:pPr>
              <w:spacing w:after="0"/>
              <w:jc w:val="right"/>
              <w:rPr>
                <w:rFonts w:eastAsia="Times New Roman" w:cs="Times New Roman"/>
                <w:szCs w:val="24"/>
              </w:rPr>
            </w:pPr>
            <w:r w:rsidRPr="00AD7E7D">
              <w:rPr>
                <w:rFonts w:eastAsia="Times New Roman" w:cs="Times New Roman"/>
                <w:szCs w:val="24"/>
              </w:rPr>
              <w:t>2025</w:t>
            </w:r>
          </w:p>
        </w:tc>
        <w:tc>
          <w:tcPr>
            <w:tcW w:w="1384" w:type="dxa"/>
            <w:tcBorders>
              <w:top w:val="nil"/>
              <w:left w:val="nil"/>
              <w:bottom w:val="single" w:sz="4" w:space="0" w:color="auto"/>
              <w:right w:val="nil"/>
            </w:tcBorders>
            <w:shd w:val="clear" w:color="auto" w:fill="auto"/>
            <w:vAlign w:val="center"/>
            <w:hideMark/>
          </w:tcPr>
          <w:p w14:paraId="00C5B72F" w14:textId="77777777" w:rsidR="006D0778" w:rsidRPr="00AD7E7D" w:rsidRDefault="006D0778" w:rsidP="007B25C2">
            <w:pPr>
              <w:spacing w:after="0"/>
              <w:jc w:val="right"/>
              <w:rPr>
                <w:rFonts w:eastAsia="Times New Roman" w:cs="Times New Roman"/>
                <w:szCs w:val="24"/>
              </w:rPr>
            </w:pPr>
            <w:r w:rsidRPr="00AD7E7D">
              <w:rPr>
                <w:rFonts w:eastAsia="Times New Roman" w:cs="Times New Roman"/>
                <w:szCs w:val="24"/>
              </w:rPr>
              <w:t>2026</w:t>
            </w:r>
          </w:p>
        </w:tc>
        <w:tc>
          <w:tcPr>
            <w:tcW w:w="1384" w:type="dxa"/>
            <w:tcBorders>
              <w:top w:val="nil"/>
              <w:left w:val="nil"/>
              <w:bottom w:val="single" w:sz="4" w:space="0" w:color="auto"/>
              <w:right w:val="nil"/>
            </w:tcBorders>
            <w:shd w:val="clear" w:color="auto" w:fill="auto"/>
            <w:vAlign w:val="center"/>
            <w:hideMark/>
          </w:tcPr>
          <w:p w14:paraId="3C112D90" w14:textId="77777777" w:rsidR="006D0778" w:rsidRPr="00AD7E7D" w:rsidRDefault="006D0778" w:rsidP="007B25C2">
            <w:pPr>
              <w:spacing w:after="0"/>
              <w:jc w:val="right"/>
              <w:rPr>
                <w:rFonts w:eastAsia="Times New Roman" w:cs="Times New Roman"/>
                <w:szCs w:val="24"/>
              </w:rPr>
            </w:pPr>
            <w:r w:rsidRPr="00AD7E7D">
              <w:rPr>
                <w:rFonts w:eastAsia="Times New Roman" w:cs="Times New Roman"/>
                <w:szCs w:val="24"/>
              </w:rPr>
              <w:t>2027</w:t>
            </w:r>
          </w:p>
        </w:tc>
      </w:tr>
      <w:tr w:rsidR="006D0778" w:rsidRPr="00AD7E7D" w14:paraId="7CB14E46" w14:textId="77777777" w:rsidTr="00D2109C">
        <w:trPr>
          <w:trHeight w:val="238"/>
        </w:trPr>
        <w:tc>
          <w:tcPr>
            <w:tcW w:w="517" w:type="dxa"/>
            <w:vMerge w:val="restart"/>
            <w:tcBorders>
              <w:top w:val="nil"/>
              <w:left w:val="nil"/>
              <w:bottom w:val="single" w:sz="4" w:space="0" w:color="000000"/>
              <w:right w:val="nil"/>
            </w:tcBorders>
            <w:shd w:val="clear" w:color="auto" w:fill="auto"/>
            <w:noWrap/>
            <w:textDirection w:val="btLr"/>
            <w:vAlign w:val="center"/>
            <w:hideMark/>
          </w:tcPr>
          <w:p w14:paraId="7C08B289"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ЗЕМЉОТРЕСИ</w:t>
            </w:r>
          </w:p>
        </w:tc>
        <w:tc>
          <w:tcPr>
            <w:tcW w:w="1592" w:type="dxa"/>
            <w:vMerge w:val="restart"/>
            <w:tcBorders>
              <w:top w:val="nil"/>
              <w:left w:val="nil"/>
              <w:bottom w:val="nil"/>
              <w:right w:val="single" w:sz="4" w:space="0" w:color="auto"/>
            </w:tcBorders>
            <w:shd w:val="clear" w:color="auto" w:fill="auto"/>
            <w:vAlign w:val="center"/>
            <w:hideMark/>
          </w:tcPr>
          <w:p w14:paraId="74B62F46"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Фискални биланс</w:t>
            </w:r>
          </w:p>
        </w:tc>
        <w:tc>
          <w:tcPr>
            <w:tcW w:w="1422" w:type="dxa"/>
            <w:tcBorders>
              <w:top w:val="nil"/>
              <w:left w:val="nil"/>
              <w:bottom w:val="nil"/>
              <w:right w:val="nil"/>
            </w:tcBorders>
            <w:shd w:val="clear" w:color="auto" w:fill="auto"/>
            <w:vAlign w:val="center"/>
            <w:hideMark/>
          </w:tcPr>
          <w:p w14:paraId="0C4073DD"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50%</w:t>
            </w:r>
          </w:p>
        </w:tc>
        <w:tc>
          <w:tcPr>
            <w:tcW w:w="1382" w:type="dxa"/>
            <w:tcBorders>
              <w:top w:val="nil"/>
              <w:left w:val="nil"/>
              <w:bottom w:val="nil"/>
              <w:right w:val="nil"/>
            </w:tcBorders>
            <w:shd w:val="clear" w:color="auto" w:fill="auto"/>
            <w:vAlign w:val="center"/>
            <w:hideMark/>
          </w:tcPr>
          <w:p w14:paraId="1FA99A43"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0,00</w:t>
            </w:r>
          </w:p>
        </w:tc>
        <w:tc>
          <w:tcPr>
            <w:tcW w:w="1384" w:type="dxa"/>
            <w:tcBorders>
              <w:top w:val="nil"/>
              <w:left w:val="nil"/>
              <w:bottom w:val="nil"/>
              <w:right w:val="nil"/>
            </w:tcBorders>
            <w:shd w:val="clear" w:color="auto" w:fill="auto"/>
            <w:vAlign w:val="center"/>
            <w:hideMark/>
          </w:tcPr>
          <w:p w14:paraId="488FBFED"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0,00</w:t>
            </w:r>
          </w:p>
        </w:tc>
        <w:tc>
          <w:tcPr>
            <w:tcW w:w="1384" w:type="dxa"/>
            <w:tcBorders>
              <w:top w:val="nil"/>
              <w:left w:val="nil"/>
              <w:bottom w:val="nil"/>
              <w:right w:val="nil"/>
            </w:tcBorders>
            <w:shd w:val="clear" w:color="auto" w:fill="auto"/>
            <w:vAlign w:val="center"/>
            <w:hideMark/>
          </w:tcPr>
          <w:p w14:paraId="4DC2BACB"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0,00</w:t>
            </w:r>
          </w:p>
        </w:tc>
        <w:tc>
          <w:tcPr>
            <w:tcW w:w="1384" w:type="dxa"/>
            <w:tcBorders>
              <w:top w:val="nil"/>
              <w:left w:val="nil"/>
              <w:bottom w:val="nil"/>
              <w:right w:val="nil"/>
            </w:tcBorders>
            <w:shd w:val="clear" w:color="auto" w:fill="auto"/>
            <w:vAlign w:val="center"/>
            <w:hideMark/>
          </w:tcPr>
          <w:p w14:paraId="4284D377"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0,00</w:t>
            </w:r>
          </w:p>
        </w:tc>
      </w:tr>
      <w:tr w:rsidR="006D0778" w:rsidRPr="00AD7E7D" w14:paraId="0EADBD9A" w14:textId="77777777" w:rsidTr="00D2109C">
        <w:trPr>
          <w:trHeight w:val="238"/>
        </w:trPr>
        <w:tc>
          <w:tcPr>
            <w:tcW w:w="517" w:type="dxa"/>
            <w:vMerge/>
            <w:tcBorders>
              <w:top w:val="nil"/>
              <w:left w:val="nil"/>
              <w:bottom w:val="single" w:sz="4" w:space="0" w:color="000000"/>
              <w:right w:val="nil"/>
            </w:tcBorders>
            <w:vAlign w:val="center"/>
            <w:hideMark/>
          </w:tcPr>
          <w:p w14:paraId="3914CFA9" w14:textId="77777777" w:rsidR="006D0778" w:rsidRPr="00AD7E7D" w:rsidRDefault="006D0778" w:rsidP="006D0778">
            <w:pPr>
              <w:spacing w:after="0"/>
              <w:jc w:val="left"/>
              <w:rPr>
                <w:rFonts w:eastAsia="Times New Roman" w:cs="Times New Roman"/>
                <w:szCs w:val="24"/>
              </w:rPr>
            </w:pPr>
          </w:p>
        </w:tc>
        <w:tc>
          <w:tcPr>
            <w:tcW w:w="1592" w:type="dxa"/>
            <w:vMerge/>
            <w:tcBorders>
              <w:top w:val="nil"/>
              <w:left w:val="nil"/>
              <w:bottom w:val="nil"/>
              <w:right w:val="single" w:sz="4" w:space="0" w:color="auto"/>
            </w:tcBorders>
            <w:vAlign w:val="center"/>
            <w:hideMark/>
          </w:tcPr>
          <w:p w14:paraId="6E6F6686" w14:textId="77777777" w:rsidR="006D0778" w:rsidRPr="00AD7E7D" w:rsidRDefault="006D0778" w:rsidP="006D0778">
            <w:pPr>
              <w:spacing w:after="0"/>
              <w:jc w:val="left"/>
              <w:rPr>
                <w:rFonts w:eastAsia="Times New Roman" w:cs="Times New Roman"/>
                <w:szCs w:val="24"/>
              </w:rPr>
            </w:pPr>
          </w:p>
        </w:tc>
        <w:tc>
          <w:tcPr>
            <w:tcW w:w="1422" w:type="dxa"/>
            <w:tcBorders>
              <w:top w:val="nil"/>
              <w:left w:val="nil"/>
              <w:bottom w:val="nil"/>
              <w:right w:val="nil"/>
            </w:tcBorders>
            <w:shd w:val="clear" w:color="auto" w:fill="auto"/>
            <w:vAlign w:val="center"/>
            <w:hideMark/>
          </w:tcPr>
          <w:p w14:paraId="42BD249B"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10%</w:t>
            </w:r>
          </w:p>
        </w:tc>
        <w:tc>
          <w:tcPr>
            <w:tcW w:w="1382" w:type="dxa"/>
            <w:tcBorders>
              <w:top w:val="nil"/>
              <w:left w:val="nil"/>
              <w:bottom w:val="nil"/>
              <w:right w:val="nil"/>
            </w:tcBorders>
            <w:shd w:val="clear" w:color="auto" w:fill="auto"/>
            <w:vAlign w:val="center"/>
            <w:hideMark/>
          </w:tcPr>
          <w:p w14:paraId="6D3226F2"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-0,04</w:t>
            </w:r>
          </w:p>
        </w:tc>
        <w:tc>
          <w:tcPr>
            <w:tcW w:w="1384" w:type="dxa"/>
            <w:tcBorders>
              <w:top w:val="nil"/>
              <w:left w:val="nil"/>
              <w:bottom w:val="nil"/>
              <w:right w:val="nil"/>
            </w:tcBorders>
            <w:shd w:val="clear" w:color="auto" w:fill="auto"/>
            <w:vAlign w:val="center"/>
            <w:hideMark/>
          </w:tcPr>
          <w:p w14:paraId="380D0D8C"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-0,04</w:t>
            </w:r>
          </w:p>
        </w:tc>
        <w:tc>
          <w:tcPr>
            <w:tcW w:w="1384" w:type="dxa"/>
            <w:tcBorders>
              <w:top w:val="nil"/>
              <w:left w:val="nil"/>
              <w:bottom w:val="nil"/>
              <w:right w:val="nil"/>
            </w:tcBorders>
            <w:shd w:val="clear" w:color="auto" w:fill="auto"/>
            <w:vAlign w:val="center"/>
            <w:hideMark/>
          </w:tcPr>
          <w:p w14:paraId="67CD829B"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-0,03</w:t>
            </w:r>
          </w:p>
        </w:tc>
        <w:tc>
          <w:tcPr>
            <w:tcW w:w="1384" w:type="dxa"/>
            <w:tcBorders>
              <w:top w:val="nil"/>
              <w:left w:val="nil"/>
              <w:bottom w:val="nil"/>
              <w:right w:val="nil"/>
            </w:tcBorders>
            <w:shd w:val="clear" w:color="auto" w:fill="auto"/>
            <w:vAlign w:val="center"/>
            <w:hideMark/>
          </w:tcPr>
          <w:p w14:paraId="521870D7"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-0,02</w:t>
            </w:r>
          </w:p>
        </w:tc>
      </w:tr>
      <w:tr w:rsidR="006D0778" w:rsidRPr="00AD7E7D" w14:paraId="7B0EBD37" w14:textId="77777777" w:rsidTr="00D2109C">
        <w:trPr>
          <w:trHeight w:val="238"/>
        </w:trPr>
        <w:tc>
          <w:tcPr>
            <w:tcW w:w="517" w:type="dxa"/>
            <w:vMerge/>
            <w:tcBorders>
              <w:top w:val="nil"/>
              <w:left w:val="nil"/>
              <w:bottom w:val="single" w:sz="4" w:space="0" w:color="000000"/>
              <w:right w:val="nil"/>
            </w:tcBorders>
            <w:vAlign w:val="center"/>
            <w:hideMark/>
          </w:tcPr>
          <w:p w14:paraId="3A4F7A16" w14:textId="77777777" w:rsidR="006D0778" w:rsidRPr="00AD7E7D" w:rsidRDefault="006D0778" w:rsidP="006D0778">
            <w:pPr>
              <w:spacing w:after="0"/>
              <w:jc w:val="left"/>
              <w:rPr>
                <w:rFonts w:eastAsia="Times New Roman" w:cs="Times New Roman"/>
                <w:szCs w:val="24"/>
              </w:rPr>
            </w:pPr>
          </w:p>
        </w:tc>
        <w:tc>
          <w:tcPr>
            <w:tcW w:w="1592" w:type="dxa"/>
            <w:vMerge/>
            <w:tcBorders>
              <w:top w:val="nil"/>
              <w:left w:val="nil"/>
              <w:bottom w:val="nil"/>
              <w:right w:val="single" w:sz="4" w:space="0" w:color="auto"/>
            </w:tcBorders>
            <w:vAlign w:val="center"/>
            <w:hideMark/>
          </w:tcPr>
          <w:p w14:paraId="160B803A" w14:textId="77777777" w:rsidR="006D0778" w:rsidRPr="00AD7E7D" w:rsidRDefault="006D0778" w:rsidP="006D0778">
            <w:pPr>
              <w:spacing w:after="0"/>
              <w:jc w:val="left"/>
              <w:rPr>
                <w:rFonts w:eastAsia="Times New Roman" w:cs="Times New Roman"/>
                <w:szCs w:val="24"/>
              </w:rPr>
            </w:pPr>
          </w:p>
        </w:tc>
        <w:tc>
          <w:tcPr>
            <w:tcW w:w="1422" w:type="dxa"/>
            <w:tcBorders>
              <w:top w:val="nil"/>
              <w:left w:val="nil"/>
              <w:bottom w:val="nil"/>
              <w:right w:val="nil"/>
            </w:tcBorders>
            <w:shd w:val="clear" w:color="auto" w:fill="auto"/>
            <w:vAlign w:val="center"/>
            <w:hideMark/>
          </w:tcPr>
          <w:p w14:paraId="5242E991"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2%</w:t>
            </w:r>
          </w:p>
        </w:tc>
        <w:tc>
          <w:tcPr>
            <w:tcW w:w="1382" w:type="dxa"/>
            <w:tcBorders>
              <w:top w:val="nil"/>
              <w:left w:val="nil"/>
              <w:bottom w:val="nil"/>
              <w:right w:val="nil"/>
            </w:tcBorders>
            <w:shd w:val="clear" w:color="auto" w:fill="auto"/>
            <w:vAlign w:val="center"/>
            <w:hideMark/>
          </w:tcPr>
          <w:p w14:paraId="6C0737DD"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-0,40</w:t>
            </w:r>
          </w:p>
        </w:tc>
        <w:tc>
          <w:tcPr>
            <w:tcW w:w="1384" w:type="dxa"/>
            <w:tcBorders>
              <w:top w:val="nil"/>
              <w:left w:val="nil"/>
              <w:bottom w:val="nil"/>
              <w:right w:val="nil"/>
            </w:tcBorders>
            <w:shd w:val="clear" w:color="auto" w:fill="auto"/>
            <w:vAlign w:val="center"/>
            <w:hideMark/>
          </w:tcPr>
          <w:p w14:paraId="6BF71178"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-0,39</w:t>
            </w:r>
          </w:p>
        </w:tc>
        <w:tc>
          <w:tcPr>
            <w:tcW w:w="1384" w:type="dxa"/>
            <w:tcBorders>
              <w:top w:val="nil"/>
              <w:left w:val="nil"/>
              <w:bottom w:val="nil"/>
              <w:right w:val="nil"/>
            </w:tcBorders>
            <w:shd w:val="clear" w:color="auto" w:fill="auto"/>
            <w:vAlign w:val="center"/>
            <w:hideMark/>
          </w:tcPr>
          <w:p w14:paraId="00660FED"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-0,23</w:t>
            </w:r>
          </w:p>
        </w:tc>
        <w:tc>
          <w:tcPr>
            <w:tcW w:w="1384" w:type="dxa"/>
            <w:tcBorders>
              <w:top w:val="nil"/>
              <w:left w:val="nil"/>
              <w:bottom w:val="nil"/>
              <w:right w:val="nil"/>
            </w:tcBorders>
            <w:shd w:val="clear" w:color="auto" w:fill="auto"/>
            <w:vAlign w:val="center"/>
            <w:hideMark/>
          </w:tcPr>
          <w:p w14:paraId="667D96CA"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-0,15</w:t>
            </w:r>
          </w:p>
        </w:tc>
      </w:tr>
      <w:tr w:rsidR="006D0778" w:rsidRPr="00AD7E7D" w14:paraId="68E4BD3D" w14:textId="77777777" w:rsidTr="00D2109C">
        <w:trPr>
          <w:trHeight w:val="238"/>
        </w:trPr>
        <w:tc>
          <w:tcPr>
            <w:tcW w:w="517" w:type="dxa"/>
            <w:vMerge/>
            <w:tcBorders>
              <w:top w:val="nil"/>
              <w:left w:val="nil"/>
              <w:bottom w:val="single" w:sz="4" w:space="0" w:color="000000"/>
              <w:right w:val="nil"/>
            </w:tcBorders>
            <w:vAlign w:val="center"/>
            <w:hideMark/>
          </w:tcPr>
          <w:p w14:paraId="7F7DDC8A" w14:textId="77777777" w:rsidR="006D0778" w:rsidRPr="00AD7E7D" w:rsidRDefault="006D0778" w:rsidP="006D0778">
            <w:pPr>
              <w:spacing w:after="0"/>
              <w:jc w:val="left"/>
              <w:rPr>
                <w:rFonts w:eastAsia="Times New Roman" w:cs="Times New Roman"/>
                <w:szCs w:val="24"/>
              </w:rPr>
            </w:pPr>
          </w:p>
        </w:tc>
        <w:tc>
          <w:tcPr>
            <w:tcW w:w="1592" w:type="dxa"/>
            <w:vMerge/>
            <w:tcBorders>
              <w:top w:val="nil"/>
              <w:left w:val="nil"/>
              <w:bottom w:val="nil"/>
              <w:right w:val="single" w:sz="4" w:space="0" w:color="auto"/>
            </w:tcBorders>
            <w:vAlign w:val="center"/>
            <w:hideMark/>
          </w:tcPr>
          <w:p w14:paraId="1A829A30" w14:textId="77777777" w:rsidR="006D0778" w:rsidRPr="00AD7E7D" w:rsidRDefault="006D0778" w:rsidP="006D0778">
            <w:pPr>
              <w:spacing w:after="0"/>
              <w:jc w:val="left"/>
              <w:rPr>
                <w:rFonts w:eastAsia="Times New Roman" w:cs="Times New Roman"/>
                <w:szCs w:val="24"/>
              </w:rPr>
            </w:pPr>
          </w:p>
        </w:tc>
        <w:tc>
          <w:tcPr>
            <w:tcW w:w="1422" w:type="dxa"/>
            <w:tcBorders>
              <w:top w:val="nil"/>
              <w:left w:val="nil"/>
              <w:bottom w:val="nil"/>
              <w:right w:val="nil"/>
            </w:tcBorders>
            <w:shd w:val="clear" w:color="auto" w:fill="auto"/>
            <w:vAlign w:val="center"/>
            <w:hideMark/>
          </w:tcPr>
          <w:p w14:paraId="1F61E740"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1%</w:t>
            </w:r>
          </w:p>
        </w:tc>
        <w:tc>
          <w:tcPr>
            <w:tcW w:w="1382" w:type="dxa"/>
            <w:tcBorders>
              <w:top w:val="nil"/>
              <w:left w:val="nil"/>
              <w:bottom w:val="nil"/>
              <w:right w:val="nil"/>
            </w:tcBorders>
            <w:shd w:val="clear" w:color="auto" w:fill="auto"/>
            <w:vAlign w:val="center"/>
            <w:hideMark/>
          </w:tcPr>
          <w:p w14:paraId="09F1447E"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-0,78</w:t>
            </w:r>
          </w:p>
        </w:tc>
        <w:tc>
          <w:tcPr>
            <w:tcW w:w="1384" w:type="dxa"/>
            <w:tcBorders>
              <w:top w:val="nil"/>
              <w:left w:val="nil"/>
              <w:bottom w:val="nil"/>
              <w:right w:val="nil"/>
            </w:tcBorders>
            <w:shd w:val="clear" w:color="auto" w:fill="auto"/>
            <w:vAlign w:val="center"/>
            <w:hideMark/>
          </w:tcPr>
          <w:p w14:paraId="07DD38C5"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-0,77</w:t>
            </w:r>
          </w:p>
        </w:tc>
        <w:tc>
          <w:tcPr>
            <w:tcW w:w="1384" w:type="dxa"/>
            <w:tcBorders>
              <w:top w:val="nil"/>
              <w:left w:val="nil"/>
              <w:bottom w:val="nil"/>
              <w:right w:val="nil"/>
            </w:tcBorders>
            <w:shd w:val="clear" w:color="auto" w:fill="auto"/>
            <w:vAlign w:val="center"/>
            <w:hideMark/>
          </w:tcPr>
          <w:p w14:paraId="4CD78A60"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-0,45</w:t>
            </w:r>
          </w:p>
        </w:tc>
        <w:tc>
          <w:tcPr>
            <w:tcW w:w="1384" w:type="dxa"/>
            <w:tcBorders>
              <w:top w:val="nil"/>
              <w:left w:val="nil"/>
              <w:bottom w:val="nil"/>
              <w:right w:val="nil"/>
            </w:tcBorders>
            <w:shd w:val="clear" w:color="auto" w:fill="auto"/>
            <w:vAlign w:val="center"/>
            <w:hideMark/>
          </w:tcPr>
          <w:p w14:paraId="03E4502F"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-0,30</w:t>
            </w:r>
          </w:p>
        </w:tc>
      </w:tr>
      <w:tr w:rsidR="006D0778" w:rsidRPr="00AD7E7D" w14:paraId="610A1F2B" w14:textId="77777777" w:rsidTr="00D2109C">
        <w:trPr>
          <w:trHeight w:val="238"/>
        </w:trPr>
        <w:tc>
          <w:tcPr>
            <w:tcW w:w="517" w:type="dxa"/>
            <w:vMerge/>
            <w:tcBorders>
              <w:top w:val="nil"/>
              <w:left w:val="nil"/>
              <w:bottom w:val="single" w:sz="4" w:space="0" w:color="000000"/>
              <w:right w:val="nil"/>
            </w:tcBorders>
            <w:vAlign w:val="center"/>
            <w:hideMark/>
          </w:tcPr>
          <w:p w14:paraId="2A3CC6C5" w14:textId="77777777" w:rsidR="006D0778" w:rsidRPr="00AD7E7D" w:rsidRDefault="006D0778" w:rsidP="006D0778">
            <w:pPr>
              <w:spacing w:after="0"/>
              <w:jc w:val="left"/>
              <w:rPr>
                <w:rFonts w:eastAsia="Times New Roman" w:cs="Times New Roman"/>
                <w:szCs w:val="24"/>
              </w:rPr>
            </w:pPr>
          </w:p>
        </w:tc>
        <w:tc>
          <w:tcPr>
            <w:tcW w:w="1592" w:type="dxa"/>
            <w:vMerge/>
            <w:tcBorders>
              <w:top w:val="nil"/>
              <w:left w:val="nil"/>
              <w:bottom w:val="nil"/>
              <w:right w:val="single" w:sz="4" w:space="0" w:color="auto"/>
            </w:tcBorders>
            <w:vAlign w:val="center"/>
            <w:hideMark/>
          </w:tcPr>
          <w:p w14:paraId="78A245D6" w14:textId="77777777" w:rsidR="006D0778" w:rsidRPr="00AD7E7D" w:rsidRDefault="006D0778" w:rsidP="006D0778">
            <w:pPr>
              <w:spacing w:after="0"/>
              <w:jc w:val="left"/>
              <w:rPr>
                <w:rFonts w:eastAsia="Times New Roman" w:cs="Times New Roman"/>
                <w:szCs w:val="24"/>
              </w:rPr>
            </w:pPr>
          </w:p>
        </w:tc>
        <w:tc>
          <w:tcPr>
            <w:tcW w:w="1422" w:type="dxa"/>
            <w:tcBorders>
              <w:top w:val="nil"/>
              <w:left w:val="nil"/>
              <w:bottom w:val="single" w:sz="4" w:space="0" w:color="auto"/>
              <w:right w:val="nil"/>
            </w:tcBorders>
            <w:shd w:val="clear" w:color="auto" w:fill="auto"/>
            <w:vAlign w:val="center"/>
            <w:hideMark/>
          </w:tcPr>
          <w:p w14:paraId="045E0D85"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0,4%</w:t>
            </w:r>
          </w:p>
        </w:tc>
        <w:tc>
          <w:tcPr>
            <w:tcW w:w="1382" w:type="dxa"/>
            <w:tcBorders>
              <w:top w:val="nil"/>
              <w:left w:val="nil"/>
              <w:bottom w:val="single" w:sz="4" w:space="0" w:color="auto"/>
              <w:right w:val="nil"/>
            </w:tcBorders>
            <w:shd w:val="clear" w:color="auto" w:fill="auto"/>
            <w:vAlign w:val="center"/>
            <w:hideMark/>
          </w:tcPr>
          <w:p w14:paraId="273954A6"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-2,52</w:t>
            </w:r>
          </w:p>
        </w:tc>
        <w:tc>
          <w:tcPr>
            <w:tcW w:w="1384" w:type="dxa"/>
            <w:tcBorders>
              <w:top w:val="nil"/>
              <w:left w:val="nil"/>
              <w:bottom w:val="single" w:sz="4" w:space="0" w:color="auto"/>
              <w:right w:val="nil"/>
            </w:tcBorders>
            <w:shd w:val="clear" w:color="auto" w:fill="auto"/>
            <w:vAlign w:val="center"/>
            <w:hideMark/>
          </w:tcPr>
          <w:p w14:paraId="5D713A05"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-2,50</w:t>
            </w:r>
          </w:p>
        </w:tc>
        <w:tc>
          <w:tcPr>
            <w:tcW w:w="1384" w:type="dxa"/>
            <w:tcBorders>
              <w:top w:val="nil"/>
              <w:left w:val="nil"/>
              <w:bottom w:val="single" w:sz="4" w:space="0" w:color="auto"/>
              <w:right w:val="nil"/>
            </w:tcBorders>
            <w:shd w:val="clear" w:color="auto" w:fill="auto"/>
            <w:vAlign w:val="center"/>
            <w:hideMark/>
          </w:tcPr>
          <w:p w14:paraId="5BCBCA3A"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-1,47</w:t>
            </w:r>
          </w:p>
        </w:tc>
        <w:tc>
          <w:tcPr>
            <w:tcW w:w="1384" w:type="dxa"/>
            <w:tcBorders>
              <w:top w:val="nil"/>
              <w:left w:val="nil"/>
              <w:bottom w:val="single" w:sz="4" w:space="0" w:color="auto"/>
              <w:right w:val="nil"/>
            </w:tcBorders>
            <w:shd w:val="clear" w:color="auto" w:fill="auto"/>
            <w:vAlign w:val="center"/>
            <w:hideMark/>
          </w:tcPr>
          <w:p w14:paraId="3419E8F0"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-0,98</w:t>
            </w:r>
          </w:p>
        </w:tc>
      </w:tr>
      <w:tr w:rsidR="006D0778" w:rsidRPr="00AD7E7D" w14:paraId="54B3053F" w14:textId="77777777" w:rsidTr="00D2109C">
        <w:trPr>
          <w:trHeight w:val="238"/>
        </w:trPr>
        <w:tc>
          <w:tcPr>
            <w:tcW w:w="517" w:type="dxa"/>
            <w:vMerge/>
            <w:tcBorders>
              <w:top w:val="nil"/>
              <w:left w:val="nil"/>
              <w:bottom w:val="single" w:sz="4" w:space="0" w:color="000000"/>
              <w:right w:val="nil"/>
            </w:tcBorders>
            <w:vAlign w:val="center"/>
            <w:hideMark/>
          </w:tcPr>
          <w:p w14:paraId="5C5AA89C" w14:textId="77777777" w:rsidR="006D0778" w:rsidRPr="00AD7E7D" w:rsidRDefault="006D0778" w:rsidP="006D0778">
            <w:pPr>
              <w:spacing w:after="0"/>
              <w:jc w:val="left"/>
              <w:rPr>
                <w:rFonts w:eastAsia="Times New Roman" w:cs="Times New Roman"/>
                <w:szCs w:val="24"/>
              </w:rPr>
            </w:pPr>
          </w:p>
        </w:tc>
        <w:tc>
          <w:tcPr>
            <w:tcW w:w="1592" w:type="dxa"/>
            <w:vMerge w:val="restart"/>
            <w:tcBorders>
              <w:top w:val="nil"/>
              <w:left w:val="nil"/>
              <w:bottom w:val="single" w:sz="4" w:space="0" w:color="000000"/>
              <w:right w:val="single" w:sz="4" w:space="0" w:color="auto"/>
            </w:tcBorders>
            <w:shd w:val="clear" w:color="auto" w:fill="auto"/>
            <w:vAlign w:val="center"/>
            <w:hideMark/>
          </w:tcPr>
          <w:p w14:paraId="1D034968"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Јавни дуг</w:t>
            </w:r>
          </w:p>
        </w:tc>
        <w:tc>
          <w:tcPr>
            <w:tcW w:w="1422" w:type="dxa"/>
            <w:tcBorders>
              <w:top w:val="single" w:sz="4" w:space="0" w:color="auto"/>
              <w:left w:val="nil"/>
              <w:bottom w:val="nil"/>
              <w:right w:val="nil"/>
            </w:tcBorders>
            <w:shd w:val="clear" w:color="auto" w:fill="auto"/>
            <w:vAlign w:val="center"/>
            <w:hideMark/>
          </w:tcPr>
          <w:p w14:paraId="2223E15E"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50%</w:t>
            </w:r>
          </w:p>
        </w:tc>
        <w:tc>
          <w:tcPr>
            <w:tcW w:w="1382" w:type="dxa"/>
            <w:tcBorders>
              <w:top w:val="single" w:sz="4" w:space="0" w:color="auto"/>
              <w:left w:val="nil"/>
              <w:bottom w:val="nil"/>
              <w:right w:val="nil"/>
            </w:tcBorders>
            <w:shd w:val="clear" w:color="auto" w:fill="auto"/>
            <w:vAlign w:val="center"/>
            <w:hideMark/>
          </w:tcPr>
          <w:p w14:paraId="55898AAB"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0,00</w:t>
            </w:r>
          </w:p>
        </w:tc>
        <w:tc>
          <w:tcPr>
            <w:tcW w:w="1384" w:type="dxa"/>
            <w:tcBorders>
              <w:top w:val="single" w:sz="4" w:space="0" w:color="auto"/>
              <w:left w:val="nil"/>
              <w:bottom w:val="nil"/>
              <w:right w:val="nil"/>
            </w:tcBorders>
            <w:shd w:val="clear" w:color="auto" w:fill="auto"/>
            <w:vAlign w:val="center"/>
            <w:hideMark/>
          </w:tcPr>
          <w:p w14:paraId="1899B2D1"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0,00</w:t>
            </w:r>
          </w:p>
        </w:tc>
        <w:tc>
          <w:tcPr>
            <w:tcW w:w="1384" w:type="dxa"/>
            <w:tcBorders>
              <w:top w:val="single" w:sz="4" w:space="0" w:color="auto"/>
              <w:left w:val="nil"/>
              <w:bottom w:val="nil"/>
              <w:right w:val="nil"/>
            </w:tcBorders>
            <w:shd w:val="clear" w:color="auto" w:fill="auto"/>
            <w:vAlign w:val="center"/>
            <w:hideMark/>
          </w:tcPr>
          <w:p w14:paraId="5B6DB698"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0,00</w:t>
            </w:r>
          </w:p>
        </w:tc>
        <w:tc>
          <w:tcPr>
            <w:tcW w:w="1384" w:type="dxa"/>
            <w:tcBorders>
              <w:top w:val="single" w:sz="4" w:space="0" w:color="auto"/>
              <w:left w:val="nil"/>
              <w:bottom w:val="nil"/>
              <w:right w:val="nil"/>
            </w:tcBorders>
            <w:shd w:val="clear" w:color="auto" w:fill="auto"/>
            <w:vAlign w:val="center"/>
            <w:hideMark/>
          </w:tcPr>
          <w:p w14:paraId="1B02C7AD"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0,00</w:t>
            </w:r>
          </w:p>
        </w:tc>
      </w:tr>
      <w:tr w:rsidR="006D0778" w:rsidRPr="00AD7E7D" w14:paraId="3BEEA494" w14:textId="77777777" w:rsidTr="00D2109C">
        <w:trPr>
          <w:trHeight w:val="238"/>
        </w:trPr>
        <w:tc>
          <w:tcPr>
            <w:tcW w:w="517" w:type="dxa"/>
            <w:vMerge/>
            <w:tcBorders>
              <w:top w:val="nil"/>
              <w:left w:val="nil"/>
              <w:bottom w:val="single" w:sz="4" w:space="0" w:color="000000"/>
              <w:right w:val="nil"/>
            </w:tcBorders>
            <w:vAlign w:val="center"/>
            <w:hideMark/>
          </w:tcPr>
          <w:p w14:paraId="72DD3413" w14:textId="77777777" w:rsidR="006D0778" w:rsidRPr="00AD7E7D" w:rsidRDefault="006D0778" w:rsidP="006D0778">
            <w:pPr>
              <w:spacing w:after="0"/>
              <w:jc w:val="left"/>
              <w:rPr>
                <w:rFonts w:eastAsia="Times New Roman" w:cs="Times New Roman"/>
                <w:szCs w:val="24"/>
              </w:rPr>
            </w:pPr>
          </w:p>
        </w:tc>
        <w:tc>
          <w:tcPr>
            <w:tcW w:w="1592" w:type="dxa"/>
            <w:vMerge/>
            <w:tcBorders>
              <w:top w:val="nil"/>
              <w:left w:val="nil"/>
              <w:bottom w:val="single" w:sz="4" w:space="0" w:color="000000"/>
              <w:right w:val="single" w:sz="4" w:space="0" w:color="auto"/>
            </w:tcBorders>
            <w:vAlign w:val="center"/>
            <w:hideMark/>
          </w:tcPr>
          <w:p w14:paraId="2B23B636" w14:textId="77777777" w:rsidR="006D0778" w:rsidRPr="00AD7E7D" w:rsidRDefault="006D0778" w:rsidP="006D0778">
            <w:pPr>
              <w:spacing w:after="0"/>
              <w:jc w:val="left"/>
              <w:rPr>
                <w:rFonts w:eastAsia="Times New Roman" w:cs="Times New Roman"/>
                <w:szCs w:val="24"/>
              </w:rPr>
            </w:pPr>
          </w:p>
        </w:tc>
        <w:tc>
          <w:tcPr>
            <w:tcW w:w="1422" w:type="dxa"/>
            <w:tcBorders>
              <w:top w:val="nil"/>
              <w:left w:val="nil"/>
              <w:bottom w:val="nil"/>
              <w:right w:val="nil"/>
            </w:tcBorders>
            <w:shd w:val="clear" w:color="auto" w:fill="auto"/>
            <w:vAlign w:val="center"/>
            <w:hideMark/>
          </w:tcPr>
          <w:p w14:paraId="14121275"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10%</w:t>
            </w:r>
          </w:p>
        </w:tc>
        <w:tc>
          <w:tcPr>
            <w:tcW w:w="1382" w:type="dxa"/>
            <w:tcBorders>
              <w:top w:val="nil"/>
              <w:left w:val="nil"/>
              <w:bottom w:val="nil"/>
              <w:right w:val="nil"/>
            </w:tcBorders>
            <w:shd w:val="clear" w:color="auto" w:fill="auto"/>
            <w:vAlign w:val="center"/>
            <w:hideMark/>
          </w:tcPr>
          <w:p w14:paraId="145AC801"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0,05</w:t>
            </w:r>
          </w:p>
        </w:tc>
        <w:tc>
          <w:tcPr>
            <w:tcW w:w="1384" w:type="dxa"/>
            <w:tcBorders>
              <w:top w:val="nil"/>
              <w:left w:val="nil"/>
              <w:bottom w:val="nil"/>
              <w:right w:val="nil"/>
            </w:tcBorders>
            <w:shd w:val="clear" w:color="auto" w:fill="auto"/>
            <w:vAlign w:val="center"/>
            <w:hideMark/>
          </w:tcPr>
          <w:p w14:paraId="79B79C5C"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0,09</w:t>
            </w:r>
          </w:p>
        </w:tc>
        <w:tc>
          <w:tcPr>
            <w:tcW w:w="1384" w:type="dxa"/>
            <w:tcBorders>
              <w:top w:val="nil"/>
              <w:left w:val="nil"/>
              <w:bottom w:val="nil"/>
              <w:right w:val="nil"/>
            </w:tcBorders>
            <w:shd w:val="clear" w:color="auto" w:fill="auto"/>
            <w:vAlign w:val="center"/>
            <w:hideMark/>
          </w:tcPr>
          <w:p w14:paraId="13F67900"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0,11</w:t>
            </w:r>
          </w:p>
        </w:tc>
        <w:tc>
          <w:tcPr>
            <w:tcW w:w="1384" w:type="dxa"/>
            <w:tcBorders>
              <w:top w:val="nil"/>
              <w:left w:val="nil"/>
              <w:bottom w:val="nil"/>
              <w:right w:val="nil"/>
            </w:tcBorders>
            <w:shd w:val="clear" w:color="auto" w:fill="auto"/>
            <w:vAlign w:val="center"/>
            <w:hideMark/>
          </w:tcPr>
          <w:p w14:paraId="718CA6F9"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0,11</w:t>
            </w:r>
          </w:p>
        </w:tc>
      </w:tr>
      <w:tr w:rsidR="006D0778" w:rsidRPr="00AD7E7D" w14:paraId="6455D397" w14:textId="77777777" w:rsidTr="00D2109C">
        <w:trPr>
          <w:trHeight w:val="238"/>
        </w:trPr>
        <w:tc>
          <w:tcPr>
            <w:tcW w:w="517" w:type="dxa"/>
            <w:vMerge/>
            <w:tcBorders>
              <w:top w:val="nil"/>
              <w:left w:val="nil"/>
              <w:bottom w:val="single" w:sz="4" w:space="0" w:color="000000"/>
              <w:right w:val="nil"/>
            </w:tcBorders>
            <w:vAlign w:val="center"/>
            <w:hideMark/>
          </w:tcPr>
          <w:p w14:paraId="4D2CA100" w14:textId="77777777" w:rsidR="006D0778" w:rsidRPr="00AD7E7D" w:rsidRDefault="006D0778" w:rsidP="006D0778">
            <w:pPr>
              <w:spacing w:after="0"/>
              <w:jc w:val="left"/>
              <w:rPr>
                <w:rFonts w:eastAsia="Times New Roman" w:cs="Times New Roman"/>
                <w:szCs w:val="24"/>
              </w:rPr>
            </w:pPr>
          </w:p>
        </w:tc>
        <w:tc>
          <w:tcPr>
            <w:tcW w:w="1592" w:type="dxa"/>
            <w:vMerge/>
            <w:tcBorders>
              <w:top w:val="nil"/>
              <w:left w:val="nil"/>
              <w:bottom w:val="single" w:sz="4" w:space="0" w:color="000000"/>
              <w:right w:val="single" w:sz="4" w:space="0" w:color="auto"/>
            </w:tcBorders>
            <w:vAlign w:val="center"/>
            <w:hideMark/>
          </w:tcPr>
          <w:p w14:paraId="442951AB" w14:textId="77777777" w:rsidR="006D0778" w:rsidRPr="00AD7E7D" w:rsidRDefault="006D0778" w:rsidP="006D0778">
            <w:pPr>
              <w:spacing w:after="0"/>
              <w:jc w:val="left"/>
              <w:rPr>
                <w:rFonts w:eastAsia="Times New Roman" w:cs="Times New Roman"/>
                <w:szCs w:val="24"/>
              </w:rPr>
            </w:pPr>
          </w:p>
        </w:tc>
        <w:tc>
          <w:tcPr>
            <w:tcW w:w="1422" w:type="dxa"/>
            <w:tcBorders>
              <w:top w:val="nil"/>
              <w:left w:val="nil"/>
              <w:bottom w:val="nil"/>
              <w:right w:val="nil"/>
            </w:tcBorders>
            <w:shd w:val="clear" w:color="auto" w:fill="auto"/>
            <w:vAlign w:val="center"/>
            <w:hideMark/>
          </w:tcPr>
          <w:p w14:paraId="002EF0B4"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2%</w:t>
            </w:r>
          </w:p>
        </w:tc>
        <w:tc>
          <w:tcPr>
            <w:tcW w:w="1382" w:type="dxa"/>
            <w:tcBorders>
              <w:top w:val="nil"/>
              <w:left w:val="nil"/>
              <w:bottom w:val="nil"/>
              <w:right w:val="nil"/>
            </w:tcBorders>
            <w:shd w:val="clear" w:color="auto" w:fill="auto"/>
            <w:vAlign w:val="center"/>
            <w:hideMark/>
          </w:tcPr>
          <w:p w14:paraId="23D4EC3B"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0,50</w:t>
            </w:r>
          </w:p>
        </w:tc>
        <w:tc>
          <w:tcPr>
            <w:tcW w:w="1384" w:type="dxa"/>
            <w:tcBorders>
              <w:top w:val="nil"/>
              <w:left w:val="nil"/>
              <w:bottom w:val="nil"/>
              <w:right w:val="nil"/>
            </w:tcBorders>
            <w:shd w:val="clear" w:color="auto" w:fill="auto"/>
            <w:vAlign w:val="center"/>
            <w:hideMark/>
          </w:tcPr>
          <w:p w14:paraId="3A7747D0"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0,83</w:t>
            </w:r>
          </w:p>
        </w:tc>
        <w:tc>
          <w:tcPr>
            <w:tcW w:w="1384" w:type="dxa"/>
            <w:tcBorders>
              <w:top w:val="nil"/>
              <w:left w:val="nil"/>
              <w:bottom w:val="nil"/>
              <w:right w:val="nil"/>
            </w:tcBorders>
            <w:shd w:val="clear" w:color="auto" w:fill="auto"/>
            <w:vAlign w:val="center"/>
            <w:hideMark/>
          </w:tcPr>
          <w:p w14:paraId="0D0AB727"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0,97</w:t>
            </w:r>
          </w:p>
        </w:tc>
        <w:tc>
          <w:tcPr>
            <w:tcW w:w="1384" w:type="dxa"/>
            <w:tcBorders>
              <w:top w:val="nil"/>
              <w:left w:val="nil"/>
              <w:bottom w:val="nil"/>
              <w:right w:val="nil"/>
            </w:tcBorders>
            <w:shd w:val="clear" w:color="auto" w:fill="auto"/>
            <w:vAlign w:val="center"/>
            <w:hideMark/>
          </w:tcPr>
          <w:p w14:paraId="6F211CAC"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1,02</w:t>
            </w:r>
          </w:p>
        </w:tc>
      </w:tr>
      <w:tr w:rsidR="006D0778" w:rsidRPr="00AD7E7D" w14:paraId="3D745F03" w14:textId="77777777" w:rsidTr="00D2109C">
        <w:trPr>
          <w:trHeight w:val="238"/>
        </w:trPr>
        <w:tc>
          <w:tcPr>
            <w:tcW w:w="517" w:type="dxa"/>
            <w:vMerge/>
            <w:tcBorders>
              <w:top w:val="nil"/>
              <w:left w:val="nil"/>
              <w:bottom w:val="single" w:sz="4" w:space="0" w:color="000000"/>
              <w:right w:val="nil"/>
            </w:tcBorders>
            <w:vAlign w:val="center"/>
            <w:hideMark/>
          </w:tcPr>
          <w:p w14:paraId="4BA33147" w14:textId="77777777" w:rsidR="006D0778" w:rsidRPr="00AD7E7D" w:rsidRDefault="006D0778" w:rsidP="006D0778">
            <w:pPr>
              <w:spacing w:after="0"/>
              <w:jc w:val="left"/>
              <w:rPr>
                <w:rFonts w:eastAsia="Times New Roman" w:cs="Times New Roman"/>
                <w:szCs w:val="24"/>
              </w:rPr>
            </w:pPr>
          </w:p>
        </w:tc>
        <w:tc>
          <w:tcPr>
            <w:tcW w:w="1592" w:type="dxa"/>
            <w:vMerge/>
            <w:tcBorders>
              <w:top w:val="nil"/>
              <w:left w:val="nil"/>
              <w:bottom w:val="single" w:sz="4" w:space="0" w:color="000000"/>
              <w:right w:val="single" w:sz="4" w:space="0" w:color="auto"/>
            </w:tcBorders>
            <w:vAlign w:val="center"/>
            <w:hideMark/>
          </w:tcPr>
          <w:p w14:paraId="4EA66070" w14:textId="77777777" w:rsidR="006D0778" w:rsidRPr="00AD7E7D" w:rsidRDefault="006D0778" w:rsidP="006D0778">
            <w:pPr>
              <w:spacing w:after="0"/>
              <w:jc w:val="left"/>
              <w:rPr>
                <w:rFonts w:eastAsia="Times New Roman" w:cs="Times New Roman"/>
                <w:szCs w:val="24"/>
              </w:rPr>
            </w:pPr>
          </w:p>
        </w:tc>
        <w:tc>
          <w:tcPr>
            <w:tcW w:w="1422" w:type="dxa"/>
            <w:tcBorders>
              <w:top w:val="nil"/>
              <w:left w:val="nil"/>
              <w:bottom w:val="nil"/>
              <w:right w:val="nil"/>
            </w:tcBorders>
            <w:shd w:val="clear" w:color="auto" w:fill="auto"/>
            <w:vAlign w:val="center"/>
            <w:hideMark/>
          </w:tcPr>
          <w:p w14:paraId="5FCE74E3"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1%</w:t>
            </w:r>
          </w:p>
        </w:tc>
        <w:tc>
          <w:tcPr>
            <w:tcW w:w="1382" w:type="dxa"/>
            <w:tcBorders>
              <w:top w:val="nil"/>
              <w:left w:val="nil"/>
              <w:bottom w:val="nil"/>
              <w:right w:val="nil"/>
            </w:tcBorders>
            <w:shd w:val="clear" w:color="auto" w:fill="auto"/>
            <w:vAlign w:val="center"/>
            <w:hideMark/>
          </w:tcPr>
          <w:p w14:paraId="0E671E41"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0,97</w:t>
            </w:r>
          </w:p>
        </w:tc>
        <w:tc>
          <w:tcPr>
            <w:tcW w:w="1384" w:type="dxa"/>
            <w:tcBorders>
              <w:top w:val="nil"/>
              <w:left w:val="nil"/>
              <w:bottom w:val="nil"/>
              <w:right w:val="nil"/>
            </w:tcBorders>
            <w:shd w:val="clear" w:color="auto" w:fill="auto"/>
            <w:vAlign w:val="center"/>
            <w:hideMark/>
          </w:tcPr>
          <w:p w14:paraId="25006BC5"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1,63</w:t>
            </w:r>
          </w:p>
        </w:tc>
        <w:tc>
          <w:tcPr>
            <w:tcW w:w="1384" w:type="dxa"/>
            <w:tcBorders>
              <w:top w:val="nil"/>
              <w:left w:val="nil"/>
              <w:bottom w:val="nil"/>
              <w:right w:val="nil"/>
            </w:tcBorders>
            <w:shd w:val="clear" w:color="auto" w:fill="auto"/>
            <w:vAlign w:val="center"/>
            <w:hideMark/>
          </w:tcPr>
          <w:p w14:paraId="1C333B56"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1,90</w:t>
            </w:r>
          </w:p>
        </w:tc>
        <w:tc>
          <w:tcPr>
            <w:tcW w:w="1384" w:type="dxa"/>
            <w:tcBorders>
              <w:top w:val="nil"/>
              <w:left w:val="nil"/>
              <w:bottom w:val="nil"/>
              <w:right w:val="nil"/>
            </w:tcBorders>
            <w:shd w:val="clear" w:color="auto" w:fill="auto"/>
            <w:vAlign w:val="center"/>
            <w:hideMark/>
          </w:tcPr>
          <w:p w14:paraId="747812C1"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1,98</w:t>
            </w:r>
          </w:p>
        </w:tc>
      </w:tr>
      <w:tr w:rsidR="006D0778" w:rsidRPr="00AD7E7D" w14:paraId="370C319C" w14:textId="77777777" w:rsidTr="00D2109C">
        <w:trPr>
          <w:trHeight w:val="238"/>
        </w:trPr>
        <w:tc>
          <w:tcPr>
            <w:tcW w:w="517" w:type="dxa"/>
            <w:vMerge/>
            <w:tcBorders>
              <w:top w:val="nil"/>
              <w:left w:val="nil"/>
              <w:bottom w:val="single" w:sz="4" w:space="0" w:color="000000"/>
              <w:right w:val="nil"/>
            </w:tcBorders>
            <w:vAlign w:val="center"/>
            <w:hideMark/>
          </w:tcPr>
          <w:p w14:paraId="346DDB52" w14:textId="77777777" w:rsidR="006D0778" w:rsidRPr="00AD7E7D" w:rsidRDefault="006D0778" w:rsidP="006D0778">
            <w:pPr>
              <w:spacing w:after="0"/>
              <w:jc w:val="left"/>
              <w:rPr>
                <w:rFonts w:eastAsia="Times New Roman" w:cs="Times New Roman"/>
                <w:szCs w:val="24"/>
              </w:rPr>
            </w:pPr>
          </w:p>
        </w:tc>
        <w:tc>
          <w:tcPr>
            <w:tcW w:w="1592" w:type="dxa"/>
            <w:vMerge/>
            <w:tcBorders>
              <w:top w:val="nil"/>
              <w:left w:val="nil"/>
              <w:bottom w:val="single" w:sz="4" w:space="0" w:color="000000"/>
              <w:right w:val="single" w:sz="4" w:space="0" w:color="auto"/>
            </w:tcBorders>
            <w:vAlign w:val="center"/>
            <w:hideMark/>
          </w:tcPr>
          <w:p w14:paraId="75839B79" w14:textId="77777777" w:rsidR="006D0778" w:rsidRPr="00AD7E7D" w:rsidRDefault="006D0778" w:rsidP="006D0778">
            <w:pPr>
              <w:spacing w:after="0"/>
              <w:jc w:val="left"/>
              <w:rPr>
                <w:rFonts w:eastAsia="Times New Roman" w:cs="Times New Roman"/>
                <w:szCs w:val="24"/>
              </w:rPr>
            </w:pPr>
          </w:p>
        </w:tc>
        <w:tc>
          <w:tcPr>
            <w:tcW w:w="1422" w:type="dxa"/>
            <w:tcBorders>
              <w:top w:val="nil"/>
              <w:left w:val="nil"/>
              <w:bottom w:val="single" w:sz="4" w:space="0" w:color="auto"/>
              <w:right w:val="nil"/>
            </w:tcBorders>
            <w:shd w:val="clear" w:color="auto" w:fill="auto"/>
            <w:vAlign w:val="center"/>
            <w:hideMark/>
          </w:tcPr>
          <w:p w14:paraId="54F0641F"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0,4%</w:t>
            </w:r>
          </w:p>
        </w:tc>
        <w:tc>
          <w:tcPr>
            <w:tcW w:w="1382" w:type="dxa"/>
            <w:tcBorders>
              <w:top w:val="nil"/>
              <w:left w:val="nil"/>
              <w:bottom w:val="single" w:sz="4" w:space="0" w:color="auto"/>
              <w:right w:val="nil"/>
            </w:tcBorders>
            <w:shd w:val="clear" w:color="auto" w:fill="auto"/>
            <w:vAlign w:val="center"/>
            <w:hideMark/>
          </w:tcPr>
          <w:p w14:paraId="253DDA25"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3,15</w:t>
            </w:r>
          </w:p>
        </w:tc>
        <w:tc>
          <w:tcPr>
            <w:tcW w:w="1384" w:type="dxa"/>
            <w:tcBorders>
              <w:top w:val="nil"/>
              <w:left w:val="nil"/>
              <w:bottom w:val="single" w:sz="4" w:space="0" w:color="auto"/>
              <w:right w:val="nil"/>
            </w:tcBorders>
            <w:shd w:val="clear" w:color="auto" w:fill="auto"/>
            <w:vAlign w:val="center"/>
            <w:hideMark/>
          </w:tcPr>
          <w:p w14:paraId="50E691F6"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5,28</w:t>
            </w:r>
          </w:p>
        </w:tc>
        <w:tc>
          <w:tcPr>
            <w:tcW w:w="1384" w:type="dxa"/>
            <w:tcBorders>
              <w:top w:val="nil"/>
              <w:left w:val="nil"/>
              <w:bottom w:val="single" w:sz="4" w:space="0" w:color="auto"/>
              <w:right w:val="nil"/>
            </w:tcBorders>
            <w:shd w:val="clear" w:color="auto" w:fill="auto"/>
            <w:vAlign w:val="center"/>
            <w:hideMark/>
          </w:tcPr>
          <w:p w14:paraId="387A6003"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6,16</w:t>
            </w:r>
          </w:p>
        </w:tc>
        <w:tc>
          <w:tcPr>
            <w:tcW w:w="1384" w:type="dxa"/>
            <w:tcBorders>
              <w:top w:val="nil"/>
              <w:left w:val="nil"/>
              <w:bottom w:val="single" w:sz="4" w:space="0" w:color="auto"/>
              <w:right w:val="nil"/>
            </w:tcBorders>
            <w:shd w:val="clear" w:color="auto" w:fill="auto"/>
            <w:vAlign w:val="center"/>
            <w:hideMark/>
          </w:tcPr>
          <w:p w14:paraId="49C21E2B"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6,44</w:t>
            </w:r>
          </w:p>
        </w:tc>
      </w:tr>
      <w:tr w:rsidR="006D0778" w:rsidRPr="00AD7E7D" w14:paraId="055C0246" w14:textId="77777777" w:rsidTr="00D2109C">
        <w:trPr>
          <w:trHeight w:val="238"/>
        </w:trPr>
        <w:tc>
          <w:tcPr>
            <w:tcW w:w="517" w:type="dxa"/>
            <w:vMerge w:val="restart"/>
            <w:tcBorders>
              <w:top w:val="nil"/>
              <w:left w:val="nil"/>
              <w:bottom w:val="single" w:sz="4" w:space="0" w:color="000000"/>
              <w:right w:val="nil"/>
            </w:tcBorders>
            <w:shd w:val="clear" w:color="auto" w:fill="auto"/>
            <w:noWrap/>
            <w:textDirection w:val="btLr"/>
            <w:vAlign w:val="center"/>
            <w:hideMark/>
          </w:tcPr>
          <w:p w14:paraId="69D80D47"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ПОПЛАВЕ</w:t>
            </w:r>
          </w:p>
        </w:tc>
        <w:tc>
          <w:tcPr>
            <w:tcW w:w="1592" w:type="dxa"/>
            <w:vMerge w:val="restart"/>
            <w:tcBorders>
              <w:top w:val="nil"/>
              <w:left w:val="nil"/>
              <w:bottom w:val="nil"/>
              <w:right w:val="single" w:sz="4" w:space="0" w:color="auto"/>
            </w:tcBorders>
            <w:shd w:val="clear" w:color="auto" w:fill="auto"/>
            <w:vAlign w:val="center"/>
            <w:hideMark/>
          </w:tcPr>
          <w:p w14:paraId="2082544E"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Фискални биланс</w:t>
            </w:r>
          </w:p>
        </w:tc>
        <w:tc>
          <w:tcPr>
            <w:tcW w:w="1422" w:type="dxa"/>
            <w:tcBorders>
              <w:top w:val="nil"/>
              <w:left w:val="nil"/>
              <w:bottom w:val="nil"/>
              <w:right w:val="nil"/>
            </w:tcBorders>
            <w:shd w:val="clear" w:color="auto" w:fill="auto"/>
            <w:vAlign w:val="center"/>
            <w:hideMark/>
          </w:tcPr>
          <w:p w14:paraId="42E9034F"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50%</w:t>
            </w:r>
          </w:p>
        </w:tc>
        <w:tc>
          <w:tcPr>
            <w:tcW w:w="1382" w:type="dxa"/>
            <w:tcBorders>
              <w:top w:val="nil"/>
              <w:left w:val="nil"/>
              <w:bottom w:val="nil"/>
              <w:right w:val="nil"/>
            </w:tcBorders>
            <w:shd w:val="clear" w:color="auto" w:fill="auto"/>
            <w:vAlign w:val="center"/>
            <w:hideMark/>
          </w:tcPr>
          <w:p w14:paraId="0030D8C7"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-0,04</w:t>
            </w:r>
          </w:p>
        </w:tc>
        <w:tc>
          <w:tcPr>
            <w:tcW w:w="1384" w:type="dxa"/>
            <w:tcBorders>
              <w:top w:val="nil"/>
              <w:left w:val="nil"/>
              <w:bottom w:val="nil"/>
              <w:right w:val="nil"/>
            </w:tcBorders>
            <w:shd w:val="clear" w:color="auto" w:fill="auto"/>
            <w:vAlign w:val="center"/>
            <w:hideMark/>
          </w:tcPr>
          <w:p w14:paraId="6CF8ED0F"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-0,04</w:t>
            </w:r>
          </w:p>
        </w:tc>
        <w:tc>
          <w:tcPr>
            <w:tcW w:w="1384" w:type="dxa"/>
            <w:tcBorders>
              <w:top w:val="nil"/>
              <w:left w:val="nil"/>
              <w:bottom w:val="nil"/>
              <w:right w:val="nil"/>
            </w:tcBorders>
            <w:shd w:val="clear" w:color="auto" w:fill="auto"/>
            <w:vAlign w:val="center"/>
            <w:hideMark/>
          </w:tcPr>
          <w:p w14:paraId="24AB3D15"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-0,03</w:t>
            </w:r>
          </w:p>
        </w:tc>
        <w:tc>
          <w:tcPr>
            <w:tcW w:w="1384" w:type="dxa"/>
            <w:tcBorders>
              <w:top w:val="nil"/>
              <w:left w:val="nil"/>
              <w:bottom w:val="nil"/>
              <w:right w:val="nil"/>
            </w:tcBorders>
            <w:shd w:val="clear" w:color="auto" w:fill="auto"/>
            <w:vAlign w:val="center"/>
            <w:hideMark/>
          </w:tcPr>
          <w:p w14:paraId="58530E64"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-0,02</w:t>
            </w:r>
          </w:p>
        </w:tc>
      </w:tr>
      <w:tr w:rsidR="006D0778" w:rsidRPr="00AD7E7D" w14:paraId="3F1E61D4" w14:textId="77777777" w:rsidTr="00D2109C">
        <w:trPr>
          <w:trHeight w:val="238"/>
        </w:trPr>
        <w:tc>
          <w:tcPr>
            <w:tcW w:w="517" w:type="dxa"/>
            <w:vMerge/>
            <w:tcBorders>
              <w:top w:val="nil"/>
              <w:left w:val="nil"/>
              <w:bottom w:val="single" w:sz="4" w:space="0" w:color="000000"/>
              <w:right w:val="nil"/>
            </w:tcBorders>
            <w:vAlign w:val="center"/>
            <w:hideMark/>
          </w:tcPr>
          <w:p w14:paraId="35CFF925" w14:textId="77777777" w:rsidR="006D0778" w:rsidRPr="00AD7E7D" w:rsidRDefault="006D0778" w:rsidP="006D0778">
            <w:pPr>
              <w:spacing w:after="0"/>
              <w:jc w:val="left"/>
              <w:rPr>
                <w:rFonts w:eastAsia="Times New Roman" w:cs="Times New Roman"/>
                <w:szCs w:val="24"/>
              </w:rPr>
            </w:pPr>
          </w:p>
        </w:tc>
        <w:tc>
          <w:tcPr>
            <w:tcW w:w="1592" w:type="dxa"/>
            <w:vMerge/>
            <w:tcBorders>
              <w:top w:val="nil"/>
              <w:left w:val="nil"/>
              <w:bottom w:val="nil"/>
              <w:right w:val="single" w:sz="4" w:space="0" w:color="auto"/>
            </w:tcBorders>
            <w:vAlign w:val="center"/>
            <w:hideMark/>
          </w:tcPr>
          <w:p w14:paraId="0695BF63" w14:textId="77777777" w:rsidR="006D0778" w:rsidRPr="00AD7E7D" w:rsidRDefault="006D0778" w:rsidP="006D0778">
            <w:pPr>
              <w:spacing w:after="0"/>
              <w:jc w:val="left"/>
              <w:rPr>
                <w:rFonts w:eastAsia="Times New Roman" w:cs="Times New Roman"/>
                <w:szCs w:val="24"/>
              </w:rPr>
            </w:pPr>
          </w:p>
        </w:tc>
        <w:tc>
          <w:tcPr>
            <w:tcW w:w="1422" w:type="dxa"/>
            <w:tcBorders>
              <w:top w:val="nil"/>
              <w:left w:val="nil"/>
              <w:bottom w:val="nil"/>
              <w:right w:val="nil"/>
            </w:tcBorders>
            <w:shd w:val="clear" w:color="auto" w:fill="auto"/>
            <w:vAlign w:val="center"/>
            <w:hideMark/>
          </w:tcPr>
          <w:p w14:paraId="39DBDC42"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10%</w:t>
            </w:r>
          </w:p>
        </w:tc>
        <w:tc>
          <w:tcPr>
            <w:tcW w:w="1382" w:type="dxa"/>
            <w:tcBorders>
              <w:top w:val="nil"/>
              <w:left w:val="nil"/>
              <w:bottom w:val="nil"/>
              <w:right w:val="nil"/>
            </w:tcBorders>
            <w:shd w:val="clear" w:color="auto" w:fill="auto"/>
            <w:vAlign w:val="center"/>
            <w:hideMark/>
          </w:tcPr>
          <w:p w14:paraId="429D98A8"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-0,22</w:t>
            </w:r>
          </w:p>
        </w:tc>
        <w:tc>
          <w:tcPr>
            <w:tcW w:w="1384" w:type="dxa"/>
            <w:tcBorders>
              <w:top w:val="nil"/>
              <w:left w:val="nil"/>
              <w:bottom w:val="nil"/>
              <w:right w:val="nil"/>
            </w:tcBorders>
            <w:shd w:val="clear" w:color="auto" w:fill="auto"/>
            <w:vAlign w:val="center"/>
            <w:hideMark/>
          </w:tcPr>
          <w:p w14:paraId="32F64637"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-0,21</w:t>
            </w:r>
          </w:p>
        </w:tc>
        <w:tc>
          <w:tcPr>
            <w:tcW w:w="1384" w:type="dxa"/>
            <w:tcBorders>
              <w:top w:val="nil"/>
              <w:left w:val="nil"/>
              <w:bottom w:val="nil"/>
              <w:right w:val="nil"/>
            </w:tcBorders>
            <w:shd w:val="clear" w:color="auto" w:fill="auto"/>
            <w:vAlign w:val="center"/>
            <w:hideMark/>
          </w:tcPr>
          <w:p w14:paraId="2CF07603"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-0,13</w:t>
            </w:r>
          </w:p>
        </w:tc>
        <w:tc>
          <w:tcPr>
            <w:tcW w:w="1384" w:type="dxa"/>
            <w:tcBorders>
              <w:top w:val="nil"/>
              <w:left w:val="nil"/>
              <w:bottom w:val="nil"/>
              <w:right w:val="nil"/>
            </w:tcBorders>
            <w:shd w:val="clear" w:color="auto" w:fill="auto"/>
            <w:vAlign w:val="center"/>
            <w:hideMark/>
          </w:tcPr>
          <w:p w14:paraId="1FEC1640"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-0,08</w:t>
            </w:r>
          </w:p>
        </w:tc>
      </w:tr>
      <w:tr w:rsidR="006D0778" w:rsidRPr="00AD7E7D" w14:paraId="6451DEFC" w14:textId="77777777" w:rsidTr="00D2109C">
        <w:trPr>
          <w:trHeight w:val="238"/>
        </w:trPr>
        <w:tc>
          <w:tcPr>
            <w:tcW w:w="517" w:type="dxa"/>
            <w:vMerge/>
            <w:tcBorders>
              <w:top w:val="nil"/>
              <w:left w:val="nil"/>
              <w:bottom w:val="single" w:sz="4" w:space="0" w:color="000000"/>
              <w:right w:val="nil"/>
            </w:tcBorders>
            <w:vAlign w:val="center"/>
            <w:hideMark/>
          </w:tcPr>
          <w:p w14:paraId="0B9BCDEC" w14:textId="77777777" w:rsidR="006D0778" w:rsidRPr="00AD7E7D" w:rsidRDefault="006D0778" w:rsidP="006D0778">
            <w:pPr>
              <w:spacing w:after="0"/>
              <w:jc w:val="left"/>
              <w:rPr>
                <w:rFonts w:eastAsia="Times New Roman" w:cs="Times New Roman"/>
                <w:szCs w:val="24"/>
              </w:rPr>
            </w:pPr>
          </w:p>
        </w:tc>
        <w:tc>
          <w:tcPr>
            <w:tcW w:w="1592" w:type="dxa"/>
            <w:vMerge/>
            <w:tcBorders>
              <w:top w:val="nil"/>
              <w:left w:val="nil"/>
              <w:bottom w:val="nil"/>
              <w:right w:val="single" w:sz="4" w:space="0" w:color="auto"/>
            </w:tcBorders>
            <w:vAlign w:val="center"/>
            <w:hideMark/>
          </w:tcPr>
          <w:p w14:paraId="73378A48" w14:textId="77777777" w:rsidR="006D0778" w:rsidRPr="00AD7E7D" w:rsidRDefault="006D0778" w:rsidP="006D0778">
            <w:pPr>
              <w:spacing w:after="0"/>
              <w:jc w:val="left"/>
              <w:rPr>
                <w:rFonts w:eastAsia="Times New Roman" w:cs="Times New Roman"/>
                <w:szCs w:val="24"/>
              </w:rPr>
            </w:pPr>
          </w:p>
        </w:tc>
        <w:tc>
          <w:tcPr>
            <w:tcW w:w="1422" w:type="dxa"/>
            <w:tcBorders>
              <w:top w:val="nil"/>
              <w:left w:val="nil"/>
              <w:bottom w:val="nil"/>
              <w:right w:val="nil"/>
            </w:tcBorders>
            <w:shd w:val="clear" w:color="auto" w:fill="auto"/>
            <w:vAlign w:val="center"/>
            <w:hideMark/>
          </w:tcPr>
          <w:p w14:paraId="34C0EB29"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2%</w:t>
            </w:r>
          </w:p>
        </w:tc>
        <w:tc>
          <w:tcPr>
            <w:tcW w:w="1382" w:type="dxa"/>
            <w:tcBorders>
              <w:top w:val="nil"/>
              <w:left w:val="nil"/>
              <w:bottom w:val="nil"/>
              <w:right w:val="nil"/>
            </w:tcBorders>
            <w:shd w:val="clear" w:color="auto" w:fill="auto"/>
            <w:vAlign w:val="center"/>
            <w:hideMark/>
          </w:tcPr>
          <w:p w14:paraId="680A593C"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-0,72</w:t>
            </w:r>
          </w:p>
        </w:tc>
        <w:tc>
          <w:tcPr>
            <w:tcW w:w="1384" w:type="dxa"/>
            <w:tcBorders>
              <w:top w:val="nil"/>
              <w:left w:val="nil"/>
              <w:bottom w:val="nil"/>
              <w:right w:val="nil"/>
            </w:tcBorders>
            <w:shd w:val="clear" w:color="auto" w:fill="auto"/>
            <w:vAlign w:val="center"/>
            <w:hideMark/>
          </w:tcPr>
          <w:p w14:paraId="700E4EBA"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-0,72</w:t>
            </w:r>
          </w:p>
        </w:tc>
        <w:tc>
          <w:tcPr>
            <w:tcW w:w="1384" w:type="dxa"/>
            <w:tcBorders>
              <w:top w:val="nil"/>
              <w:left w:val="nil"/>
              <w:bottom w:val="nil"/>
              <w:right w:val="nil"/>
            </w:tcBorders>
            <w:shd w:val="clear" w:color="auto" w:fill="auto"/>
            <w:vAlign w:val="center"/>
            <w:hideMark/>
          </w:tcPr>
          <w:p w14:paraId="6FEF200A"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-0,42</w:t>
            </w:r>
          </w:p>
        </w:tc>
        <w:tc>
          <w:tcPr>
            <w:tcW w:w="1384" w:type="dxa"/>
            <w:tcBorders>
              <w:top w:val="nil"/>
              <w:left w:val="nil"/>
              <w:bottom w:val="nil"/>
              <w:right w:val="nil"/>
            </w:tcBorders>
            <w:shd w:val="clear" w:color="auto" w:fill="auto"/>
            <w:vAlign w:val="center"/>
            <w:hideMark/>
          </w:tcPr>
          <w:p w14:paraId="43AD242E"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-0,28</w:t>
            </w:r>
          </w:p>
        </w:tc>
      </w:tr>
      <w:tr w:rsidR="006D0778" w:rsidRPr="00AD7E7D" w14:paraId="5FDA25F9" w14:textId="77777777" w:rsidTr="00D2109C">
        <w:trPr>
          <w:trHeight w:val="238"/>
        </w:trPr>
        <w:tc>
          <w:tcPr>
            <w:tcW w:w="517" w:type="dxa"/>
            <w:vMerge/>
            <w:tcBorders>
              <w:top w:val="nil"/>
              <w:left w:val="nil"/>
              <w:bottom w:val="single" w:sz="4" w:space="0" w:color="000000"/>
              <w:right w:val="nil"/>
            </w:tcBorders>
            <w:vAlign w:val="center"/>
            <w:hideMark/>
          </w:tcPr>
          <w:p w14:paraId="33E4676D" w14:textId="77777777" w:rsidR="006D0778" w:rsidRPr="00AD7E7D" w:rsidRDefault="006D0778" w:rsidP="006D0778">
            <w:pPr>
              <w:spacing w:after="0"/>
              <w:jc w:val="left"/>
              <w:rPr>
                <w:rFonts w:eastAsia="Times New Roman" w:cs="Times New Roman"/>
                <w:szCs w:val="24"/>
              </w:rPr>
            </w:pPr>
          </w:p>
        </w:tc>
        <w:tc>
          <w:tcPr>
            <w:tcW w:w="1592" w:type="dxa"/>
            <w:vMerge/>
            <w:tcBorders>
              <w:top w:val="nil"/>
              <w:left w:val="nil"/>
              <w:bottom w:val="nil"/>
              <w:right w:val="single" w:sz="4" w:space="0" w:color="auto"/>
            </w:tcBorders>
            <w:vAlign w:val="center"/>
            <w:hideMark/>
          </w:tcPr>
          <w:p w14:paraId="5C60A06E" w14:textId="77777777" w:rsidR="006D0778" w:rsidRPr="00AD7E7D" w:rsidRDefault="006D0778" w:rsidP="006D0778">
            <w:pPr>
              <w:spacing w:after="0"/>
              <w:jc w:val="left"/>
              <w:rPr>
                <w:rFonts w:eastAsia="Times New Roman" w:cs="Times New Roman"/>
                <w:szCs w:val="24"/>
              </w:rPr>
            </w:pPr>
          </w:p>
        </w:tc>
        <w:tc>
          <w:tcPr>
            <w:tcW w:w="1422" w:type="dxa"/>
            <w:tcBorders>
              <w:top w:val="nil"/>
              <w:left w:val="nil"/>
              <w:bottom w:val="nil"/>
              <w:right w:val="nil"/>
            </w:tcBorders>
            <w:shd w:val="clear" w:color="auto" w:fill="auto"/>
            <w:vAlign w:val="center"/>
            <w:hideMark/>
          </w:tcPr>
          <w:p w14:paraId="01F78204"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1%</w:t>
            </w:r>
          </w:p>
        </w:tc>
        <w:tc>
          <w:tcPr>
            <w:tcW w:w="1382" w:type="dxa"/>
            <w:tcBorders>
              <w:top w:val="nil"/>
              <w:left w:val="nil"/>
              <w:bottom w:val="nil"/>
              <w:right w:val="nil"/>
            </w:tcBorders>
            <w:shd w:val="clear" w:color="auto" w:fill="auto"/>
            <w:vAlign w:val="center"/>
            <w:hideMark/>
          </w:tcPr>
          <w:p w14:paraId="0F439611"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-1,19</w:t>
            </w:r>
          </w:p>
        </w:tc>
        <w:tc>
          <w:tcPr>
            <w:tcW w:w="1384" w:type="dxa"/>
            <w:tcBorders>
              <w:top w:val="nil"/>
              <w:left w:val="nil"/>
              <w:bottom w:val="nil"/>
              <w:right w:val="nil"/>
            </w:tcBorders>
            <w:shd w:val="clear" w:color="auto" w:fill="auto"/>
            <w:vAlign w:val="center"/>
            <w:hideMark/>
          </w:tcPr>
          <w:p w14:paraId="2EE0D003"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-1,18</w:t>
            </w:r>
          </w:p>
        </w:tc>
        <w:tc>
          <w:tcPr>
            <w:tcW w:w="1384" w:type="dxa"/>
            <w:tcBorders>
              <w:top w:val="nil"/>
              <w:left w:val="nil"/>
              <w:bottom w:val="nil"/>
              <w:right w:val="nil"/>
            </w:tcBorders>
            <w:shd w:val="clear" w:color="auto" w:fill="auto"/>
            <w:vAlign w:val="center"/>
            <w:hideMark/>
          </w:tcPr>
          <w:p w14:paraId="0198D8A9"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-0,70</w:t>
            </w:r>
          </w:p>
        </w:tc>
        <w:tc>
          <w:tcPr>
            <w:tcW w:w="1384" w:type="dxa"/>
            <w:tcBorders>
              <w:top w:val="nil"/>
              <w:left w:val="nil"/>
              <w:bottom w:val="nil"/>
              <w:right w:val="nil"/>
            </w:tcBorders>
            <w:shd w:val="clear" w:color="auto" w:fill="auto"/>
            <w:vAlign w:val="center"/>
            <w:hideMark/>
          </w:tcPr>
          <w:p w14:paraId="5FBC8F81"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-0,46</w:t>
            </w:r>
          </w:p>
        </w:tc>
      </w:tr>
      <w:tr w:rsidR="006D0778" w:rsidRPr="00AD7E7D" w14:paraId="1297AA8B" w14:textId="77777777" w:rsidTr="00D2109C">
        <w:trPr>
          <w:trHeight w:val="238"/>
        </w:trPr>
        <w:tc>
          <w:tcPr>
            <w:tcW w:w="517" w:type="dxa"/>
            <w:vMerge/>
            <w:tcBorders>
              <w:top w:val="nil"/>
              <w:left w:val="nil"/>
              <w:bottom w:val="single" w:sz="4" w:space="0" w:color="000000"/>
              <w:right w:val="nil"/>
            </w:tcBorders>
            <w:vAlign w:val="center"/>
            <w:hideMark/>
          </w:tcPr>
          <w:p w14:paraId="4EEFAC28" w14:textId="77777777" w:rsidR="006D0778" w:rsidRPr="00AD7E7D" w:rsidRDefault="006D0778" w:rsidP="006D0778">
            <w:pPr>
              <w:spacing w:after="0"/>
              <w:jc w:val="left"/>
              <w:rPr>
                <w:rFonts w:eastAsia="Times New Roman" w:cs="Times New Roman"/>
                <w:szCs w:val="24"/>
              </w:rPr>
            </w:pPr>
          </w:p>
        </w:tc>
        <w:tc>
          <w:tcPr>
            <w:tcW w:w="1592" w:type="dxa"/>
            <w:vMerge/>
            <w:tcBorders>
              <w:top w:val="nil"/>
              <w:left w:val="nil"/>
              <w:bottom w:val="nil"/>
              <w:right w:val="single" w:sz="4" w:space="0" w:color="auto"/>
            </w:tcBorders>
            <w:vAlign w:val="center"/>
            <w:hideMark/>
          </w:tcPr>
          <w:p w14:paraId="5BAC472E" w14:textId="77777777" w:rsidR="006D0778" w:rsidRPr="00AD7E7D" w:rsidRDefault="006D0778" w:rsidP="006D0778">
            <w:pPr>
              <w:spacing w:after="0"/>
              <w:jc w:val="left"/>
              <w:rPr>
                <w:rFonts w:eastAsia="Times New Roman" w:cs="Times New Roman"/>
                <w:szCs w:val="24"/>
              </w:rPr>
            </w:pPr>
          </w:p>
        </w:tc>
        <w:tc>
          <w:tcPr>
            <w:tcW w:w="1422" w:type="dxa"/>
            <w:tcBorders>
              <w:top w:val="nil"/>
              <w:left w:val="nil"/>
              <w:bottom w:val="single" w:sz="4" w:space="0" w:color="auto"/>
              <w:right w:val="nil"/>
            </w:tcBorders>
            <w:shd w:val="clear" w:color="auto" w:fill="auto"/>
            <w:vAlign w:val="center"/>
            <w:hideMark/>
          </w:tcPr>
          <w:p w14:paraId="7B33A8F1"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0,4%</w:t>
            </w:r>
          </w:p>
        </w:tc>
        <w:tc>
          <w:tcPr>
            <w:tcW w:w="1382" w:type="dxa"/>
            <w:tcBorders>
              <w:top w:val="nil"/>
              <w:left w:val="nil"/>
              <w:bottom w:val="single" w:sz="4" w:space="0" w:color="auto"/>
              <w:right w:val="nil"/>
            </w:tcBorders>
            <w:shd w:val="clear" w:color="auto" w:fill="auto"/>
            <w:vAlign w:val="center"/>
            <w:hideMark/>
          </w:tcPr>
          <w:p w14:paraId="07E521B6"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-1,89</w:t>
            </w:r>
          </w:p>
        </w:tc>
        <w:tc>
          <w:tcPr>
            <w:tcW w:w="1384" w:type="dxa"/>
            <w:tcBorders>
              <w:top w:val="nil"/>
              <w:left w:val="nil"/>
              <w:bottom w:val="single" w:sz="4" w:space="0" w:color="auto"/>
              <w:right w:val="nil"/>
            </w:tcBorders>
            <w:shd w:val="clear" w:color="auto" w:fill="auto"/>
            <w:vAlign w:val="center"/>
            <w:hideMark/>
          </w:tcPr>
          <w:p w14:paraId="7C4AF5D7"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-1,88</w:t>
            </w:r>
          </w:p>
        </w:tc>
        <w:tc>
          <w:tcPr>
            <w:tcW w:w="1384" w:type="dxa"/>
            <w:tcBorders>
              <w:top w:val="nil"/>
              <w:left w:val="nil"/>
              <w:bottom w:val="single" w:sz="4" w:space="0" w:color="auto"/>
              <w:right w:val="nil"/>
            </w:tcBorders>
            <w:shd w:val="clear" w:color="auto" w:fill="auto"/>
            <w:vAlign w:val="center"/>
            <w:hideMark/>
          </w:tcPr>
          <w:p w14:paraId="62C6382F"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-1,11</w:t>
            </w:r>
          </w:p>
        </w:tc>
        <w:tc>
          <w:tcPr>
            <w:tcW w:w="1384" w:type="dxa"/>
            <w:tcBorders>
              <w:top w:val="nil"/>
              <w:left w:val="nil"/>
              <w:bottom w:val="single" w:sz="4" w:space="0" w:color="auto"/>
              <w:right w:val="nil"/>
            </w:tcBorders>
            <w:shd w:val="clear" w:color="auto" w:fill="auto"/>
            <w:vAlign w:val="center"/>
            <w:hideMark/>
          </w:tcPr>
          <w:p w14:paraId="69663F4F"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-0,74</w:t>
            </w:r>
          </w:p>
        </w:tc>
      </w:tr>
      <w:tr w:rsidR="006D0778" w:rsidRPr="00AD7E7D" w14:paraId="3C3C9226" w14:textId="77777777" w:rsidTr="00D2109C">
        <w:trPr>
          <w:trHeight w:val="238"/>
        </w:trPr>
        <w:tc>
          <w:tcPr>
            <w:tcW w:w="517" w:type="dxa"/>
            <w:vMerge/>
            <w:tcBorders>
              <w:top w:val="nil"/>
              <w:left w:val="nil"/>
              <w:bottom w:val="single" w:sz="4" w:space="0" w:color="000000"/>
              <w:right w:val="nil"/>
            </w:tcBorders>
            <w:vAlign w:val="center"/>
            <w:hideMark/>
          </w:tcPr>
          <w:p w14:paraId="5F765F1A" w14:textId="77777777" w:rsidR="006D0778" w:rsidRPr="00AD7E7D" w:rsidRDefault="006D0778" w:rsidP="006D0778">
            <w:pPr>
              <w:spacing w:after="0"/>
              <w:jc w:val="left"/>
              <w:rPr>
                <w:rFonts w:eastAsia="Times New Roman" w:cs="Times New Roman"/>
                <w:szCs w:val="24"/>
              </w:rPr>
            </w:pPr>
          </w:p>
        </w:tc>
        <w:tc>
          <w:tcPr>
            <w:tcW w:w="1592" w:type="dxa"/>
            <w:vMerge w:val="restart"/>
            <w:tcBorders>
              <w:top w:val="nil"/>
              <w:left w:val="nil"/>
              <w:bottom w:val="single" w:sz="4" w:space="0" w:color="000000"/>
              <w:right w:val="single" w:sz="4" w:space="0" w:color="auto"/>
            </w:tcBorders>
            <w:shd w:val="clear" w:color="auto" w:fill="auto"/>
            <w:vAlign w:val="center"/>
            <w:hideMark/>
          </w:tcPr>
          <w:p w14:paraId="5B2B42A8" w14:textId="77777777" w:rsidR="006D0778" w:rsidRPr="00AD7E7D" w:rsidRDefault="006D0778" w:rsidP="006D0778">
            <w:pPr>
              <w:spacing w:after="0"/>
              <w:jc w:val="center"/>
              <w:rPr>
                <w:rFonts w:eastAsia="Times New Roman" w:cs="Times New Roman"/>
                <w:szCs w:val="24"/>
              </w:rPr>
            </w:pPr>
            <w:r w:rsidRPr="00AD7E7D">
              <w:rPr>
                <w:rFonts w:eastAsia="Times New Roman" w:cs="Times New Roman"/>
                <w:szCs w:val="24"/>
              </w:rPr>
              <w:t>Јавни дуг</w:t>
            </w:r>
          </w:p>
        </w:tc>
        <w:tc>
          <w:tcPr>
            <w:tcW w:w="1422" w:type="dxa"/>
            <w:tcBorders>
              <w:top w:val="single" w:sz="4" w:space="0" w:color="auto"/>
              <w:left w:val="nil"/>
              <w:bottom w:val="nil"/>
              <w:right w:val="nil"/>
            </w:tcBorders>
            <w:shd w:val="clear" w:color="auto" w:fill="auto"/>
            <w:vAlign w:val="center"/>
            <w:hideMark/>
          </w:tcPr>
          <w:p w14:paraId="25A91B8C"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50%</w:t>
            </w:r>
          </w:p>
        </w:tc>
        <w:tc>
          <w:tcPr>
            <w:tcW w:w="1382" w:type="dxa"/>
            <w:tcBorders>
              <w:top w:val="single" w:sz="4" w:space="0" w:color="auto"/>
              <w:left w:val="nil"/>
              <w:bottom w:val="nil"/>
              <w:right w:val="nil"/>
            </w:tcBorders>
            <w:shd w:val="clear" w:color="auto" w:fill="auto"/>
            <w:vAlign w:val="center"/>
            <w:hideMark/>
          </w:tcPr>
          <w:p w14:paraId="63928EA4"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0,06</w:t>
            </w:r>
          </w:p>
        </w:tc>
        <w:tc>
          <w:tcPr>
            <w:tcW w:w="1384" w:type="dxa"/>
            <w:tcBorders>
              <w:top w:val="single" w:sz="4" w:space="0" w:color="auto"/>
              <w:left w:val="nil"/>
              <w:bottom w:val="nil"/>
              <w:right w:val="nil"/>
            </w:tcBorders>
            <w:shd w:val="clear" w:color="auto" w:fill="auto"/>
            <w:vAlign w:val="center"/>
            <w:hideMark/>
          </w:tcPr>
          <w:p w14:paraId="0877200B"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0,09</w:t>
            </w:r>
          </w:p>
        </w:tc>
        <w:tc>
          <w:tcPr>
            <w:tcW w:w="1384" w:type="dxa"/>
            <w:tcBorders>
              <w:top w:val="single" w:sz="4" w:space="0" w:color="auto"/>
              <w:left w:val="nil"/>
              <w:bottom w:val="nil"/>
              <w:right w:val="nil"/>
            </w:tcBorders>
            <w:shd w:val="clear" w:color="auto" w:fill="auto"/>
            <w:vAlign w:val="center"/>
            <w:hideMark/>
          </w:tcPr>
          <w:p w14:paraId="5D150024"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0,11</w:t>
            </w:r>
          </w:p>
        </w:tc>
        <w:tc>
          <w:tcPr>
            <w:tcW w:w="1384" w:type="dxa"/>
            <w:tcBorders>
              <w:top w:val="single" w:sz="4" w:space="0" w:color="auto"/>
              <w:left w:val="nil"/>
              <w:bottom w:val="nil"/>
              <w:right w:val="nil"/>
            </w:tcBorders>
            <w:shd w:val="clear" w:color="auto" w:fill="auto"/>
            <w:vAlign w:val="center"/>
            <w:hideMark/>
          </w:tcPr>
          <w:p w14:paraId="09B33D1F"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0,11</w:t>
            </w:r>
          </w:p>
        </w:tc>
      </w:tr>
      <w:tr w:rsidR="006D0778" w:rsidRPr="00AD7E7D" w14:paraId="32BD6A03" w14:textId="77777777" w:rsidTr="00D2109C">
        <w:trPr>
          <w:trHeight w:val="238"/>
        </w:trPr>
        <w:tc>
          <w:tcPr>
            <w:tcW w:w="517" w:type="dxa"/>
            <w:vMerge/>
            <w:tcBorders>
              <w:top w:val="nil"/>
              <w:left w:val="nil"/>
              <w:bottom w:val="single" w:sz="4" w:space="0" w:color="000000"/>
              <w:right w:val="nil"/>
            </w:tcBorders>
            <w:vAlign w:val="center"/>
            <w:hideMark/>
          </w:tcPr>
          <w:p w14:paraId="7ABF8502" w14:textId="77777777" w:rsidR="006D0778" w:rsidRPr="00AD7E7D" w:rsidRDefault="006D0778" w:rsidP="006D0778">
            <w:pPr>
              <w:spacing w:after="0"/>
              <w:jc w:val="left"/>
              <w:rPr>
                <w:rFonts w:eastAsia="Times New Roman" w:cs="Times New Roman"/>
                <w:szCs w:val="24"/>
              </w:rPr>
            </w:pPr>
          </w:p>
        </w:tc>
        <w:tc>
          <w:tcPr>
            <w:tcW w:w="1592" w:type="dxa"/>
            <w:vMerge/>
            <w:tcBorders>
              <w:top w:val="nil"/>
              <w:left w:val="nil"/>
              <w:bottom w:val="single" w:sz="4" w:space="0" w:color="000000"/>
              <w:right w:val="single" w:sz="4" w:space="0" w:color="auto"/>
            </w:tcBorders>
            <w:vAlign w:val="center"/>
            <w:hideMark/>
          </w:tcPr>
          <w:p w14:paraId="205E8953" w14:textId="77777777" w:rsidR="006D0778" w:rsidRPr="00AD7E7D" w:rsidRDefault="006D0778" w:rsidP="006D0778">
            <w:pPr>
              <w:spacing w:after="0"/>
              <w:jc w:val="left"/>
              <w:rPr>
                <w:rFonts w:eastAsia="Times New Roman" w:cs="Times New Roman"/>
                <w:szCs w:val="24"/>
              </w:rPr>
            </w:pPr>
          </w:p>
        </w:tc>
        <w:tc>
          <w:tcPr>
            <w:tcW w:w="1422" w:type="dxa"/>
            <w:tcBorders>
              <w:top w:val="nil"/>
              <w:left w:val="nil"/>
              <w:bottom w:val="nil"/>
              <w:right w:val="nil"/>
            </w:tcBorders>
            <w:shd w:val="clear" w:color="auto" w:fill="auto"/>
            <w:vAlign w:val="center"/>
            <w:hideMark/>
          </w:tcPr>
          <w:p w14:paraId="65C708B2"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10%</w:t>
            </w:r>
          </w:p>
        </w:tc>
        <w:tc>
          <w:tcPr>
            <w:tcW w:w="1382" w:type="dxa"/>
            <w:tcBorders>
              <w:top w:val="nil"/>
              <w:left w:val="nil"/>
              <w:bottom w:val="nil"/>
              <w:right w:val="nil"/>
            </w:tcBorders>
            <w:shd w:val="clear" w:color="auto" w:fill="auto"/>
            <w:vAlign w:val="center"/>
            <w:hideMark/>
          </w:tcPr>
          <w:p w14:paraId="1FA582D0"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0,27</w:t>
            </w:r>
          </w:p>
        </w:tc>
        <w:tc>
          <w:tcPr>
            <w:tcW w:w="1384" w:type="dxa"/>
            <w:tcBorders>
              <w:top w:val="nil"/>
              <w:left w:val="nil"/>
              <w:bottom w:val="nil"/>
              <w:right w:val="nil"/>
            </w:tcBorders>
            <w:shd w:val="clear" w:color="auto" w:fill="auto"/>
            <w:vAlign w:val="center"/>
            <w:hideMark/>
          </w:tcPr>
          <w:p w14:paraId="2B98197D"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0,45</w:t>
            </w:r>
          </w:p>
        </w:tc>
        <w:tc>
          <w:tcPr>
            <w:tcW w:w="1384" w:type="dxa"/>
            <w:tcBorders>
              <w:top w:val="nil"/>
              <w:left w:val="nil"/>
              <w:bottom w:val="nil"/>
              <w:right w:val="nil"/>
            </w:tcBorders>
            <w:shd w:val="clear" w:color="auto" w:fill="auto"/>
            <w:vAlign w:val="center"/>
            <w:hideMark/>
          </w:tcPr>
          <w:p w14:paraId="0516A588"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0,53</w:t>
            </w:r>
          </w:p>
        </w:tc>
        <w:tc>
          <w:tcPr>
            <w:tcW w:w="1384" w:type="dxa"/>
            <w:tcBorders>
              <w:top w:val="nil"/>
              <w:left w:val="nil"/>
              <w:bottom w:val="nil"/>
              <w:right w:val="nil"/>
            </w:tcBorders>
            <w:shd w:val="clear" w:color="auto" w:fill="auto"/>
            <w:vAlign w:val="center"/>
            <w:hideMark/>
          </w:tcPr>
          <w:p w14:paraId="50D91312"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0,55</w:t>
            </w:r>
          </w:p>
        </w:tc>
      </w:tr>
      <w:tr w:rsidR="006D0778" w:rsidRPr="00AD7E7D" w14:paraId="26E6F7B4" w14:textId="77777777" w:rsidTr="00D2109C">
        <w:trPr>
          <w:trHeight w:val="238"/>
        </w:trPr>
        <w:tc>
          <w:tcPr>
            <w:tcW w:w="517" w:type="dxa"/>
            <w:vMerge/>
            <w:tcBorders>
              <w:top w:val="nil"/>
              <w:left w:val="nil"/>
              <w:bottom w:val="single" w:sz="4" w:space="0" w:color="000000"/>
              <w:right w:val="nil"/>
            </w:tcBorders>
            <w:vAlign w:val="center"/>
            <w:hideMark/>
          </w:tcPr>
          <w:p w14:paraId="2798D214" w14:textId="77777777" w:rsidR="006D0778" w:rsidRPr="00AD7E7D" w:rsidRDefault="006D0778" w:rsidP="006D0778">
            <w:pPr>
              <w:spacing w:after="0"/>
              <w:jc w:val="left"/>
              <w:rPr>
                <w:rFonts w:eastAsia="Times New Roman" w:cs="Times New Roman"/>
                <w:szCs w:val="24"/>
              </w:rPr>
            </w:pPr>
          </w:p>
        </w:tc>
        <w:tc>
          <w:tcPr>
            <w:tcW w:w="1592" w:type="dxa"/>
            <w:vMerge/>
            <w:tcBorders>
              <w:top w:val="nil"/>
              <w:left w:val="nil"/>
              <w:bottom w:val="single" w:sz="4" w:space="0" w:color="000000"/>
              <w:right w:val="single" w:sz="4" w:space="0" w:color="auto"/>
            </w:tcBorders>
            <w:vAlign w:val="center"/>
            <w:hideMark/>
          </w:tcPr>
          <w:p w14:paraId="2CC00CB4" w14:textId="77777777" w:rsidR="006D0778" w:rsidRPr="00AD7E7D" w:rsidRDefault="006D0778" w:rsidP="006D0778">
            <w:pPr>
              <w:spacing w:after="0"/>
              <w:jc w:val="left"/>
              <w:rPr>
                <w:rFonts w:eastAsia="Times New Roman" w:cs="Times New Roman"/>
                <w:szCs w:val="24"/>
              </w:rPr>
            </w:pPr>
          </w:p>
        </w:tc>
        <w:tc>
          <w:tcPr>
            <w:tcW w:w="1422" w:type="dxa"/>
            <w:tcBorders>
              <w:top w:val="nil"/>
              <w:left w:val="nil"/>
              <w:bottom w:val="nil"/>
              <w:right w:val="nil"/>
            </w:tcBorders>
            <w:shd w:val="clear" w:color="auto" w:fill="auto"/>
            <w:vAlign w:val="center"/>
            <w:hideMark/>
          </w:tcPr>
          <w:p w14:paraId="5EB41B26"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2%</w:t>
            </w:r>
          </w:p>
        </w:tc>
        <w:tc>
          <w:tcPr>
            <w:tcW w:w="1382" w:type="dxa"/>
            <w:tcBorders>
              <w:top w:val="nil"/>
              <w:left w:val="nil"/>
              <w:bottom w:val="nil"/>
              <w:right w:val="nil"/>
            </w:tcBorders>
            <w:shd w:val="clear" w:color="auto" w:fill="auto"/>
            <w:vAlign w:val="center"/>
            <w:hideMark/>
          </w:tcPr>
          <w:p w14:paraId="3E825EC4"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0,90</w:t>
            </w:r>
          </w:p>
        </w:tc>
        <w:tc>
          <w:tcPr>
            <w:tcW w:w="1384" w:type="dxa"/>
            <w:tcBorders>
              <w:top w:val="nil"/>
              <w:left w:val="nil"/>
              <w:bottom w:val="nil"/>
              <w:right w:val="nil"/>
            </w:tcBorders>
            <w:shd w:val="clear" w:color="auto" w:fill="auto"/>
            <w:vAlign w:val="center"/>
            <w:hideMark/>
          </w:tcPr>
          <w:p w14:paraId="2A7A5681"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1,52</w:t>
            </w:r>
          </w:p>
        </w:tc>
        <w:tc>
          <w:tcPr>
            <w:tcW w:w="1384" w:type="dxa"/>
            <w:tcBorders>
              <w:top w:val="nil"/>
              <w:left w:val="nil"/>
              <w:bottom w:val="nil"/>
              <w:right w:val="nil"/>
            </w:tcBorders>
            <w:shd w:val="clear" w:color="auto" w:fill="auto"/>
            <w:vAlign w:val="center"/>
            <w:hideMark/>
          </w:tcPr>
          <w:p w14:paraId="3255496A"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1,77</w:t>
            </w:r>
          </w:p>
        </w:tc>
        <w:tc>
          <w:tcPr>
            <w:tcW w:w="1384" w:type="dxa"/>
            <w:tcBorders>
              <w:top w:val="nil"/>
              <w:left w:val="nil"/>
              <w:bottom w:val="nil"/>
              <w:right w:val="nil"/>
            </w:tcBorders>
            <w:shd w:val="clear" w:color="auto" w:fill="auto"/>
            <w:vAlign w:val="center"/>
            <w:hideMark/>
          </w:tcPr>
          <w:p w14:paraId="0CEE23FA"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1,85</w:t>
            </w:r>
          </w:p>
        </w:tc>
      </w:tr>
      <w:tr w:rsidR="006D0778" w:rsidRPr="00AD7E7D" w14:paraId="1D8C449C" w14:textId="77777777" w:rsidTr="00D2109C">
        <w:trPr>
          <w:trHeight w:val="238"/>
        </w:trPr>
        <w:tc>
          <w:tcPr>
            <w:tcW w:w="517" w:type="dxa"/>
            <w:vMerge/>
            <w:tcBorders>
              <w:top w:val="nil"/>
              <w:left w:val="nil"/>
              <w:bottom w:val="single" w:sz="4" w:space="0" w:color="000000"/>
              <w:right w:val="nil"/>
            </w:tcBorders>
            <w:vAlign w:val="center"/>
            <w:hideMark/>
          </w:tcPr>
          <w:p w14:paraId="05B96B9E" w14:textId="77777777" w:rsidR="006D0778" w:rsidRPr="00AD7E7D" w:rsidRDefault="006D0778" w:rsidP="006D0778">
            <w:pPr>
              <w:spacing w:after="0"/>
              <w:jc w:val="left"/>
              <w:rPr>
                <w:rFonts w:eastAsia="Times New Roman" w:cs="Times New Roman"/>
                <w:szCs w:val="24"/>
              </w:rPr>
            </w:pPr>
          </w:p>
        </w:tc>
        <w:tc>
          <w:tcPr>
            <w:tcW w:w="1592" w:type="dxa"/>
            <w:vMerge/>
            <w:tcBorders>
              <w:top w:val="nil"/>
              <w:left w:val="nil"/>
              <w:bottom w:val="single" w:sz="4" w:space="0" w:color="000000"/>
              <w:right w:val="single" w:sz="4" w:space="0" w:color="auto"/>
            </w:tcBorders>
            <w:vAlign w:val="center"/>
            <w:hideMark/>
          </w:tcPr>
          <w:p w14:paraId="35623ADB" w14:textId="77777777" w:rsidR="006D0778" w:rsidRPr="00AD7E7D" w:rsidRDefault="006D0778" w:rsidP="006D0778">
            <w:pPr>
              <w:spacing w:after="0"/>
              <w:jc w:val="left"/>
              <w:rPr>
                <w:rFonts w:eastAsia="Times New Roman" w:cs="Times New Roman"/>
                <w:szCs w:val="24"/>
              </w:rPr>
            </w:pPr>
          </w:p>
        </w:tc>
        <w:tc>
          <w:tcPr>
            <w:tcW w:w="1422" w:type="dxa"/>
            <w:tcBorders>
              <w:top w:val="nil"/>
              <w:left w:val="nil"/>
              <w:bottom w:val="nil"/>
              <w:right w:val="nil"/>
            </w:tcBorders>
            <w:shd w:val="clear" w:color="auto" w:fill="auto"/>
            <w:vAlign w:val="center"/>
            <w:hideMark/>
          </w:tcPr>
          <w:p w14:paraId="1478AEB7"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1%</w:t>
            </w:r>
          </w:p>
        </w:tc>
        <w:tc>
          <w:tcPr>
            <w:tcW w:w="1382" w:type="dxa"/>
            <w:tcBorders>
              <w:top w:val="nil"/>
              <w:left w:val="nil"/>
              <w:bottom w:val="nil"/>
              <w:right w:val="nil"/>
            </w:tcBorders>
            <w:shd w:val="clear" w:color="auto" w:fill="auto"/>
            <w:vAlign w:val="center"/>
            <w:hideMark/>
          </w:tcPr>
          <w:p w14:paraId="74D35D12"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1,49</w:t>
            </w:r>
          </w:p>
        </w:tc>
        <w:tc>
          <w:tcPr>
            <w:tcW w:w="1384" w:type="dxa"/>
            <w:tcBorders>
              <w:top w:val="nil"/>
              <w:left w:val="nil"/>
              <w:bottom w:val="nil"/>
              <w:right w:val="nil"/>
            </w:tcBorders>
            <w:shd w:val="clear" w:color="auto" w:fill="auto"/>
            <w:vAlign w:val="center"/>
            <w:hideMark/>
          </w:tcPr>
          <w:p w14:paraId="6BA67D63"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2,50</w:t>
            </w:r>
          </w:p>
        </w:tc>
        <w:tc>
          <w:tcPr>
            <w:tcW w:w="1384" w:type="dxa"/>
            <w:tcBorders>
              <w:top w:val="nil"/>
              <w:left w:val="nil"/>
              <w:bottom w:val="nil"/>
              <w:right w:val="nil"/>
            </w:tcBorders>
            <w:shd w:val="clear" w:color="auto" w:fill="auto"/>
            <w:vAlign w:val="center"/>
            <w:hideMark/>
          </w:tcPr>
          <w:p w14:paraId="6D2536EC"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2,92</w:t>
            </w:r>
          </w:p>
        </w:tc>
        <w:tc>
          <w:tcPr>
            <w:tcW w:w="1384" w:type="dxa"/>
            <w:tcBorders>
              <w:top w:val="nil"/>
              <w:left w:val="nil"/>
              <w:bottom w:val="nil"/>
              <w:right w:val="nil"/>
            </w:tcBorders>
            <w:shd w:val="clear" w:color="auto" w:fill="auto"/>
            <w:vAlign w:val="center"/>
            <w:hideMark/>
          </w:tcPr>
          <w:p w14:paraId="47B8F498"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3,05</w:t>
            </w:r>
          </w:p>
        </w:tc>
      </w:tr>
      <w:tr w:rsidR="006D0778" w:rsidRPr="00AD7E7D" w14:paraId="1E907839" w14:textId="77777777" w:rsidTr="00D2109C">
        <w:trPr>
          <w:trHeight w:val="238"/>
        </w:trPr>
        <w:tc>
          <w:tcPr>
            <w:tcW w:w="517" w:type="dxa"/>
            <w:vMerge/>
            <w:tcBorders>
              <w:top w:val="nil"/>
              <w:left w:val="nil"/>
              <w:bottom w:val="single" w:sz="4" w:space="0" w:color="000000"/>
              <w:right w:val="nil"/>
            </w:tcBorders>
            <w:vAlign w:val="center"/>
            <w:hideMark/>
          </w:tcPr>
          <w:p w14:paraId="2930E2E6" w14:textId="77777777" w:rsidR="006D0778" w:rsidRPr="00AD7E7D" w:rsidRDefault="006D0778" w:rsidP="006D0778">
            <w:pPr>
              <w:spacing w:after="0"/>
              <w:jc w:val="left"/>
              <w:rPr>
                <w:rFonts w:eastAsia="Times New Roman" w:cs="Times New Roman"/>
                <w:szCs w:val="24"/>
              </w:rPr>
            </w:pPr>
          </w:p>
        </w:tc>
        <w:tc>
          <w:tcPr>
            <w:tcW w:w="1592" w:type="dxa"/>
            <w:vMerge/>
            <w:tcBorders>
              <w:top w:val="nil"/>
              <w:left w:val="nil"/>
              <w:bottom w:val="single" w:sz="4" w:space="0" w:color="000000"/>
              <w:right w:val="single" w:sz="4" w:space="0" w:color="auto"/>
            </w:tcBorders>
            <w:vAlign w:val="center"/>
            <w:hideMark/>
          </w:tcPr>
          <w:p w14:paraId="537D5D4E" w14:textId="77777777" w:rsidR="006D0778" w:rsidRPr="00AD7E7D" w:rsidRDefault="006D0778" w:rsidP="006D0778">
            <w:pPr>
              <w:spacing w:after="0"/>
              <w:jc w:val="left"/>
              <w:rPr>
                <w:rFonts w:eastAsia="Times New Roman" w:cs="Times New Roman"/>
                <w:szCs w:val="24"/>
              </w:rPr>
            </w:pPr>
          </w:p>
        </w:tc>
        <w:tc>
          <w:tcPr>
            <w:tcW w:w="1422" w:type="dxa"/>
            <w:tcBorders>
              <w:top w:val="nil"/>
              <w:left w:val="nil"/>
              <w:bottom w:val="single" w:sz="4" w:space="0" w:color="auto"/>
              <w:right w:val="nil"/>
            </w:tcBorders>
            <w:shd w:val="clear" w:color="auto" w:fill="auto"/>
            <w:vAlign w:val="center"/>
            <w:hideMark/>
          </w:tcPr>
          <w:p w14:paraId="0B716BAE"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0,4%</w:t>
            </w:r>
          </w:p>
        </w:tc>
        <w:tc>
          <w:tcPr>
            <w:tcW w:w="1382" w:type="dxa"/>
            <w:tcBorders>
              <w:top w:val="nil"/>
              <w:left w:val="nil"/>
              <w:bottom w:val="single" w:sz="4" w:space="0" w:color="auto"/>
              <w:right w:val="nil"/>
            </w:tcBorders>
            <w:shd w:val="clear" w:color="auto" w:fill="auto"/>
            <w:vAlign w:val="center"/>
            <w:hideMark/>
          </w:tcPr>
          <w:p w14:paraId="193CACBC"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2,37</w:t>
            </w:r>
          </w:p>
        </w:tc>
        <w:tc>
          <w:tcPr>
            <w:tcW w:w="1384" w:type="dxa"/>
            <w:tcBorders>
              <w:top w:val="nil"/>
              <w:left w:val="nil"/>
              <w:bottom w:val="single" w:sz="4" w:space="0" w:color="auto"/>
              <w:right w:val="nil"/>
            </w:tcBorders>
            <w:shd w:val="clear" w:color="auto" w:fill="auto"/>
            <w:vAlign w:val="center"/>
            <w:hideMark/>
          </w:tcPr>
          <w:p w14:paraId="47BB5674"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3,97</w:t>
            </w:r>
          </w:p>
        </w:tc>
        <w:tc>
          <w:tcPr>
            <w:tcW w:w="1384" w:type="dxa"/>
            <w:tcBorders>
              <w:top w:val="nil"/>
              <w:left w:val="nil"/>
              <w:bottom w:val="single" w:sz="4" w:space="0" w:color="auto"/>
              <w:right w:val="nil"/>
            </w:tcBorders>
            <w:shd w:val="clear" w:color="auto" w:fill="auto"/>
            <w:vAlign w:val="center"/>
            <w:hideMark/>
          </w:tcPr>
          <w:p w14:paraId="78F075C8"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4,63</w:t>
            </w:r>
          </w:p>
        </w:tc>
        <w:tc>
          <w:tcPr>
            <w:tcW w:w="1384" w:type="dxa"/>
            <w:tcBorders>
              <w:top w:val="nil"/>
              <w:left w:val="nil"/>
              <w:bottom w:val="single" w:sz="4" w:space="0" w:color="auto"/>
              <w:right w:val="nil"/>
            </w:tcBorders>
            <w:shd w:val="clear" w:color="auto" w:fill="auto"/>
            <w:vAlign w:val="center"/>
            <w:hideMark/>
          </w:tcPr>
          <w:p w14:paraId="3BE36B19" w14:textId="77777777" w:rsidR="006D0778" w:rsidRPr="00AD7E7D" w:rsidRDefault="006D0778" w:rsidP="00010E52">
            <w:pPr>
              <w:spacing w:after="0"/>
              <w:jc w:val="right"/>
              <w:rPr>
                <w:rFonts w:eastAsia="Times New Roman" w:cs="Times New Roman"/>
                <w:szCs w:val="24"/>
              </w:rPr>
            </w:pPr>
            <w:r w:rsidRPr="00AD7E7D">
              <w:rPr>
                <w:rFonts w:eastAsia="Times New Roman" w:cs="Times New Roman"/>
                <w:szCs w:val="24"/>
              </w:rPr>
              <w:t>4,84</w:t>
            </w:r>
          </w:p>
        </w:tc>
      </w:tr>
    </w:tbl>
    <w:p w14:paraId="2760E9E4" w14:textId="77777777" w:rsidR="006D0778" w:rsidRPr="00AD7E7D" w:rsidRDefault="006D0778" w:rsidP="006D0778">
      <w:pPr>
        <w:rPr>
          <w:rFonts w:eastAsia="MS PGothic" w:cs="Times New Roman"/>
          <w:szCs w:val="24"/>
          <w:lang w:eastAsia="ja-JP"/>
        </w:rPr>
      </w:pPr>
    </w:p>
    <w:p w14:paraId="4BF998BC" w14:textId="77777777" w:rsidR="006D0778" w:rsidRPr="00AD7E7D" w:rsidRDefault="006D0778" w:rsidP="007B25C2">
      <w:pPr>
        <w:spacing w:after="180"/>
        <w:rPr>
          <w:rFonts w:cs="Times New Roman"/>
          <w:szCs w:val="24"/>
          <w:lang w:val="sr-Cyrl-RS" w:eastAsia="ja-JP"/>
        </w:rPr>
      </w:pPr>
      <w:r w:rsidRPr="00AD7E7D">
        <w:rPr>
          <w:rFonts w:cs="Times New Roman"/>
          <w:szCs w:val="24"/>
          <w:lang w:val="sr-Cyrl-RS" w:eastAsia="ja-JP"/>
        </w:rPr>
        <w:t>Република Србија је у 2019. години платила из буџета 4,22 млрд динара за накнаде штете за повреде или штете настале услед елементарних непогода или других природних узрока. У току 2020. године за ову намену издвоје</w:t>
      </w:r>
      <w:r w:rsidR="00F25393" w:rsidRPr="00AD7E7D">
        <w:rPr>
          <w:rFonts w:cs="Times New Roman"/>
          <w:szCs w:val="24"/>
          <w:lang w:val="sr-Cyrl-RS" w:eastAsia="ja-JP"/>
        </w:rPr>
        <w:t>но је 2,8 млрд динара, док је</w:t>
      </w:r>
      <w:r w:rsidRPr="00AD7E7D">
        <w:rPr>
          <w:rFonts w:cs="Times New Roman"/>
          <w:szCs w:val="24"/>
          <w:lang w:val="sr-Cyrl-RS" w:eastAsia="ja-JP"/>
        </w:rPr>
        <w:t xml:space="preserve"> током 2021. године износ потрошен на ове намене </w:t>
      </w:r>
      <w:r w:rsidR="00F25393" w:rsidRPr="00AD7E7D">
        <w:rPr>
          <w:rFonts w:cs="Times New Roman"/>
          <w:szCs w:val="24"/>
          <w:lang w:val="sr-Cyrl-RS" w:eastAsia="ja-JP"/>
        </w:rPr>
        <w:t>б</w:t>
      </w:r>
      <w:r w:rsidRPr="00AD7E7D">
        <w:rPr>
          <w:rFonts w:cs="Times New Roman"/>
          <w:szCs w:val="24"/>
          <w:lang w:val="sr-Cyrl-RS" w:eastAsia="ja-JP"/>
        </w:rPr>
        <w:t>ио 520,3 милиона динара. У 2022. години је плаћено 263,9 милиона динара, а за првих девет месеци 2023. године издвојено је 270,3 милиона динара за ову намену.</w:t>
      </w:r>
    </w:p>
    <w:p w14:paraId="41653405" w14:textId="77777777" w:rsidR="006D0778" w:rsidRPr="00AD7E7D" w:rsidRDefault="006D0778" w:rsidP="006D0778">
      <w:pPr>
        <w:rPr>
          <w:rFonts w:eastAsia="MS PGothic" w:cs="Times New Roman"/>
          <w:b/>
          <w:szCs w:val="24"/>
          <w:lang w:val="sr-Cyrl-RS" w:eastAsia="ja-JP"/>
        </w:rPr>
      </w:pPr>
      <w:r w:rsidRPr="00AD7E7D">
        <w:rPr>
          <w:rFonts w:eastAsia="MS PGothic" w:cs="Times New Roman"/>
          <w:b/>
          <w:szCs w:val="24"/>
          <w:lang w:val="sr-Cyrl-RS" w:eastAsia="ja-JP"/>
        </w:rPr>
        <w:t>Алтернативни сценарио фискалних кретања у периоду 2024–2027. године</w:t>
      </w:r>
    </w:p>
    <w:p w14:paraId="628987D8" w14:textId="77777777" w:rsidR="006D0778" w:rsidRPr="00AD7E7D" w:rsidRDefault="006D0778" w:rsidP="006D0778">
      <w:pPr>
        <w:rPr>
          <w:rFonts w:cs="Times New Roman"/>
          <w:szCs w:val="24"/>
          <w:lang w:val="sr-Cyrl-RS" w:eastAsia="ja-JP"/>
        </w:rPr>
      </w:pPr>
      <w:r w:rsidRPr="00AD7E7D">
        <w:rPr>
          <w:rFonts w:cs="Times New Roman"/>
          <w:szCs w:val="24"/>
          <w:lang w:val="sr-Cyrl-RS" w:eastAsia="ja-JP"/>
        </w:rPr>
        <w:t>На следећем графикону приказано је кретање учешћа дефицита и јавног дуга у БДП на основу алтернативног макроекономског сценарија, а који подразумева стопе раста од 3,1%, 2,9% и 3,2% у наредном трогодишњем периоду.</w:t>
      </w:r>
    </w:p>
    <w:p w14:paraId="512D561D" w14:textId="77777777" w:rsidR="006D0778" w:rsidRPr="00010E52" w:rsidRDefault="006D0778" w:rsidP="006D0778">
      <w:pPr>
        <w:keepNext/>
        <w:rPr>
          <w:rFonts w:cs="Times New Roman"/>
          <w:i/>
          <w:szCs w:val="24"/>
          <w:lang w:val="sr-Cyrl-RS" w:eastAsia="ja-JP"/>
        </w:rPr>
      </w:pPr>
      <w:r w:rsidRPr="00010E52">
        <w:rPr>
          <w:rFonts w:cs="Times New Roman"/>
          <w:i/>
          <w:szCs w:val="24"/>
          <w:lang w:val="sr-Cyrl-RS" w:eastAsia="ja-JP"/>
        </w:rPr>
        <w:lastRenderedPageBreak/>
        <w:t>Графикон 1</w:t>
      </w:r>
      <w:r w:rsidR="006C46A3">
        <w:rPr>
          <w:rFonts w:cs="Times New Roman"/>
          <w:i/>
          <w:szCs w:val="24"/>
          <w:lang w:val="sr-Latn-RS" w:eastAsia="ja-JP"/>
        </w:rPr>
        <w:t>6</w:t>
      </w:r>
      <w:r w:rsidRPr="00010E52">
        <w:rPr>
          <w:rFonts w:cs="Times New Roman"/>
          <w:i/>
          <w:szCs w:val="24"/>
          <w:lang w:val="sr-Cyrl-RS" w:eastAsia="ja-JP"/>
        </w:rPr>
        <w:t>. Основни и алтернативни сценарио фискалних кретања у периоду 202</w:t>
      </w:r>
      <w:r w:rsidRPr="00010E52">
        <w:rPr>
          <w:rFonts w:cs="Times New Roman"/>
          <w:i/>
          <w:szCs w:val="24"/>
          <w:lang w:val="sr-Latn-RS" w:eastAsia="ja-JP"/>
        </w:rPr>
        <w:t>4</w:t>
      </w:r>
      <w:r w:rsidRPr="00010E52">
        <w:rPr>
          <w:rFonts w:cs="Times New Roman"/>
          <w:i/>
          <w:szCs w:val="24"/>
          <w:lang w:val="sr-Cyrl-RS" w:eastAsia="ja-JP"/>
        </w:rPr>
        <w:t>–2027. године</w:t>
      </w:r>
    </w:p>
    <w:p w14:paraId="534D7EE9" w14:textId="77777777" w:rsidR="006D0778" w:rsidRPr="007B25C2" w:rsidRDefault="006D0778" w:rsidP="007B25C2">
      <w:pPr>
        <w:rPr>
          <w:rFonts w:eastAsia="MS PGothic" w:cs="Times New Roman"/>
          <w:szCs w:val="24"/>
          <w:lang w:val="sr-Cyrl-RS" w:eastAsia="ja-JP"/>
        </w:rPr>
      </w:pPr>
      <w:r w:rsidRPr="00AD7E7D">
        <w:rPr>
          <w:rFonts w:cs="Times New Roman"/>
          <w:noProof/>
          <w:szCs w:val="24"/>
        </w:rPr>
        <w:drawing>
          <wp:inline distT="0" distB="0" distL="0" distR="0" wp14:anchorId="1B874BBE" wp14:editId="30718B1F">
            <wp:extent cx="5731510" cy="3400425"/>
            <wp:effectExtent l="0" t="0" r="254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AD7E7D">
        <w:rPr>
          <w:rFonts w:cs="Times New Roman"/>
          <w:szCs w:val="24"/>
          <w:lang w:val="sr-Cyrl-RS" w:eastAsia="ja-JP"/>
        </w:rPr>
        <w:t>Спорији раст утицао би, преко својих компоненти, и на остварење фискалних агрегата, превасходно на приходну страну, и то највише на приходе по основу рада и порезе на потрошњу. Оваква динамика БДП довела би до вишег нивоа дефицита и јавног дуга, у односу на основни сценарио, а на крају периода нивои дефицита и дуга би били виши у односу на ниво из 2023. године. Претпоставка у овом сценарију је да би политика кретања плата и пензија, као и номинални износи предвиђени за капиталне инвестиције, били исти као у основном сценарију, али би с обзиром на фискална правила</w:t>
      </w:r>
      <w:r w:rsidR="00AA1085" w:rsidRPr="00AD7E7D">
        <w:rPr>
          <w:rFonts w:cs="Times New Roman"/>
          <w:szCs w:val="24"/>
          <w:lang w:val="sr-Cyrl-RS" w:eastAsia="ja-JP"/>
        </w:rPr>
        <w:t>,</w:t>
      </w:r>
      <w:r w:rsidRPr="00AD7E7D">
        <w:rPr>
          <w:rFonts w:cs="Times New Roman"/>
          <w:szCs w:val="24"/>
          <w:lang w:val="sr-Cyrl-RS" w:eastAsia="ja-JP"/>
        </w:rPr>
        <w:t xml:space="preserve"> морало доћи до промене политике или на приходној или на расходној страни како би се фискални резултат вратио на ниво предвиђен фискалним правилима.</w:t>
      </w:r>
    </w:p>
    <w:p w14:paraId="5F0A8B75" w14:textId="77777777" w:rsidR="006D0778" w:rsidRPr="00AD7E7D" w:rsidRDefault="006D0778" w:rsidP="00010E52">
      <w:pPr>
        <w:spacing w:before="60" w:line="276" w:lineRule="auto"/>
        <w:rPr>
          <w:rFonts w:cs="Times New Roman"/>
          <w:b/>
          <w:bCs/>
          <w:szCs w:val="24"/>
          <w:lang w:val="sr-Cyrl-RS"/>
        </w:rPr>
      </w:pPr>
      <w:r w:rsidRPr="00AD7E7D">
        <w:rPr>
          <w:rFonts w:cs="Times New Roman"/>
          <w:b/>
          <w:bCs/>
          <w:szCs w:val="24"/>
          <w:lang w:val="sr-Cyrl-RS"/>
        </w:rPr>
        <w:t>Поређење са претходним програмом</w:t>
      </w:r>
    </w:p>
    <w:p w14:paraId="3294E70A" w14:textId="77777777" w:rsidR="006D0778" w:rsidRPr="00AD7E7D" w:rsidRDefault="006D0778" w:rsidP="006D0778">
      <w:pPr>
        <w:rPr>
          <w:rFonts w:cs="Times New Roman"/>
          <w:szCs w:val="24"/>
          <w:lang w:val="sr-Cyrl-RS"/>
        </w:rPr>
      </w:pPr>
      <w:r w:rsidRPr="00AD7E7D">
        <w:rPr>
          <w:rFonts w:cs="Times New Roman"/>
          <w:bCs/>
          <w:szCs w:val="24"/>
          <w:lang w:val="sr-Cyrl-RS"/>
        </w:rPr>
        <w:t>Средњорочни фискални оквир је промењен у складу са најављеним инвестиционим циклусом у склопу програма ''скок у будућност – Србија 2027'' и изложбом Експо 2027. као и ревизијом серије БДП.</w:t>
      </w:r>
    </w:p>
    <w:p w14:paraId="157034D1" w14:textId="77777777" w:rsidR="006D0778" w:rsidRPr="00010E52" w:rsidRDefault="006D0778" w:rsidP="006D0778">
      <w:pPr>
        <w:keepLines/>
        <w:rPr>
          <w:rFonts w:cs="Times New Roman"/>
          <w:i/>
          <w:szCs w:val="24"/>
          <w:lang w:val="sr-Cyrl-RS" w:eastAsia="ja-JP"/>
        </w:rPr>
      </w:pPr>
      <w:r w:rsidRPr="00010E52">
        <w:rPr>
          <w:rFonts w:cs="Times New Roman"/>
          <w:i/>
          <w:szCs w:val="24"/>
          <w:lang w:val="sr-Cyrl-RS" w:eastAsia="ja-JP"/>
        </w:rPr>
        <w:t>Табела 1</w:t>
      </w:r>
      <w:r w:rsidR="006C46A3">
        <w:rPr>
          <w:rFonts w:cs="Times New Roman"/>
          <w:i/>
          <w:szCs w:val="24"/>
          <w:lang w:val="sr-Latn-RS" w:eastAsia="ja-JP"/>
        </w:rPr>
        <w:t>6</w:t>
      </w:r>
      <w:r w:rsidRPr="00010E52">
        <w:rPr>
          <w:rFonts w:cs="Times New Roman"/>
          <w:i/>
          <w:szCs w:val="24"/>
          <w:lang w:val="sr-Cyrl-RS" w:eastAsia="ja-JP"/>
        </w:rPr>
        <w:t>. Поређење фискалних показатеља два програма, у % БДП</w:t>
      </w:r>
    </w:p>
    <w:tbl>
      <w:tblPr>
        <w:tblW w:w="7912" w:type="dxa"/>
        <w:tblLook w:val="04A0" w:firstRow="1" w:lastRow="0" w:firstColumn="1" w:lastColumn="0" w:noHBand="0" w:noVBand="1"/>
      </w:tblPr>
      <w:tblGrid>
        <w:gridCol w:w="3177"/>
        <w:gridCol w:w="947"/>
        <w:gridCol w:w="947"/>
        <w:gridCol w:w="947"/>
        <w:gridCol w:w="947"/>
        <w:gridCol w:w="947"/>
      </w:tblGrid>
      <w:tr w:rsidR="006D0778" w:rsidRPr="00AD7E7D" w14:paraId="1A47459C" w14:textId="77777777" w:rsidTr="00D2109C">
        <w:trPr>
          <w:trHeight w:val="285"/>
        </w:trPr>
        <w:tc>
          <w:tcPr>
            <w:tcW w:w="3177" w:type="dxa"/>
            <w:tcBorders>
              <w:top w:val="nil"/>
              <w:left w:val="nil"/>
              <w:bottom w:val="nil"/>
              <w:right w:val="nil"/>
            </w:tcBorders>
            <w:shd w:val="clear" w:color="auto" w:fill="auto"/>
            <w:noWrap/>
            <w:vAlign w:val="bottom"/>
            <w:hideMark/>
          </w:tcPr>
          <w:p w14:paraId="0CA6E2A9" w14:textId="77777777" w:rsidR="006D0778" w:rsidRPr="00AD7E7D" w:rsidRDefault="006D0778" w:rsidP="006D0778">
            <w:pPr>
              <w:keepLines/>
              <w:spacing w:after="0"/>
              <w:jc w:val="left"/>
              <w:rPr>
                <w:rFonts w:eastAsia="Times New Roman" w:cs="Times New Roman"/>
                <w:szCs w:val="24"/>
              </w:rPr>
            </w:pPr>
          </w:p>
        </w:tc>
        <w:tc>
          <w:tcPr>
            <w:tcW w:w="947" w:type="dxa"/>
            <w:tcBorders>
              <w:top w:val="nil"/>
              <w:left w:val="nil"/>
              <w:bottom w:val="single" w:sz="4" w:space="0" w:color="auto"/>
              <w:right w:val="nil"/>
            </w:tcBorders>
            <w:shd w:val="clear" w:color="auto" w:fill="auto"/>
            <w:noWrap/>
            <w:vAlign w:val="bottom"/>
            <w:hideMark/>
          </w:tcPr>
          <w:p w14:paraId="795231BA" w14:textId="77777777" w:rsidR="006D0778" w:rsidRPr="00AD7E7D" w:rsidRDefault="006D0778" w:rsidP="006D0778">
            <w:pPr>
              <w:keepLines/>
              <w:spacing w:after="0"/>
              <w:jc w:val="right"/>
              <w:rPr>
                <w:rFonts w:eastAsia="Times New Roman" w:cs="Times New Roman"/>
                <w:color w:val="000000"/>
                <w:szCs w:val="24"/>
              </w:rPr>
            </w:pPr>
            <w:r w:rsidRPr="00AD7E7D">
              <w:rPr>
                <w:rFonts w:eastAsia="Times New Roman" w:cs="Times New Roman"/>
                <w:color w:val="000000"/>
                <w:szCs w:val="24"/>
              </w:rPr>
              <w:t>2023</w:t>
            </w:r>
          </w:p>
        </w:tc>
        <w:tc>
          <w:tcPr>
            <w:tcW w:w="947" w:type="dxa"/>
            <w:tcBorders>
              <w:top w:val="nil"/>
              <w:left w:val="nil"/>
              <w:bottom w:val="single" w:sz="4" w:space="0" w:color="auto"/>
              <w:right w:val="nil"/>
            </w:tcBorders>
            <w:shd w:val="clear" w:color="auto" w:fill="auto"/>
            <w:noWrap/>
            <w:vAlign w:val="bottom"/>
            <w:hideMark/>
          </w:tcPr>
          <w:p w14:paraId="614A9F95" w14:textId="77777777" w:rsidR="006D0778" w:rsidRPr="00AD7E7D" w:rsidRDefault="006D0778" w:rsidP="006D0778">
            <w:pPr>
              <w:keepLines/>
              <w:spacing w:after="0"/>
              <w:jc w:val="right"/>
              <w:rPr>
                <w:rFonts w:eastAsia="Times New Roman" w:cs="Times New Roman"/>
                <w:color w:val="000000"/>
                <w:szCs w:val="24"/>
              </w:rPr>
            </w:pPr>
            <w:r w:rsidRPr="00AD7E7D">
              <w:rPr>
                <w:rFonts w:eastAsia="Times New Roman" w:cs="Times New Roman"/>
                <w:color w:val="000000"/>
                <w:szCs w:val="24"/>
              </w:rPr>
              <w:t>2024</w:t>
            </w:r>
          </w:p>
        </w:tc>
        <w:tc>
          <w:tcPr>
            <w:tcW w:w="947" w:type="dxa"/>
            <w:tcBorders>
              <w:top w:val="nil"/>
              <w:left w:val="nil"/>
              <w:bottom w:val="single" w:sz="4" w:space="0" w:color="auto"/>
              <w:right w:val="nil"/>
            </w:tcBorders>
            <w:shd w:val="clear" w:color="auto" w:fill="auto"/>
            <w:noWrap/>
            <w:vAlign w:val="bottom"/>
            <w:hideMark/>
          </w:tcPr>
          <w:p w14:paraId="06D91071" w14:textId="77777777" w:rsidR="006D0778" w:rsidRPr="00AD7E7D" w:rsidRDefault="006D0778" w:rsidP="006D0778">
            <w:pPr>
              <w:keepLines/>
              <w:spacing w:after="0"/>
              <w:jc w:val="right"/>
              <w:rPr>
                <w:rFonts w:eastAsia="Times New Roman" w:cs="Times New Roman"/>
                <w:color w:val="000000"/>
                <w:szCs w:val="24"/>
              </w:rPr>
            </w:pPr>
            <w:r w:rsidRPr="00AD7E7D">
              <w:rPr>
                <w:rFonts w:eastAsia="Times New Roman" w:cs="Times New Roman"/>
                <w:color w:val="000000"/>
                <w:szCs w:val="24"/>
              </w:rPr>
              <w:t>2025</w:t>
            </w:r>
          </w:p>
        </w:tc>
        <w:tc>
          <w:tcPr>
            <w:tcW w:w="947" w:type="dxa"/>
            <w:tcBorders>
              <w:top w:val="nil"/>
              <w:left w:val="nil"/>
              <w:bottom w:val="single" w:sz="4" w:space="0" w:color="auto"/>
              <w:right w:val="nil"/>
            </w:tcBorders>
            <w:shd w:val="clear" w:color="auto" w:fill="auto"/>
            <w:noWrap/>
            <w:vAlign w:val="bottom"/>
            <w:hideMark/>
          </w:tcPr>
          <w:p w14:paraId="50587573" w14:textId="77777777" w:rsidR="006D0778" w:rsidRPr="00AD7E7D" w:rsidRDefault="006D0778" w:rsidP="006D0778">
            <w:pPr>
              <w:keepLines/>
              <w:spacing w:after="0"/>
              <w:jc w:val="right"/>
              <w:rPr>
                <w:rFonts w:eastAsia="Times New Roman" w:cs="Times New Roman"/>
                <w:color w:val="000000"/>
                <w:szCs w:val="24"/>
              </w:rPr>
            </w:pPr>
            <w:r w:rsidRPr="00AD7E7D">
              <w:rPr>
                <w:rFonts w:eastAsia="Times New Roman" w:cs="Times New Roman"/>
                <w:color w:val="000000"/>
                <w:szCs w:val="24"/>
              </w:rPr>
              <w:t>2026</w:t>
            </w:r>
          </w:p>
        </w:tc>
        <w:tc>
          <w:tcPr>
            <w:tcW w:w="947" w:type="dxa"/>
            <w:tcBorders>
              <w:top w:val="nil"/>
              <w:left w:val="nil"/>
              <w:bottom w:val="single" w:sz="4" w:space="0" w:color="auto"/>
              <w:right w:val="nil"/>
            </w:tcBorders>
            <w:shd w:val="clear" w:color="auto" w:fill="auto"/>
            <w:noWrap/>
            <w:vAlign w:val="bottom"/>
            <w:hideMark/>
          </w:tcPr>
          <w:p w14:paraId="6C9E91AB" w14:textId="77777777" w:rsidR="006D0778" w:rsidRPr="00AD7E7D" w:rsidRDefault="006D0778" w:rsidP="006D0778">
            <w:pPr>
              <w:keepLines/>
              <w:spacing w:after="0"/>
              <w:jc w:val="right"/>
              <w:rPr>
                <w:rFonts w:eastAsia="Times New Roman" w:cs="Times New Roman"/>
                <w:color w:val="000000"/>
                <w:szCs w:val="24"/>
              </w:rPr>
            </w:pPr>
            <w:r w:rsidRPr="00AD7E7D">
              <w:rPr>
                <w:rFonts w:eastAsia="Times New Roman" w:cs="Times New Roman"/>
                <w:color w:val="000000"/>
                <w:szCs w:val="24"/>
              </w:rPr>
              <w:t>2027</w:t>
            </w:r>
          </w:p>
        </w:tc>
      </w:tr>
      <w:tr w:rsidR="006D0778" w:rsidRPr="00AD7E7D" w14:paraId="43D78F23" w14:textId="77777777" w:rsidTr="00D2109C">
        <w:trPr>
          <w:trHeight w:val="285"/>
        </w:trPr>
        <w:tc>
          <w:tcPr>
            <w:tcW w:w="3177" w:type="dxa"/>
            <w:tcBorders>
              <w:top w:val="nil"/>
              <w:left w:val="nil"/>
              <w:bottom w:val="nil"/>
              <w:right w:val="nil"/>
            </w:tcBorders>
            <w:shd w:val="clear" w:color="auto" w:fill="auto"/>
            <w:noWrap/>
            <w:vAlign w:val="bottom"/>
            <w:hideMark/>
          </w:tcPr>
          <w:p w14:paraId="3B462825" w14:textId="77777777" w:rsidR="006D0778" w:rsidRPr="00AD7E7D" w:rsidRDefault="006D0778" w:rsidP="006D0778">
            <w:pPr>
              <w:keepLines/>
              <w:spacing w:after="0"/>
              <w:jc w:val="left"/>
              <w:rPr>
                <w:rFonts w:eastAsia="Times New Roman" w:cs="Times New Roman"/>
                <w:b/>
                <w:color w:val="000000"/>
                <w:szCs w:val="24"/>
              </w:rPr>
            </w:pPr>
            <w:r w:rsidRPr="00AD7E7D">
              <w:rPr>
                <w:rFonts w:eastAsia="Times New Roman" w:cs="Times New Roman"/>
                <w:b/>
                <w:color w:val="000000"/>
                <w:szCs w:val="24"/>
                <w:lang w:val="sr-Cyrl-RS"/>
              </w:rPr>
              <w:t>Фискални резултат</w:t>
            </w:r>
            <w:r w:rsidRPr="00AD7E7D">
              <w:rPr>
                <w:rFonts w:eastAsia="Times New Roman" w:cs="Times New Roman"/>
                <w:b/>
                <w:color w:val="000000"/>
                <w:szCs w:val="24"/>
              </w:rPr>
              <w:t xml:space="preserve"> </w:t>
            </w:r>
          </w:p>
        </w:tc>
        <w:tc>
          <w:tcPr>
            <w:tcW w:w="947" w:type="dxa"/>
            <w:tcBorders>
              <w:top w:val="nil"/>
              <w:left w:val="nil"/>
              <w:bottom w:val="nil"/>
              <w:right w:val="nil"/>
            </w:tcBorders>
            <w:shd w:val="clear" w:color="auto" w:fill="auto"/>
            <w:noWrap/>
            <w:vAlign w:val="bottom"/>
            <w:hideMark/>
          </w:tcPr>
          <w:p w14:paraId="0D7EEF4F" w14:textId="77777777" w:rsidR="006D0778" w:rsidRPr="00AD7E7D" w:rsidRDefault="006D0778" w:rsidP="006D0778">
            <w:pPr>
              <w:keepLines/>
              <w:spacing w:after="0"/>
              <w:jc w:val="left"/>
              <w:rPr>
                <w:rFonts w:eastAsia="Times New Roman" w:cs="Times New Roman"/>
                <w:color w:val="000000"/>
                <w:szCs w:val="24"/>
              </w:rPr>
            </w:pPr>
          </w:p>
        </w:tc>
        <w:tc>
          <w:tcPr>
            <w:tcW w:w="947" w:type="dxa"/>
            <w:tcBorders>
              <w:top w:val="nil"/>
              <w:left w:val="nil"/>
              <w:bottom w:val="nil"/>
              <w:right w:val="nil"/>
            </w:tcBorders>
            <w:shd w:val="clear" w:color="auto" w:fill="auto"/>
            <w:noWrap/>
            <w:vAlign w:val="bottom"/>
            <w:hideMark/>
          </w:tcPr>
          <w:p w14:paraId="59AF5156" w14:textId="77777777" w:rsidR="006D0778" w:rsidRPr="00AD7E7D" w:rsidRDefault="006D0778" w:rsidP="006D0778">
            <w:pPr>
              <w:keepLines/>
              <w:spacing w:after="0"/>
              <w:jc w:val="left"/>
              <w:rPr>
                <w:rFonts w:eastAsia="Times New Roman" w:cs="Times New Roman"/>
                <w:szCs w:val="24"/>
              </w:rPr>
            </w:pPr>
          </w:p>
        </w:tc>
        <w:tc>
          <w:tcPr>
            <w:tcW w:w="947" w:type="dxa"/>
            <w:tcBorders>
              <w:top w:val="nil"/>
              <w:left w:val="nil"/>
              <w:bottom w:val="nil"/>
              <w:right w:val="nil"/>
            </w:tcBorders>
            <w:shd w:val="clear" w:color="auto" w:fill="auto"/>
            <w:noWrap/>
            <w:vAlign w:val="bottom"/>
            <w:hideMark/>
          </w:tcPr>
          <w:p w14:paraId="35D02D74" w14:textId="77777777" w:rsidR="006D0778" w:rsidRPr="00AD7E7D" w:rsidRDefault="006D0778" w:rsidP="006D0778">
            <w:pPr>
              <w:keepLines/>
              <w:spacing w:after="0"/>
              <w:jc w:val="left"/>
              <w:rPr>
                <w:rFonts w:eastAsia="Times New Roman" w:cs="Times New Roman"/>
                <w:szCs w:val="24"/>
              </w:rPr>
            </w:pPr>
          </w:p>
        </w:tc>
        <w:tc>
          <w:tcPr>
            <w:tcW w:w="947" w:type="dxa"/>
            <w:tcBorders>
              <w:top w:val="nil"/>
              <w:left w:val="nil"/>
              <w:bottom w:val="nil"/>
              <w:right w:val="nil"/>
            </w:tcBorders>
            <w:shd w:val="clear" w:color="auto" w:fill="auto"/>
            <w:noWrap/>
            <w:vAlign w:val="bottom"/>
            <w:hideMark/>
          </w:tcPr>
          <w:p w14:paraId="0E6C937C" w14:textId="77777777" w:rsidR="006D0778" w:rsidRPr="00AD7E7D" w:rsidRDefault="006D0778" w:rsidP="006D0778">
            <w:pPr>
              <w:keepLines/>
              <w:spacing w:after="0"/>
              <w:jc w:val="left"/>
              <w:rPr>
                <w:rFonts w:eastAsia="Times New Roman" w:cs="Times New Roman"/>
                <w:szCs w:val="24"/>
              </w:rPr>
            </w:pPr>
          </w:p>
        </w:tc>
        <w:tc>
          <w:tcPr>
            <w:tcW w:w="947" w:type="dxa"/>
            <w:tcBorders>
              <w:top w:val="nil"/>
              <w:left w:val="nil"/>
              <w:bottom w:val="nil"/>
              <w:right w:val="nil"/>
            </w:tcBorders>
            <w:shd w:val="clear" w:color="auto" w:fill="auto"/>
            <w:noWrap/>
            <w:vAlign w:val="bottom"/>
            <w:hideMark/>
          </w:tcPr>
          <w:p w14:paraId="7662B570" w14:textId="77777777" w:rsidR="006D0778" w:rsidRPr="00AD7E7D" w:rsidRDefault="006D0778" w:rsidP="006D0778">
            <w:pPr>
              <w:keepLines/>
              <w:spacing w:after="0"/>
              <w:jc w:val="left"/>
              <w:rPr>
                <w:rFonts w:eastAsia="Times New Roman" w:cs="Times New Roman"/>
                <w:szCs w:val="24"/>
              </w:rPr>
            </w:pPr>
          </w:p>
        </w:tc>
      </w:tr>
      <w:tr w:rsidR="006D0778" w:rsidRPr="00AD7E7D" w14:paraId="6589E1E1" w14:textId="77777777" w:rsidTr="00D2109C">
        <w:trPr>
          <w:trHeight w:val="285"/>
        </w:trPr>
        <w:tc>
          <w:tcPr>
            <w:tcW w:w="3177" w:type="dxa"/>
            <w:tcBorders>
              <w:top w:val="nil"/>
              <w:left w:val="nil"/>
              <w:bottom w:val="nil"/>
              <w:right w:val="nil"/>
            </w:tcBorders>
            <w:shd w:val="clear" w:color="auto" w:fill="auto"/>
            <w:noWrap/>
            <w:vAlign w:val="bottom"/>
            <w:hideMark/>
          </w:tcPr>
          <w:p w14:paraId="3F9AF886" w14:textId="77777777" w:rsidR="006D0778" w:rsidRPr="00AD7E7D" w:rsidRDefault="006D0778" w:rsidP="006D0778">
            <w:pPr>
              <w:keepLines/>
              <w:spacing w:after="0"/>
              <w:jc w:val="left"/>
              <w:rPr>
                <w:rFonts w:eastAsia="Times New Roman" w:cs="Times New Roman"/>
                <w:color w:val="000000"/>
                <w:szCs w:val="24"/>
              </w:rPr>
            </w:pPr>
            <w:r w:rsidRPr="00AD7E7D">
              <w:rPr>
                <w:rFonts w:eastAsia="Times New Roman" w:cs="Times New Roman"/>
                <w:color w:val="000000"/>
                <w:szCs w:val="24"/>
              </w:rPr>
              <w:t>претходни програм</w:t>
            </w:r>
            <w:r w:rsidRPr="00AD7E7D">
              <w:rPr>
                <w:rFonts w:eastAsia="Times New Roman" w:cs="Times New Roman"/>
                <w:color w:val="000000"/>
                <w:szCs w:val="24"/>
                <w:vertAlign w:val="superscript"/>
              </w:rPr>
              <w:footnoteReference w:id="10"/>
            </w:r>
          </w:p>
        </w:tc>
        <w:tc>
          <w:tcPr>
            <w:tcW w:w="947" w:type="dxa"/>
            <w:tcBorders>
              <w:top w:val="nil"/>
              <w:left w:val="nil"/>
              <w:bottom w:val="nil"/>
              <w:right w:val="nil"/>
            </w:tcBorders>
            <w:shd w:val="clear" w:color="auto" w:fill="auto"/>
            <w:noWrap/>
            <w:vAlign w:val="bottom"/>
            <w:hideMark/>
          </w:tcPr>
          <w:p w14:paraId="373CF91B" w14:textId="77777777" w:rsidR="006D0778" w:rsidRPr="00AD7E7D" w:rsidRDefault="006D0778" w:rsidP="006D0778">
            <w:pPr>
              <w:keepLines/>
              <w:spacing w:after="0"/>
              <w:jc w:val="right"/>
              <w:rPr>
                <w:rFonts w:eastAsia="Times New Roman" w:cs="Times New Roman"/>
                <w:color w:val="000000"/>
                <w:szCs w:val="24"/>
              </w:rPr>
            </w:pPr>
            <w:r w:rsidRPr="00AD7E7D">
              <w:rPr>
                <w:rFonts w:eastAsia="Times New Roman" w:cs="Times New Roman"/>
                <w:color w:val="000000"/>
                <w:szCs w:val="24"/>
              </w:rPr>
              <w:t>-2,8</w:t>
            </w:r>
          </w:p>
        </w:tc>
        <w:tc>
          <w:tcPr>
            <w:tcW w:w="947" w:type="dxa"/>
            <w:tcBorders>
              <w:top w:val="nil"/>
              <w:left w:val="nil"/>
              <w:bottom w:val="nil"/>
              <w:right w:val="nil"/>
            </w:tcBorders>
            <w:shd w:val="clear" w:color="auto" w:fill="auto"/>
            <w:noWrap/>
            <w:vAlign w:val="bottom"/>
            <w:hideMark/>
          </w:tcPr>
          <w:p w14:paraId="392D6523" w14:textId="77777777" w:rsidR="006D0778" w:rsidRPr="00AD7E7D" w:rsidRDefault="006D0778" w:rsidP="006D0778">
            <w:pPr>
              <w:keepLines/>
              <w:spacing w:after="0"/>
              <w:jc w:val="right"/>
              <w:rPr>
                <w:rFonts w:eastAsia="Times New Roman" w:cs="Times New Roman"/>
                <w:color w:val="000000"/>
                <w:szCs w:val="24"/>
              </w:rPr>
            </w:pPr>
            <w:r w:rsidRPr="00AD7E7D">
              <w:rPr>
                <w:rFonts w:eastAsia="Times New Roman" w:cs="Times New Roman"/>
                <w:color w:val="000000"/>
                <w:szCs w:val="24"/>
              </w:rPr>
              <w:t>-2,2</w:t>
            </w:r>
          </w:p>
        </w:tc>
        <w:tc>
          <w:tcPr>
            <w:tcW w:w="947" w:type="dxa"/>
            <w:tcBorders>
              <w:top w:val="nil"/>
              <w:left w:val="nil"/>
              <w:bottom w:val="nil"/>
              <w:right w:val="nil"/>
            </w:tcBorders>
            <w:shd w:val="clear" w:color="auto" w:fill="auto"/>
            <w:noWrap/>
            <w:vAlign w:val="bottom"/>
            <w:hideMark/>
          </w:tcPr>
          <w:p w14:paraId="1D8DD1E0" w14:textId="77777777" w:rsidR="006D0778" w:rsidRPr="00AD7E7D" w:rsidRDefault="006D0778" w:rsidP="006D0778">
            <w:pPr>
              <w:keepLines/>
              <w:spacing w:after="0"/>
              <w:jc w:val="right"/>
              <w:rPr>
                <w:rFonts w:eastAsia="Times New Roman" w:cs="Times New Roman"/>
                <w:color w:val="000000"/>
                <w:szCs w:val="24"/>
              </w:rPr>
            </w:pPr>
            <w:r w:rsidRPr="00AD7E7D">
              <w:rPr>
                <w:rFonts w:eastAsia="Times New Roman" w:cs="Times New Roman"/>
                <w:color w:val="000000"/>
                <w:szCs w:val="24"/>
              </w:rPr>
              <w:t>-1,5</w:t>
            </w:r>
          </w:p>
        </w:tc>
        <w:tc>
          <w:tcPr>
            <w:tcW w:w="947" w:type="dxa"/>
            <w:tcBorders>
              <w:top w:val="nil"/>
              <w:left w:val="nil"/>
              <w:bottom w:val="nil"/>
              <w:right w:val="nil"/>
            </w:tcBorders>
            <w:shd w:val="clear" w:color="auto" w:fill="auto"/>
            <w:noWrap/>
            <w:vAlign w:val="bottom"/>
            <w:hideMark/>
          </w:tcPr>
          <w:p w14:paraId="64B92FE7" w14:textId="77777777" w:rsidR="006D0778" w:rsidRPr="00AD7E7D" w:rsidRDefault="006D0778" w:rsidP="006D0778">
            <w:pPr>
              <w:keepLines/>
              <w:spacing w:after="0"/>
              <w:jc w:val="right"/>
              <w:rPr>
                <w:rFonts w:eastAsia="Times New Roman" w:cs="Times New Roman"/>
                <w:color w:val="000000"/>
                <w:szCs w:val="24"/>
              </w:rPr>
            </w:pPr>
            <w:r w:rsidRPr="00AD7E7D">
              <w:rPr>
                <w:rFonts w:eastAsia="Times New Roman" w:cs="Times New Roman"/>
                <w:color w:val="000000"/>
                <w:szCs w:val="24"/>
              </w:rPr>
              <w:t>-1,5</w:t>
            </w:r>
          </w:p>
        </w:tc>
        <w:tc>
          <w:tcPr>
            <w:tcW w:w="947" w:type="dxa"/>
            <w:tcBorders>
              <w:top w:val="nil"/>
              <w:left w:val="nil"/>
              <w:bottom w:val="nil"/>
              <w:right w:val="nil"/>
            </w:tcBorders>
            <w:shd w:val="clear" w:color="auto" w:fill="auto"/>
            <w:noWrap/>
            <w:vAlign w:val="bottom"/>
            <w:hideMark/>
          </w:tcPr>
          <w:p w14:paraId="2F6F8D3B" w14:textId="77777777" w:rsidR="006D0778" w:rsidRPr="00AD7E7D" w:rsidRDefault="006D0778" w:rsidP="006D0778">
            <w:pPr>
              <w:keepLines/>
              <w:spacing w:after="0"/>
              <w:jc w:val="right"/>
              <w:rPr>
                <w:rFonts w:eastAsia="Times New Roman" w:cs="Times New Roman"/>
                <w:color w:val="000000"/>
                <w:szCs w:val="24"/>
                <w:lang w:val="sr-Cyrl-RS"/>
              </w:rPr>
            </w:pPr>
            <w:r w:rsidRPr="00AD7E7D">
              <w:rPr>
                <w:rFonts w:eastAsia="Times New Roman" w:cs="Times New Roman"/>
                <w:color w:val="000000"/>
                <w:szCs w:val="24"/>
                <w:lang w:val="sr-Cyrl-RS"/>
              </w:rPr>
              <w:t>-</w:t>
            </w:r>
          </w:p>
        </w:tc>
      </w:tr>
      <w:tr w:rsidR="006D0778" w:rsidRPr="00AD7E7D" w14:paraId="46512F21" w14:textId="77777777" w:rsidTr="00D2109C">
        <w:trPr>
          <w:trHeight w:val="285"/>
        </w:trPr>
        <w:tc>
          <w:tcPr>
            <w:tcW w:w="3177" w:type="dxa"/>
            <w:tcBorders>
              <w:top w:val="nil"/>
              <w:left w:val="nil"/>
              <w:right w:val="nil"/>
            </w:tcBorders>
            <w:shd w:val="clear" w:color="auto" w:fill="auto"/>
            <w:noWrap/>
            <w:vAlign w:val="bottom"/>
            <w:hideMark/>
          </w:tcPr>
          <w:p w14:paraId="75AB5F95" w14:textId="77777777" w:rsidR="006D0778" w:rsidRPr="00AD7E7D" w:rsidRDefault="006D0778" w:rsidP="006D0778">
            <w:pPr>
              <w:keepLines/>
              <w:spacing w:after="0"/>
              <w:jc w:val="left"/>
              <w:rPr>
                <w:rFonts w:eastAsia="Times New Roman" w:cs="Times New Roman"/>
                <w:color w:val="000000"/>
                <w:szCs w:val="24"/>
              </w:rPr>
            </w:pPr>
            <w:r w:rsidRPr="00AD7E7D">
              <w:rPr>
                <w:rFonts w:eastAsia="Times New Roman" w:cs="Times New Roman"/>
                <w:color w:val="000000"/>
                <w:szCs w:val="24"/>
              </w:rPr>
              <w:t>актуелни програм</w:t>
            </w:r>
          </w:p>
        </w:tc>
        <w:tc>
          <w:tcPr>
            <w:tcW w:w="947" w:type="dxa"/>
            <w:tcBorders>
              <w:top w:val="nil"/>
              <w:left w:val="nil"/>
              <w:right w:val="nil"/>
            </w:tcBorders>
            <w:shd w:val="clear" w:color="auto" w:fill="auto"/>
            <w:noWrap/>
            <w:vAlign w:val="bottom"/>
            <w:hideMark/>
          </w:tcPr>
          <w:p w14:paraId="4A7ED815" w14:textId="77777777" w:rsidR="006D0778" w:rsidRPr="00AD7E7D" w:rsidRDefault="006D0778" w:rsidP="006D0778">
            <w:pPr>
              <w:keepLines/>
              <w:spacing w:after="0"/>
              <w:jc w:val="right"/>
              <w:rPr>
                <w:rFonts w:eastAsia="Times New Roman" w:cs="Times New Roman"/>
                <w:color w:val="000000"/>
                <w:szCs w:val="24"/>
              </w:rPr>
            </w:pPr>
            <w:r w:rsidRPr="00AD7E7D">
              <w:rPr>
                <w:rFonts w:eastAsia="Times New Roman" w:cs="Times New Roman"/>
                <w:color w:val="000000"/>
                <w:szCs w:val="24"/>
              </w:rPr>
              <w:t>-2,1</w:t>
            </w:r>
          </w:p>
        </w:tc>
        <w:tc>
          <w:tcPr>
            <w:tcW w:w="947" w:type="dxa"/>
            <w:tcBorders>
              <w:top w:val="nil"/>
              <w:left w:val="nil"/>
              <w:right w:val="nil"/>
            </w:tcBorders>
            <w:shd w:val="clear" w:color="auto" w:fill="auto"/>
            <w:noWrap/>
            <w:vAlign w:val="bottom"/>
            <w:hideMark/>
          </w:tcPr>
          <w:p w14:paraId="7F346854" w14:textId="77777777" w:rsidR="006D0778" w:rsidRPr="00AD7E7D" w:rsidRDefault="006D0778" w:rsidP="006D0778">
            <w:pPr>
              <w:keepLines/>
              <w:spacing w:after="0"/>
              <w:jc w:val="right"/>
              <w:rPr>
                <w:rFonts w:eastAsia="Times New Roman" w:cs="Times New Roman"/>
                <w:color w:val="000000"/>
                <w:szCs w:val="24"/>
              </w:rPr>
            </w:pPr>
            <w:r w:rsidRPr="00AD7E7D">
              <w:rPr>
                <w:rFonts w:eastAsia="Times New Roman" w:cs="Times New Roman"/>
                <w:color w:val="000000"/>
                <w:szCs w:val="24"/>
              </w:rPr>
              <w:t>-2,7</w:t>
            </w:r>
          </w:p>
        </w:tc>
        <w:tc>
          <w:tcPr>
            <w:tcW w:w="947" w:type="dxa"/>
            <w:tcBorders>
              <w:top w:val="nil"/>
              <w:left w:val="nil"/>
              <w:right w:val="nil"/>
            </w:tcBorders>
            <w:shd w:val="clear" w:color="auto" w:fill="auto"/>
            <w:noWrap/>
            <w:vAlign w:val="bottom"/>
            <w:hideMark/>
          </w:tcPr>
          <w:p w14:paraId="18936264" w14:textId="77777777" w:rsidR="006D0778" w:rsidRPr="00AD7E7D" w:rsidRDefault="006D0778" w:rsidP="006D0778">
            <w:pPr>
              <w:keepLines/>
              <w:spacing w:after="0"/>
              <w:jc w:val="right"/>
              <w:rPr>
                <w:rFonts w:eastAsia="Times New Roman" w:cs="Times New Roman"/>
                <w:color w:val="000000"/>
                <w:szCs w:val="24"/>
              </w:rPr>
            </w:pPr>
            <w:r w:rsidRPr="00AD7E7D">
              <w:rPr>
                <w:rFonts w:eastAsia="Times New Roman" w:cs="Times New Roman"/>
                <w:color w:val="000000"/>
                <w:szCs w:val="24"/>
              </w:rPr>
              <w:t>-3,0</w:t>
            </w:r>
          </w:p>
        </w:tc>
        <w:tc>
          <w:tcPr>
            <w:tcW w:w="947" w:type="dxa"/>
            <w:tcBorders>
              <w:top w:val="nil"/>
              <w:left w:val="nil"/>
              <w:right w:val="nil"/>
            </w:tcBorders>
            <w:shd w:val="clear" w:color="auto" w:fill="auto"/>
            <w:noWrap/>
            <w:vAlign w:val="bottom"/>
            <w:hideMark/>
          </w:tcPr>
          <w:p w14:paraId="6932642D" w14:textId="77777777" w:rsidR="006D0778" w:rsidRPr="00AD7E7D" w:rsidRDefault="006D0778" w:rsidP="006D0778">
            <w:pPr>
              <w:keepLines/>
              <w:spacing w:after="0"/>
              <w:jc w:val="right"/>
              <w:rPr>
                <w:rFonts w:eastAsia="Times New Roman" w:cs="Times New Roman"/>
                <w:color w:val="000000"/>
                <w:szCs w:val="24"/>
              </w:rPr>
            </w:pPr>
            <w:r w:rsidRPr="00AD7E7D">
              <w:rPr>
                <w:rFonts w:eastAsia="Times New Roman" w:cs="Times New Roman"/>
                <w:color w:val="000000"/>
                <w:szCs w:val="24"/>
              </w:rPr>
              <w:t>-3,0</w:t>
            </w:r>
          </w:p>
        </w:tc>
        <w:tc>
          <w:tcPr>
            <w:tcW w:w="947" w:type="dxa"/>
            <w:tcBorders>
              <w:top w:val="nil"/>
              <w:left w:val="nil"/>
              <w:right w:val="nil"/>
            </w:tcBorders>
            <w:shd w:val="clear" w:color="auto" w:fill="auto"/>
            <w:noWrap/>
            <w:vAlign w:val="bottom"/>
            <w:hideMark/>
          </w:tcPr>
          <w:p w14:paraId="4D3A07FC" w14:textId="77777777" w:rsidR="006D0778" w:rsidRPr="00AD7E7D" w:rsidRDefault="006D0778" w:rsidP="006D0778">
            <w:pPr>
              <w:keepLines/>
              <w:spacing w:after="0"/>
              <w:jc w:val="right"/>
              <w:rPr>
                <w:rFonts w:eastAsia="Times New Roman" w:cs="Times New Roman"/>
                <w:color w:val="000000"/>
                <w:szCs w:val="24"/>
              </w:rPr>
            </w:pPr>
            <w:r w:rsidRPr="00AD7E7D">
              <w:rPr>
                <w:rFonts w:eastAsia="Times New Roman" w:cs="Times New Roman"/>
                <w:color w:val="000000"/>
                <w:szCs w:val="24"/>
              </w:rPr>
              <w:t>-3,0</w:t>
            </w:r>
          </w:p>
        </w:tc>
      </w:tr>
      <w:tr w:rsidR="006D0778" w:rsidRPr="00AD7E7D" w14:paraId="1A11D59C" w14:textId="77777777" w:rsidTr="00D2109C">
        <w:trPr>
          <w:trHeight w:val="285"/>
        </w:trPr>
        <w:tc>
          <w:tcPr>
            <w:tcW w:w="3177" w:type="dxa"/>
            <w:tcBorders>
              <w:top w:val="nil"/>
              <w:left w:val="nil"/>
              <w:bottom w:val="single" w:sz="4" w:space="0" w:color="auto"/>
              <w:right w:val="nil"/>
            </w:tcBorders>
            <w:shd w:val="clear" w:color="auto" w:fill="auto"/>
            <w:noWrap/>
            <w:vAlign w:val="bottom"/>
            <w:hideMark/>
          </w:tcPr>
          <w:p w14:paraId="3389E400" w14:textId="77777777" w:rsidR="006D0778" w:rsidRPr="00AD7E7D" w:rsidRDefault="006D0778" w:rsidP="006D0778">
            <w:pPr>
              <w:keepLines/>
              <w:spacing w:after="0"/>
              <w:jc w:val="left"/>
              <w:rPr>
                <w:rFonts w:eastAsia="Times New Roman" w:cs="Times New Roman"/>
                <w:color w:val="000000"/>
                <w:szCs w:val="24"/>
              </w:rPr>
            </w:pPr>
            <w:r w:rsidRPr="00AD7E7D">
              <w:rPr>
                <w:rFonts w:eastAsia="Times New Roman" w:cs="Times New Roman"/>
                <w:color w:val="000000"/>
                <w:szCs w:val="24"/>
              </w:rPr>
              <w:t>разлика</w:t>
            </w:r>
          </w:p>
        </w:tc>
        <w:tc>
          <w:tcPr>
            <w:tcW w:w="947" w:type="dxa"/>
            <w:tcBorders>
              <w:top w:val="nil"/>
              <w:left w:val="nil"/>
              <w:bottom w:val="single" w:sz="4" w:space="0" w:color="auto"/>
              <w:right w:val="nil"/>
            </w:tcBorders>
            <w:shd w:val="clear" w:color="auto" w:fill="auto"/>
            <w:noWrap/>
            <w:vAlign w:val="bottom"/>
            <w:hideMark/>
          </w:tcPr>
          <w:p w14:paraId="4BFC93C3" w14:textId="77777777" w:rsidR="006D0778" w:rsidRPr="00AD7E7D" w:rsidRDefault="006D0778" w:rsidP="006D0778">
            <w:pPr>
              <w:keepLines/>
              <w:spacing w:after="0"/>
              <w:jc w:val="right"/>
              <w:rPr>
                <w:rFonts w:eastAsia="Times New Roman" w:cs="Times New Roman"/>
                <w:color w:val="000000"/>
                <w:szCs w:val="24"/>
              </w:rPr>
            </w:pPr>
            <w:r w:rsidRPr="00AD7E7D">
              <w:rPr>
                <w:rFonts w:eastAsia="Times New Roman" w:cs="Times New Roman"/>
                <w:color w:val="000000"/>
                <w:szCs w:val="24"/>
              </w:rPr>
              <w:t>0,7</w:t>
            </w:r>
          </w:p>
        </w:tc>
        <w:tc>
          <w:tcPr>
            <w:tcW w:w="947" w:type="dxa"/>
            <w:tcBorders>
              <w:top w:val="nil"/>
              <w:left w:val="nil"/>
              <w:bottom w:val="single" w:sz="4" w:space="0" w:color="auto"/>
              <w:right w:val="nil"/>
            </w:tcBorders>
            <w:shd w:val="clear" w:color="auto" w:fill="auto"/>
            <w:noWrap/>
            <w:vAlign w:val="bottom"/>
            <w:hideMark/>
          </w:tcPr>
          <w:p w14:paraId="33BD8FC9" w14:textId="77777777" w:rsidR="006D0778" w:rsidRPr="00AD7E7D" w:rsidRDefault="006D0778" w:rsidP="006D0778">
            <w:pPr>
              <w:keepLines/>
              <w:spacing w:after="0"/>
              <w:jc w:val="right"/>
              <w:rPr>
                <w:rFonts w:eastAsia="Times New Roman" w:cs="Times New Roman"/>
                <w:color w:val="000000"/>
                <w:szCs w:val="24"/>
              </w:rPr>
            </w:pPr>
            <w:r w:rsidRPr="00AD7E7D">
              <w:rPr>
                <w:rFonts w:eastAsia="Times New Roman" w:cs="Times New Roman"/>
                <w:color w:val="000000"/>
                <w:szCs w:val="24"/>
              </w:rPr>
              <w:t>-0,5</w:t>
            </w:r>
          </w:p>
        </w:tc>
        <w:tc>
          <w:tcPr>
            <w:tcW w:w="947" w:type="dxa"/>
            <w:tcBorders>
              <w:top w:val="nil"/>
              <w:left w:val="nil"/>
              <w:bottom w:val="single" w:sz="4" w:space="0" w:color="auto"/>
              <w:right w:val="nil"/>
            </w:tcBorders>
            <w:shd w:val="clear" w:color="auto" w:fill="auto"/>
            <w:noWrap/>
            <w:vAlign w:val="bottom"/>
            <w:hideMark/>
          </w:tcPr>
          <w:p w14:paraId="0A41D3BC" w14:textId="77777777" w:rsidR="006D0778" w:rsidRPr="00AD7E7D" w:rsidRDefault="006D0778" w:rsidP="006D0778">
            <w:pPr>
              <w:keepLines/>
              <w:spacing w:after="0"/>
              <w:jc w:val="right"/>
              <w:rPr>
                <w:rFonts w:eastAsia="Times New Roman" w:cs="Times New Roman"/>
                <w:color w:val="000000"/>
                <w:szCs w:val="24"/>
              </w:rPr>
            </w:pPr>
            <w:r w:rsidRPr="00AD7E7D">
              <w:rPr>
                <w:rFonts w:eastAsia="Times New Roman" w:cs="Times New Roman"/>
                <w:color w:val="000000"/>
                <w:szCs w:val="24"/>
              </w:rPr>
              <w:t>-1,5</w:t>
            </w:r>
          </w:p>
        </w:tc>
        <w:tc>
          <w:tcPr>
            <w:tcW w:w="947" w:type="dxa"/>
            <w:tcBorders>
              <w:top w:val="nil"/>
              <w:left w:val="nil"/>
              <w:bottom w:val="single" w:sz="4" w:space="0" w:color="auto"/>
              <w:right w:val="nil"/>
            </w:tcBorders>
            <w:shd w:val="clear" w:color="auto" w:fill="auto"/>
            <w:noWrap/>
            <w:vAlign w:val="bottom"/>
            <w:hideMark/>
          </w:tcPr>
          <w:p w14:paraId="1A64923D" w14:textId="77777777" w:rsidR="006D0778" w:rsidRPr="00AD7E7D" w:rsidRDefault="006D0778" w:rsidP="006D0778">
            <w:pPr>
              <w:keepLines/>
              <w:spacing w:after="0"/>
              <w:jc w:val="right"/>
              <w:rPr>
                <w:rFonts w:eastAsia="Times New Roman" w:cs="Times New Roman"/>
                <w:color w:val="000000"/>
                <w:szCs w:val="24"/>
              </w:rPr>
            </w:pPr>
            <w:r w:rsidRPr="00AD7E7D">
              <w:rPr>
                <w:rFonts w:eastAsia="Times New Roman" w:cs="Times New Roman"/>
                <w:color w:val="000000"/>
                <w:szCs w:val="24"/>
              </w:rPr>
              <w:t>-1,5</w:t>
            </w:r>
          </w:p>
        </w:tc>
        <w:tc>
          <w:tcPr>
            <w:tcW w:w="947" w:type="dxa"/>
            <w:tcBorders>
              <w:top w:val="nil"/>
              <w:left w:val="nil"/>
              <w:bottom w:val="single" w:sz="4" w:space="0" w:color="auto"/>
              <w:right w:val="nil"/>
            </w:tcBorders>
            <w:shd w:val="clear" w:color="auto" w:fill="auto"/>
            <w:noWrap/>
            <w:vAlign w:val="bottom"/>
            <w:hideMark/>
          </w:tcPr>
          <w:p w14:paraId="1F4AF7D1" w14:textId="77777777" w:rsidR="006D0778" w:rsidRPr="00AD7E7D" w:rsidRDefault="006D0778" w:rsidP="006D0778">
            <w:pPr>
              <w:keepLines/>
              <w:spacing w:after="0"/>
              <w:jc w:val="right"/>
              <w:rPr>
                <w:rFonts w:eastAsia="Times New Roman" w:cs="Times New Roman"/>
                <w:color w:val="000000"/>
                <w:szCs w:val="24"/>
                <w:lang w:val="sr-Cyrl-RS"/>
              </w:rPr>
            </w:pPr>
            <w:r w:rsidRPr="00AD7E7D">
              <w:rPr>
                <w:rFonts w:eastAsia="Times New Roman" w:cs="Times New Roman"/>
                <w:color w:val="000000"/>
                <w:szCs w:val="24"/>
                <w:lang w:val="sr-Cyrl-RS"/>
              </w:rPr>
              <w:t>-</w:t>
            </w:r>
          </w:p>
        </w:tc>
      </w:tr>
      <w:tr w:rsidR="006D0778" w:rsidRPr="00AD7E7D" w14:paraId="2498E818" w14:textId="77777777" w:rsidTr="00D2109C">
        <w:trPr>
          <w:trHeight w:val="285"/>
        </w:trPr>
        <w:tc>
          <w:tcPr>
            <w:tcW w:w="3177" w:type="dxa"/>
            <w:tcBorders>
              <w:top w:val="single" w:sz="4" w:space="0" w:color="auto"/>
              <w:left w:val="nil"/>
              <w:bottom w:val="nil"/>
              <w:right w:val="nil"/>
            </w:tcBorders>
            <w:shd w:val="clear" w:color="auto" w:fill="auto"/>
            <w:noWrap/>
            <w:vAlign w:val="bottom"/>
            <w:hideMark/>
          </w:tcPr>
          <w:p w14:paraId="393C7C7E" w14:textId="77777777" w:rsidR="006D0778" w:rsidRPr="00AD7E7D" w:rsidRDefault="006D0778" w:rsidP="006D0778">
            <w:pPr>
              <w:keepLines/>
              <w:spacing w:after="0"/>
              <w:jc w:val="left"/>
              <w:rPr>
                <w:rFonts w:eastAsia="Times New Roman" w:cs="Times New Roman"/>
                <w:b/>
                <w:color w:val="000000"/>
                <w:szCs w:val="24"/>
              </w:rPr>
            </w:pPr>
            <w:r w:rsidRPr="00AD7E7D">
              <w:rPr>
                <w:rFonts w:eastAsia="Times New Roman" w:cs="Times New Roman"/>
                <w:b/>
                <w:color w:val="000000"/>
                <w:szCs w:val="24"/>
              </w:rPr>
              <w:t xml:space="preserve">Дуг сектора државе </w:t>
            </w:r>
          </w:p>
        </w:tc>
        <w:tc>
          <w:tcPr>
            <w:tcW w:w="947" w:type="dxa"/>
            <w:tcBorders>
              <w:top w:val="single" w:sz="4" w:space="0" w:color="auto"/>
              <w:left w:val="nil"/>
              <w:bottom w:val="nil"/>
              <w:right w:val="nil"/>
            </w:tcBorders>
            <w:shd w:val="clear" w:color="auto" w:fill="auto"/>
            <w:noWrap/>
            <w:vAlign w:val="bottom"/>
            <w:hideMark/>
          </w:tcPr>
          <w:p w14:paraId="6080B7CD" w14:textId="77777777" w:rsidR="006D0778" w:rsidRPr="00AD7E7D" w:rsidRDefault="006D0778" w:rsidP="006D0778">
            <w:pPr>
              <w:keepLines/>
              <w:spacing w:after="0"/>
              <w:jc w:val="left"/>
              <w:rPr>
                <w:rFonts w:eastAsia="Times New Roman" w:cs="Times New Roman"/>
                <w:color w:val="000000"/>
                <w:szCs w:val="24"/>
              </w:rPr>
            </w:pPr>
          </w:p>
        </w:tc>
        <w:tc>
          <w:tcPr>
            <w:tcW w:w="947" w:type="dxa"/>
            <w:tcBorders>
              <w:top w:val="single" w:sz="4" w:space="0" w:color="auto"/>
              <w:left w:val="nil"/>
              <w:bottom w:val="nil"/>
              <w:right w:val="nil"/>
            </w:tcBorders>
            <w:shd w:val="clear" w:color="auto" w:fill="auto"/>
            <w:noWrap/>
            <w:vAlign w:val="bottom"/>
            <w:hideMark/>
          </w:tcPr>
          <w:p w14:paraId="45181EFF" w14:textId="77777777" w:rsidR="006D0778" w:rsidRPr="00AD7E7D" w:rsidRDefault="006D0778" w:rsidP="006D0778">
            <w:pPr>
              <w:keepLines/>
              <w:spacing w:after="0"/>
              <w:jc w:val="left"/>
              <w:rPr>
                <w:rFonts w:eastAsia="Times New Roman" w:cs="Times New Roman"/>
                <w:szCs w:val="24"/>
              </w:rPr>
            </w:pPr>
          </w:p>
        </w:tc>
        <w:tc>
          <w:tcPr>
            <w:tcW w:w="947" w:type="dxa"/>
            <w:tcBorders>
              <w:top w:val="single" w:sz="4" w:space="0" w:color="auto"/>
              <w:left w:val="nil"/>
              <w:bottom w:val="nil"/>
              <w:right w:val="nil"/>
            </w:tcBorders>
            <w:shd w:val="clear" w:color="auto" w:fill="auto"/>
            <w:noWrap/>
            <w:vAlign w:val="bottom"/>
            <w:hideMark/>
          </w:tcPr>
          <w:p w14:paraId="4969E937" w14:textId="77777777" w:rsidR="006D0778" w:rsidRPr="00AD7E7D" w:rsidRDefault="006D0778" w:rsidP="006D0778">
            <w:pPr>
              <w:keepLines/>
              <w:spacing w:after="0"/>
              <w:jc w:val="left"/>
              <w:rPr>
                <w:rFonts w:eastAsia="Times New Roman" w:cs="Times New Roman"/>
                <w:szCs w:val="24"/>
              </w:rPr>
            </w:pPr>
          </w:p>
        </w:tc>
        <w:tc>
          <w:tcPr>
            <w:tcW w:w="947" w:type="dxa"/>
            <w:tcBorders>
              <w:top w:val="single" w:sz="4" w:space="0" w:color="auto"/>
              <w:left w:val="nil"/>
              <w:bottom w:val="nil"/>
              <w:right w:val="nil"/>
            </w:tcBorders>
            <w:shd w:val="clear" w:color="auto" w:fill="auto"/>
            <w:noWrap/>
            <w:vAlign w:val="bottom"/>
            <w:hideMark/>
          </w:tcPr>
          <w:p w14:paraId="7F24AEE1" w14:textId="77777777" w:rsidR="006D0778" w:rsidRPr="00AD7E7D" w:rsidRDefault="006D0778" w:rsidP="006D0778">
            <w:pPr>
              <w:keepLines/>
              <w:spacing w:after="0"/>
              <w:jc w:val="left"/>
              <w:rPr>
                <w:rFonts w:eastAsia="Times New Roman" w:cs="Times New Roman"/>
                <w:szCs w:val="24"/>
              </w:rPr>
            </w:pPr>
          </w:p>
        </w:tc>
        <w:tc>
          <w:tcPr>
            <w:tcW w:w="947" w:type="dxa"/>
            <w:tcBorders>
              <w:top w:val="single" w:sz="4" w:space="0" w:color="auto"/>
              <w:left w:val="nil"/>
              <w:bottom w:val="nil"/>
              <w:right w:val="nil"/>
            </w:tcBorders>
            <w:shd w:val="clear" w:color="auto" w:fill="auto"/>
            <w:noWrap/>
            <w:vAlign w:val="bottom"/>
            <w:hideMark/>
          </w:tcPr>
          <w:p w14:paraId="3D55EE04" w14:textId="77777777" w:rsidR="006D0778" w:rsidRPr="00AD7E7D" w:rsidRDefault="006D0778" w:rsidP="006D0778">
            <w:pPr>
              <w:keepLines/>
              <w:spacing w:after="0"/>
              <w:jc w:val="left"/>
              <w:rPr>
                <w:rFonts w:eastAsia="Times New Roman" w:cs="Times New Roman"/>
                <w:szCs w:val="24"/>
              </w:rPr>
            </w:pPr>
          </w:p>
        </w:tc>
      </w:tr>
      <w:tr w:rsidR="006D0778" w:rsidRPr="00AD7E7D" w14:paraId="02046689" w14:textId="77777777" w:rsidTr="00D2109C">
        <w:trPr>
          <w:trHeight w:val="285"/>
        </w:trPr>
        <w:tc>
          <w:tcPr>
            <w:tcW w:w="3177" w:type="dxa"/>
            <w:tcBorders>
              <w:top w:val="nil"/>
              <w:left w:val="nil"/>
              <w:bottom w:val="nil"/>
              <w:right w:val="nil"/>
            </w:tcBorders>
            <w:shd w:val="clear" w:color="auto" w:fill="auto"/>
            <w:noWrap/>
            <w:vAlign w:val="bottom"/>
            <w:hideMark/>
          </w:tcPr>
          <w:p w14:paraId="190CB5FD" w14:textId="77777777" w:rsidR="006D0778" w:rsidRPr="00AD7E7D" w:rsidRDefault="006D0778" w:rsidP="006D0778">
            <w:pPr>
              <w:keepLines/>
              <w:spacing w:after="0"/>
              <w:jc w:val="left"/>
              <w:rPr>
                <w:rFonts w:eastAsia="Times New Roman" w:cs="Times New Roman"/>
                <w:color w:val="000000"/>
                <w:szCs w:val="24"/>
              </w:rPr>
            </w:pPr>
            <w:r w:rsidRPr="00AD7E7D">
              <w:rPr>
                <w:rFonts w:eastAsia="Times New Roman" w:cs="Times New Roman"/>
                <w:color w:val="000000"/>
                <w:szCs w:val="24"/>
              </w:rPr>
              <w:t>претходни програм</w:t>
            </w:r>
          </w:p>
        </w:tc>
        <w:tc>
          <w:tcPr>
            <w:tcW w:w="947" w:type="dxa"/>
            <w:tcBorders>
              <w:top w:val="nil"/>
              <w:left w:val="nil"/>
              <w:bottom w:val="nil"/>
              <w:right w:val="nil"/>
            </w:tcBorders>
            <w:shd w:val="clear" w:color="auto" w:fill="auto"/>
            <w:noWrap/>
            <w:vAlign w:val="bottom"/>
            <w:hideMark/>
          </w:tcPr>
          <w:p w14:paraId="17AE7983" w14:textId="77777777" w:rsidR="006D0778" w:rsidRPr="00AD7E7D" w:rsidRDefault="006D0778" w:rsidP="006D0778">
            <w:pPr>
              <w:keepLines/>
              <w:spacing w:after="0"/>
              <w:jc w:val="right"/>
              <w:rPr>
                <w:rFonts w:eastAsia="Times New Roman" w:cs="Times New Roman"/>
                <w:color w:val="000000"/>
                <w:szCs w:val="24"/>
              </w:rPr>
            </w:pPr>
            <w:r w:rsidRPr="00AD7E7D">
              <w:rPr>
                <w:rFonts w:eastAsia="Times New Roman" w:cs="Times New Roman"/>
                <w:color w:val="000000"/>
                <w:szCs w:val="24"/>
              </w:rPr>
              <w:t>53,3</w:t>
            </w:r>
          </w:p>
        </w:tc>
        <w:tc>
          <w:tcPr>
            <w:tcW w:w="947" w:type="dxa"/>
            <w:tcBorders>
              <w:top w:val="nil"/>
              <w:left w:val="nil"/>
              <w:bottom w:val="nil"/>
              <w:right w:val="nil"/>
            </w:tcBorders>
            <w:shd w:val="clear" w:color="auto" w:fill="auto"/>
            <w:noWrap/>
            <w:vAlign w:val="bottom"/>
            <w:hideMark/>
          </w:tcPr>
          <w:p w14:paraId="1B785ED3" w14:textId="77777777" w:rsidR="006D0778" w:rsidRPr="00AD7E7D" w:rsidRDefault="006D0778" w:rsidP="006D0778">
            <w:pPr>
              <w:keepLines/>
              <w:spacing w:after="0"/>
              <w:jc w:val="right"/>
              <w:rPr>
                <w:rFonts w:eastAsia="Times New Roman" w:cs="Times New Roman"/>
                <w:color w:val="000000"/>
                <w:szCs w:val="24"/>
              </w:rPr>
            </w:pPr>
            <w:r w:rsidRPr="00AD7E7D">
              <w:rPr>
                <w:rFonts w:eastAsia="Times New Roman" w:cs="Times New Roman"/>
                <w:color w:val="000000"/>
                <w:szCs w:val="24"/>
              </w:rPr>
              <w:t>51,7</w:t>
            </w:r>
          </w:p>
        </w:tc>
        <w:tc>
          <w:tcPr>
            <w:tcW w:w="947" w:type="dxa"/>
            <w:tcBorders>
              <w:top w:val="nil"/>
              <w:left w:val="nil"/>
              <w:bottom w:val="nil"/>
              <w:right w:val="nil"/>
            </w:tcBorders>
            <w:shd w:val="clear" w:color="auto" w:fill="auto"/>
            <w:noWrap/>
            <w:vAlign w:val="bottom"/>
            <w:hideMark/>
          </w:tcPr>
          <w:p w14:paraId="73DA7C06" w14:textId="77777777" w:rsidR="006D0778" w:rsidRPr="00AD7E7D" w:rsidRDefault="006D0778" w:rsidP="006D0778">
            <w:pPr>
              <w:keepLines/>
              <w:spacing w:after="0"/>
              <w:jc w:val="right"/>
              <w:rPr>
                <w:rFonts w:eastAsia="Times New Roman" w:cs="Times New Roman"/>
                <w:color w:val="000000"/>
                <w:szCs w:val="24"/>
              </w:rPr>
            </w:pPr>
            <w:r w:rsidRPr="00AD7E7D">
              <w:rPr>
                <w:rFonts w:eastAsia="Times New Roman" w:cs="Times New Roman"/>
                <w:color w:val="000000"/>
                <w:szCs w:val="24"/>
              </w:rPr>
              <w:t>50,7</w:t>
            </w:r>
          </w:p>
        </w:tc>
        <w:tc>
          <w:tcPr>
            <w:tcW w:w="947" w:type="dxa"/>
            <w:tcBorders>
              <w:top w:val="nil"/>
              <w:left w:val="nil"/>
              <w:bottom w:val="nil"/>
              <w:right w:val="nil"/>
            </w:tcBorders>
            <w:shd w:val="clear" w:color="auto" w:fill="auto"/>
            <w:noWrap/>
            <w:vAlign w:val="bottom"/>
            <w:hideMark/>
          </w:tcPr>
          <w:p w14:paraId="1FD4D4F0" w14:textId="77777777" w:rsidR="006D0778" w:rsidRPr="00AD7E7D" w:rsidRDefault="006D0778" w:rsidP="006D0778">
            <w:pPr>
              <w:keepLines/>
              <w:spacing w:after="0"/>
              <w:jc w:val="right"/>
              <w:rPr>
                <w:rFonts w:eastAsia="Times New Roman" w:cs="Times New Roman"/>
                <w:color w:val="000000"/>
                <w:szCs w:val="24"/>
              </w:rPr>
            </w:pPr>
            <w:r w:rsidRPr="00AD7E7D">
              <w:rPr>
                <w:rFonts w:eastAsia="Times New Roman" w:cs="Times New Roman"/>
                <w:color w:val="000000"/>
                <w:szCs w:val="24"/>
              </w:rPr>
              <w:t>50,0</w:t>
            </w:r>
          </w:p>
        </w:tc>
        <w:tc>
          <w:tcPr>
            <w:tcW w:w="947" w:type="dxa"/>
            <w:tcBorders>
              <w:top w:val="nil"/>
              <w:left w:val="nil"/>
              <w:bottom w:val="nil"/>
              <w:right w:val="nil"/>
            </w:tcBorders>
            <w:shd w:val="clear" w:color="auto" w:fill="auto"/>
            <w:noWrap/>
            <w:vAlign w:val="bottom"/>
            <w:hideMark/>
          </w:tcPr>
          <w:p w14:paraId="42F9BE40" w14:textId="77777777" w:rsidR="006D0778" w:rsidRPr="00AD7E7D" w:rsidRDefault="006D0778" w:rsidP="006D0778">
            <w:pPr>
              <w:keepLines/>
              <w:spacing w:after="0"/>
              <w:jc w:val="right"/>
              <w:rPr>
                <w:rFonts w:eastAsia="Times New Roman" w:cs="Times New Roman"/>
                <w:color w:val="000000"/>
                <w:szCs w:val="24"/>
                <w:lang w:val="sr-Cyrl-RS"/>
              </w:rPr>
            </w:pPr>
            <w:r w:rsidRPr="00AD7E7D">
              <w:rPr>
                <w:rFonts w:eastAsia="Times New Roman" w:cs="Times New Roman"/>
                <w:color w:val="000000"/>
                <w:szCs w:val="24"/>
                <w:lang w:val="sr-Cyrl-RS"/>
              </w:rPr>
              <w:t>-</w:t>
            </w:r>
          </w:p>
        </w:tc>
      </w:tr>
      <w:tr w:rsidR="006D0778" w:rsidRPr="00AD7E7D" w14:paraId="4C8BC0E2" w14:textId="77777777" w:rsidTr="00D2109C">
        <w:trPr>
          <w:trHeight w:val="285"/>
        </w:trPr>
        <w:tc>
          <w:tcPr>
            <w:tcW w:w="3177" w:type="dxa"/>
            <w:tcBorders>
              <w:top w:val="nil"/>
              <w:left w:val="nil"/>
              <w:right w:val="nil"/>
            </w:tcBorders>
            <w:shd w:val="clear" w:color="auto" w:fill="auto"/>
            <w:noWrap/>
            <w:vAlign w:val="bottom"/>
            <w:hideMark/>
          </w:tcPr>
          <w:p w14:paraId="7DDE3B9B" w14:textId="77777777" w:rsidR="006D0778" w:rsidRPr="00AD7E7D" w:rsidRDefault="006D0778" w:rsidP="006D0778">
            <w:pPr>
              <w:keepLines/>
              <w:spacing w:after="0"/>
              <w:jc w:val="left"/>
              <w:rPr>
                <w:rFonts w:eastAsia="Times New Roman" w:cs="Times New Roman"/>
                <w:color w:val="000000"/>
                <w:szCs w:val="24"/>
              </w:rPr>
            </w:pPr>
            <w:r w:rsidRPr="00AD7E7D">
              <w:rPr>
                <w:rFonts w:eastAsia="Times New Roman" w:cs="Times New Roman"/>
                <w:color w:val="000000"/>
                <w:szCs w:val="24"/>
              </w:rPr>
              <w:t>актуелни програм</w:t>
            </w:r>
          </w:p>
        </w:tc>
        <w:tc>
          <w:tcPr>
            <w:tcW w:w="947" w:type="dxa"/>
            <w:tcBorders>
              <w:top w:val="nil"/>
              <w:left w:val="nil"/>
              <w:right w:val="nil"/>
            </w:tcBorders>
            <w:shd w:val="clear" w:color="auto" w:fill="auto"/>
            <w:noWrap/>
            <w:vAlign w:val="bottom"/>
            <w:hideMark/>
          </w:tcPr>
          <w:p w14:paraId="51A19F19" w14:textId="77777777" w:rsidR="006D0778" w:rsidRPr="00AD7E7D" w:rsidRDefault="006D0778" w:rsidP="006D0778">
            <w:pPr>
              <w:keepLines/>
              <w:spacing w:after="0"/>
              <w:jc w:val="right"/>
              <w:rPr>
                <w:rFonts w:eastAsia="Times New Roman" w:cs="Times New Roman"/>
                <w:color w:val="000000"/>
                <w:szCs w:val="24"/>
              </w:rPr>
            </w:pPr>
            <w:r w:rsidRPr="00AD7E7D">
              <w:rPr>
                <w:rFonts w:eastAsia="Times New Roman" w:cs="Times New Roman"/>
                <w:color w:val="000000"/>
                <w:szCs w:val="24"/>
              </w:rPr>
              <w:t>48,4</w:t>
            </w:r>
          </w:p>
        </w:tc>
        <w:tc>
          <w:tcPr>
            <w:tcW w:w="947" w:type="dxa"/>
            <w:tcBorders>
              <w:top w:val="nil"/>
              <w:left w:val="nil"/>
              <w:right w:val="nil"/>
            </w:tcBorders>
            <w:shd w:val="clear" w:color="auto" w:fill="auto"/>
            <w:noWrap/>
            <w:vAlign w:val="bottom"/>
            <w:hideMark/>
          </w:tcPr>
          <w:p w14:paraId="40616151" w14:textId="77777777" w:rsidR="006D0778" w:rsidRPr="00AD7E7D" w:rsidRDefault="006D0778" w:rsidP="006D0778">
            <w:pPr>
              <w:keepLines/>
              <w:spacing w:after="0"/>
              <w:jc w:val="right"/>
              <w:rPr>
                <w:rFonts w:eastAsia="Times New Roman" w:cs="Times New Roman"/>
                <w:color w:val="000000"/>
                <w:szCs w:val="24"/>
              </w:rPr>
            </w:pPr>
            <w:r w:rsidRPr="00AD7E7D">
              <w:rPr>
                <w:rFonts w:eastAsia="Times New Roman" w:cs="Times New Roman"/>
                <w:color w:val="000000"/>
                <w:szCs w:val="24"/>
              </w:rPr>
              <w:t>47,9</w:t>
            </w:r>
          </w:p>
        </w:tc>
        <w:tc>
          <w:tcPr>
            <w:tcW w:w="947" w:type="dxa"/>
            <w:tcBorders>
              <w:top w:val="nil"/>
              <w:left w:val="nil"/>
              <w:right w:val="nil"/>
            </w:tcBorders>
            <w:shd w:val="clear" w:color="auto" w:fill="auto"/>
            <w:noWrap/>
            <w:vAlign w:val="bottom"/>
            <w:hideMark/>
          </w:tcPr>
          <w:p w14:paraId="72DF3518" w14:textId="77777777" w:rsidR="006D0778" w:rsidRPr="00AD7E7D" w:rsidRDefault="006D0778" w:rsidP="006D0778">
            <w:pPr>
              <w:keepLines/>
              <w:spacing w:after="0"/>
              <w:jc w:val="right"/>
              <w:rPr>
                <w:rFonts w:eastAsia="Times New Roman" w:cs="Times New Roman"/>
                <w:color w:val="000000"/>
                <w:szCs w:val="24"/>
              </w:rPr>
            </w:pPr>
            <w:r w:rsidRPr="00AD7E7D">
              <w:rPr>
                <w:rFonts w:eastAsia="Times New Roman" w:cs="Times New Roman"/>
                <w:color w:val="000000"/>
                <w:szCs w:val="24"/>
              </w:rPr>
              <w:t>47,5</w:t>
            </w:r>
          </w:p>
        </w:tc>
        <w:tc>
          <w:tcPr>
            <w:tcW w:w="947" w:type="dxa"/>
            <w:tcBorders>
              <w:top w:val="nil"/>
              <w:left w:val="nil"/>
              <w:right w:val="nil"/>
            </w:tcBorders>
            <w:shd w:val="clear" w:color="auto" w:fill="auto"/>
            <w:noWrap/>
            <w:vAlign w:val="bottom"/>
            <w:hideMark/>
          </w:tcPr>
          <w:p w14:paraId="7804BD4C" w14:textId="77777777" w:rsidR="006D0778" w:rsidRPr="00AD7E7D" w:rsidRDefault="006D0778" w:rsidP="006D0778">
            <w:pPr>
              <w:keepLines/>
              <w:spacing w:after="0"/>
              <w:jc w:val="right"/>
              <w:rPr>
                <w:rFonts w:eastAsia="Times New Roman" w:cs="Times New Roman"/>
                <w:color w:val="000000"/>
                <w:szCs w:val="24"/>
              </w:rPr>
            </w:pPr>
            <w:r w:rsidRPr="00AD7E7D">
              <w:rPr>
                <w:rFonts w:eastAsia="Times New Roman" w:cs="Times New Roman"/>
                <w:color w:val="000000"/>
                <w:szCs w:val="24"/>
              </w:rPr>
              <w:t>47,0</w:t>
            </w:r>
          </w:p>
        </w:tc>
        <w:tc>
          <w:tcPr>
            <w:tcW w:w="947" w:type="dxa"/>
            <w:tcBorders>
              <w:top w:val="nil"/>
              <w:left w:val="nil"/>
              <w:right w:val="nil"/>
            </w:tcBorders>
            <w:shd w:val="clear" w:color="auto" w:fill="auto"/>
            <w:noWrap/>
            <w:vAlign w:val="bottom"/>
            <w:hideMark/>
          </w:tcPr>
          <w:p w14:paraId="68DEF5E2" w14:textId="77777777" w:rsidR="006D0778" w:rsidRPr="00AD7E7D" w:rsidRDefault="006D0778" w:rsidP="006D0778">
            <w:pPr>
              <w:keepLines/>
              <w:spacing w:after="0"/>
              <w:jc w:val="right"/>
              <w:rPr>
                <w:rFonts w:eastAsia="Times New Roman" w:cs="Times New Roman"/>
                <w:color w:val="000000"/>
                <w:szCs w:val="24"/>
              </w:rPr>
            </w:pPr>
            <w:r w:rsidRPr="00AD7E7D">
              <w:rPr>
                <w:rFonts w:eastAsia="Times New Roman" w:cs="Times New Roman"/>
                <w:color w:val="000000"/>
                <w:szCs w:val="24"/>
              </w:rPr>
              <w:t>46,5</w:t>
            </w:r>
          </w:p>
        </w:tc>
      </w:tr>
      <w:tr w:rsidR="006D0778" w:rsidRPr="00AD7E7D" w14:paraId="6C0EF26D" w14:textId="77777777" w:rsidTr="00D2109C">
        <w:trPr>
          <w:trHeight w:val="285"/>
        </w:trPr>
        <w:tc>
          <w:tcPr>
            <w:tcW w:w="3177" w:type="dxa"/>
            <w:tcBorders>
              <w:top w:val="nil"/>
              <w:left w:val="nil"/>
              <w:bottom w:val="single" w:sz="4" w:space="0" w:color="auto"/>
              <w:right w:val="nil"/>
            </w:tcBorders>
            <w:shd w:val="clear" w:color="auto" w:fill="auto"/>
            <w:noWrap/>
            <w:vAlign w:val="bottom"/>
            <w:hideMark/>
          </w:tcPr>
          <w:p w14:paraId="28737984" w14:textId="77777777" w:rsidR="006D0778" w:rsidRPr="00AD7E7D" w:rsidRDefault="006D0778" w:rsidP="006D0778">
            <w:pPr>
              <w:keepLines/>
              <w:spacing w:after="0"/>
              <w:jc w:val="left"/>
              <w:rPr>
                <w:rFonts w:eastAsia="Times New Roman" w:cs="Times New Roman"/>
                <w:color w:val="000000"/>
                <w:szCs w:val="24"/>
              </w:rPr>
            </w:pPr>
            <w:r w:rsidRPr="00AD7E7D">
              <w:rPr>
                <w:rFonts w:eastAsia="Times New Roman" w:cs="Times New Roman"/>
                <w:color w:val="000000"/>
                <w:szCs w:val="24"/>
              </w:rPr>
              <w:t>разлика</w:t>
            </w:r>
          </w:p>
        </w:tc>
        <w:tc>
          <w:tcPr>
            <w:tcW w:w="947" w:type="dxa"/>
            <w:tcBorders>
              <w:top w:val="nil"/>
              <w:left w:val="nil"/>
              <w:bottom w:val="single" w:sz="4" w:space="0" w:color="auto"/>
              <w:right w:val="nil"/>
            </w:tcBorders>
            <w:shd w:val="clear" w:color="auto" w:fill="auto"/>
            <w:noWrap/>
            <w:vAlign w:val="bottom"/>
            <w:hideMark/>
          </w:tcPr>
          <w:p w14:paraId="71098781" w14:textId="77777777" w:rsidR="006D0778" w:rsidRPr="00AD7E7D" w:rsidRDefault="006D0778" w:rsidP="006D0778">
            <w:pPr>
              <w:keepLines/>
              <w:spacing w:after="0"/>
              <w:jc w:val="right"/>
              <w:rPr>
                <w:rFonts w:eastAsia="Times New Roman" w:cs="Times New Roman"/>
                <w:color w:val="000000"/>
                <w:szCs w:val="24"/>
              </w:rPr>
            </w:pPr>
            <w:r w:rsidRPr="00AD7E7D">
              <w:rPr>
                <w:rFonts w:eastAsia="Times New Roman" w:cs="Times New Roman"/>
                <w:color w:val="000000"/>
                <w:szCs w:val="24"/>
              </w:rPr>
              <w:t>-4,9</w:t>
            </w:r>
          </w:p>
        </w:tc>
        <w:tc>
          <w:tcPr>
            <w:tcW w:w="947" w:type="dxa"/>
            <w:tcBorders>
              <w:top w:val="nil"/>
              <w:left w:val="nil"/>
              <w:bottom w:val="single" w:sz="4" w:space="0" w:color="auto"/>
              <w:right w:val="nil"/>
            </w:tcBorders>
            <w:shd w:val="clear" w:color="auto" w:fill="auto"/>
            <w:noWrap/>
            <w:vAlign w:val="bottom"/>
            <w:hideMark/>
          </w:tcPr>
          <w:p w14:paraId="15A055CE" w14:textId="77777777" w:rsidR="006D0778" w:rsidRPr="00AD7E7D" w:rsidRDefault="006D0778" w:rsidP="006D0778">
            <w:pPr>
              <w:keepLines/>
              <w:spacing w:after="0"/>
              <w:jc w:val="right"/>
              <w:rPr>
                <w:rFonts w:eastAsia="Times New Roman" w:cs="Times New Roman"/>
                <w:color w:val="000000"/>
                <w:szCs w:val="24"/>
              </w:rPr>
            </w:pPr>
            <w:r w:rsidRPr="00AD7E7D">
              <w:rPr>
                <w:rFonts w:eastAsia="Times New Roman" w:cs="Times New Roman"/>
                <w:color w:val="000000"/>
                <w:szCs w:val="24"/>
              </w:rPr>
              <w:t>-3,8</w:t>
            </w:r>
          </w:p>
        </w:tc>
        <w:tc>
          <w:tcPr>
            <w:tcW w:w="947" w:type="dxa"/>
            <w:tcBorders>
              <w:top w:val="nil"/>
              <w:left w:val="nil"/>
              <w:bottom w:val="single" w:sz="4" w:space="0" w:color="auto"/>
              <w:right w:val="nil"/>
            </w:tcBorders>
            <w:shd w:val="clear" w:color="auto" w:fill="auto"/>
            <w:noWrap/>
            <w:vAlign w:val="bottom"/>
            <w:hideMark/>
          </w:tcPr>
          <w:p w14:paraId="43086FB7" w14:textId="77777777" w:rsidR="006D0778" w:rsidRPr="00AD7E7D" w:rsidRDefault="006D0778" w:rsidP="006D0778">
            <w:pPr>
              <w:keepLines/>
              <w:spacing w:after="0"/>
              <w:jc w:val="right"/>
              <w:rPr>
                <w:rFonts w:eastAsia="Times New Roman" w:cs="Times New Roman"/>
                <w:color w:val="000000"/>
                <w:szCs w:val="24"/>
              </w:rPr>
            </w:pPr>
            <w:r w:rsidRPr="00AD7E7D">
              <w:rPr>
                <w:rFonts w:eastAsia="Times New Roman" w:cs="Times New Roman"/>
                <w:color w:val="000000"/>
                <w:szCs w:val="24"/>
              </w:rPr>
              <w:t>-3,2</w:t>
            </w:r>
          </w:p>
        </w:tc>
        <w:tc>
          <w:tcPr>
            <w:tcW w:w="947" w:type="dxa"/>
            <w:tcBorders>
              <w:top w:val="nil"/>
              <w:left w:val="nil"/>
              <w:bottom w:val="single" w:sz="4" w:space="0" w:color="auto"/>
              <w:right w:val="nil"/>
            </w:tcBorders>
            <w:shd w:val="clear" w:color="auto" w:fill="auto"/>
            <w:noWrap/>
            <w:vAlign w:val="bottom"/>
            <w:hideMark/>
          </w:tcPr>
          <w:p w14:paraId="35B29BF1" w14:textId="77777777" w:rsidR="006D0778" w:rsidRPr="00AD7E7D" w:rsidRDefault="006D0778" w:rsidP="006D0778">
            <w:pPr>
              <w:keepLines/>
              <w:spacing w:after="0"/>
              <w:jc w:val="right"/>
              <w:rPr>
                <w:rFonts w:eastAsia="Times New Roman" w:cs="Times New Roman"/>
                <w:color w:val="000000"/>
                <w:szCs w:val="24"/>
              </w:rPr>
            </w:pPr>
            <w:r w:rsidRPr="00AD7E7D">
              <w:rPr>
                <w:rFonts w:eastAsia="Times New Roman" w:cs="Times New Roman"/>
                <w:color w:val="000000"/>
                <w:szCs w:val="24"/>
              </w:rPr>
              <w:t>-3,0</w:t>
            </w:r>
          </w:p>
        </w:tc>
        <w:tc>
          <w:tcPr>
            <w:tcW w:w="947" w:type="dxa"/>
            <w:tcBorders>
              <w:top w:val="nil"/>
              <w:left w:val="nil"/>
              <w:bottom w:val="single" w:sz="4" w:space="0" w:color="auto"/>
              <w:right w:val="nil"/>
            </w:tcBorders>
            <w:shd w:val="clear" w:color="auto" w:fill="auto"/>
            <w:noWrap/>
            <w:vAlign w:val="bottom"/>
            <w:hideMark/>
          </w:tcPr>
          <w:p w14:paraId="20154BF0" w14:textId="77777777" w:rsidR="006D0778" w:rsidRPr="00AD7E7D" w:rsidRDefault="006D0778" w:rsidP="006D0778">
            <w:pPr>
              <w:keepLines/>
              <w:spacing w:after="0"/>
              <w:jc w:val="right"/>
              <w:rPr>
                <w:rFonts w:eastAsia="Times New Roman" w:cs="Times New Roman"/>
                <w:color w:val="000000"/>
                <w:szCs w:val="24"/>
                <w:lang w:val="sr-Cyrl-RS"/>
              </w:rPr>
            </w:pPr>
            <w:r w:rsidRPr="00AD7E7D">
              <w:rPr>
                <w:rFonts w:eastAsia="Times New Roman" w:cs="Times New Roman"/>
                <w:color w:val="000000"/>
                <w:szCs w:val="24"/>
                <w:lang w:val="sr-Cyrl-RS"/>
              </w:rPr>
              <w:t>-</w:t>
            </w:r>
          </w:p>
        </w:tc>
      </w:tr>
    </w:tbl>
    <w:p w14:paraId="1477414D" w14:textId="77777777" w:rsidR="006D0778" w:rsidRPr="00010E52" w:rsidRDefault="006D0778" w:rsidP="006C46A3">
      <w:pPr>
        <w:keepLines/>
        <w:spacing w:before="40" w:after="0"/>
        <w:rPr>
          <w:rFonts w:cs="Times New Roman"/>
          <w:sz w:val="22"/>
          <w:szCs w:val="24"/>
          <w:lang w:val="sr-Cyrl-RS"/>
        </w:rPr>
      </w:pPr>
      <w:r w:rsidRPr="00010E52">
        <w:rPr>
          <w:rFonts w:eastAsia="Calibri" w:cs="Times New Roman"/>
          <w:bCs/>
          <w:sz w:val="22"/>
          <w:szCs w:val="24"/>
          <w:lang w:val="sr-Cyrl-RS" w:eastAsia="ja-JP"/>
        </w:rPr>
        <w:t xml:space="preserve">Извор: </w:t>
      </w:r>
      <w:r w:rsidRPr="00010E52">
        <w:rPr>
          <w:rFonts w:cs="Times New Roman"/>
          <w:sz w:val="22"/>
          <w:szCs w:val="24"/>
          <w:lang w:val="sr-Cyrl-RS"/>
        </w:rPr>
        <w:t>Министарство финансија</w:t>
      </w:r>
    </w:p>
    <w:p w14:paraId="3E10EAA2" w14:textId="77777777" w:rsidR="006D0778" w:rsidRPr="00915EC2" w:rsidRDefault="00933940" w:rsidP="00E25CAC">
      <w:pPr>
        <w:pStyle w:val="Heading11"/>
        <w:spacing w:before="180" w:after="180"/>
        <w:rPr>
          <w:rFonts w:ascii="Times New Roman" w:hAnsi="Times New Roman" w:cs="Times New Roman"/>
          <w:color w:val="auto"/>
          <w:sz w:val="24"/>
          <w:szCs w:val="24"/>
          <w:lang w:val="sr-Latn-RS"/>
        </w:rPr>
      </w:pPr>
      <w:bookmarkStart w:id="30" w:name="_Toc91769802"/>
      <w:bookmarkStart w:id="31" w:name="_Toc185342339"/>
      <w:r w:rsidRPr="00915EC2">
        <w:rPr>
          <w:rFonts w:ascii="Times New Roman" w:hAnsi="Times New Roman" w:cs="Times New Roman"/>
          <w:color w:val="auto"/>
          <w:sz w:val="24"/>
          <w:szCs w:val="24"/>
          <w:lang w:val="sr-Latn-RS"/>
        </w:rPr>
        <w:lastRenderedPageBreak/>
        <w:t>4.</w:t>
      </w:r>
      <w:r w:rsidR="006D0778" w:rsidRPr="00915EC2">
        <w:rPr>
          <w:rFonts w:ascii="Times New Roman" w:hAnsi="Times New Roman" w:cs="Times New Roman"/>
          <w:color w:val="auto"/>
          <w:sz w:val="24"/>
          <w:szCs w:val="24"/>
          <w:lang w:val="sr-Latn-RS"/>
        </w:rPr>
        <w:t>7. КВАЛИТЕТ ЈАВНИХ ФИНАНСИЈА</w:t>
      </w:r>
      <w:bookmarkEnd w:id="30"/>
      <w:bookmarkEnd w:id="31"/>
    </w:p>
    <w:p w14:paraId="2A062384" w14:textId="77777777" w:rsidR="006D0778" w:rsidRPr="00AD7E7D" w:rsidRDefault="006D0778" w:rsidP="002B77D1">
      <w:pPr>
        <w:rPr>
          <w:rFonts w:eastAsia="Calibri" w:cs="Times New Roman"/>
          <w:spacing w:val="-2"/>
          <w:szCs w:val="24"/>
          <w:lang w:eastAsia="ja-JP"/>
        </w:rPr>
      </w:pPr>
      <w:r w:rsidRPr="00AD7E7D">
        <w:rPr>
          <w:rFonts w:eastAsia="Calibri" w:cs="Times New Roman"/>
          <w:spacing w:val="-2"/>
          <w:szCs w:val="24"/>
          <w:lang w:eastAsia="ja-JP"/>
        </w:rPr>
        <w:t>Након турбулентне 2022. године коју је обележила криза у Украјини уневши неизвесност у све економске токове, у 2023. години Република Србија је остварила макроекономске резултате који су се показали повољнијим него што се првобитно очекивало и то упркос бројним изазовима из окружења и наставку и продубљењу геополитичких криза. И поред свих ових изазова, Република Србија и у 2024. години наставља свој успешан пут, чему сведочи управо завршена четврта и последња ревизија ак</w:t>
      </w:r>
      <w:r w:rsidR="00896365" w:rsidRPr="00AD7E7D">
        <w:rPr>
          <w:rFonts w:eastAsia="Calibri" w:cs="Times New Roman"/>
          <w:spacing w:val="-2"/>
          <w:szCs w:val="24"/>
          <w:lang w:eastAsia="ja-JP"/>
        </w:rPr>
        <w:t>туелног аранжмана из предострож</w:t>
      </w:r>
      <w:r w:rsidRPr="00AD7E7D">
        <w:rPr>
          <w:rFonts w:eastAsia="Calibri" w:cs="Times New Roman"/>
          <w:spacing w:val="-2"/>
          <w:szCs w:val="24"/>
          <w:lang w:eastAsia="ja-JP"/>
        </w:rPr>
        <w:t>ности који Република Србија има са ММФ.</w:t>
      </w:r>
    </w:p>
    <w:p w14:paraId="488D508D" w14:textId="77777777" w:rsidR="006D0778" w:rsidRPr="00AD7E7D" w:rsidRDefault="006D0778" w:rsidP="002B77D1">
      <w:pPr>
        <w:rPr>
          <w:rFonts w:eastAsia="Calibri" w:cs="Times New Roman"/>
          <w:spacing w:val="-2"/>
          <w:szCs w:val="24"/>
          <w:lang w:eastAsia="ja-JP"/>
        </w:rPr>
      </w:pPr>
      <w:r w:rsidRPr="00AD7E7D">
        <w:rPr>
          <w:rFonts w:eastAsia="Calibri" w:cs="Times New Roman"/>
          <w:spacing w:val="-2"/>
          <w:szCs w:val="24"/>
          <w:lang w:eastAsia="ja-JP"/>
        </w:rPr>
        <w:t xml:space="preserve">Такође, договорено је да ће до краја године бити склопљен нови аранжман - Инструмент за координацију политика (PCI) који ће бити нефинансијског карактера и који ће трајати наредне три године. Циљеви новог аранжмана биће: очување макроекономске и финансијске стабилности, кредибилна фискална политика којом се омогућава наставак јавних инвестиција и социјалних политика уз задржавање силазног тренда учешћа јавног дуга у БДП, даље јачање енергетског сектора и нове инвестиције у овој области и обезбеђење инклузивног одрживог раста у средњем року заснованог на структурним реформама. </w:t>
      </w:r>
    </w:p>
    <w:p w14:paraId="705803A4" w14:textId="77777777" w:rsidR="006D0778" w:rsidRPr="00AD7E7D" w:rsidRDefault="006D0778" w:rsidP="002B77D1">
      <w:pPr>
        <w:rPr>
          <w:rFonts w:cs="Times New Roman"/>
          <w:szCs w:val="24"/>
          <w:lang w:val="sr-Cyrl-CS" w:eastAsia="ja-JP"/>
        </w:rPr>
      </w:pPr>
      <w:r w:rsidRPr="00AD7E7D">
        <w:rPr>
          <w:rFonts w:cs="Times New Roman"/>
          <w:szCs w:val="24"/>
          <w:lang w:val="sr-Cyrl-CS" w:eastAsia="ja-JP"/>
        </w:rPr>
        <w:t>У наредном периоду</w:t>
      </w:r>
      <w:r w:rsidR="00896365" w:rsidRPr="00AD7E7D">
        <w:rPr>
          <w:rFonts w:cs="Times New Roman"/>
          <w:szCs w:val="24"/>
          <w:lang w:val="sr-Cyrl-CS" w:eastAsia="ja-JP"/>
        </w:rPr>
        <w:t>,</w:t>
      </w:r>
      <w:r w:rsidRPr="00AD7E7D">
        <w:rPr>
          <w:rFonts w:cs="Times New Roman"/>
          <w:szCs w:val="24"/>
          <w:lang w:val="sr-Cyrl-CS" w:eastAsia="ja-JP"/>
        </w:rPr>
        <w:t xml:space="preserve"> очекује се наставак реформи у области запошљавања, управљања кадровима и система плата у сектору државе. Циљ фискалне политике у средњем року је задржавање расхода за запослене на одрживом нивоу, уз адекватну структуру запослених, како би се обезбедио већи квалитет пружених услуга. Постојећи систем запошљавања, којим руководи Владина Комисија за давање сагласности за ново запошљавање и додатно радно ангажовање код корисника јавних средстава наставиће да функционише у прелазном периоду, односно све док нови систем не буде у потпуности оперативан. Крајем 2020. године усвојене су измене Закона о буџетском систему како би било омогућено да у прелазном периоду институције могу да ангажују нова лица до нивоа од 70% оних који напуштају институцију или одлазе у пензију, док је дозвола Комисије потребна уколико број новозапослених пређе 70%. Смисао ове мере је да се обезбеди већа флексибилност у запошљавању на нивоу самих институција, у складу с њиховим потребама за новим кадровима. Такође, постављен је и лимит од 1% за повећање укупног броја запослених на неодређено време у односу на ниво с краја 2020. године. </w:t>
      </w:r>
    </w:p>
    <w:p w14:paraId="7B90A349" w14:textId="77777777" w:rsidR="006D0778" w:rsidRPr="00AD7E7D" w:rsidRDefault="006D0778" w:rsidP="002B77D1">
      <w:pPr>
        <w:rPr>
          <w:rFonts w:cs="Times New Roman"/>
          <w:szCs w:val="24"/>
          <w:lang w:val="sr-Cyrl-CS" w:eastAsia="ja-JP"/>
        </w:rPr>
      </w:pPr>
      <w:r w:rsidRPr="00AD7E7D">
        <w:rPr>
          <w:rFonts w:cs="Times New Roman"/>
          <w:szCs w:val="24"/>
          <w:lang w:val="sr-Cyrl-CS" w:eastAsia="ja-JP"/>
        </w:rPr>
        <w:t xml:space="preserve">Централни информациони систем за обрачун примања запослених у јавном сектору „Искра” тренутно обухвата све директне кориснике буџета, институције из области културе, правосуђа, рада и социјалне заштите и просвете (осим установа вишег и високог образовања), а почетком ове године укључене су институције из области здравства. Јединице локалне самоуправе са својим индиректним корисницима (предшколске установе, установе културе, спорта и социјалне заштите) укључиће се у систем у последњем кварталу 2024. године. Суштина овог система је боље планирање, извршење и контрола расхода за плате запослених, већа транспарентност и боље управљање људским ресурсима у условима све јаче конкуренције из приватног сектора, што има негативан утицај на привлачење и задржавање запослених у јавном сектору, поготово имајући у виду атрактивност зарада у приватном сектору, што може довести до значајног одлива кадрова уколико се ове реформе не спроведу. Ван система у овој фази ће остати само запослени у сектору одбране, безбедности и унутрашњих послова и институције вишег и високог образовања. Планирано је да се и ове институције укључе у систем до 2027. године. На основу овог система биће израђен извештај у којем ће бити објављени подаци о броју запослених и распону зарада, што ће помоћи у вођењу будућих политика запошљавања у јавном сектору. Извештај ће садржати податке како о </w:t>
      </w:r>
      <w:r w:rsidRPr="00AD7E7D">
        <w:rPr>
          <w:rFonts w:cs="Times New Roman"/>
          <w:szCs w:val="24"/>
          <w:lang w:val="sr-Cyrl-CS" w:eastAsia="ja-JP"/>
        </w:rPr>
        <w:lastRenderedPageBreak/>
        <w:t xml:space="preserve">попуњености систематизованих радних места, тако и о износима самих плата по платним разредима, по специфичним типовима посла, функцијама (државна управа, образовање, здравство и сл.), као и остале податке од статистичког значаја (медијалне, максималне, минималне зараде, зараде по перцентилима, историјске серије података), што све може помоћи реформама у овој области. </w:t>
      </w:r>
    </w:p>
    <w:p w14:paraId="76D51955" w14:textId="77777777" w:rsidR="006D0778" w:rsidRPr="00AD7E7D" w:rsidRDefault="006D0778" w:rsidP="002B77D1">
      <w:pPr>
        <w:rPr>
          <w:rFonts w:cs="Times New Roman"/>
          <w:szCs w:val="24"/>
          <w:lang w:val="sr-Cyrl-CS" w:eastAsia="ja-JP"/>
        </w:rPr>
      </w:pPr>
      <w:r w:rsidRPr="00AD7E7D">
        <w:rPr>
          <w:rFonts w:cs="Times New Roman"/>
          <w:szCs w:val="24"/>
          <w:lang w:val="sr-Cyrl-CS" w:eastAsia="ja-JP"/>
        </w:rPr>
        <w:t xml:space="preserve">Криза у Украјини је кроз негативан утицај на тржишту енергената нарочито истакла све изазове и проблеме с којима се суочава енергетски сектор у Србији. Идентификовани проблеми могу се решити само спровођењем свеобухватних реформи, које су услов, како за обезбеђивање енергетске безбедности, тако и за фискалну и екстерну одрживост. Приоритет има реструктурирање великих енергетских компанија у власништву државе како би се повећала њихова ефикасност и смањила буџетска подршка и фискални ризици који произилазе из њиховог пословања. Фазно подизање цена енергената (гаса и електричне енергије) било је нужна мера како би се надоместили егзогено условљени високи трошкови њихове набавке. </w:t>
      </w:r>
    </w:p>
    <w:p w14:paraId="6839CEC8" w14:textId="77777777" w:rsidR="006D0778" w:rsidRPr="00AD7E7D" w:rsidRDefault="006D0778" w:rsidP="002B77D1">
      <w:pPr>
        <w:rPr>
          <w:rFonts w:cs="Times New Roman"/>
          <w:szCs w:val="24"/>
          <w:lang w:val="sr-Cyrl-CS" w:eastAsia="ja-JP"/>
        </w:rPr>
      </w:pPr>
      <w:r w:rsidRPr="00AD7E7D">
        <w:rPr>
          <w:rFonts w:cs="Times New Roman"/>
          <w:szCs w:val="24"/>
          <w:lang w:val="sr-Cyrl-CS" w:eastAsia="ja-JP"/>
        </w:rPr>
        <w:t>У случају ЕПС а.д. ове мере, заједно са повољним околностима које су утицале на хидроенергетски потенцијал и већи извоз електричне енергије, имале су за резултат значајан профит који је ова компанија остварила у 2023. години. Део ових средстава је искоришћен за отплату кредита узетих за подршку ликвидности и инвестиције. Oд 1. маја ове године су обезбеђене ниже цене електричне енергије за комерцијалне купце за око 20%, што је у складу са кретањем цена електричне енергије у региону. Измењена је методологија, којом се обезбеђује заштита купаца од изненадних ценовних шокова на тржишту електричне енергије, истовремено комбинујући нивое цена за регулисане и нерегулисане секторе како би у укупном износу приходи могли да покрију укупне трошкове, укључујући и средства потребна за инвестиције у нове производне капацитете. Истовремено, наставља се са политиком заштите енергетски угроженог купца, којом је током претходне грејне сезоне, изменом критеријума како би више лица могло да добије овај вид заштите, било о</w:t>
      </w:r>
      <w:r w:rsidR="00D2109C" w:rsidRPr="00AD7E7D">
        <w:rPr>
          <w:rFonts w:cs="Times New Roman"/>
          <w:szCs w:val="24"/>
          <w:lang w:val="sr-Cyrl-CS" w:eastAsia="ja-JP"/>
        </w:rPr>
        <w:t>бухваћено око 170.000 корисника</w:t>
      </w:r>
      <w:r w:rsidRPr="00AD7E7D">
        <w:rPr>
          <w:rFonts w:cs="Times New Roman"/>
          <w:szCs w:val="24"/>
          <w:lang w:val="sr-Cyrl-CS" w:eastAsia="ja-JP"/>
        </w:rPr>
        <w:t xml:space="preserve">. Статусна промена ЕПС у акционарско друштво, извршена у априлу прошле године, има за циљ јачање ове компаније на дуги рок кроз професионализацију менаџмента. Стратешким планом реструктурирања </w:t>
      </w:r>
      <w:r w:rsidR="00D2109C" w:rsidRPr="00AD7E7D">
        <w:rPr>
          <w:rFonts w:cs="Times New Roman"/>
          <w:szCs w:val="24"/>
          <w:lang w:val="sr-Cyrl-CS" w:eastAsia="ja-JP"/>
        </w:rPr>
        <w:t>ЕПС а.д</w:t>
      </w:r>
      <w:r w:rsidR="00D2109C" w:rsidRPr="00AD7E7D">
        <w:rPr>
          <w:rFonts w:cs="Times New Roman"/>
          <w:szCs w:val="24"/>
          <w:lang w:val="sr-Latn-RS" w:eastAsia="ja-JP"/>
        </w:rPr>
        <w:t xml:space="preserve">, </w:t>
      </w:r>
      <w:r w:rsidR="00D2109C" w:rsidRPr="00AD7E7D">
        <w:rPr>
          <w:rFonts w:cs="Times New Roman"/>
          <w:szCs w:val="24"/>
          <w:lang w:val="sr-Cyrl-RS" w:eastAsia="ja-JP"/>
        </w:rPr>
        <w:t>који је усаглашен са ММФ-ом и усвојен у мају 2024. године дефинисани су кораци у трансформацији ове компаније који обезбеђују њену стабилизацију</w:t>
      </w:r>
      <w:r w:rsidRPr="00AD7E7D">
        <w:rPr>
          <w:rFonts w:cs="Times New Roman"/>
          <w:szCs w:val="24"/>
          <w:lang w:val="sr-Cyrl-CS" w:eastAsia="ja-JP"/>
        </w:rPr>
        <w:t xml:space="preserve"> </w:t>
      </w:r>
      <w:r w:rsidR="00D2109C" w:rsidRPr="00AD7E7D">
        <w:rPr>
          <w:rFonts w:cs="Times New Roman"/>
          <w:szCs w:val="24"/>
          <w:lang w:val="sr-Cyrl-CS" w:eastAsia="ja-JP"/>
        </w:rPr>
        <w:t>и прецизирају реформске приоритете у управљању и организационој структури.</w:t>
      </w:r>
      <w:r w:rsidRPr="00AD7E7D">
        <w:rPr>
          <w:rFonts w:cs="Times New Roman"/>
          <w:szCs w:val="24"/>
          <w:lang w:val="sr-Cyrl-CS" w:eastAsia="ja-JP"/>
        </w:rPr>
        <w:t xml:space="preserve"> У складу с начелом транспарентности биће објављени финансијски планови за ЕПС а.д. и ЈП „Србијагас”. Такође, наставиће се с праксом објављивања 20 највећих дужника овим двема компанијама на месечном нивоу. </w:t>
      </w:r>
      <w:r w:rsidR="000C07AF" w:rsidRPr="00AD7E7D">
        <w:rPr>
          <w:rFonts w:cs="Times New Roman"/>
          <w:szCs w:val="24"/>
          <w:lang w:val="sr-Cyrl-RS"/>
        </w:rPr>
        <w:t xml:space="preserve">До марта </w:t>
      </w:r>
      <w:r w:rsidR="000C07AF" w:rsidRPr="00AD7E7D">
        <w:rPr>
          <w:rFonts w:cs="Times New Roman"/>
          <w:szCs w:val="24"/>
        </w:rPr>
        <w:t>2025</w:t>
      </w:r>
      <w:r w:rsidR="000C07AF" w:rsidRPr="00AD7E7D">
        <w:rPr>
          <w:rFonts w:cs="Times New Roman"/>
          <w:szCs w:val="24"/>
          <w:lang w:val="sr-Cyrl-RS"/>
        </w:rPr>
        <w:t>. сачиниће се извештај о процени адекватности мрежарине која се плаћа предузећу</w:t>
      </w:r>
      <w:r w:rsidR="000C07AF" w:rsidRPr="00AD7E7D">
        <w:rPr>
          <w:rFonts w:cs="Times New Roman"/>
          <w:b/>
          <w:bCs/>
          <w:szCs w:val="24"/>
          <w:lang w:val="sr-Cyrl-RS"/>
        </w:rPr>
        <w:t xml:space="preserve"> </w:t>
      </w:r>
      <w:r w:rsidR="000C07AF" w:rsidRPr="00AD7E7D">
        <w:rPr>
          <w:rFonts w:cs="Times New Roman"/>
          <w:bCs/>
          <w:szCs w:val="24"/>
          <w:lang w:val="sr-Cyrl-RS"/>
        </w:rPr>
        <w:t>Електродистрибуција Србије (ЕДС)</w:t>
      </w:r>
      <w:r w:rsidR="000C07AF" w:rsidRPr="00AD7E7D">
        <w:rPr>
          <w:rFonts w:cs="Times New Roman"/>
          <w:szCs w:val="24"/>
        </w:rPr>
        <w:t xml:space="preserve">, </w:t>
      </w:r>
      <w:r w:rsidR="000C07AF" w:rsidRPr="00AD7E7D">
        <w:rPr>
          <w:rFonts w:cs="Times New Roman"/>
          <w:szCs w:val="24"/>
          <w:lang w:val="sr-Cyrl-RS"/>
        </w:rPr>
        <w:t>као и о адекватности накнада које ЕДС и Електромрежа (ЕМС) плаћају ЕПС-у за губитке</w:t>
      </w:r>
      <w:r w:rsidRPr="00AD7E7D">
        <w:rPr>
          <w:rFonts w:cs="Times New Roman"/>
          <w:szCs w:val="24"/>
          <w:lang w:val="sr-Cyrl-CS" w:eastAsia="ja-JP"/>
        </w:rPr>
        <w:t>.</w:t>
      </w:r>
      <w:r w:rsidR="00CF6476" w:rsidRPr="00AD7E7D">
        <w:rPr>
          <w:rFonts w:cs="Times New Roman"/>
          <w:szCs w:val="24"/>
          <w:lang w:val="sr-Cyrl-CS" w:eastAsia="ja-JP"/>
        </w:rPr>
        <w:t xml:space="preserve"> </w:t>
      </w:r>
    </w:p>
    <w:p w14:paraId="0CBEC712" w14:textId="77777777" w:rsidR="006D0778" w:rsidRPr="00AD7E7D" w:rsidRDefault="006D0778" w:rsidP="002B77D1">
      <w:pPr>
        <w:rPr>
          <w:rFonts w:cs="Times New Roman"/>
          <w:szCs w:val="24"/>
          <w:lang w:val="sr-Cyrl-CS" w:eastAsia="ja-JP"/>
        </w:rPr>
      </w:pPr>
      <w:r w:rsidRPr="00AD7E7D">
        <w:rPr>
          <w:rFonts w:cs="Times New Roman"/>
          <w:szCs w:val="24"/>
          <w:lang w:val="sr-Cyrl-CS" w:eastAsia="ja-JP"/>
        </w:rPr>
        <w:t xml:space="preserve">Интегрисани национални енергетски и климатски план Србије за период до 2030. године са пројекцијама до 2050. године усвојен је у јулу ове године чиме отпочиње нова етапа у развоју енергетског сектора Републике Србије, која треба да допринесе већој сигурности снабдевања, уз повећање учешћа чистих извора енергије и већу заштиту животне средине. Интегрисани национални енергетски и климатски план је кључни стратешки документ којим се дефинишу стратешки циљеви и динамика њиховог остваривања у процесу енергетске транзиције. Политике и мере за остваривање циљева овог плана груписане су у пет кључних димензија: декарбонизација, енергетска ефикасност, енергетска сигурност, унутрашње енергетско тржиште и истраживање, иновације и конкурентност. Следећи корак представља усвајање Стратегије развоја енергетике Републике Србије до 2040. године са пројекцијама до 2050. године. </w:t>
      </w:r>
      <w:r w:rsidRPr="00AD7E7D">
        <w:rPr>
          <w:rFonts w:cs="Times New Roman"/>
          <w:szCs w:val="24"/>
          <w:lang w:val="sr-Cyrl-CS" w:eastAsia="ja-JP"/>
        </w:rPr>
        <w:lastRenderedPageBreak/>
        <w:t xml:space="preserve">Енергетика Републике Србије налази се пред темељним структурним променама које су условљене како глобалним тако и националним околностима, односно економским, технолошким и еколошким променама и међународно и национално прихваћеним развојним циљевима. </w:t>
      </w:r>
    </w:p>
    <w:p w14:paraId="0DE7AD0C" w14:textId="77777777" w:rsidR="006D0778" w:rsidRPr="00AD7E7D" w:rsidRDefault="006D0778" w:rsidP="002B77D1">
      <w:pPr>
        <w:rPr>
          <w:rFonts w:cs="Times New Roman"/>
          <w:szCs w:val="24"/>
          <w:lang w:val="sr-Cyrl-RS" w:eastAsia="ja-JP"/>
        </w:rPr>
      </w:pPr>
      <w:r w:rsidRPr="00AD7E7D">
        <w:rPr>
          <w:rFonts w:cs="Times New Roman"/>
          <w:szCs w:val="24"/>
          <w:lang w:val="sr-Cyrl-CS" w:eastAsia="ja-JP"/>
        </w:rPr>
        <w:t>Повећања цена гаса током 2022. и 2023. године допринела су стабилизацији финансијске ситуације код ЈП „Србијагас”. Завршена је израда новог система цена за део корисника са нерегулисаним ценама који ће се примењивати почев од грејне сезоне 2024 – 2025. година. Смањење цена за привреду за око 15% је на снази од 1. маја ове године. Између осталог, нова методологија уводи нове типове уговора и већу маржу којом ће се обезбедити средства за будуће инвестиције. Очекује се да у наредном периоду неће бити потреба за буџетску подршку за потребе ликвидности за ове компаније. Следеће године очекује се усвајање измењеног и допуњеног плана приоритетних инвестиција у енергетици, којим ће бити дефинисане инвестиционе потребе у овој области за све пројекте вредности од преко 20 милиона евра, укључујући евалуацију пројеката, њихов допринос зеленој транзицији, изворе финансирања, процену интерне стопа приноса итд.</w:t>
      </w:r>
    </w:p>
    <w:p w14:paraId="0BE65EFC" w14:textId="77777777" w:rsidR="006D0778" w:rsidRPr="00AD7E7D" w:rsidRDefault="006D0778" w:rsidP="002B77D1">
      <w:pPr>
        <w:rPr>
          <w:rFonts w:cs="Times New Roman"/>
          <w:szCs w:val="24"/>
          <w:lang w:val="sr-Cyrl-CS" w:eastAsia="ja-JP"/>
        </w:rPr>
      </w:pPr>
      <w:r w:rsidRPr="00AD7E7D">
        <w:rPr>
          <w:rFonts w:cs="Times New Roman"/>
          <w:szCs w:val="24"/>
          <w:lang w:val="sr-Cyrl-CS" w:eastAsia="ja-JP"/>
        </w:rPr>
        <w:t>Влада је, уз подршку Европске банке за обнову и развој (у даљем тексту: ЕБРД), усвојила Стратегију државног власништва и управљања привредним субјектима који су у власништву Републике Србије за период од 2021. до 2027. године као јединствени акт који пружа стратешку визију и упутства у вези са циљевима власничког управљања, циљевима финансијских и јавних политика, као и принципима корпоративног управљања и надзора у складу са међународним стандардима и најбољом праксом. У априлу ове године усвојен је Акциони план за имплементацију ове стратегије. Закон о управљању привредним друштвима која су у власништву Републике Србије почео је да се примењује у септембру 2024. године, а ступио је на снагу у септембру 2023. године.</w:t>
      </w:r>
    </w:p>
    <w:p w14:paraId="1FD690D0" w14:textId="77777777" w:rsidR="006D0778" w:rsidRPr="00AD7E7D" w:rsidRDefault="006D0778" w:rsidP="002B77D1">
      <w:pPr>
        <w:rPr>
          <w:rFonts w:cs="Times New Roman"/>
          <w:szCs w:val="24"/>
          <w:lang w:val="sr-Cyrl-RS" w:eastAsia="ja-JP"/>
        </w:rPr>
      </w:pPr>
      <w:r w:rsidRPr="00AD7E7D">
        <w:rPr>
          <w:rFonts w:cs="Times New Roman"/>
          <w:szCs w:val="24"/>
          <w:lang w:val="sr-Cyrl-CS" w:eastAsia="ja-JP"/>
        </w:rPr>
        <w:t>Наставља се стриктно ограничавање издавања државних гаранција за подршку ликвидности. У 2024. години осим једне нове државне гаранције за кредит ЕПС а.д. нису издаване државне гаранције за подршку ликвидности државним предузећима, нити за било које предузеће из портфолија бивше Агенције за приватизацију. Наставиће се са издавањем гаранција за пројектне зајмове које дају мултилатералне финансијске организације као подршку инвестиционој и реформској агенди.</w:t>
      </w:r>
    </w:p>
    <w:p w14:paraId="057E35EF" w14:textId="77777777" w:rsidR="006D0778" w:rsidRPr="00AD7E7D" w:rsidRDefault="006D0778" w:rsidP="002B77D1">
      <w:pPr>
        <w:rPr>
          <w:rFonts w:cs="Times New Roman"/>
          <w:szCs w:val="24"/>
          <w:lang w:val="sr-Cyrl-CS" w:eastAsia="ja-JP"/>
        </w:rPr>
      </w:pPr>
      <w:r w:rsidRPr="00AD7E7D">
        <w:rPr>
          <w:rFonts w:cs="Times New Roman"/>
          <w:szCs w:val="24"/>
          <w:lang w:val="sr-Cyrl-CS" w:eastAsia="ja-JP"/>
        </w:rPr>
        <w:t>За предузећа која чине стратешке компаније из портфолија бивше Агенције за приватизацију, решење се налази или кроз приватизационе тендере, или кроз стечај. У буџету су обезбеђена довољна средства за подршку ЈП ПЕУ „Ресавица” на транспарентан начин и обезбеђено је да у будућности не долази до даљег гомилања доцњи у плаћањима према ЕПС а.д. док пред самом компанијом стоји изазов проналажења решења за економски неодрживе руднике који су пред исцрпљењем преосталих резерви угља, као и план рационализације производње и пословања у деловима система у којима анализа покаже да могу да буду економски одрживи, уз наговештај приватизације неких њених делова. Уколико приватизација не буде прихватљива, компанијом ће се управљати у складу са новим Законом о управљању привредним друштвима која су у власништву Републике Србије.</w:t>
      </w:r>
    </w:p>
    <w:p w14:paraId="55E7D868" w14:textId="77777777" w:rsidR="006D0778" w:rsidRPr="00AD7E7D" w:rsidRDefault="006D0778" w:rsidP="002B77D1">
      <w:pPr>
        <w:rPr>
          <w:rFonts w:cs="Times New Roman"/>
          <w:szCs w:val="24"/>
          <w:lang w:val="sr-Cyrl-RS" w:eastAsia="ja-JP"/>
        </w:rPr>
      </w:pPr>
      <w:r w:rsidRPr="00AD7E7D">
        <w:rPr>
          <w:rFonts w:cs="Times New Roman"/>
          <w:szCs w:val="24"/>
          <w:lang w:val="sr-Cyrl-CS" w:eastAsia="ja-JP"/>
        </w:rPr>
        <w:t xml:space="preserve">Побољшање управљања јавним финансијама је нужно, не само као подршка мерама фискалне стабилизације и структурним реформама, већ као процес који подиже квалитет државне управе и осигурава привлачан амбијент за инвеститоре. Нови Програм реформе управљања јавним финансијама за период од 2021–2025. године усвојен је у јуну 2021. године. </w:t>
      </w:r>
    </w:p>
    <w:p w14:paraId="3A65EBAB" w14:textId="42EC1D26" w:rsidR="006D0778" w:rsidRPr="00AD7E7D" w:rsidRDefault="006D0778" w:rsidP="002B77D1">
      <w:pPr>
        <w:rPr>
          <w:rFonts w:cs="Times New Roman"/>
          <w:szCs w:val="24"/>
          <w:lang w:val="sr-Latn-RS" w:eastAsia="ja-JP"/>
        </w:rPr>
      </w:pPr>
      <w:r w:rsidRPr="00AD7E7D">
        <w:rPr>
          <w:rFonts w:eastAsia="MS PGothic" w:cs="Times New Roman"/>
          <w:szCs w:val="24"/>
          <w:lang w:eastAsia="ja-JP"/>
        </w:rPr>
        <w:lastRenderedPageBreak/>
        <w:t xml:space="preserve">С циљем унапређења система управљања јавним инвестицијама, а имајући нарочито у виду развојни план „Скок у будућност 2027ˮ, који обухвата преко 320 пројеката укупне вредности од 18 млрд евра, Министарство финансија је током 2023. године спровело процес доношења нове правне регулативе којом се на јединствен и свеобухватан начин уређује </w:t>
      </w:r>
      <w:r w:rsidR="00064A3A">
        <w:rPr>
          <w:rFonts w:eastAsia="MS PGothic" w:cs="Times New Roman"/>
          <w:szCs w:val="24"/>
          <w:lang w:val="sr-Cyrl-RS" w:eastAsia="ja-JP"/>
        </w:rPr>
        <w:t>садржина, начин припреме, оцене, процене спремности и одабира капиталних пројеката, праћење реализације, извештавање о учинку и вредновање свих позитивних и негативних ефеката капиталних пројеката</w:t>
      </w:r>
      <w:r w:rsidRPr="00AD7E7D">
        <w:rPr>
          <w:rFonts w:eastAsia="MS PGothic" w:cs="Times New Roman"/>
          <w:szCs w:val="24"/>
          <w:lang w:eastAsia="ja-JP"/>
        </w:rPr>
        <w:t xml:space="preserve">. Нова правна регулатива обухвата Уредбу о капиталним пројектима, као и четири правилника донета на основу предметне уредбе којима се ближе уређује примена њених одредби и тиме знатно олакшава спровођење пројектног циклуса за све актере. Ово је још један корак ближе ка циљу који је дефинисан као </w:t>
      </w:r>
      <w:r w:rsidRPr="00AD7E7D">
        <w:rPr>
          <w:rFonts w:eastAsia="MS PGothic" w:cs="Times New Roman"/>
          <w:i/>
          <w:szCs w:val="24"/>
          <w:lang w:eastAsia="ja-JP"/>
        </w:rPr>
        <w:t>single project pipeline</w:t>
      </w:r>
      <w:r w:rsidRPr="00AD7E7D">
        <w:rPr>
          <w:rFonts w:eastAsia="MS PGothic" w:cs="Times New Roman"/>
          <w:szCs w:val="24"/>
          <w:lang w:eastAsia="ja-JP"/>
        </w:rPr>
        <w:t>. Доношењу нове правне регулативе претходио је свеобухватан аналитички процес практичне примене дотадашњег правног оквира, с циљем отклањања уочених недостатака и нелогичности, али и имплементације нормативних решења која су у пракси остварила позитивну примену. Паралелно са радом на унапређењу правног оквира, одвијао се рад на надоградњи Централизоване базе капиталних пројеката (Public Investment Management Information System - у даљем тексту: PIMIS) која је прилагођена новом правном оквиру. Креиран је информациони систем који ће омогућити свеобухватно спровођење пројектног циклуса дефинисаног Уредбом о капиталним пројектима, а све с циљем делотворног и ефикасног управљања јавним средствима.</w:t>
      </w:r>
    </w:p>
    <w:p w14:paraId="195321D0" w14:textId="77777777" w:rsidR="006D0778" w:rsidRPr="00AD7E7D" w:rsidRDefault="006D0778" w:rsidP="002B77D1">
      <w:pPr>
        <w:rPr>
          <w:rFonts w:cs="Times New Roman"/>
          <w:szCs w:val="24"/>
          <w:lang w:val="sr-Cyrl-RS" w:eastAsia="ja-JP"/>
        </w:rPr>
      </w:pPr>
      <w:bookmarkStart w:id="32" w:name="_Toc91769803"/>
      <w:r w:rsidRPr="00AD7E7D">
        <w:rPr>
          <w:rFonts w:cs="Times New Roman"/>
          <w:szCs w:val="24"/>
          <w:lang w:val="sr-Cyrl-CS" w:eastAsia="ja-JP"/>
        </w:rPr>
        <w:t xml:space="preserve">Успешно се спроводи нови Акциони план трансформације Пореске управе за период 2021–2025. године, који је усвојен у мају 2021. године и који дефинише стратешке смернице и временске рокове у којим ће бити спроведене активности потребне за стварање модерне пореске администрације, која ће, уз коришћење савремених електронских процеса, пружити бољу и свеобухватнију услугу пореским обвезницима и бољу контролу и наплату прихода, односно поспешити борбу против сиве економије, заједно са реформом и модернизацијом инспекцијског надзора. У мају 2022. године уведен је нови модел фискализације (е-фискализација), на основу којег је извршен први круг ревизија. Нови систем је допринео смањењу неусклађености код пореских обвезника и мањем броју негативних мишљења ревизије. Систем за електронску размену фактура (е-фактура) је био следећи корак који је имплементиран почетком 2023. године. Поново је покренут тендер за набавку новог информационог система уз подршку Светске Банке, циљ је да се одмах по имплементацији побољша ефикасност нарочито у области управљања људским ресурсима и обради података и документације. Континуално се ради на праћењу и анализи ПДВ јаза и јаза пореза на добит, где се тренутно врши анализа недостатака у подацима и прилагођавање аналитичких алата. Прелиминарни резултати сугеришу да је ПДВ јаз знатно смањен у односу на 2018. годину. Пореска управа ће бар једном годишње објављивати листу највећих пореских дужника чији дуг превазилази 20 милиона динара. Усвајањем Закона о утврђивању порекла имовине и посебном порезу и образовањем посебне организационе јединице Пореске управе, створили су се услови за унакрсну анализу имовине и прихода лица, а први случајеви ревизије су завршени ове године. Развој нове стратегије људских ресурса за Пореску управу и убрзање процедура запошљавања остају приоритет како би се осигурао адекватан број запослених. Број запослених у Пореској управи је значајно опао током последњих година. Са предстојећим таласом пензионисања великог броја запослених и узимајући у обзир план трансформације која подразумева прелазак на рад са вишим квалификацијама, императив је да се на време запосли адекватан број висококвалификованог особља, што подразумева и адекватне зараде. С тим у вези, од јануара 2025. године покреће се велика кампања запошљавања у Пореској управи, што </w:t>
      </w:r>
      <w:r w:rsidRPr="00AD7E7D">
        <w:rPr>
          <w:rFonts w:cs="Times New Roman"/>
          <w:szCs w:val="24"/>
          <w:lang w:val="sr-Cyrl-CS" w:eastAsia="ja-JP"/>
        </w:rPr>
        <w:lastRenderedPageBreak/>
        <w:t>ће бити потпомогнуто и значајним изменама у систематизацији радних места, олакшаним поступком запошљавања.</w:t>
      </w:r>
    </w:p>
    <w:p w14:paraId="2544E4BB" w14:textId="77777777" w:rsidR="006D0778" w:rsidRPr="00915EC2" w:rsidRDefault="00933940" w:rsidP="00E25CAC">
      <w:pPr>
        <w:pStyle w:val="Heading11"/>
        <w:spacing w:before="180" w:after="180"/>
        <w:rPr>
          <w:rFonts w:ascii="Times New Roman" w:hAnsi="Times New Roman" w:cs="Times New Roman"/>
          <w:color w:val="auto"/>
          <w:sz w:val="24"/>
          <w:szCs w:val="24"/>
          <w:lang w:val="sr-Latn-RS"/>
        </w:rPr>
      </w:pPr>
      <w:bookmarkStart w:id="33" w:name="_Toc185342340"/>
      <w:r w:rsidRPr="00915EC2">
        <w:rPr>
          <w:rFonts w:ascii="Times New Roman" w:hAnsi="Times New Roman" w:cs="Times New Roman"/>
          <w:color w:val="auto"/>
          <w:sz w:val="24"/>
          <w:szCs w:val="24"/>
          <w:lang w:val="sr-Latn-RS"/>
        </w:rPr>
        <w:t>4.</w:t>
      </w:r>
      <w:r w:rsidR="006D0778" w:rsidRPr="00915EC2">
        <w:rPr>
          <w:rFonts w:ascii="Times New Roman" w:hAnsi="Times New Roman" w:cs="Times New Roman"/>
          <w:color w:val="auto"/>
          <w:sz w:val="24"/>
          <w:szCs w:val="24"/>
          <w:lang w:val="sr-Latn-RS"/>
        </w:rPr>
        <w:t>8. ФИСКАЛНО УПРАВЉАЊЕ И БУЏЕТСКИ ОКВИРИ</w:t>
      </w:r>
      <w:bookmarkEnd w:id="32"/>
      <w:bookmarkEnd w:id="33"/>
    </w:p>
    <w:p w14:paraId="5F07AE4D" w14:textId="77777777" w:rsidR="006D0778" w:rsidRPr="00AD7E7D" w:rsidRDefault="006D0778" w:rsidP="002B77D1">
      <w:pPr>
        <w:rPr>
          <w:rFonts w:cs="Times New Roman"/>
          <w:szCs w:val="24"/>
          <w:lang w:val="sr-Cyrl-RS" w:eastAsia="ja-JP"/>
        </w:rPr>
      </w:pPr>
      <w:r w:rsidRPr="00AD7E7D">
        <w:rPr>
          <w:rFonts w:cs="Times New Roman"/>
          <w:szCs w:val="24"/>
          <w:lang w:val="sr-Cyrl-RS" w:eastAsia="ja-JP"/>
        </w:rPr>
        <w:t>Како би се обезбедила стабилност и одрживост јавних финансија на дужи рок потребно је имати функционалан систем фискалних правила. Фискална правила по први пут су уведена Законом о буџетском систему 2010. године. Република Србија је била једна од првих земаља која је законом утврдила национална фискална правила и оформила независну институцију Фискални савет који оцењује Владину економску и фискалну политику, као и поштовање правила. Како су правила постала важећа у току светске економске кризе, нумеричко правило за дуг прекршено је већ у првој години примене. У међувремену фискална правила уводило је све више земаља, поред националних фискалних правила земље чланице ЕУ примењују и правила дефинисана на нивоу ЕУ и ЕМУ. Европска фискална правила су у неколико наврата мењана и редефинисана имајући у виду примену и ефекте до којих је примена правила доводила. Имајући у виду да је од увођења фискалних правила у Републици Србији протекло дванаест година, створили су се услови за њихову измену, узимајући у обзир искуства других земаља, праваца у којима су се мењала фискална правила ЕУ, последице и реаговања фискалне политике на велику економску кризу из 2008. године, али и искуство последње, пре свега здравствене, али и економске кризе коју је изазвала пандемија коронавируса, а након тога и криза изазвана конфликтом у Украјини.</w:t>
      </w:r>
    </w:p>
    <w:p w14:paraId="44B6AE0B" w14:textId="79D03D7E" w:rsidR="006D0778" w:rsidRPr="00AD7E7D" w:rsidRDefault="006D0778" w:rsidP="002B77D1">
      <w:pPr>
        <w:rPr>
          <w:rFonts w:cs="Times New Roman"/>
          <w:szCs w:val="24"/>
          <w:lang w:val="sr-Cyrl-RS" w:eastAsia="ja-JP"/>
        </w:rPr>
      </w:pPr>
      <w:r w:rsidRPr="00AD7E7D">
        <w:rPr>
          <w:rFonts w:cs="Times New Roman"/>
          <w:szCs w:val="24"/>
          <w:lang w:val="sr-Cyrl-RS" w:eastAsia="ja-JP"/>
        </w:rPr>
        <w:t xml:space="preserve">Нови сет фискалних правила саставни је део Закона о изменама и допунама Закона о буџетском систему, усвојеног у децембру 2022. године. </w:t>
      </w:r>
      <w:r w:rsidRPr="00AD7E7D">
        <w:rPr>
          <w:rFonts w:cs="Times New Roman"/>
          <w:szCs w:val="24"/>
          <w:lang w:eastAsia="ja-JP"/>
        </w:rPr>
        <w:t xml:space="preserve">Компонента ограничења дефицита у односу на висину јавног дуга одложена је до 2029. године, а у међувремену ће се примењивати циљеви утврђени </w:t>
      </w:r>
      <w:r w:rsidRPr="00AD7E7D">
        <w:rPr>
          <w:rFonts w:cs="Times New Roman"/>
          <w:szCs w:val="24"/>
          <w:lang w:val="sr-Cyrl-RS" w:eastAsia="ja-JP"/>
        </w:rPr>
        <w:t xml:space="preserve">Ревидираном </w:t>
      </w:r>
      <w:r w:rsidRPr="00AD7E7D">
        <w:rPr>
          <w:rFonts w:cs="Times New Roman"/>
          <w:szCs w:val="24"/>
          <w:lang w:eastAsia="ja-JP"/>
        </w:rPr>
        <w:t>Фискалном стратегијом</w:t>
      </w:r>
      <w:r w:rsidRPr="00AD7E7D">
        <w:rPr>
          <w:rFonts w:cs="Times New Roman"/>
          <w:szCs w:val="24"/>
          <w:lang w:val="sr-Cyrl-RS" w:eastAsia="ja-JP"/>
        </w:rPr>
        <w:t xml:space="preserve"> за 2025. годину са пројекцијама за 2026. и 2027. годину</w:t>
      </w:r>
      <w:r w:rsidRPr="00AD7E7D">
        <w:rPr>
          <w:rFonts w:cs="Times New Roman"/>
          <w:szCs w:val="24"/>
          <w:lang w:eastAsia="ja-JP"/>
        </w:rPr>
        <w:t>.</w:t>
      </w:r>
      <w:r w:rsidR="00CF6476" w:rsidRPr="00AD7E7D">
        <w:rPr>
          <w:rFonts w:cs="Times New Roman"/>
          <w:szCs w:val="24"/>
          <w:lang w:eastAsia="ja-JP"/>
        </w:rPr>
        <w:t xml:space="preserve"> </w:t>
      </w:r>
      <w:r w:rsidRPr="00AD7E7D">
        <w:rPr>
          <w:rFonts w:cs="Times New Roman"/>
          <w:szCs w:val="24"/>
          <w:lang w:eastAsia="ja-JP"/>
        </w:rPr>
        <w:t>Ово је нужно услед новог инвестиционог циклуса у наредном средњорочном периоду (програм „Скок у будућност – Србија 2027”), којим су предвиђена значајна нова улагања у саобраћајну инфраструктуру, рударство, енергетику, пољопривреду, здравство, образовање, културу, заштиту животне средине, регионални развој, безбедност итд. Програмом ће се спровести свеобухватна модернизација државе и повећати животни стандард грађана, истовремено обезбеђујући више стопе раста БДП. Средњорочним планом је предвиђено да дефицити сектора државе износе 3% БДП, што обезбеђује да дуг</w:t>
      </w:r>
      <w:r w:rsidR="005D621B">
        <w:rPr>
          <w:rFonts w:cs="Times New Roman"/>
          <w:szCs w:val="24"/>
          <w:lang w:val="sr-Cyrl-RS" w:eastAsia="ja-JP"/>
        </w:rPr>
        <w:t xml:space="preserve"> сектора државе</w:t>
      </w:r>
      <w:r w:rsidRPr="00AD7E7D">
        <w:rPr>
          <w:rFonts w:cs="Times New Roman"/>
          <w:szCs w:val="24"/>
          <w:lang w:eastAsia="ja-JP"/>
        </w:rPr>
        <w:t xml:space="preserve"> остане на силазној путањи (са 47,9% БДП колико је предвиђено на крају ове године на 46,5% БДП на крају 2027. године) и далеко испод границе од 60% БДП (укључујући обавезе по основу реституције), колико је одређено фискалним правилом. Посебна фискална правила којима се уређује раст плата у сектору државе и пензија на снази су од 2023. године и у складу с тим су планирана повећања плата и пензија у буџету за 2025. годину. С обзиром да се фискална правила односе на сектор државе, било је потребно уредити и поступак и динам</w:t>
      </w:r>
      <w:r w:rsidR="002B77D1" w:rsidRPr="00AD7E7D">
        <w:rPr>
          <w:rFonts w:cs="Times New Roman"/>
          <w:szCs w:val="24"/>
          <w:lang w:eastAsia="ja-JP"/>
        </w:rPr>
        <w:t>ику укључивања нових ентитета у</w:t>
      </w:r>
      <w:r w:rsidRPr="00AD7E7D">
        <w:rPr>
          <w:rFonts w:cs="Times New Roman"/>
          <w:szCs w:val="24"/>
          <w:lang w:eastAsia="ja-JP"/>
        </w:rPr>
        <w:t xml:space="preserve"> обухват сектора државе, у складу с посебном методологијом секторске класификације, коју је утврдио РЗС, у складу са споразумом између РЗС, НБС </w:t>
      </w:r>
      <w:r w:rsidR="002B77D1" w:rsidRPr="00AD7E7D">
        <w:rPr>
          <w:rFonts w:cs="Times New Roman"/>
          <w:szCs w:val="24"/>
          <w:lang w:eastAsia="ja-JP"/>
        </w:rPr>
        <w:t>и Министарства</w:t>
      </w:r>
      <w:r w:rsidRPr="00AD7E7D">
        <w:rPr>
          <w:rFonts w:cs="Times New Roman"/>
          <w:szCs w:val="24"/>
          <w:lang w:eastAsia="ja-JP"/>
        </w:rPr>
        <w:t xml:space="preserve"> финансија. Такође, фискална правила за локалну власт настављају да се примењују на исти начин како је то дефинисано 2010. године, кад су фискална правила у Републици Србији први пут уведена.</w:t>
      </w:r>
    </w:p>
    <w:p w14:paraId="2F3FAF51" w14:textId="77777777" w:rsidR="006D0778" w:rsidRPr="00AD7E7D" w:rsidRDefault="006D0778" w:rsidP="002B77D1">
      <w:pPr>
        <w:rPr>
          <w:rFonts w:cs="Times New Roman"/>
          <w:szCs w:val="24"/>
          <w:lang w:val="sr-Cyrl-RS" w:eastAsia="ja-JP"/>
        </w:rPr>
      </w:pPr>
      <w:r w:rsidRPr="00AD7E7D">
        <w:rPr>
          <w:rFonts w:cs="Times New Roman"/>
          <w:szCs w:val="24"/>
          <w:lang w:val="sr-Cyrl-CS" w:eastAsia="ja-JP"/>
        </w:rPr>
        <w:t xml:space="preserve">Процес јачања значаја средњорочног буџетског оквира се наставља у складу са Акционим планом за унапређење средњорочног буџетског оквира, усвојеним у септембру 2023. године. Циљ овога је да се средњорочно буџетирање учини ефективнијим и више обавезујућим и да се повећа буџетска транспарентност. За буџетски циклус за 2025. годину од великог значаја су били средњорочни лимити </w:t>
      </w:r>
      <w:r w:rsidRPr="00AD7E7D">
        <w:rPr>
          <w:rFonts w:cs="Times New Roman"/>
          <w:szCs w:val="24"/>
          <w:lang w:val="sr-Cyrl-CS" w:eastAsia="ja-JP"/>
        </w:rPr>
        <w:lastRenderedPageBreak/>
        <w:t>постављени приликом претходног буџетског циклуса, који су служили као полазна тачка у разговорима са ресорним министарствима, а и сама министарства су све боље упозната са оваквим приступом буџетирању, што побољшава квалитет њихових процена и пројекција, а самим тим и укупног буџетског процеса. Једна од новости је и увођење тзв. зеленог буџетирања, методологија зеленог буџетирања је по први пут уведена за републички буџет у буџетском циклусу за следећу годину.</w:t>
      </w:r>
    </w:p>
    <w:p w14:paraId="39358FAB" w14:textId="77777777" w:rsidR="00056C94" w:rsidRDefault="006D0778" w:rsidP="002B77D1">
      <w:pPr>
        <w:rPr>
          <w:rFonts w:cs="Times New Roman"/>
          <w:szCs w:val="24"/>
          <w:lang w:eastAsia="ja-JP"/>
        </w:rPr>
      </w:pPr>
      <w:r w:rsidRPr="00AD7E7D">
        <w:rPr>
          <w:rFonts w:cs="Times New Roman"/>
          <w:szCs w:val="24"/>
          <w:lang w:eastAsia="ja-JP"/>
        </w:rPr>
        <w:t>Побољшање квалитета и транспарентности статистике државних финансија</w:t>
      </w:r>
      <w:r w:rsidRPr="00AD7E7D">
        <w:rPr>
          <w:rFonts w:cs="Times New Roman"/>
          <w:b/>
          <w:bCs/>
          <w:szCs w:val="24"/>
          <w:lang w:eastAsia="ja-JP"/>
        </w:rPr>
        <w:t xml:space="preserve"> </w:t>
      </w:r>
      <w:r w:rsidRPr="00AD7E7D">
        <w:rPr>
          <w:rFonts w:cs="Times New Roman"/>
          <w:szCs w:val="24"/>
          <w:lang w:eastAsia="ja-JP"/>
        </w:rPr>
        <w:t>врши се кроз унапређење свеобухватне, правовремене и аутоматске размене података између надлежних институција – Републичког завода за статистику, Народне банке Србије и Министарства финансија, у складу са Споразумом о сарадњи у области статистике националних рачуна сектора државе и с њом повезаних статистика. У априлу 2018. године Републички завод за статистику је објавио листу институција које чине сектор државе, као и остале секторе, у складу са Европским системом националних и регионалних рачуна (ESA 2010), Системом националних рачуна (SNA 2008) и Приручником о дефициту и дугу сектора државе, која је урађена у сарадњи са Народном банком Србије и Министарством финансија. Управа за јавни дуг од средине 2021. тромесечно објављује податке о мастришком дугу, који израђује Народна банка Србије у складу са ESA 2010</w:t>
      </w:r>
      <w:r w:rsidRPr="00AD7E7D">
        <w:rPr>
          <w:rFonts w:cs="Times New Roman"/>
          <w:b/>
          <w:bCs/>
          <w:szCs w:val="24"/>
          <w:lang w:eastAsia="ja-JP"/>
        </w:rPr>
        <w:t>.</w:t>
      </w:r>
      <w:r w:rsidRPr="00AD7E7D">
        <w:rPr>
          <w:rFonts w:cs="Times New Roman"/>
          <w:szCs w:val="24"/>
          <w:lang w:eastAsia="ja-JP"/>
        </w:rPr>
        <w:t xml:space="preserve"> У току је пројекат у сарадњи са ММФ који има за циљ да се у оквиру Управе за трезор, као централног информационог система и свеобухватне базе података изгради систем који ће омогућити прикупљање и консолидацију података за сектор државе како по националној методологији тако и по методологији GFSM 2014, укључујући и месечно извештавање о јавном дугу, кроз постепено увођење институција у његов обухват.</w:t>
      </w:r>
      <w:r w:rsidR="00056C94">
        <w:rPr>
          <w:rFonts w:cs="Times New Roman"/>
          <w:szCs w:val="24"/>
          <w:lang w:eastAsia="ja-JP"/>
        </w:rPr>
        <w:br w:type="page"/>
      </w:r>
    </w:p>
    <w:p w14:paraId="56D55369" w14:textId="77777777" w:rsidR="00A8098E" w:rsidRPr="00933940" w:rsidRDefault="00933940" w:rsidP="00E25CAC">
      <w:pPr>
        <w:pStyle w:val="Heading1"/>
        <w:spacing w:after="240"/>
        <w:rPr>
          <w:rFonts w:ascii="Times New Roman" w:eastAsiaTheme="minorHAnsi" w:hAnsi="Times New Roman" w:cs="Times New Roman"/>
          <w:b/>
          <w:color w:val="auto"/>
          <w:sz w:val="24"/>
          <w:szCs w:val="24"/>
          <w:lang w:val="sr-Latn-RS"/>
        </w:rPr>
      </w:pPr>
      <w:bookmarkStart w:id="34" w:name="_Toc185342341"/>
      <w:r w:rsidRPr="00E25CAC">
        <w:rPr>
          <w:rFonts w:ascii="Times New Roman" w:eastAsiaTheme="minorHAnsi" w:hAnsi="Times New Roman" w:cs="Times New Roman"/>
          <w:b/>
          <w:color w:val="auto"/>
          <w:sz w:val="24"/>
          <w:szCs w:val="24"/>
          <w:lang w:val="sr-Latn-RS"/>
        </w:rPr>
        <w:lastRenderedPageBreak/>
        <w:t>5</w:t>
      </w:r>
      <w:r w:rsidR="00A8098E" w:rsidRPr="00933940">
        <w:rPr>
          <w:rFonts w:ascii="Times New Roman" w:eastAsiaTheme="minorHAnsi" w:hAnsi="Times New Roman" w:cs="Times New Roman"/>
          <w:b/>
          <w:color w:val="auto"/>
          <w:sz w:val="24"/>
          <w:szCs w:val="24"/>
          <w:lang w:val="sr-Latn-RS"/>
        </w:rPr>
        <w:t xml:space="preserve">A. </w:t>
      </w:r>
      <w:r w:rsidR="00915EC2" w:rsidRPr="00E25CAC">
        <w:rPr>
          <w:rFonts w:ascii="Times New Roman" w:eastAsiaTheme="minorHAnsi" w:hAnsi="Times New Roman" w:cs="Times New Roman"/>
          <w:b/>
          <w:color w:val="auto"/>
          <w:sz w:val="24"/>
          <w:szCs w:val="24"/>
          <w:lang w:val="sr-Latn-RS"/>
        </w:rPr>
        <w:t>УСКЛАЂЕНОСТ РЕФОРМСКЕ АГЕНДЕ СА МАКРОФИСКАЛНИМ ОКВИРОМ ЕРП-А</w:t>
      </w:r>
      <w:bookmarkEnd w:id="34"/>
    </w:p>
    <w:p w14:paraId="50EDB723" w14:textId="77777777" w:rsidR="00A8098E" w:rsidRPr="00AD7E7D" w:rsidRDefault="00A8098E" w:rsidP="00A92544">
      <w:pPr>
        <w:spacing w:before="120" w:after="0"/>
        <w:rPr>
          <w:rFonts w:cs="Times New Roman"/>
          <w:szCs w:val="24"/>
          <w:lang w:val="sr-Cyrl-RS"/>
        </w:rPr>
      </w:pPr>
      <w:r w:rsidRPr="00AD7E7D">
        <w:rPr>
          <w:rFonts w:cs="Times New Roman"/>
          <w:szCs w:val="24"/>
          <w:lang w:val="sr-Cyrl-RS"/>
        </w:rPr>
        <w:t>Реформска агенда Републике Србије, као централни део Плана раста ЕУ за Западни Балкан, представља стратешки оквир за убрзање реформи које доприносе економском и друштвеном приближавању Европској унији. Фокусирана је на четири главне области: побољшање пословног окружења и развој приватног сектора, зелену и дигиталну транзицију, унапређење људског капитала и основне реформе које обухватају владавину права, транспарентност и борбу против корупције.</w:t>
      </w:r>
      <w:r w:rsidRPr="00AD7E7D">
        <w:rPr>
          <w:rFonts w:cs="Times New Roman"/>
          <w:szCs w:val="24"/>
        </w:rPr>
        <w:t xml:space="preserve"> </w:t>
      </w:r>
      <w:r w:rsidRPr="00AD7E7D">
        <w:rPr>
          <w:rFonts w:cs="Times New Roman"/>
          <w:szCs w:val="24"/>
          <w:lang w:val="sr-Cyrl-RS"/>
        </w:rPr>
        <w:t>Уз ангажовање Владе и заинтересованих страна, Србија ће радити на решавању приоритетних изазова, спровођењу структурних реформи и очувању фискалне и макроекономске стабилности.</w:t>
      </w:r>
    </w:p>
    <w:p w14:paraId="4A97AB4E" w14:textId="77777777" w:rsidR="00A92544" w:rsidRDefault="00A92544" w:rsidP="00A92544">
      <w:pPr>
        <w:spacing w:before="120" w:after="0"/>
        <w:rPr>
          <w:rFonts w:cs="Times New Roman"/>
          <w:b/>
          <w:bCs/>
          <w:szCs w:val="24"/>
          <w:lang w:val="sr-Cyrl-RS"/>
        </w:rPr>
      </w:pPr>
    </w:p>
    <w:p w14:paraId="3793B743" w14:textId="77777777" w:rsidR="00A92544" w:rsidRPr="00AD7E7D" w:rsidRDefault="00A8098E" w:rsidP="00A92544">
      <w:pPr>
        <w:spacing w:before="120" w:after="0"/>
        <w:rPr>
          <w:rFonts w:cs="Times New Roman"/>
          <w:b/>
          <w:bCs/>
          <w:szCs w:val="24"/>
          <w:lang w:val="sr-Cyrl-RS"/>
        </w:rPr>
      </w:pPr>
      <w:r w:rsidRPr="00AD7E7D">
        <w:rPr>
          <w:rFonts w:cs="Times New Roman"/>
          <w:b/>
          <w:bCs/>
          <w:szCs w:val="24"/>
          <w:lang w:val="sr-Cyrl-RS"/>
        </w:rPr>
        <w:t>Преглед реформи и циљева:</w:t>
      </w:r>
    </w:p>
    <w:p w14:paraId="38EA5CB5" w14:textId="77777777" w:rsidR="00A8098E" w:rsidRPr="00AD7E7D" w:rsidRDefault="001A04CA" w:rsidP="00A92544">
      <w:pPr>
        <w:spacing w:before="120" w:after="0"/>
        <w:rPr>
          <w:rFonts w:cs="Times New Roman"/>
          <w:b/>
          <w:bCs/>
          <w:szCs w:val="24"/>
        </w:rPr>
      </w:pPr>
      <w:r>
        <w:rPr>
          <w:rFonts w:cs="Times New Roman"/>
          <w:b/>
          <w:bCs/>
          <w:szCs w:val="24"/>
        </w:rPr>
        <w:t xml:space="preserve">1. </w:t>
      </w:r>
      <w:r>
        <w:rPr>
          <w:rFonts w:cs="Times New Roman"/>
          <w:b/>
          <w:bCs/>
          <w:szCs w:val="24"/>
          <w:lang w:val="sr-Cyrl-RS"/>
        </w:rPr>
        <w:t>Развој п</w:t>
      </w:r>
      <w:r w:rsidR="00A8098E" w:rsidRPr="00AD7E7D">
        <w:rPr>
          <w:rFonts w:cs="Times New Roman"/>
          <w:b/>
          <w:bCs/>
          <w:szCs w:val="24"/>
        </w:rPr>
        <w:t>ословно</w:t>
      </w:r>
      <w:r>
        <w:rPr>
          <w:rFonts w:cs="Times New Roman"/>
          <w:b/>
          <w:bCs/>
          <w:szCs w:val="24"/>
          <w:lang w:val="sr-Cyrl-RS"/>
        </w:rPr>
        <w:t>г</w:t>
      </w:r>
      <w:r>
        <w:rPr>
          <w:rFonts w:cs="Times New Roman"/>
          <w:b/>
          <w:bCs/>
          <w:szCs w:val="24"/>
        </w:rPr>
        <w:t xml:space="preserve"> окружења</w:t>
      </w:r>
      <w:r w:rsidR="00A8098E" w:rsidRPr="00AD7E7D">
        <w:rPr>
          <w:rFonts w:cs="Times New Roman"/>
          <w:b/>
          <w:bCs/>
          <w:szCs w:val="24"/>
        </w:rPr>
        <w:t xml:space="preserve"> и приватног сектора</w:t>
      </w:r>
    </w:p>
    <w:p w14:paraId="11F35DA7" w14:textId="77777777" w:rsidR="00A8098E" w:rsidRPr="00AD7E7D" w:rsidRDefault="00A8098E" w:rsidP="00A92544">
      <w:pPr>
        <w:numPr>
          <w:ilvl w:val="0"/>
          <w:numId w:val="34"/>
        </w:numPr>
        <w:spacing w:before="120" w:after="0"/>
        <w:jc w:val="left"/>
        <w:rPr>
          <w:rFonts w:eastAsia="Times New Roman" w:cs="Times New Roman"/>
          <w:szCs w:val="24"/>
        </w:rPr>
      </w:pPr>
      <w:r w:rsidRPr="00AD7E7D">
        <w:rPr>
          <w:rFonts w:eastAsia="Times New Roman" w:cs="Times New Roman"/>
          <w:b/>
          <w:bCs/>
          <w:szCs w:val="24"/>
        </w:rPr>
        <w:t>Пословно окружење:</w:t>
      </w:r>
    </w:p>
    <w:p w14:paraId="405C9799" w14:textId="77777777" w:rsidR="006C46A3" w:rsidRPr="006B6A89" w:rsidRDefault="00A8098E" w:rsidP="00A92544">
      <w:pPr>
        <w:numPr>
          <w:ilvl w:val="1"/>
          <w:numId w:val="34"/>
        </w:numPr>
        <w:spacing w:before="120" w:after="0"/>
        <w:rPr>
          <w:rFonts w:eastAsia="Times New Roman" w:cs="Times New Roman"/>
          <w:szCs w:val="24"/>
        </w:rPr>
      </w:pPr>
      <w:r w:rsidRPr="00AD7E7D">
        <w:rPr>
          <w:rFonts w:eastAsia="Times New Roman" w:cs="Times New Roman"/>
          <w:szCs w:val="24"/>
        </w:rPr>
        <w:t xml:space="preserve">Унапређење управљања </w:t>
      </w:r>
      <w:r w:rsidR="00145836">
        <w:rPr>
          <w:rFonts w:eastAsia="Times New Roman" w:cs="Times New Roman"/>
          <w:szCs w:val="24"/>
          <w:lang w:val="sr-Cyrl-RS"/>
        </w:rPr>
        <w:t xml:space="preserve">јавним инвестицијама и одрживог и ефикасног управљања </w:t>
      </w:r>
      <w:r w:rsidRPr="00AD7E7D">
        <w:rPr>
          <w:rFonts w:eastAsia="Times New Roman" w:cs="Times New Roman"/>
          <w:szCs w:val="24"/>
        </w:rPr>
        <w:t xml:space="preserve">пословним субјектима у власништву </w:t>
      </w:r>
      <w:r w:rsidR="00145836">
        <w:rPr>
          <w:rFonts w:eastAsia="Times New Roman" w:cs="Times New Roman"/>
          <w:szCs w:val="24"/>
          <w:lang w:val="sr-Cyrl-RS"/>
        </w:rPr>
        <w:t>Републике Србије.</w:t>
      </w:r>
    </w:p>
    <w:p w14:paraId="3B30B0CF" w14:textId="77777777" w:rsidR="00A8098E" w:rsidRPr="00AD7E7D" w:rsidRDefault="00A8098E" w:rsidP="00A92544">
      <w:pPr>
        <w:numPr>
          <w:ilvl w:val="0"/>
          <w:numId w:val="34"/>
        </w:numPr>
        <w:spacing w:before="120" w:after="0"/>
        <w:rPr>
          <w:rFonts w:eastAsia="Times New Roman" w:cs="Times New Roman"/>
          <w:szCs w:val="24"/>
        </w:rPr>
      </w:pPr>
      <w:r w:rsidRPr="00AD7E7D">
        <w:rPr>
          <w:rFonts w:eastAsia="Times New Roman" w:cs="Times New Roman"/>
          <w:b/>
          <w:bCs/>
          <w:szCs w:val="24"/>
        </w:rPr>
        <w:t>Развој приватног сектора:</w:t>
      </w:r>
    </w:p>
    <w:p w14:paraId="55FBC213" w14:textId="77777777" w:rsidR="00A8098E" w:rsidRPr="00AD7E7D" w:rsidRDefault="007E0C93" w:rsidP="00A92544">
      <w:pPr>
        <w:numPr>
          <w:ilvl w:val="1"/>
          <w:numId w:val="34"/>
        </w:numPr>
        <w:spacing w:before="120" w:after="0"/>
        <w:rPr>
          <w:rFonts w:eastAsia="Times New Roman" w:cs="Times New Roman"/>
          <w:szCs w:val="24"/>
        </w:rPr>
      </w:pPr>
      <w:r>
        <w:rPr>
          <w:rFonts w:eastAsia="Times New Roman" w:cs="Times New Roman"/>
          <w:szCs w:val="24"/>
          <w:lang w:val="sr-Cyrl-RS"/>
        </w:rPr>
        <w:t>Унапређење инвестиционих и развојних могућности за предузетнике и приватни сектор.</w:t>
      </w:r>
    </w:p>
    <w:p w14:paraId="36513AAE" w14:textId="77777777" w:rsidR="00A8098E" w:rsidRPr="00AD7E7D" w:rsidRDefault="007E0C93" w:rsidP="00A92544">
      <w:pPr>
        <w:numPr>
          <w:ilvl w:val="1"/>
          <w:numId w:val="34"/>
        </w:numPr>
        <w:spacing w:before="120" w:after="0"/>
        <w:rPr>
          <w:rFonts w:eastAsia="Times New Roman" w:cs="Times New Roman"/>
          <w:szCs w:val="24"/>
        </w:rPr>
      </w:pPr>
      <w:r>
        <w:rPr>
          <w:rFonts w:eastAsia="Times New Roman" w:cs="Times New Roman"/>
          <w:szCs w:val="24"/>
          <w:lang w:val="sr-Cyrl-RS"/>
        </w:rPr>
        <w:t>Даљи развој научног и иновационог екосистема за економију засновану на знању.</w:t>
      </w:r>
    </w:p>
    <w:p w14:paraId="6544EEA4" w14:textId="77777777" w:rsidR="00A8098E" w:rsidRPr="00AD7E7D" w:rsidRDefault="00A8098E" w:rsidP="00A92544">
      <w:pPr>
        <w:numPr>
          <w:ilvl w:val="0"/>
          <w:numId w:val="34"/>
        </w:numPr>
        <w:spacing w:before="120" w:after="0"/>
        <w:rPr>
          <w:rFonts w:eastAsia="Times New Roman" w:cs="Times New Roman"/>
          <w:szCs w:val="24"/>
        </w:rPr>
      </w:pPr>
      <w:r w:rsidRPr="00AD7E7D">
        <w:rPr>
          <w:rFonts w:eastAsia="Times New Roman" w:cs="Times New Roman"/>
          <w:b/>
          <w:bCs/>
          <w:szCs w:val="24"/>
        </w:rPr>
        <w:t>Конкурентност пословног сектора:</w:t>
      </w:r>
    </w:p>
    <w:p w14:paraId="2083E3B8" w14:textId="77777777" w:rsidR="0030630A" w:rsidRPr="00A92544" w:rsidRDefault="0030630A" w:rsidP="00A92544">
      <w:pPr>
        <w:numPr>
          <w:ilvl w:val="1"/>
          <w:numId w:val="34"/>
        </w:numPr>
        <w:spacing w:before="120" w:after="0"/>
        <w:rPr>
          <w:rFonts w:eastAsia="Times New Roman" w:cs="Times New Roman"/>
          <w:szCs w:val="24"/>
        </w:rPr>
      </w:pPr>
      <w:r>
        <w:rPr>
          <w:rFonts w:eastAsia="Times New Roman" w:cs="Times New Roman"/>
          <w:szCs w:val="24"/>
          <w:lang w:val="sr-Cyrl-RS"/>
        </w:rPr>
        <w:t>Побољшање конкурентности пољопривредног сектора.</w:t>
      </w:r>
    </w:p>
    <w:p w14:paraId="7EC3D106" w14:textId="77777777" w:rsidR="00F02099" w:rsidRDefault="00A92544" w:rsidP="00A92544">
      <w:pPr>
        <w:spacing w:before="120" w:after="0"/>
      </w:pPr>
      <w:r>
        <w:rPr>
          <w:rFonts w:cs="Times New Roman"/>
          <w:szCs w:val="24"/>
          <w:lang w:val="sr-Cyrl-RS"/>
        </w:rPr>
        <w:t xml:space="preserve">Циљ: </w:t>
      </w:r>
      <w:r w:rsidR="00F02099">
        <w:rPr>
          <w:rFonts w:cs="Times New Roman"/>
          <w:szCs w:val="24"/>
          <w:lang w:val="sr-Cyrl-RS"/>
        </w:rPr>
        <w:t>У</w:t>
      </w:r>
      <w:r w:rsidR="00F02099">
        <w:t>напређење ефикасног управљања пословним субјектима у власништву Републике Србије, унапређење општег управљања капиталним пројектима</w:t>
      </w:r>
      <w:r w:rsidR="00F02099">
        <w:rPr>
          <w:lang w:val="sr-Cyrl-RS"/>
        </w:rPr>
        <w:t xml:space="preserve">, </w:t>
      </w:r>
      <w:r w:rsidR="00F02099">
        <w:t xml:space="preserve"> унапређење инвестиционих и развојних могућности за предузетнике и приватни сектор кроз боље спровођење правила о државној помоћи и јавним набавкама, побољшану идентификацију парафискалних намета, повећање конкурентности пољопривредног сектора</w:t>
      </w:r>
      <w:r w:rsidR="00F02099">
        <w:rPr>
          <w:lang w:val="sr-Cyrl-RS"/>
        </w:rPr>
        <w:t xml:space="preserve"> и </w:t>
      </w:r>
      <w:r w:rsidR="00F02099">
        <w:t>развој научног и иновационог екосистема неопходног за даљи развој економије засноване на знању.</w:t>
      </w:r>
    </w:p>
    <w:p w14:paraId="3936C273" w14:textId="77777777" w:rsidR="00F02099" w:rsidRDefault="00F02099" w:rsidP="00A92544">
      <w:pPr>
        <w:spacing w:before="120" w:after="0"/>
        <w:rPr>
          <w:rFonts w:eastAsia="Calibri" w:cs="Times New Roman"/>
          <w:b/>
          <w:bCs/>
          <w:szCs w:val="24"/>
        </w:rPr>
      </w:pPr>
    </w:p>
    <w:p w14:paraId="04CE8594" w14:textId="77777777" w:rsidR="00A8098E" w:rsidRPr="00AD7E7D" w:rsidRDefault="00A8098E" w:rsidP="00A92544">
      <w:pPr>
        <w:spacing w:before="120" w:after="0"/>
        <w:rPr>
          <w:rFonts w:eastAsia="Calibri" w:cs="Times New Roman"/>
          <w:b/>
          <w:bCs/>
          <w:szCs w:val="24"/>
        </w:rPr>
      </w:pPr>
      <w:r w:rsidRPr="00AD7E7D">
        <w:rPr>
          <w:rFonts w:eastAsia="Calibri" w:cs="Times New Roman"/>
          <w:b/>
          <w:bCs/>
          <w:szCs w:val="24"/>
        </w:rPr>
        <w:t>2. Зелена и дигитална транзиција</w:t>
      </w:r>
    </w:p>
    <w:p w14:paraId="01E74367" w14:textId="77777777" w:rsidR="00A8098E" w:rsidRPr="00AD7E7D" w:rsidRDefault="00A8098E" w:rsidP="00A92544">
      <w:pPr>
        <w:numPr>
          <w:ilvl w:val="0"/>
          <w:numId w:val="35"/>
        </w:numPr>
        <w:spacing w:before="120" w:after="0"/>
        <w:jc w:val="left"/>
        <w:rPr>
          <w:rFonts w:eastAsia="Times New Roman" w:cs="Times New Roman"/>
          <w:szCs w:val="24"/>
        </w:rPr>
      </w:pPr>
      <w:r w:rsidRPr="00AD7E7D">
        <w:rPr>
          <w:rFonts w:eastAsia="Times New Roman" w:cs="Times New Roman"/>
          <w:b/>
          <w:bCs/>
          <w:szCs w:val="24"/>
        </w:rPr>
        <w:t xml:space="preserve">Трансформација </w:t>
      </w:r>
      <w:r w:rsidR="00393642">
        <w:rPr>
          <w:rFonts w:eastAsia="Times New Roman" w:cs="Times New Roman"/>
          <w:b/>
          <w:bCs/>
          <w:szCs w:val="24"/>
          <w:lang w:val="sr-Cyrl-RS"/>
        </w:rPr>
        <w:t xml:space="preserve">сектора </w:t>
      </w:r>
      <w:r w:rsidRPr="00AD7E7D">
        <w:rPr>
          <w:rFonts w:eastAsia="Times New Roman" w:cs="Times New Roman"/>
          <w:b/>
          <w:bCs/>
          <w:szCs w:val="24"/>
        </w:rPr>
        <w:t>енергетике:</w:t>
      </w:r>
    </w:p>
    <w:p w14:paraId="20118895" w14:textId="77777777" w:rsidR="00393642" w:rsidRDefault="00393642" w:rsidP="00A92544">
      <w:pPr>
        <w:numPr>
          <w:ilvl w:val="1"/>
          <w:numId w:val="35"/>
        </w:numPr>
        <w:spacing w:before="120" w:after="0"/>
        <w:rPr>
          <w:rFonts w:eastAsia="Times New Roman" w:cs="Times New Roman"/>
          <w:szCs w:val="24"/>
        </w:rPr>
      </w:pPr>
      <w:r>
        <w:t>Спровођење Трећег енергетског пакета за гас и преношење, као и спровођење пакета за интеграцију електричне енергије</w:t>
      </w:r>
      <w:r>
        <w:rPr>
          <w:lang w:val="sr-Cyrl-RS"/>
        </w:rPr>
        <w:t>.</w:t>
      </w:r>
    </w:p>
    <w:p w14:paraId="5BB17E84" w14:textId="77777777" w:rsidR="00393642" w:rsidRPr="00393642" w:rsidRDefault="00393642" w:rsidP="00A92544">
      <w:pPr>
        <w:numPr>
          <w:ilvl w:val="1"/>
          <w:numId w:val="35"/>
        </w:numPr>
        <w:spacing w:before="120" w:after="0"/>
        <w:rPr>
          <w:rFonts w:eastAsia="Times New Roman" w:cs="Times New Roman"/>
          <w:szCs w:val="24"/>
        </w:rPr>
      </w:pPr>
      <w:r>
        <w:t>Постепено прилагођавање тарифа до нивоа повраћаја трошкова уз мере за решавање енергетског сиромаштва уколико и када је неопходно</w:t>
      </w:r>
      <w:r>
        <w:rPr>
          <w:lang w:val="sr-Cyrl-RS"/>
        </w:rPr>
        <w:t>.</w:t>
      </w:r>
    </w:p>
    <w:p w14:paraId="434F7C3F" w14:textId="77777777" w:rsidR="00A8098E" w:rsidRPr="00AD7E7D" w:rsidRDefault="00393642" w:rsidP="00A92544">
      <w:pPr>
        <w:numPr>
          <w:ilvl w:val="1"/>
          <w:numId w:val="35"/>
        </w:numPr>
        <w:spacing w:before="120" w:after="0"/>
        <w:rPr>
          <w:rFonts w:eastAsia="Times New Roman" w:cs="Times New Roman"/>
          <w:szCs w:val="24"/>
        </w:rPr>
      </w:pPr>
      <w:r>
        <w:t>Спровођење Акционог плана за праведну транзицију</w:t>
      </w:r>
      <w:r>
        <w:rPr>
          <w:lang w:val="sr-Cyrl-RS"/>
        </w:rPr>
        <w:t>.</w:t>
      </w:r>
    </w:p>
    <w:p w14:paraId="5B5E651C" w14:textId="77777777" w:rsidR="00393642" w:rsidRPr="00D3192C" w:rsidRDefault="00393642" w:rsidP="00A92544">
      <w:pPr>
        <w:numPr>
          <w:ilvl w:val="1"/>
          <w:numId w:val="35"/>
        </w:numPr>
        <w:spacing w:before="120" w:after="0"/>
        <w:rPr>
          <w:rFonts w:eastAsia="Times New Roman" w:cs="Times New Roman"/>
          <w:szCs w:val="24"/>
        </w:rPr>
      </w:pPr>
      <w:r>
        <w:t>Обезбеђивање транспарентних и конкурентних процедура за увођење обновљиве енергије</w:t>
      </w:r>
      <w:r>
        <w:rPr>
          <w:lang w:val="sr-Cyrl-RS"/>
        </w:rPr>
        <w:t>.</w:t>
      </w:r>
    </w:p>
    <w:p w14:paraId="4F59D669" w14:textId="77777777" w:rsidR="00D3192C" w:rsidRDefault="00D3192C" w:rsidP="00A92544">
      <w:pPr>
        <w:numPr>
          <w:ilvl w:val="1"/>
          <w:numId w:val="35"/>
        </w:numPr>
        <w:spacing w:before="120" w:after="0"/>
        <w:rPr>
          <w:rFonts w:eastAsia="Times New Roman" w:cs="Times New Roman"/>
          <w:szCs w:val="24"/>
        </w:rPr>
      </w:pPr>
      <w:r>
        <w:lastRenderedPageBreak/>
        <w:t>Спровођење Директиве о обновљивој енергији (дозволе, гаранције порекла, купци-произвођачи (prosumers))</w:t>
      </w:r>
      <w:r>
        <w:rPr>
          <w:lang w:val="sr-Cyrl-RS"/>
        </w:rPr>
        <w:t>.</w:t>
      </w:r>
    </w:p>
    <w:p w14:paraId="448361EC" w14:textId="77777777" w:rsidR="00D3192C" w:rsidRPr="00D3192C" w:rsidRDefault="00D3192C" w:rsidP="00A92544">
      <w:pPr>
        <w:numPr>
          <w:ilvl w:val="1"/>
          <w:numId w:val="35"/>
        </w:numPr>
        <w:spacing w:before="120" w:after="0"/>
        <w:rPr>
          <w:rFonts w:eastAsia="Times New Roman" w:cs="Times New Roman"/>
          <w:szCs w:val="24"/>
        </w:rPr>
      </w:pPr>
      <w:r>
        <w:t>Спровођење пакета MRVA22</w:t>
      </w:r>
      <w:r>
        <w:rPr>
          <w:lang w:val="sr-Cyrl-RS"/>
        </w:rPr>
        <w:t>.</w:t>
      </w:r>
    </w:p>
    <w:p w14:paraId="7F506429" w14:textId="77777777" w:rsidR="00D3192C" w:rsidRPr="00D3192C" w:rsidRDefault="00D3192C" w:rsidP="00A92544">
      <w:pPr>
        <w:numPr>
          <w:ilvl w:val="1"/>
          <w:numId w:val="35"/>
        </w:numPr>
        <w:spacing w:before="120" w:after="0"/>
        <w:rPr>
          <w:rFonts w:eastAsia="Times New Roman" w:cs="Times New Roman"/>
          <w:szCs w:val="24"/>
        </w:rPr>
      </w:pPr>
      <w:r>
        <w:t>Спровођење Директиве о енергетској ефикасности, Директиве о енергетским својствима зграда, еко-дизајну и прописима о енергетском означавању</w:t>
      </w:r>
      <w:r>
        <w:rPr>
          <w:lang w:val="sr-Cyrl-RS"/>
        </w:rPr>
        <w:t>.</w:t>
      </w:r>
    </w:p>
    <w:p w14:paraId="4A1F7965" w14:textId="77777777" w:rsidR="00A8098E" w:rsidRPr="00AD7E7D" w:rsidRDefault="00A8098E" w:rsidP="00A92544">
      <w:pPr>
        <w:numPr>
          <w:ilvl w:val="0"/>
          <w:numId w:val="35"/>
        </w:numPr>
        <w:spacing w:before="120" w:after="0"/>
        <w:jc w:val="left"/>
        <w:rPr>
          <w:rFonts w:eastAsia="Times New Roman" w:cs="Times New Roman"/>
          <w:szCs w:val="24"/>
        </w:rPr>
      </w:pPr>
      <w:r w:rsidRPr="00AD7E7D">
        <w:rPr>
          <w:rFonts w:eastAsia="Times New Roman" w:cs="Times New Roman"/>
          <w:b/>
          <w:bCs/>
          <w:szCs w:val="24"/>
        </w:rPr>
        <w:t>Дигитализација:</w:t>
      </w:r>
    </w:p>
    <w:p w14:paraId="34810550" w14:textId="77777777" w:rsidR="00677296" w:rsidRDefault="00677296" w:rsidP="00A92544">
      <w:pPr>
        <w:numPr>
          <w:ilvl w:val="1"/>
          <w:numId w:val="35"/>
        </w:numPr>
        <w:spacing w:before="120" w:after="0"/>
        <w:jc w:val="left"/>
        <w:rPr>
          <w:rFonts w:eastAsia="Times New Roman" w:cs="Times New Roman"/>
          <w:szCs w:val="24"/>
        </w:rPr>
      </w:pPr>
      <w:r>
        <w:t>Развој сигурне и одрживе дигиталне инфраструктуре, укључујући развој широкопојасног приступа у руралним пределима и 5Г мрежа</w:t>
      </w:r>
      <w:r>
        <w:rPr>
          <w:rFonts w:eastAsia="Times New Roman" w:cs="Times New Roman"/>
          <w:szCs w:val="24"/>
          <w:lang w:val="sr-Cyrl-RS"/>
        </w:rPr>
        <w:t>.</w:t>
      </w:r>
    </w:p>
    <w:p w14:paraId="54B59DEF" w14:textId="77777777" w:rsidR="00A8098E" w:rsidRDefault="00677296" w:rsidP="00A92544">
      <w:pPr>
        <w:numPr>
          <w:ilvl w:val="1"/>
          <w:numId w:val="35"/>
        </w:numPr>
        <w:spacing w:before="120" w:after="0"/>
        <w:jc w:val="left"/>
        <w:rPr>
          <w:rFonts w:eastAsia="Times New Roman" w:cs="Times New Roman"/>
          <w:szCs w:val="24"/>
        </w:rPr>
      </w:pPr>
      <w:r>
        <w:t>Даља дигитализација јавних услуга и административних процедура за предузећа и грађане</w:t>
      </w:r>
      <w:r w:rsidR="00A8098E" w:rsidRPr="00AD7E7D">
        <w:rPr>
          <w:rFonts w:eastAsia="Times New Roman" w:cs="Times New Roman"/>
          <w:szCs w:val="24"/>
        </w:rPr>
        <w:t>.</w:t>
      </w:r>
    </w:p>
    <w:p w14:paraId="5678CBCA" w14:textId="77777777" w:rsidR="001D2A56" w:rsidRPr="001D2A56" w:rsidRDefault="001D2A56" w:rsidP="00A92544">
      <w:pPr>
        <w:numPr>
          <w:ilvl w:val="1"/>
          <w:numId w:val="35"/>
        </w:numPr>
        <w:spacing w:before="120" w:after="0"/>
        <w:rPr>
          <w:rFonts w:eastAsia="Times New Roman" w:cs="Times New Roman"/>
          <w:szCs w:val="24"/>
        </w:rPr>
      </w:pPr>
      <w:r>
        <w:t>Јачање образовања одраслих, обука и релевантних могућности усавршавања дигиталних вештина и писмености.</w:t>
      </w:r>
    </w:p>
    <w:p w14:paraId="732EE8C9" w14:textId="77777777" w:rsidR="001D2A56" w:rsidRPr="001D2A56" w:rsidRDefault="001D2A56" w:rsidP="00A92544">
      <w:pPr>
        <w:numPr>
          <w:ilvl w:val="1"/>
          <w:numId w:val="35"/>
        </w:numPr>
        <w:spacing w:before="120" w:after="0"/>
        <w:rPr>
          <w:rFonts w:eastAsia="Times New Roman" w:cs="Times New Roman"/>
          <w:szCs w:val="24"/>
        </w:rPr>
      </w:pPr>
      <w:r>
        <w:t>Успостављање свеобухватног оквира за информациону безбедност и вештачку интелигенцију.</w:t>
      </w:r>
    </w:p>
    <w:p w14:paraId="69A55024" w14:textId="77777777" w:rsidR="001D2A56" w:rsidRPr="00AD7E7D" w:rsidRDefault="001D2A56" w:rsidP="00A92544">
      <w:pPr>
        <w:numPr>
          <w:ilvl w:val="1"/>
          <w:numId w:val="35"/>
        </w:numPr>
        <w:spacing w:before="120" w:after="0"/>
        <w:rPr>
          <w:rFonts w:eastAsia="Times New Roman" w:cs="Times New Roman"/>
          <w:szCs w:val="24"/>
        </w:rPr>
      </w:pPr>
      <w:r>
        <w:t>Увођење интелигентног транспортног система и електронског система теретног саобраћаја</w:t>
      </w:r>
    </w:p>
    <w:p w14:paraId="06006F4A" w14:textId="77777777" w:rsidR="00264D12" w:rsidRPr="00264D12" w:rsidRDefault="00264D12" w:rsidP="00A92544">
      <w:pPr>
        <w:spacing w:before="120" w:after="0"/>
      </w:pPr>
      <w:r>
        <w:rPr>
          <w:rFonts w:cs="Times New Roman"/>
          <w:szCs w:val="24"/>
          <w:lang w:val="sr-Cyrl-RS"/>
        </w:rPr>
        <w:t xml:space="preserve">Циљ: </w:t>
      </w:r>
      <w:r w:rsidR="006E73FB">
        <w:rPr>
          <w:rFonts w:cs="Times New Roman"/>
          <w:szCs w:val="24"/>
          <w:lang w:val="sr-Cyrl-RS"/>
        </w:rPr>
        <w:t>У</w:t>
      </w:r>
      <w:r>
        <w:rPr>
          <w:lang w:val="sr-Cyrl-RS"/>
        </w:rPr>
        <w:t xml:space="preserve"> сектору енергетике </w:t>
      </w:r>
      <w:r w:rsidR="006E73FB">
        <w:rPr>
          <w:lang w:val="sr-Cyrl-RS"/>
        </w:rPr>
        <w:t>ц</w:t>
      </w:r>
      <w:r w:rsidR="006E73FB">
        <w:t xml:space="preserve">иљеви </w:t>
      </w:r>
      <w:r>
        <w:t>су обезбеђивање трансформације сектора енергетике у складу са европским правилима којима се уређује сектор енергетике и осигу</w:t>
      </w:r>
      <w:r w:rsidR="001268CA">
        <w:t xml:space="preserve">рава процес декарбонизацијe, </w:t>
      </w:r>
      <w:r w:rsidR="00D0268B">
        <w:t xml:space="preserve">уз </w:t>
      </w:r>
      <w:r>
        <w:t xml:space="preserve">обезбеђивање енергетске безбедности, интеграција енергетског тржишта Републике Србије са јединственим европским тржиштем, као и обезбеђивање приступачне цене електричне енергије. </w:t>
      </w:r>
      <w:r w:rsidR="001B67D3">
        <w:rPr>
          <w:lang w:val="sr-Cyrl-RS"/>
        </w:rPr>
        <w:t>У</w:t>
      </w:r>
      <w:r>
        <w:t xml:space="preserve"> области дигитализације </w:t>
      </w:r>
      <w:r w:rsidR="001B67D3">
        <w:rPr>
          <w:lang w:val="sr-Cyrl-RS"/>
        </w:rPr>
        <w:t xml:space="preserve">циљеви </w:t>
      </w:r>
      <w:r>
        <w:rPr>
          <w:lang w:val="sr-Cyrl-RS"/>
        </w:rPr>
        <w:t xml:space="preserve">су </w:t>
      </w:r>
      <w:r>
        <w:t>развој сигурне и одрживе дигиталне инфраструктуре, укључујући увођење руралн</w:t>
      </w:r>
      <w:r w:rsidR="00F02EFD">
        <w:t>е широкопојасне и 5G мреже, даља дигитализација</w:t>
      </w:r>
      <w:r>
        <w:t xml:space="preserve"> јавних услуга и административних процедура за грађане и предузећа, јачање дигиталних вештина и писмености</w:t>
      </w:r>
      <w:r w:rsidR="00F02EFD">
        <w:rPr>
          <w:lang w:val="sr-Cyrl-RS"/>
        </w:rPr>
        <w:t xml:space="preserve"> и</w:t>
      </w:r>
      <w:r>
        <w:t xml:space="preserve"> успостављање свеобухватног оквира за информациону безбедност и развој интелигентног транспортног система и </w:t>
      </w:r>
      <w:r w:rsidRPr="00F02EFD">
        <w:rPr>
          <w:i/>
        </w:rPr>
        <w:t>efreight</w:t>
      </w:r>
      <w:r>
        <w:t>.</w:t>
      </w:r>
    </w:p>
    <w:p w14:paraId="59BA272C" w14:textId="77777777" w:rsidR="003B73BE" w:rsidRDefault="003B73BE" w:rsidP="00A92544">
      <w:pPr>
        <w:spacing w:before="120" w:after="0"/>
        <w:rPr>
          <w:rFonts w:eastAsia="Calibri" w:cs="Times New Roman"/>
          <w:b/>
          <w:bCs/>
          <w:szCs w:val="24"/>
        </w:rPr>
      </w:pPr>
    </w:p>
    <w:p w14:paraId="557DB327" w14:textId="77777777" w:rsidR="00A8098E" w:rsidRPr="00AD7E7D" w:rsidRDefault="00A8098E" w:rsidP="00A92544">
      <w:pPr>
        <w:spacing w:before="120" w:after="0"/>
        <w:rPr>
          <w:rFonts w:eastAsia="Calibri" w:cs="Times New Roman"/>
          <w:b/>
          <w:bCs/>
          <w:szCs w:val="24"/>
        </w:rPr>
      </w:pPr>
      <w:r w:rsidRPr="00AD7E7D">
        <w:rPr>
          <w:rFonts w:eastAsia="Calibri" w:cs="Times New Roman"/>
          <w:b/>
          <w:bCs/>
          <w:szCs w:val="24"/>
        </w:rPr>
        <w:t>3. Људски капитал</w:t>
      </w:r>
    </w:p>
    <w:p w14:paraId="524EB5C9" w14:textId="77777777" w:rsidR="007661B3" w:rsidRPr="007661B3" w:rsidRDefault="007661B3" w:rsidP="00A92544">
      <w:pPr>
        <w:numPr>
          <w:ilvl w:val="0"/>
          <w:numId w:val="36"/>
        </w:numPr>
        <w:spacing w:before="120" w:after="0"/>
        <w:rPr>
          <w:rFonts w:eastAsia="Times New Roman" w:cs="Times New Roman"/>
          <w:b/>
          <w:szCs w:val="24"/>
        </w:rPr>
      </w:pPr>
      <w:r w:rsidRPr="007661B3">
        <w:rPr>
          <w:rFonts w:eastAsia="Times New Roman" w:cs="Times New Roman"/>
          <w:b/>
          <w:szCs w:val="24"/>
          <w:lang w:val="sr-Cyrl-RS"/>
        </w:rPr>
        <w:t>Тржиште рада</w:t>
      </w:r>
    </w:p>
    <w:p w14:paraId="30A0B8F6" w14:textId="77777777" w:rsidR="00A8098E" w:rsidRPr="00AD7E7D" w:rsidRDefault="00F657FD" w:rsidP="00A92544">
      <w:pPr>
        <w:numPr>
          <w:ilvl w:val="1"/>
          <w:numId w:val="36"/>
        </w:numPr>
        <w:spacing w:before="120" w:after="0"/>
        <w:rPr>
          <w:rFonts w:eastAsia="Times New Roman" w:cs="Times New Roman"/>
          <w:szCs w:val="24"/>
        </w:rPr>
      </w:pPr>
      <w:r>
        <w:t>Побољшање услова на тржишту рада, укључујући обезбеђивање одговарајућих финансијских и институционалних ресурса и капацитета за активацију у области запошљавања и социјалне политике</w:t>
      </w:r>
      <w:r w:rsidR="00A8098E" w:rsidRPr="00AD7E7D">
        <w:rPr>
          <w:rFonts w:eastAsia="Times New Roman" w:cs="Times New Roman"/>
          <w:szCs w:val="24"/>
        </w:rPr>
        <w:t>.</w:t>
      </w:r>
    </w:p>
    <w:p w14:paraId="20E48026" w14:textId="77777777" w:rsidR="00A8098E" w:rsidRDefault="00F657FD" w:rsidP="00A92544">
      <w:pPr>
        <w:numPr>
          <w:ilvl w:val="1"/>
          <w:numId w:val="36"/>
        </w:numPr>
        <w:spacing w:before="120" w:after="0"/>
        <w:rPr>
          <w:rFonts w:eastAsia="Times New Roman" w:cs="Times New Roman"/>
          <w:szCs w:val="24"/>
        </w:rPr>
      </w:pPr>
      <w:r>
        <w:t>Спровођење програма обуке и развоја вештина у критичним секторима као што су образовање наставника, како би се проактивно решило питање кључних фактора који утичу на стручност и задржавање радне снаге у овим областима</w:t>
      </w:r>
      <w:r w:rsidR="00A8098E" w:rsidRPr="00AD7E7D">
        <w:rPr>
          <w:rFonts w:eastAsia="Times New Roman" w:cs="Times New Roman"/>
          <w:szCs w:val="24"/>
        </w:rPr>
        <w:t>.</w:t>
      </w:r>
    </w:p>
    <w:p w14:paraId="7914EFEB" w14:textId="77777777" w:rsidR="007661B3" w:rsidRPr="007661B3" w:rsidRDefault="007661B3" w:rsidP="00A92544">
      <w:pPr>
        <w:pStyle w:val="ListParagraph"/>
        <w:numPr>
          <w:ilvl w:val="0"/>
          <w:numId w:val="36"/>
        </w:numPr>
        <w:spacing w:before="120" w:after="0" w:line="240" w:lineRule="auto"/>
        <w:rPr>
          <w:rFonts w:eastAsia="Times New Roman" w:cs="Times New Roman"/>
          <w:b/>
          <w:sz w:val="24"/>
          <w:szCs w:val="24"/>
          <w:lang w:val="sr-Cyrl-RS"/>
        </w:rPr>
      </w:pPr>
      <w:r w:rsidRPr="007661B3">
        <w:rPr>
          <w:rFonts w:eastAsia="Times New Roman" w:cs="Times New Roman"/>
          <w:b/>
          <w:sz w:val="24"/>
          <w:szCs w:val="24"/>
          <w:lang w:val="sr-Cyrl-RS"/>
        </w:rPr>
        <w:t>Образовање и вештине</w:t>
      </w:r>
    </w:p>
    <w:p w14:paraId="3344FA77" w14:textId="77777777" w:rsidR="00A8098E" w:rsidRDefault="00F657FD" w:rsidP="00A92544">
      <w:pPr>
        <w:numPr>
          <w:ilvl w:val="1"/>
          <w:numId w:val="36"/>
        </w:numPr>
        <w:spacing w:before="120" w:after="0"/>
        <w:rPr>
          <w:rFonts w:eastAsia="Times New Roman" w:cs="Times New Roman"/>
          <w:szCs w:val="24"/>
        </w:rPr>
      </w:pPr>
      <w:r>
        <w:t>Унапређење квалитета наставе и учења, правичности и доступности на свим нивоима образовања</w:t>
      </w:r>
      <w:r w:rsidR="00A8098E" w:rsidRPr="00AD7E7D">
        <w:rPr>
          <w:rFonts w:eastAsia="Times New Roman" w:cs="Times New Roman"/>
          <w:szCs w:val="24"/>
        </w:rPr>
        <w:t>.</w:t>
      </w:r>
    </w:p>
    <w:p w14:paraId="784976E0" w14:textId="77777777" w:rsidR="00F657FD" w:rsidRPr="00A92544" w:rsidRDefault="00F657FD" w:rsidP="00A92544">
      <w:pPr>
        <w:numPr>
          <w:ilvl w:val="1"/>
          <w:numId w:val="36"/>
        </w:numPr>
        <w:spacing w:before="120" w:after="0"/>
        <w:rPr>
          <w:rFonts w:eastAsia="Times New Roman" w:cs="Times New Roman"/>
          <w:szCs w:val="24"/>
        </w:rPr>
      </w:pPr>
      <w:r>
        <w:t xml:space="preserve">Смањење неусклађености вештина на тржишту рада и олакшавање преласка из школе на посао, укључујући унапређење додатног СОО, </w:t>
      </w:r>
      <w:r>
        <w:lastRenderedPageBreak/>
        <w:t>укључујући дуално СОО, јачање образовања, обуке и одговарајућег усавршавања за одрасле</w:t>
      </w:r>
      <w:r>
        <w:rPr>
          <w:lang w:val="sr-Cyrl-RS"/>
        </w:rPr>
        <w:t>.</w:t>
      </w:r>
    </w:p>
    <w:p w14:paraId="356272CD" w14:textId="77777777" w:rsidR="00A8098E" w:rsidRDefault="00A8098E" w:rsidP="00A92544">
      <w:pPr>
        <w:spacing w:before="120" w:after="0"/>
      </w:pPr>
      <w:r w:rsidRPr="00AD7E7D">
        <w:rPr>
          <w:rFonts w:cs="Times New Roman"/>
          <w:szCs w:val="24"/>
          <w:lang w:val="sr-Cyrl-RS"/>
        </w:rPr>
        <w:t xml:space="preserve">Циљ: </w:t>
      </w:r>
      <w:r w:rsidR="006E73FB">
        <w:rPr>
          <w:lang w:val="sr-Cyrl-RS"/>
        </w:rPr>
        <w:t>С</w:t>
      </w:r>
      <w:r w:rsidR="006E73FB">
        <w:t xml:space="preserve">веобухватна подршка младима Републике Србије у формалном и неформалном образовању и каријерном путу како би им се омогућило да живе испуњеним и самосталним животом уз смислено ангажовање у својим локалним заједницама и савременом свету. </w:t>
      </w:r>
    </w:p>
    <w:p w14:paraId="1CDAED07" w14:textId="77777777" w:rsidR="00A92544" w:rsidRDefault="00A92544" w:rsidP="00A92544">
      <w:pPr>
        <w:spacing w:before="120" w:after="0"/>
      </w:pPr>
    </w:p>
    <w:p w14:paraId="15C3F51F" w14:textId="77777777" w:rsidR="00A8098E" w:rsidRPr="00AD7E7D" w:rsidRDefault="00A8098E" w:rsidP="00A92544">
      <w:pPr>
        <w:spacing w:before="120" w:after="0"/>
        <w:rPr>
          <w:rFonts w:cs="Times New Roman"/>
          <w:b/>
          <w:bCs/>
          <w:szCs w:val="24"/>
        </w:rPr>
      </w:pPr>
      <w:r w:rsidRPr="00AD7E7D">
        <w:rPr>
          <w:rFonts w:cs="Times New Roman"/>
          <w:b/>
          <w:bCs/>
          <w:szCs w:val="24"/>
        </w:rPr>
        <w:t>4. Основе</w:t>
      </w:r>
    </w:p>
    <w:p w14:paraId="199F55FE" w14:textId="77777777" w:rsidR="00F657FD" w:rsidRPr="00F657FD" w:rsidRDefault="00F657FD" w:rsidP="00A92544">
      <w:pPr>
        <w:numPr>
          <w:ilvl w:val="0"/>
          <w:numId w:val="33"/>
        </w:numPr>
        <w:spacing w:before="120" w:after="0"/>
        <w:rPr>
          <w:rFonts w:eastAsia="Times New Roman" w:cs="Times New Roman"/>
          <w:szCs w:val="24"/>
        </w:rPr>
      </w:pPr>
      <w:r w:rsidRPr="00AD7E7D">
        <w:rPr>
          <w:rFonts w:eastAsia="Times New Roman" w:cs="Times New Roman"/>
          <w:b/>
          <w:bCs/>
          <w:szCs w:val="24"/>
        </w:rPr>
        <w:t>Демократија</w:t>
      </w:r>
    </w:p>
    <w:p w14:paraId="10B2BFCD" w14:textId="77777777" w:rsidR="00A8098E" w:rsidRPr="00AD7E7D" w:rsidRDefault="00F657FD" w:rsidP="00A92544">
      <w:pPr>
        <w:numPr>
          <w:ilvl w:val="1"/>
          <w:numId w:val="33"/>
        </w:numPr>
        <w:spacing w:before="120" w:after="0"/>
        <w:rPr>
          <w:rFonts w:eastAsia="Times New Roman" w:cs="Times New Roman"/>
          <w:szCs w:val="24"/>
        </w:rPr>
      </w:pPr>
      <w:r>
        <w:t>Припрема мапе пута / плана и спровођење препорука ОЕБС/ODIHR и органа Савета Европе о изборном оквиру</w:t>
      </w:r>
      <w:r>
        <w:rPr>
          <w:lang w:val="sr-Cyrl-RS"/>
        </w:rPr>
        <w:t>.</w:t>
      </w:r>
    </w:p>
    <w:p w14:paraId="3474DCBC" w14:textId="77777777" w:rsidR="00F657FD" w:rsidRDefault="00F657FD" w:rsidP="00A92544">
      <w:pPr>
        <w:numPr>
          <w:ilvl w:val="0"/>
          <w:numId w:val="33"/>
        </w:numPr>
        <w:spacing w:before="120" w:after="0"/>
        <w:rPr>
          <w:rFonts w:eastAsia="Times New Roman" w:cs="Times New Roman"/>
          <w:szCs w:val="24"/>
        </w:rPr>
      </w:pPr>
      <w:r>
        <w:rPr>
          <w:rFonts w:eastAsia="Times New Roman" w:cs="Times New Roman"/>
          <w:b/>
          <w:bCs/>
          <w:szCs w:val="24"/>
          <w:lang w:val="sr-Cyrl-RS"/>
        </w:rPr>
        <w:t>Основна права</w:t>
      </w:r>
    </w:p>
    <w:p w14:paraId="0244FA28" w14:textId="77777777" w:rsidR="00A8098E" w:rsidRDefault="00F657FD" w:rsidP="00A92544">
      <w:pPr>
        <w:numPr>
          <w:ilvl w:val="1"/>
          <w:numId w:val="33"/>
        </w:numPr>
        <w:spacing w:before="120" w:after="0"/>
        <w:rPr>
          <w:rFonts w:eastAsia="Times New Roman" w:cs="Times New Roman"/>
          <w:szCs w:val="24"/>
        </w:rPr>
      </w:pPr>
      <w:r>
        <w:t>Побољшање заштите основних права за рањиве појединце и припаднике националних мањина</w:t>
      </w:r>
      <w:r w:rsidR="00A8098E" w:rsidRPr="00F657FD">
        <w:rPr>
          <w:rFonts w:eastAsia="Times New Roman" w:cs="Times New Roman"/>
          <w:szCs w:val="24"/>
        </w:rPr>
        <w:t>.</w:t>
      </w:r>
    </w:p>
    <w:p w14:paraId="2B3D8C8D" w14:textId="77777777" w:rsidR="00897ED1" w:rsidRPr="00F657FD" w:rsidRDefault="00897ED1" w:rsidP="00A92544">
      <w:pPr>
        <w:numPr>
          <w:ilvl w:val="1"/>
          <w:numId w:val="33"/>
        </w:numPr>
        <w:spacing w:before="120" w:after="0"/>
        <w:rPr>
          <w:rFonts w:eastAsia="Times New Roman" w:cs="Times New Roman"/>
          <w:szCs w:val="24"/>
        </w:rPr>
      </w:pPr>
      <w:r>
        <w:t xml:space="preserve">Унапређење слободе </w:t>
      </w:r>
      <w:r w:rsidR="003C49B8">
        <w:t xml:space="preserve">изражавања изменом </w:t>
      </w:r>
      <w:r w:rsidR="003C49B8">
        <w:rPr>
          <w:lang w:val="sr-Cyrl-RS"/>
        </w:rPr>
        <w:t>з</w:t>
      </w:r>
      <w:r>
        <w:t>акона о електронским медијима и јавном информисању и медијима ради усклађивања са правним тековинама ЕУ и европским стандардима и усвајањем закона о јавним медијским сервисима и обезбеђивање њиховог спровођења.</w:t>
      </w:r>
    </w:p>
    <w:p w14:paraId="7345C3A8" w14:textId="77777777" w:rsidR="00897ED1" w:rsidRPr="00897ED1" w:rsidRDefault="00897ED1" w:rsidP="00A92544">
      <w:pPr>
        <w:numPr>
          <w:ilvl w:val="0"/>
          <w:numId w:val="33"/>
        </w:numPr>
        <w:spacing w:before="120" w:after="0"/>
        <w:rPr>
          <w:rFonts w:cs="Times New Roman"/>
          <w:szCs w:val="24"/>
          <w:lang w:val="sr-Cyrl-RS"/>
        </w:rPr>
      </w:pPr>
      <w:r>
        <w:rPr>
          <w:rFonts w:eastAsia="Times New Roman" w:cs="Times New Roman"/>
          <w:b/>
          <w:bCs/>
          <w:szCs w:val="24"/>
          <w:lang w:val="sr-Cyrl-RS"/>
        </w:rPr>
        <w:t>Б</w:t>
      </w:r>
      <w:r w:rsidRPr="00897ED1">
        <w:rPr>
          <w:rFonts w:eastAsia="Times New Roman" w:cs="Times New Roman"/>
          <w:b/>
          <w:bCs/>
          <w:szCs w:val="24"/>
          <w:lang w:val="sr-Cyrl-RS"/>
        </w:rPr>
        <w:t>орба против организованог криминала</w:t>
      </w:r>
    </w:p>
    <w:p w14:paraId="566FEAFB" w14:textId="77777777" w:rsidR="00A8098E" w:rsidRPr="00897ED1" w:rsidRDefault="00897ED1" w:rsidP="00A92544">
      <w:pPr>
        <w:numPr>
          <w:ilvl w:val="1"/>
          <w:numId w:val="33"/>
        </w:numPr>
        <w:spacing w:before="120" w:after="0"/>
        <w:rPr>
          <w:rFonts w:cs="Times New Roman"/>
          <w:szCs w:val="24"/>
          <w:lang w:val="sr-Cyrl-RS"/>
        </w:rPr>
      </w:pPr>
      <w:r>
        <w:t>Борба против организованог и тешког криминала</w:t>
      </w:r>
      <w:r w:rsidR="000F6AAC" w:rsidRPr="00897ED1">
        <w:rPr>
          <w:rFonts w:eastAsia="Times New Roman" w:cs="Times New Roman"/>
          <w:szCs w:val="24"/>
          <w:lang w:val="sr-Cyrl-RS"/>
        </w:rPr>
        <w:t>.</w:t>
      </w:r>
    </w:p>
    <w:p w14:paraId="1E968F34" w14:textId="77777777" w:rsidR="00897ED1" w:rsidRDefault="00897ED1" w:rsidP="00A92544">
      <w:pPr>
        <w:pStyle w:val="ListParagraph"/>
        <w:numPr>
          <w:ilvl w:val="0"/>
          <w:numId w:val="33"/>
        </w:numPr>
        <w:spacing w:before="120" w:after="0" w:line="240" w:lineRule="auto"/>
        <w:rPr>
          <w:rFonts w:cs="Times New Roman"/>
          <w:b/>
          <w:sz w:val="24"/>
          <w:szCs w:val="24"/>
          <w:lang w:val="sr-Cyrl-RS"/>
        </w:rPr>
      </w:pPr>
      <w:r w:rsidRPr="00897ED1">
        <w:rPr>
          <w:rFonts w:cs="Times New Roman"/>
          <w:b/>
          <w:sz w:val="24"/>
          <w:szCs w:val="24"/>
          <w:lang w:val="sr-Cyrl-RS"/>
        </w:rPr>
        <w:t>Безбедност и миграције</w:t>
      </w:r>
    </w:p>
    <w:p w14:paraId="11008693" w14:textId="77777777" w:rsidR="00897ED1" w:rsidRDefault="00897ED1" w:rsidP="00A92544">
      <w:pPr>
        <w:pStyle w:val="ListParagraph"/>
        <w:numPr>
          <w:ilvl w:val="1"/>
          <w:numId w:val="33"/>
        </w:numPr>
        <w:spacing w:before="120" w:after="0" w:line="240" w:lineRule="auto"/>
        <w:rPr>
          <w:rFonts w:cs="Times New Roman"/>
          <w:sz w:val="24"/>
          <w:szCs w:val="24"/>
          <w:lang w:val="sr-Cyrl-RS"/>
        </w:rPr>
      </w:pPr>
      <w:r w:rsidRPr="00897ED1">
        <w:rPr>
          <w:rFonts w:cs="Times New Roman"/>
          <w:sz w:val="24"/>
          <w:szCs w:val="24"/>
          <w:lang w:val="sr-Cyrl-RS"/>
        </w:rPr>
        <w:t>Суочавање са изазовима у погледу безбедности и миграција</w:t>
      </w:r>
      <w:r w:rsidR="008B4865">
        <w:rPr>
          <w:rFonts w:cs="Times New Roman"/>
          <w:sz w:val="24"/>
          <w:szCs w:val="24"/>
          <w:lang w:val="sr-Cyrl-RS"/>
        </w:rPr>
        <w:t>.</w:t>
      </w:r>
    </w:p>
    <w:p w14:paraId="5C377038" w14:textId="77777777" w:rsidR="008B4865" w:rsidRDefault="008B4865" w:rsidP="00A92544">
      <w:pPr>
        <w:pStyle w:val="ListParagraph"/>
        <w:numPr>
          <w:ilvl w:val="1"/>
          <w:numId w:val="33"/>
        </w:numPr>
        <w:spacing w:before="120" w:after="0" w:line="240" w:lineRule="auto"/>
        <w:rPr>
          <w:rFonts w:cs="Times New Roman"/>
          <w:sz w:val="24"/>
          <w:szCs w:val="24"/>
          <w:lang w:val="sr-Cyrl-RS"/>
        </w:rPr>
      </w:pPr>
      <w:r w:rsidRPr="008B4865">
        <w:rPr>
          <w:rFonts w:cs="Times New Roman"/>
          <w:sz w:val="24"/>
          <w:szCs w:val="24"/>
          <w:lang w:val="sr-Cyrl-RS"/>
        </w:rPr>
        <w:t>Решавање (потенцијалних) безбедносних ризика по ЕУ у вези са правима на</w:t>
      </w:r>
      <w:r>
        <w:rPr>
          <w:rFonts w:cs="Times New Roman"/>
          <w:sz w:val="24"/>
          <w:szCs w:val="24"/>
          <w:lang w:val="sr-Cyrl-RS"/>
        </w:rPr>
        <w:t xml:space="preserve"> </w:t>
      </w:r>
      <w:r w:rsidRPr="008B4865">
        <w:rPr>
          <w:rFonts w:cs="Times New Roman"/>
          <w:sz w:val="24"/>
          <w:szCs w:val="24"/>
          <w:lang w:val="sr-Cyrl-RS"/>
        </w:rPr>
        <w:t>путовање без визе за држављане држава за које би иначе</w:t>
      </w:r>
      <w:r w:rsidR="001D38A0">
        <w:rPr>
          <w:rFonts w:cs="Times New Roman"/>
          <w:sz w:val="24"/>
          <w:szCs w:val="24"/>
          <w:lang w:val="sr-Cyrl-RS"/>
        </w:rPr>
        <w:t xml:space="preserve"> била потребна виза</w:t>
      </w:r>
      <w:r>
        <w:rPr>
          <w:rFonts w:cs="Times New Roman"/>
          <w:sz w:val="24"/>
          <w:szCs w:val="24"/>
          <w:lang w:val="sr-Cyrl-RS"/>
        </w:rPr>
        <w:t>.</w:t>
      </w:r>
    </w:p>
    <w:p w14:paraId="55D904BC" w14:textId="77777777" w:rsidR="001D38A0" w:rsidRDefault="001D38A0" w:rsidP="00A92544">
      <w:pPr>
        <w:pStyle w:val="ListParagraph"/>
        <w:numPr>
          <w:ilvl w:val="0"/>
          <w:numId w:val="33"/>
        </w:numPr>
        <w:spacing w:before="120" w:after="0" w:line="240" w:lineRule="auto"/>
        <w:rPr>
          <w:rFonts w:cs="Times New Roman"/>
          <w:b/>
          <w:sz w:val="24"/>
          <w:szCs w:val="24"/>
          <w:lang w:val="sr-Cyrl-RS"/>
        </w:rPr>
      </w:pPr>
      <w:r w:rsidRPr="001D38A0">
        <w:rPr>
          <w:rFonts w:cs="Times New Roman"/>
          <w:b/>
          <w:sz w:val="24"/>
          <w:szCs w:val="24"/>
          <w:lang w:val="sr-Cyrl-RS"/>
        </w:rPr>
        <w:t>Борба против корупције</w:t>
      </w:r>
    </w:p>
    <w:p w14:paraId="01978BD3" w14:textId="77777777" w:rsidR="001D38A0" w:rsidRPr="006701F4" w:rsidRDefault="001D38A0" w:rsidP="00A92544">
      <w:pPr>
        <w:pStyle w:val="ListParagraph"/>
        <w:numPr>
          <w:ilvl w:val="1"/>
          <w:numId w:val="33"/>
        </w:numPr>
        <w:spacing w:before="120" w:after="0" w:line="240" w:lineRule="auto"/>
        <w:rPr>
          <w:rFonts w:cs="Times New Roman"/>
          <w:b/>
          <w:sz w:val="24"/>
          <w:szCs w:val="24"/>
          <w:lang w:val="sr-Cyrl-RS"/>
        </w:rPr>
      </w:pPr>
      <w:r w:rsidRPr="001D38A0">
        <w:rPr>
          <w:sz w:val="24"/>
          <w:szCs w:val="24"/>
        </w:rPr>
        <w:t>Унапређено спречавање и борба против корупције</w:t>
      </w:r>
      <w:r w:rsidR="006701F4">
        <w:rPr>
          <w:sz w:val="24"/>
          <w:szCs w:val="24"/>
          <w:lang w:val="sr-Cyrl-RS"/>
        </w:rPr>
        <w:t>.</w:t>
      </w:r>
    </w:p>
    <w:p w14:paraId="2DDBC3DE" w14:textId="77777777" w:rsidR="006701F4" w:rsidRDefault="006701F4" w:rsidP="00A92544">
      <w:pPr>
        <w:pStyle w:val="ListParagraph"/>
        <w:numPr>
          <w:ilvl w:val="0"/>
          <w:numId w:val="33"/>
        </w:numPr>
        <w:spacing w:before="120" w:after="0" w:line="240" w:lineRule="auto"/>
        <w:rPr>
          <w:rFonts w:cs="Times New Roman"/>
          <w:b/>
          <w:sz w:val="24"/>
          <w:szCs w:val="24"/>
          <w:lang w:val="sr-Cyrl-RS"/>
        </w:rPr>
      </w:pPr>
      <w:r w:rsidRPr="006701F4">
        <w:rPr>
          <w:rFonts w:cs="Times New Roman"/>
          <w:b/>
          <w:sz w:val="24"/>
          <w:szCs w:val="24"/>
          <w:lang w:val="sr-Cyrl-RS"/>
        </w:rPr>
        <w:t>Правосуђе</w:t>
      </w:r>
    </w:p>
    <w:p w14:paraId="62F5E78D" w14:textId="77777777" w:rsidR="00EF58A7" w:rsidRPr="00EF58A7" w:rsidRDefault="00195E62" w:rsidP="00A92544">
      <w:pPr>
        <w:pStyle w:val="ListParagraph"/>
        <w:numPr>
          <w:ilvl w:val="1"/>
          <w:numId w:val="33"/>
        </w:numPr>
        <w:spacing w:before="120" w:after="0" w:line="240" w:lineRule="auto"/>
        <w:rPr>
          <w:rFonts w:cs="Times New Roman"/>
          <w:b/>
          <w:sz w:val="24"/>
          <w:szCs w:val="24"/>
          <w:lang w:val="sr-Cyrl-RS"/>
        </w:rPr>
      </w:pPr>
      <w:r w:rsidRPr="00195E62">
        <w:rPr>
          <w:sz w:val="24"/>
          <w:szCs w:val="24"/>
        </w:rPr>
        <w:t>Реформа правосудног система</w:t>
      </w:r>
      <w:r w:rsidR="00EF58A7">
        <w:rPr>
          <w:sz w:val="24"/>
          <w:szCs w:val="24"/>
          <w:lang w:val="sr-Cyrl-RS"/>
        </w:rPr>
        <w:t>.</w:t>
      </w:r>
    </w:p>
    <w:p w14:paraId="0EC0F1A4" w14:textId="77777777" w:rsidR="00A8098E" w:rsidRPr="00FE3A69" w:rsidRDefault="00A8098E" w:rsidP="00A92544">
      <w:pPr>
        <w:spacing w:before="120" w:after="0"/>
        <w:rPr>
          <w:rFonts w:cs="Times New Roman"/>
          <w:szCs w:val="24"/>
          <w:lang w:val="sr-Cyrl-RS"/>
        </w:rPr>
      </w:pPr>
      <w:r w:rsidRPr="00AD7E7D">
        <w:rPr>
          <w:rFonts w:cs="Times New Roman"/>
          <w:szCs w:val="24"/>
          <w:lang w:val="sr-Cyrl-RS"/>
        </w:rPr>
        <w:t xml:space="preserve">Циљ: </w:t>
      </w:r>
      <w:r w:rsidR="00D35C87">
        <w:rPr>
          <w:lang w:val="sr-Cyrl-RS"/>
        </w:rPr>
        <w:t>У</w:t>
      </w:r>
      <w:r w:rsidR="00FE3A69">
        <w:t>напређење</w:t>
      </w:r>
      <w:r w:rsidR="00D35C87">
        <w:t xml:space="preserve"> изборног</w:t>
      </w:r>
      <w:r w:rsidR="00EF58A7">
        <w:t xml:space="preserve"> систем</w:t>
      </w:r>
      <w:r w:rsidR="00D35C87">
        <w:rPr>
          <w:lang w:val="sr-Cyrl-RS"/>
        </w:rPr>
        <w:t>а</w:t>
      </w:r>
      <w:r w:rsidR="00EF58A7">
        <w:rPr>
          <w:lang w:val="sr-Cyrl-RS"/>
        </w:rPr>
        <w:t xml:space="preserve">, </w:t>
      </w:r>
      <w:r w:rsidR="00D35C87">
        <w:t>побољшање и значајан</w:t>
      </w:r>
      <w:r w:rsidR="00EF58A7">
        <w:t xml:space="preserve"> на</w:t>
      </w:r>
      <w:r w:rsidR="00D35C87">
        <w:t>предак</w:t>
      </w:r>
      <w:r w:rsidR="00EF58A7">
        <w:t xml:space="preserve"> у области основних права, унапређење нормативног оквира</w:t>
      </w:r>
      <w:r w:rsidR="00EF58A7">
        <w:rPr>
          <w:lang w:val="sr-Cyrl-RS"/>
        </w:rPr>
        <w:t xml:space="preserve"> у области б</w:t>
      </w:r>
      <w:r w:rsidR="00EF58A7" w:rsidRPr="00EF58A7">
        <w:rPr>
          <w:lang w:val="sr-Cyrl-RS"/>
        </w:rPr>
        <w:t>ор</w:t>
      </w:r>
      <w:r w:rsidR="00EF58A7">
        <w:rPr>
          <w:lang w:val="sr-Cyrl-RS"/>
        </w:rPr>
        <w:t>бе</w:t>
      </w:r>
      <w:r w:rsidR="00EF58A7" w:rsidRPr="00EF58A7">
        <w:rPr>
          <w:lang w:val="sr-Cyrl-RS"/>
        </w:rPr>
        <w:t xml:space="preserve"> против организованог криминала</w:t>
      </w:r>
      <w:r w:rsidR="00EF58A7">
        <w:rPr>
          <w:lang w:val="sr-Cyrl-RS"/>
        </w:rPr>
        <w:t xml:space="preserve">, </w:t>
      </w:r>
      <w:r w:rsidR="00FE3A69">
        <w:t>унапређење стратешког оквир</w:t>
      </w:r>
      <w:r w:rsidR="00FE3A69">
        <w:rPr>
          <w:lang w:val="sr-Cyrl-RS"/>
        </w:rPr>
        <w:t>а</w:t>
      </w:r>
      <w:r w:rsidR="00FE3A69">
        <w:t xml:space="preserve"> у циљу суочавања са свим видовима насилног екстремизма, радикализације и терористичких претњи</w:t>
      </w:r>
      <w:r w:rsidR="00FE3A69">
        <w:rPr>
          <w:lang w:val="sr-Cyrl-RS"/>
        </w:rPr>
        <w:t xml:space="preserve">, </w:t>
      </w:r>
      <w:r w:rsidR="00FE3A69">
        <w:t>унапређење стратешког приступ</w:t>
      </w:r>
      <w:r w:rsidR="00D35C87">
        <w:rPr>
          <w:lang w:val="sr-Cyrl-RS"/>
        </w:rPr>
        <w:t>а</w:t>
      </w:r>
      <w:r w:rsidR="00FE3A69">
        <w:t xml:space="preserve"> у </w:t>
      </w:r>
      <w:r w:rsidR="00FE3A69">
        <w:rPr>
          <w:lang w:val="sr-Cyrl-RS"/>
        </w:rPr>
        <w:t>најважнијим</w:t>
      </w:r>
      <w:r w:rsidR="00FE3A69">
        <w:t xml:space="preserve"> подручјима борбе против корупције, </w:t>
      </w:r>
      <w:r w:rsidR="00D35C87">
        <w:t>повећање</w:t>
      </w:r>
      <w:r w:rsidR="00FE3A69">
        <w:t xml:space="preserve"> ефикасности правосуђа</w:t>
      </w:r>
      <w:r w:rsidR="00FE3A69">
        <w:rPr>
          <w:lang w:val="sr-Cyrl-RS"/>
        </w:rPr>
        <w:t xml:space="preserve"> смањењем заосталих предмета као и скраћењем времена решавања предмета. </w:t>
      </w:r>
    </w:p>
    <w:p w14:paraId="1B02E178" w14:textId="77777777" w:rsidR="00A8098E" w:rsidRPr="00AD7E7D" w:rsidRDefault="00A8098E" w:rsidP="00A8098E">
      <w:pPr>
        <w:rPr>
          <w:rFonts w:cs="Times New Roman"/>
          <w:b/>
          <w:bCs/>
          <w:szCs w:val="24"/>
        </w:rPr>
      </w:pPr>
      <w:r w:rsidRPr="00AD7E7D">
        <w:rPr>
          <w:rFonts w:cs="Times New Roman"/>
          <w:noProof/>
          <w:szCs w:val="24"/>
        </w:rPr>
        <w:lastRenderedPageBreak/>
        <w:drawing>
          <wp:inline distT="0" distB="0" distL="0" distR="0" wp14:anchorId="0EF2E89A" wp14:editId="17D2023D">
            <wp:extent cx="5854700" cy="7581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7725" cy="7728269"/>
                    </a:xfrm>
                    <a:prstGeom prst="rect">
                      <a:avLst/>
                    </a:prstGeom>
                    <a:noFill/>
                  </pic:spPr>
                </pic:pic>
              </a:graphicData>
            </a:graphic>
          </wp:inline>
        </w:drawing>
      </w:r>
    </w:p>
    <w:p w14:paraId="5890779B" w14:textId="77777777" w:rsidR="00A8098E" w:rsidRPr="00AD7E7D" w:rsidRDefault="00A8098E" w:rsidP="00A8098E">
      <w:pPr>
        <w:rPr>
          <w:rFonts w:cs="Times New Roman"/>
          <w:b/>
          <w:bCs/>
          <w:szCs w:val="24"/>
          <w:lang w:val="sr-Cyrl-RS"/>
        </w:rPr>
      </w:pPr>
    </w:p>
    <w:p w14:paraId="39496C4C" w14:textId="77777777" w:rsidR="00A8098E" w:rsidRPr="00AD7E7D" w:rsidRDefault="00A8098E" w:rsidP="00A8098E">
      <w:pPr>
        <w:rPr>
          <w:rFonts w:cs="Times New Roman"/>
          <w:b/>
          <w:bCs/>
          <w:szCs w:val="24"/>
          <w:lang w:val="sr-Cyrl-RS"/>
        </w:rPr>
      </w:pPr>
    </w:p>
    <w:p w14:paraId="50CC642B" w14:textId="77777777" w:rsidR="00010E52" w:rsidRDefault="00010E52" w:rsidP="00A8098E">
      <w:pPr>
        <w:rPr>
          <w:rFonts w:cs="Times New Roman"/>
          <w:b/>
          <w:bCs/>
          <w:szCs w:val="24"/>
          <w:lang w:val="sr-Cyrl-RS"/>
        </w:rPr>
      </w:pPr>
    </w:p>
    <w:p w14:paraId="4C2BA72D" w14:textId="77777777" w:rsidR="00010E52" w:rsidRDefault="00010E52" w:rsidP="00A8098E">
      <w:pPr>
        <w:rPr>
          <w:rFonts w:cs="Times New Roman"/>
          <w:b/>
          <w:bCs/>
          <w:szCs w:val="24"/>
          <w:lang w:val="sr-Cyrl-RS"/>
        </w:rPr>
      </w:pPr>
    </w:p>
    <w:p w14:paraId="41B95638" w14:textId="77777777" w:rsidR="00010E52" w:rsidRDefault="00010E52" w:rsidP="00A8098E">
      <w:pPr>
        <w:rPr>
          <w:rFonts w:cs="Times New Roman"/>
          <w:b/>
          <w:bCs/>
          <w:szCs w:val="24"/>
          <w:lang w:val="sr-Cyrl-RS"/>
        </w:rPr>
      </w:pPr>
    </w:p>
    <w:p w14:paraId="7E2D7942" w14:textId="77777777" w:rsidR="00A8098E" w:rsidRPr="00AD7E7D" w:rsidRDefault="00A8098E" w:rsidP="00A8098E">
      <w:pPr>
        <w:rPr>
          <w:rFonts w:cs="Times New Roman"/>
          <w:b/>
          <w:bCs/>
          <w:szCs w:val="24"/>
          <w:lang w:val="sr-Cyrl-RS"/>
        </w:rPr>
      </w:pPr>
      <w:r w:rsidRPr="00AD7E7D">
        <w:rPr>
          <w:rFonts w:cs="Times New Roman"/>
          <w:b/>
          <w:bCs/>
          <w:szCs w:val="24"/>
          <w:lang w:val="sr-Cyrl-RS"/>
        </w:rPr>
        <w:lastRenderedPageBreak/>
        <w:t>Очекивани ефекти:</w:t>
      </w:r>
    </w:p>
    <w:p w14:paraId="3191CDCA" w14:textId="77777777" w:rsidR="00A8098E" w:rsidRPr="00AD7E7D" w:rsidRDefault="00A8098E" w:rsidP="00A8098E">
      <w:pPr>
        <w:rPr>
          <w:rFonts w:cs="Times New Roman"/>
          <w:szCs w:val="24"/>
          <w:lang w:val="sr-Cyrl-RS"/>
        </w:rPr>
      </w:pPr>
      <w:r w:rsidRPr="00AD7E7D">
        <w:rPr>
          <w:rFonts w:cs="Times New Roman"/>
          <w:szCs w:val="24"/>
          <w:lang w:val="sr-Cyrl-RS"/>
        </w:rPr>
        <w:t>Све планиране реформе имају потенцијал да значајно допринесу дугорочном расту потенцијалног БДП-а. Међутим, прецизно квантификовање конкретних ефеката сваке реформе представља изазов, с обзиром на то да су многе реформе усмерене на измене законских прописа, побољшање пословног окружења и општих услова, чији се ефекти не могу одмах изразити у бројчаним показатељима. У почетним фазама анализе, квантификовани су искључиво ефекти реформских мера за које је било могуће спровести детаљну анализу, користећи расположиве податке и јасне индикације о предстојећим променама. Иако ове квантификације нису свеобухватне, оне представљају корисне смернице у процени могућих дугорочних ефеката на економију</w:t>
      </w:r>
      <w:r w:rsidRPr="00AD7E7D">
        <w:rPr>
          <w:rFonts w:cs="Times New Roman"/>
          <w:szCs w:val="24"/>
        </w:rPr>
        <w:t xml:space="preserve"> </w:t>
      </w:r>
      <w:r w:rsidRPr="00AD7E7D">
        <w:rPr>
          <w:rFonts w:cs="Times New Roman"/>
          <w:szCs w:val="24"/>
          <w:lang w:val="sr-Cyrl-RS"/>
        </w:rPr>
        <w:t>Србије. Упркос ограничењима у прецизном предвиђању, иницијалне процене омогућавају свеобухватнији увид у очекиване исходе реформског процеса, њихов утицај на економски развој и побољшање животног стандарда грађана.</w:t>
      </w:r>
    </w:p>
    <w:p w14:paraId="41909F1E" w14:textId="77777777" w:rsidR="00A8098E" w:rsidRDefault="00A8098E" w:rsidP="00A8098E">
      <w:pPr>
        <w:rPr>
          <w:rFonts w:cs="Times New Roman"/>
          <w:szCs w:val="24"/>
          <w:lang w:val="sr-Cyrl-RS"/>
        </w:rPr>
      </w:pPr>
      <w:r w:rsidRPr="00AD7E7D">
        <w:rPr>
          <w:rFonts w:cs="Times New Roman"/>
          <w:b/>
          <w:szCs w:val="24"/>
          <w:lang w:val="sr-Cyrl-RS"/>
        </w:rPr>
        <w:t>У оквиру побољшања пословног окружења</w:t>
      </w:r>
      <w:r w:rsidRPr="00AD7E7D">
        <w:rPr>
          <w:rFonts w:cs="Times New Roman"/>
          <w:szCs w:val="24"/>
          <w:lang w:val="sr-Cyrl-RS"/>
        </w:rPr>
        <w:t>, једна од кључних реформи обухвата развој напредног научног и иновационог екосистема за економију засновану на знању, што је пресудно за дугорочни економски успех. Циљ ове реформе је подстицање ефикасне економије базиране на знању, са потенцијалом за развој и пласирање иновативних производа и услуга конкурентних на глобалном тржишту. Реформа унапређења научног и иновационог екосистема има за циљ подизање Србије са статуса „Почетног иноватора“ на ниво „Умереног иноватора“ кроз развој инфраструктуре, подршку стартаповима и повећање приватних инвестиција у истраживање и развој. До средине 2025. године планирано је финансирање 3400 истраживача и 600 иновативних компанија, уз повећање учешћа приватног сектора у укупни</w:t>
      </w:r>
      <w:r w:rsidR="003C49B8">
        <w:rPr>
          <w:rFonts w:cs="Times New Roman"/>
          <w:szCs w:val="24"/>
          <w:lang w:val="sr-Cyrl-RS"/>
        </w:rPr>
        <w:t>м</w:t>
      </w:r>
      <w:r w:rsidRPr="00AD7E7D">
        <w:rPr>
          <w:rFonts w:cs="Times New Roman"/>
          <w:szCs w:val="24"/>
          <w:lang w:val="sr-Cyrl-RS"/>
        </w:rPr>
        <w:t xml:space="preserve"> издвајањима</w:t>
      </w:r>
      <w:r w:rsidRPr="00AD7E7D">
        <w:rPr>
          <w:rFonts w:cs="Times New Roman"/>
          <w:szCs w:val="24"/>
        </w:rPr>
        <w:t xml:space="preserve"> </w:t>
      </w:r>
      <w:r w:rsidRPr="00AD7E7D">
        <w:rPr>
          <w:rFonts w:cs="Times New Roman"/>
          <w:szCs w:val="24"/>
          <w:lang w:val="sr-Cyrl-RS"/>
        </w:rPr>
        <w:t>за истраживање и развој на 50% до краја 2026. године. Економска литература широко потврђује да су иновације и издвајања за истраживање и развој кључни за економски раст и конкурентност. Емпиријске студије показују позитивну корелацију између улагања у истраживање и развој и раста БДП-а, при чему је утицај приватних издатака снажнији у односу на јавне. Планираним повећањем инвестиција у истраживање и развој подстиче се технолошки напредак, раст продуктивности и глобална конкурентност. Како је предвиђено повећање учешћа приватног сектора у укупним инвестицијама за истраживање и иновације са 43,7% у 2022. години на 50% до краја 2026. године,  процењени ефекат ове мере на дугорочни раст БДП-а ће износити између 0,06</w:t>
      </w:r>
      <w:r w:rsidRPr="00AD7E7D">
        <w:rPr>
          <w:rFonts w:cs="Times New Roman"/>
          <w:szCs w:val="24"/>
          <w:lang w:val="sr-Latn-RS"/>
        </w:rPr>
        <w:t>7</w:t>
      </w:r>
      <w:r w:rsidRPr="00AD7E7D">
        <w:rPr>
          <w:rFonts w:cs="Times New Roman"/>
          <w:szCs w:val="24"/>
          <w:lang w:val="sr-Cyrl-RS"/>
        </w:rPr>
        <w:t xml:space="preserve"> п.п. и 0,137 п.п.</w:t>
      </w:r>
    </w:p>
    <w:p w14:paraId="6435087B" w14:textId="77777777" w:rsidR="001459BF" w:rsidRPr="001459BF" w:rsidRDefault="001459BF" w:rsidP="00A8098E">
      <w:pPr>
        <w:rPr>
          <w:rFonts w:cs="Times New Roman"/>
          <w:szCs w:val="24"/>
          <w:lang w:val="sr-Cyrl-RS"/>
        </w:rPr>
      </w:pPr>
      <w:r w:rsidRPr="00010E52">
        <w:rPr>
          <w:rFonts w:cs="Times New Roman"/>
          <w:i/>
          <w:szCs w:val="24"/>
          <w:lang w:val="sr-Cyrl-RS" w:eastAsia="ja-JP"/>
        </w:rPr>
        <w:t>Графикон 1</w:t>
      </w:r>
      <w:r>
        <w:rPr>
          <w:rFonts w:cs="Times New Roman"/>
          <w:i/>
          <w:szCs w:val="24"/>
          <w:lang w:val="sr-Latn-RS" w:eastAsia="ja-JP"/>
        </w:rPr>
        <w:t>7</w:t>
      </w:r>
      <w:r w:rsidRPr="00010E52">
        <w:rPr>
          <w:rFonts w:cs="Times New Roman"/>
          <w:i/>
          <w:szCs w:val="24"/>
          <w:lang w:val="sr-Cyrl-RS" w:eastAsia="ja-JP"/>
        </w:rPr>
        <w:t xml:space="preserve">. </w:t>
      </w:r>
      <w:r>
        <w:rPr>
          <w:rFonts w:cs="Times New Roman"/>
          <w:i/>
          <w:szCs w:val="24"/>
          <w:lang w:val="sr-Cyrl-RS" w:eastAsia="ja-JP"/>
        </w:rPr>
        <w:t>Макроекономски утицај планираног повећања инвестиција у истраживање и развој</w:t>
      </w:r>
    </w:p>
    <w:p w14:paraId="61933491" w14:textId="77777777" w:rsidR="00A8098E" w:rsidRPr="00AD7E7D" w:rsidRDefault="00A8098E" w:rsidP="00A8098E">
      <w:pPr>
        <w:jc w:val="center"/>
        <w:rPr>
          <w:rFonts w:cs="Times New Roman"/>
          <w:color w:val="FF0000"/>
          <w:szCs w:val="24"/>
        </w:rPr>
      </w:pPr>
      <w:r w:rsidRPr="00AD7E7D">
        <w:rPr>
          <w:rFonts w:cs="Times New Roman"/>
          <w:noProof/>
          <w:szCs w:val="24"/>
        </w:rPr>
        <w:drawing>
          <wp:inline distT="0" distB="0" distL="0" distR="0" wp14:anchorId="6EAC8AAA" wp14:editId="6C5097E9">
            <wp:extent cx="3942893" cy="2062886"/>
            <wp:effectExtent l="0" t="0" r="63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7548F5E" w14:textId="77777777" w:rsidR="00A8098E" w:rsidRPr="00AD7E7D" w:rsidRDefault="00A8098E" w:rsidP="00A8098E">
      <w:pPr>
        <w:rPr>
          <w:rFonts w:cs="Times New Roman"/>
          <w:szCs w:val="24"/>
          <w:lang w:val="sr-Cyrl-RS"/>
        </w:rPr>
      </w:pPr>
      <w:r w:rsidRPr="00AD7E7D">
        <w:rPr>
          <w:rFonts w:cs="Times New Roman"/>
          <w:b/>
          <w:szCs w:val="24"/>
          <w:lang w:val="sr-Cyrl-RS"/>
        </w:rPr>
        <w:lastRenderedPageBreak/>
        <w:t xml:space="preserve">Отварање нових радних места у различитим секторима, укључујући и значајан потенцијал који подразумева отварање нових капацитета за производњу „зелене“ енергије. </w:t>
      </w:r>
      <w:r w:rsidRPr="00AD7E7D">
        <w:rPr>
          <w:rFonts w:cs="Times New Roman"/>
          <w:szCs w:val="24"/>
          <w:lang w:val="sr-Cyrl-RS"/>
        </w:rPr>
        <w:t xml:space="preserve">У оквиру зелене и дигиталне транзиције, једна од приоритетних реформи подразумева обезбеђивање транспарентних и конкурентних процедура за увођење обновљивих извора енергије и инсталирање најмање 1,5 GW капацитета за обновљиву енергију (соларну енергију и енергију ветра) до децембра 2026. године. На бази процењене вредности инвестиције од око 230 млрд. динара у овом периоду и оцењене вредности инвестиционог мултипликатора од 1,12 до 1,73, процењује се да ће ова реформа допринети потенцијалном расту БДП-а у распону од 2,4 п.п. до 3,6 п.п и креирању око 15 хиљада нових радних места. </w:t>
      </w:r>
    </w:p>
    <w:p w14:paraId="320CEA2F" w14:textId="77777777" w:rsidR="00A8098E" w:rsidRPr="00AD7E7D" w:rsidRDefault="00A8098E" w:rsidP="00A8098E">
      <w:pPr>
        <w:rPr>
          <w:rFonts w:cs="Times New Roman"/>
          <w:szCs w:val="24"/>
          <w:lang w:val="sr-Cyrl-RS"/>
        </w:rPr>
      </w:pPr>
      <w:r w:rsidRPr="00AD7E7D">
        <w:rPr>
          <w:rFonts w:cs="Times New Roman"/>
          <w:szCs w:val="24"/>
        </w:rPr>
        <w:t xml:space="preserve">Развој </w:t>
      </w:r>
      <w:r w:rsidRPr="00AD7E7D">
        <w:rPr>
          <w:rFonts w:cs="Times New Roman"/>
          <w:szCs w:val="24"/>
          <w:lang w:val="sr-Cyrl-RS"/>
        </w:rPr>
        <w:t>сигурне и одрживе дигиталне инфраструктуре, укључујући широкопојасну мрежу у руралним подручјима и увођење 5G технологије, важан је елемент дигиталне трансформације. Ова реформа има за циљ унапређење правног оквира ради бржег и економичнијег увођења електронских комуникационих мрежа врло високог капацитета, укључујући оптичке мреже и 5G, као и успостављање одрживих и безбедних 5G мрежа. Планирано је да до децембра 2027. године 40% домаћинстава у Србији буде покривено 5G мрежом, што ће омогућити уштеде у времену, бољи приступ е-услугама и флексибилније могућности запошљавања. Према емпиријским студијама</w:t>
      </w:r>
      <w:r w:rsidRPr="00AD7E7D">
        <w:rPr>
          <w:rFonts w:cs="Times New Roman"/>
          <w:szCs w:val="24"/>
          <w:vertAlign w:val="superscript"/>
        </w:rPr>
        <w:footnoteReference w:id="11"/>
      </w:r>
      <w:r w:rsidRPr="00AD7E7D">
        <w:rPr>
          <w:rFonts w:cs="Times New Roman"/>
          <w:szCs w:val="24"/>
          <w:lang w:val="sr-Cyrl-RS"/>
        </w:rPr>
        <w:t>, инвестиције од 100 милиона евра у широкопојасну инфраструктуру могу повећати бруто</w:t>
      </w:r>
      <w:r w:rsidR="003C49B8">
        <w:rPr>
          <w:rFonts w:cs="Times New Roman"/>
          <w:szCs w:val="24"/>
          <w:lang w:val="sr-Cyrl-RS"/>
        </w:rPr>
        <w:t xml:space="preserve"> додату вредност (БДВ) за 0,3% </w:t>
      </w:r>
      <w:r w:rsidRPr="00AD7E7D">
        <w:rPr>
          <w:rFonts w:cs="Times New Roman"/>
          <w:szCs w:val="24"/>
          <w:lang w:val="sr-Cyrl-RS"/>
        </w:rPr>
        <w:t>и генерисати између 3.000 и 10.000 нових радних места. Уз процењену вредност инвестиција у 5G инфраструктуру од око 15 млрд</w:t>
      </w:r>
      <w:r w:rsidR="00E46243">
        <w:rPr>
          <w:rFonts w:cs="Times New Roman"/>
          <w:szCs w:val="24"/>
          <w:lang w:val="sr-Cyrl-RS"/>
        </w:rPr>
        <w:t>.</w:t>
      </w:r>
      <w:r w:rsidRPr="00AD7E7D">
        <w:rPr>
          <w:rFonts w:cs="Times New Roman"/>
          <w:szCs w:val="24"/>
          <w:lang w:val="sr-Cyrl-RS"/>
        </w:rPr>
        <w:t xml:space="preserve"> динара ова реформа би могла допринети расту БДП од 0,35 п.п. и креирању око 12 хиљада радних места.</w:t>
      </w:r>
    </w:p>
    <w:p w14:paraId="3480C92B" w14:textId="77777777" w:rsidR="00056C94" w:rsidRDefault="00A8098E" w:rsidP="00A8098E">
      <w:pPr>
        <w:rPr>
          <w:rFonts w:cs="Times New Roman"/>
          <w:szCs w:val="24"/>
          <w:lang w:val="sr-Cyrl-RS"/>
        </w:rPr>
      </w:pPr>
      <w:r w:rsidRPr="00AD7E7D">
        <w:rPr>
          <w:rFonts w:cs="Times New Roman"/>
          <w:b/>
          <w:szCs w:val="24"/>
          <w:lang w:val="sr-Cyrl-RS"/>
        </w:rPr>
        <w:t>Побољшање животног стандарда и смањење сиромаштва кроз економски раст и подршку угроженим групама</w:t>
      </w:r>
      <w:r w:rsidRPr="00AD7E7D">
        <w:rPr>
          <w:rFonts w:cs="Times New Roman"/>
          <w:szCs w:val="24"/>
          <w:lang w:val="sr-Cyrl-RS"/>
        </w:rPr>
        <w:t>. Реформа побољшања услова на тржишту рада усмерена је на унапређење запошљивости младих људи кроз обезбеђивање адекватних финансијских и институционалних ресурса, као и јачање капацитета за активацију у области запошљавања и социјалне политике. Главни циљеви реформе укључују унапређење правног оквира за програме праксе, чиме ће се омогућити лакши прелазак младих из образовања у запослење, као и јачање програма „Гаранција за младе“ ради повећања доступности субвенционисаних понуда запослења, обука и пракси у року од четири месеца од формалне регистрације. До краја 2027. године, реформа тежи да обухвати 30% младих са NEET статусом (млади који нису запослени, нити су у систему образовања или обука), од чега најмање 50% жена, и да 30% учесника програма настави са запослењем, образовањем, обуком или праксом у року од четири месеца. Очекује се да ће реформа, заједно са смањењем неусклађености вештина на тржишту рада, допринети стварању око 17 хиљада нових радних места и повећању укупне запослености за 0,6%. Кроз ову реформу, Србија тежи јачању људског капитала, бољој интеграцији младих на тржишту рада. Процена утицаја реформе укључује верификацију података о NEET популацији, пројекцију нове запослености и прорачун ефеката на БДП, чиме ће се омогућити прецизније мерење успеха програма и његовог доприноса друштвеном и економском напретку.</w:t>
      </w:r>
      <w:r w:rsidR="00056C94">
        <w:rPr>
          <w:rFonts w:cs="Times New Roman"/>
          <w:szCs w:val="24"/>
          <w:lang w:val="sr-Cyrl-RS"/>
        </w:rPr>
        <w:br w:type="page"/>
      </w:r>
    </w:p>
    <w:p w14:paraId="4BB24406" w14:textId="77777777" w:rsidR="00A8098E" w:rsidRPr="00E25CAC" w:rsidRDefault="00933940" w:rsidP="00E25CAC">
      <w:pPr>
        <w:pStyle w:val="Heading1"/>
        <w:spacing w:after="240"/>
        <w:rPr>
          <w:rFonts w:ascii="Times New Roman" w:eastAsiaTheme="minorHAnsi" w:hAnsi="Times New Roman" w:cs="Times New Roman"/>
          <w:b/>
          <w:color w:val="auto"/>
          <w:sz w:val="24"/>
          <w:szCs w:val="24"/>
          <w:lang w:val="sr-Latn-RS"/>
        </w:rPr>
      </w:pPr>
      <w:bookmarkStart w:id="35" w:name="_Toc185342342"/>
      <w:r w:rsidRPr="00E25CAC">
        <w:rPr>
          <w:rFonts w:ascii="Times New Roman" w:eastAsiaTheme="minorHAnsi" w:hAnsi="Times New Roman" w:cs="Times New Roman"/>
          <w:b/>
          <w:color w:val="auto"/>
          <w:sz w:val="24"/>
          <w:szCs w:val="24"/>
          <w:lang w:val="sr-Latn-RS"/>
        </w:rPr>
        <w:lastRenderedPageBreak/>
        <w:t>6</w:t>
      </w:r>
      <w:r w:rsidR="00A8098E" w:rsidRPr="00E25CAC">
        <w:rPr>
          <w:rFonts w:ascii="Times New Roman" w:eastAsiaTheme="minorHAnsi" w:hAnsi="Times New Roman" w:cs="Times New Roman"/>
          <w:b/>
          <w:color w:val="auto"/>
          <w:sz w:val="24"/>
          <w:szCs w:val="24"/>
          <w:lang w:val="sr-Latn-RS"/>
        </w:rPr>
        <w:t>. ИНСТИТУЦИОНАЛНА ПИТАЊА И УКЉУЧИВАЊЕ ЗАИНТЕРЕСОВАНИХ СТРАНА</w:t>
      </w:r>
      <w:bookmarkEnd w:id="35"/>
    </w:p>
    <w:p w14:paraId="10E86603" w14:textId="77777777" w:rsidR="00A8098E" w:rsidRPr="00AD7E7D" w:rsidRDefault="00A8098E" w:rsidP="00367824">
      <w:pPr>
        <w:spacing w:after="0"/>
        <w:ind w:right="-46"/>
        <w:rPr>
          <w:rFonts w:eastAsia="Times New Roman" w:cs="Times New Roman"/>
          <w:szCs w:val="24"/>
          <w:lang w:val="sr-Cyrl-RS"/>
        </w:rPr>
      </w:pPr>
      <w:r w:rsidRPr="00AD7E7D">
        <w:rPr>
          <w:rFonts w:eastAsia="Calibri" w:cs="Times New Roman"/>
          <w:szCs w:val="24"/>
          <w:lang w:val="sr-Cyrl-RS"/>
        </w:rPr>
        <w:t>Република Србија има развијену структуру интерресорне координације израде Програма економских реформи. За националног координатора и руководиоца Радне групе за израду и праћење спрoвођења ЕРП закључком Владе Републике Србије од 28. августа 2018. године, и затим закључком Владе од 22. децембра 2022. године именован је потпредседник Владе и министар финансија Синиша Мали. Решењем министра</w:t>
      </w:r>
      <w:r w:rsidRPr="00AD7E7D">
        <w:rPr>
          <w:rFonts w:eastAsia="Times New Roman" w:cs="Times New Roman"/>
          <w:szCs w:val="24"/>
          <w:lang w:val="sr-Cyrl-RS"/>
        </w:rPr>
        <w:t xml:space="preserve"> финансија </w:t>
      </w:r>
      <w:r w:rsidRPr="00AD7E7D">
        <w:rPr>
          <w:rFonts w:eastAsia="Times New Roman" w:cs="Times New Roman"/>
          <w:szCs w:val="24"/>
          <w:lang w:val="sr-Latn-RS"/>
        </w:rPr>
        <w:t>13</w:t>
      </w:r>
      <w:r w:rsidRPr="00AD7E7D">
        <w:rPr>
          <w:rFonts w:eastAsia="Times New Roman" w:cs="Times New Roman"/>
          <w:szCs w:val="24"/>
          <w:lang w:val="sr-Cyrl-RS"/>
        </w:rPr>
        <w:t>. децембра 202</w:t>
      </w:r>
      <w:r w:rsidRPr="00AD7E7D">
        <w:rPr>
          <w:rFonts w:eastAsia="Times New Roman" w:cs="Times New Roman"/>
          <w:szCs w:val="24"/>
          <w:lang w:val="sr-Latn-RS"/>
        </w:rPr>
        <w:t>4</w:t>
      </w:r>
      <w:r w:rsidRPr="00AD7E7D">
        <w:rPr>
          <w:rFonts w:eastAsia="Times New Roman" w:cs="Times New Roman"/>
          <w:szCs w:val="24"/>
          <w:lang w:val="sr-Cyrl-RS"/>
        </w:rPr>
        <w:t xml:space="preserve">. године иновирано је чланство </w:t>
      </w:r>
      <w:r w:rsidRPr="00AD7E7D">
        <w:rPr>
          <w:rFonts w:eastAsia="Times New Roman" w:cs="Times New Roman"/>
          <w:b/>
          <w:szCs w:val="24"/>
          <w:lang w:val="sr-Cyrl-RS"/>
        </w:rPr>
        <w:t>Радне групе за израду и праћење спровођења ЕРП</w:t>
      </w:r>
      <w:r w:rsidRPr="00AD7E7D">
        <w:rPr>
          <w:rFonts w:eastAsia="Times New Roman" w:cs="Times New Roman"/>
          <w:szCs w:val="24"/>
          <w:lang w:val="sr-Cyrl-RS"/>
        </w:rPr>
        <w:t xml:space="preserve"> у коју су именовани представници следећих институција:</w:t>
      </w:r>
    </w:p>
    <w:p w14:paraId="3E9E2DAC" w14:textId="77777777" w:rsidR="00A8098E" w:rsidRPr="00AD7E7D" w:rsidRDefault="00A8098E" w:rsidP="00367824">
      <w:pPr>
        <w:numPr>
          <w:ilvl w:val="0"/>
          <w:numId w:val="32"/>
        </w:numPr>
        <w:spacing w:after="0"/>
        <w:ind w:left="714" w:right="-45" w:hanging="357"/>
        <w:contextualSpacing/>
        <w:jc w:val="left"/>
        <w:rPr>
          <w:rFonts w:eastAsia="Times New Roman" w:cs="Times New Roman"/>
          <w:szCs w:val="24"/>
          <w:lang w:val="sr-Cyrl-RS" w:eastAsia="ja-JP"/>
        </w:rPr>
      </w:pPr>
      <w:r w:rsidRPr="00AD7E7D">
        <w:rPr>
          <w:rFonts w:eastAsia="Times New Roman" w:cs="Times New Roman"/>
          <w:szCs w:val="24"/>
          <w:lang w:val="sr-Cyrl-RS" w:eastAsia="ja-JP"/>
        </w:rPr>
        <w:t>Министарства финансија,</w:t>
      </w:r>
    </w:p>
    <w:p w14:paraId="554AFC3F" w14:textId="77777777" w:rsidR="00A8098E" w:rsidRPr="00AD7E7D" w:rsidRDefault="00A8098E" w:rsidP="00367824">
      <w:pPr>
        <w:numPr>
          <w:ilvl w:val="0"/>
          <w:numId w:val="32"/>
        </w:numPr>
        <w:spacing w:after="0"/>
        <w:ind w:left="714" w:right="-45" w:hanging="357"/>
        <w:contextualSpacing/>
        <w:jc w:val="left"/>
        <w:rPr>
          <w:rFonts w:eastAsia="Times New Roman" w:cs="Times New Roman"/>
          <w:szCs w:val="24"/>
          <w:lang w:val="sr-Cyrl-RS" w:eastAsia="ja-JP"/>
        </w:rPr>
      </w:pPr>
      <w:r w:rsidRPr="00AD7E7D">
        <w:rPr>
          <w:rFonts w:eastAsia="Times New Roman" w:cs="Times New Roman"/>
          <w:szCs w:val="24"/>
          <w:lang w:val="sr-Cyrl-RS" w:eastAsia="ja-JP"/>
        </w:rPr>
        <w:t>Народне банке Србије,</w:t>
      </w:r>
    </w:p>
    <w:p w14:paraId="38BBD1C8" w14:textId="77777777" w:rsidR="00A8098E" w:rsidRPr="00AD7E7D" w:rsidRDefault="00A8098E" w:rsidP="00367824">
      <w:pPr>
        <w:numPr>
          <w:ilvl w:val="0"/>
          <w:numId w:val="32"/>
        </w:numPr>
        <w:spacing w:after="0"/>
        <w:ind w:left="714" w:right="-45" w:hanging="357"/>
        <w:contextualSpacing/>
        <w:jc w:val="left"/>
        <w:rPr>
          <w:rFonts w:eastAsia="Times New Roman" w:cs="Times New Roman"/>
          <w:szCs w:val="24"/>
          <w:lang w:val="sr-Cyrl-RS" w:eastAsia="ja-JP"/>
        </w:rPr>
      </w:pPr>
      <w:r w:rsidRPr="00AD7E7D">
        <w:rPr>
          <w:rFonts w:eastAsia="Times New Roman" w:cs="Times New Roman"/>
          <w:szCs w:val="24"/>
          <w:lang w:val="sr-Cyrl-RS" w:eastAsia="ja-JP"/>
        </w:rPr>
        <w:t>Министарства привреде,</w:t>
      </w:r>
    </w:p>
    <w:p w14:paraId="186BB7C8" w14:textId="77777777" w:rsidR="00A8098E" w:rsidRPr="00AD7E7D" w:rsidRDefault="00A8098E" w:rsidP="00367824">
      <w:pPr>
        <w:numPr>
          <w:ilvl w:val="0"/>
          <w:numId w:val="32"/>
        </w:numPr>
        <w:spacing w:after="0"/>
        <w:ind w:left="714" w:right="-45" w:hanging="357"/>
        <w:jc w:val="left"/>
        <w:rPr>
          <w:rFonts w:eastAsia="Times New Roman" w:cs="Times New Roman"/>
          <w:szCs w:val="24"/>
          <w:lang w:val="sr-Cyrl-RS" w:eastAsia="ja-JP"/>
        </w:rPr>
      </w:pPr>
      <w:r w:rsidRPr="00AD7E7D">
        <w:rPr>
          <w:rFonts w:eastAsia="Times New Roman" w:cs="Times New Roman"/>
          <w:szCs w:val="24"/>
          <w:lang w:val="sr-Cyrl-RS" w:eastAsia="ja-JP"/>
        </w:rPr>
        <w:t>Републичког завода за статистику.</w:t>
      </w:r>
    </w:p>
    <w:p w14:paraId="77762A20" w14:textId="44D3F34C" w:rsidR="00A8098E" w:rsidRPr="00AD7E7D" w:rsidRDefault="00A8098E" w:rsidP="00367824">
      <w:pPr>
        <w:spacing w:after="0"/>
        <w:ind w:right="-45"/>
        <w:rPr>
          <w:rFonts w:eastAsia="Times New Roman" w:cs="Times New Roman"/>
          <w:szCs w:val="24"/>
          <w:lang w:val="sr-Cyrl-RS"/>
        </w:rPr>
      </w:pPr>
      <w:r w:rsidRPr="00AD7E7D">
        <w:rPr>
          <w:rFonts w:eastAsia="Times New Roman" w:cs="Times New Roman"/>
          <w:szCs w:val="24"/>
          <w:lang w:val="sr-Cyrl-RS"/>
        </w:rPr>
        <w:t>У складу са већ успостављеном праксом, основа документа базирана је на макро-фискални оквир и у највећој мери се ослања на Фискалну стратегију за 202</w:t>
      </w:r>
      <w:r w:rsidRPr="00AD7E7D">
        <w:rPr>
          <w:rFonts w:eastAsia="Times New Roman" w:cs="Times New Roman"/>
          <w:szCs w:val="24"/>
          <w:lang w:val="sr-Latn-RS"/>
        </w:rPr>
        <w:t>5</w:t>
      </w:r>
      <w:r w:rsidRPr="00AD7E7D">
        <w:rPr>
          <w:rFonts w:eastAsia="Times New Roman" w:cs="Times New Roman"/>
          <w:szCs w:val="24"/>
          <w:lang w:val="sr-Cyrl-RS"/>
        </w:rPr>
        <w:t>. годину са пројекцијама за 202</w:t>
      </w:r>
      <w:r w:rsidRPr="00AD7E7D">
        <w:rPr>
          <w:rFonts w:eastAsia="Times New Roman" w:cs="Times New Roman"/>
          <w:szCs w:val="24"/>
          <w:lang w:val="sr-Latn-RS"/>
        </w:rPr>
        <w:t>6</w:t>
      </w:r>
      <w:r w:rsidRPr="00AD7E7D">
        <w:rPr>
          <w:rFonts w:eastAsia="Times New Roman" w:cs="Times New Roman"/>
          <w:szCs w:val="24"/>
          <w:lang w:val="sr-Cyrl-RS"/>
        </w:rPr>
        <w:t>. и 202</w:t>
      </w:r>
      <w:r w:rsidRPr="00AD7E7D">
        <w:rPr>
          <w:rFonts w:eastAsia="Times New Roman" w:cs="Times New Roman"/>
          <w:szCs w:val="24"/>
          <w:lang w:val="sr-Latn-RS"/>
        </w:rPr>
        <w:t>7</w:t>
      </w:r>
      <w:r w:rsidRPr="00AD7E7D">
        <w:rPr>
          <w:rFonts w:eastAsia="Times New Roman" w:cs="Times New Roman"/>
          <w:szCs w:val="24"/>
          <w:lang w:val="sr-Cyrl-RS"/>
        </w:rPr>
        <w:t>. годину. ЕРП 2025-2027, у складу са Смерницама Европске комисије, почев од 2024. године усмерен je на сажетији облик документа у односу на претходне циклусе, како би фокус био првенствено на реализацији утврђених приоритета. Наиме, Смернице Европске комисије су иновиране у смислу да документ више не садржи планиране структурне реформе имајући у виду да су оне приказане у оквиру „Реформске агенде Републике Србије 2024-2027 у складу са Планом раста за Западни Балкан“, коју је Влада Републике Србије усвојила 3. октобра 2024. године.</w:t>
      </w:r>
    </w:p>
    <w:p w14:paraId="0B3B0FDB" w14:textId="77777777" w:rsidR="00A8098E" w:rsidRPr="00AD7E7D" w:rsidRDefault="00A8098E" w:rsidP="00367824">
      <w:pPr>
        <w:spacing w:after="0"/>
        <w:ind w:right="-45"/>
        <w:rPr>
          <w:rFonts w:eastAsia="Times New Roman" w:cs="Times New Roman"/>
          <w:szCs w:val="24"/>
        </w:rPr>
      </w:pPr>
      <w:r w:rsidRPr="00AD7E7D">
        <w:rPr>
          <w:rFonts w:eastAsia="Times New Roman" w:cs="Times New Roman"/>
          <w:szCs w:val="24"/>
          <w:lang w:val="sr-Cyrl-RS"/>
        </w:rPr>
        <w:t xml:space="preserve">Једанаести циклус израде ЕРП за период 2025-2027. године започет је одржавањем уводног </w:t>
      </w:r>
      <w:r w:rsidRPr="00AD7E7D">
        <w:rPr>
          <w:rFonts w:eastAsia="Times New Roman" w:cs="Times New Roman"/>
          <w:b/>
          <w:szCs w:val="24"/>
          <w:lang w:val="sr-Cyrl-RS"/>
        </w:rPr>
        <w:t xml:space="preserve">онлајн регионалног састанка у јулу 2024. године у организацији Европске комисије </w:t>
      </w:r>
      <w:r w:rsidRPr="00AD7E7D">
        <w:rPr>
          <w:rFonts w:eastAsia="Times New Roman" w:cs="Times New Roman"/>
          <w:szCs w:val="24"/>
          <w:lang w:val="sr-Cyrl-RS"/>
        </w:rPr>
        <w:t>и уз подршку</w:t>
      </w:r>
      <w:r w:rsidRPr="00AD7E7D">
        <w:rPr>
          <w:rFonts w:eastAsia="Times New Roman" w:cs="Times New Roman"/>
          <w:b/>
          <w:szCs w:val="24"/>
          <w:lang w:val="sr-Cyrl-RS"/>
        </w:rPr>
        <w:t xml:space="preserve"> </w:t>
      </w:r>
      <w:r w:rsidRPr="00AD7E7D">
        <w:rPr>
          <w:rFonts w:eastAsia="Times New Roman" w:cs="Times New Roman"/>
          <w:szCs w:val="24"/>
          <w:lang w:val="sr-Cyrl-RS"/>
        </w:rPr>
        <w:t>Центр</w:t>
      </w:r>
      <w:r w:rsidRPr="00AD7E7D">
        <w:rPr>
          <w:rFonts w:eastAsia="Times New Roman" w:cs="Times New Roman"/>
          <w:szCs w:val="24"/>
          <w:lang w:val="sr-Latn-RS"/>
        </w:rPr>
        <w:t>a</w:t>
      </w:r>
      <w:r w:rsidRPr="00AD7E7D">
        <w:rPr>
          <w:rFonts w:eastAsia="Times New Roman" w:cs="Times New Roman"/>
          <w:szCs w:val="24"/>
          <w:lang w:val="sr-Cyrl-RS"/>
        </w:rPr>
        <w:t xml:space="preserve"> за развој финансија (Сenter of Еxcellence in Finance - CEF, </w:t>
      </w:r>
      <w:r w:rsidRPr="00AD7E7D">
        <w:rPr>
          <w:rFonts w:eastAsia="Calibri" w:cs="Times New Roman"/>
          <w:szCs w:val="24"/>
          <w:lang w:val="sr-Cyrl-RS"/>
        </w:rPr>
        <w:t>Љубљанa,</w:t>
      </w:r>
      <w:r w:rsidRPr="00AD7E7D">
        <w:rPr>
          <w:rFonts w:eastAsia="Times New Roman" w:cs="Times New Roman"/>
          <w:szCs w:val="24"/>
          <w:lang w:val="sr-Cyrl-RS"/>
        </w:rPr>
        <w:t xml:space="preserve"> Словенија)</w:t>
      </w:r>
      <w:r w:rsidRPr="00AD7E7D">
        <w:rPr>
          <w:rFonts w:eastAsia="Calibri" w:cs="Times New Roman"/>
          <w:szCs w:val="24"/>
          <w:lang w:val="sr-Cyrl-RS"/>
        </w:rPr>
        <w:t>.</w:t>
      </w:r>
      <w:r w:rsidRPr="00AD7E7D">
        <w:rPr>
          <w:rFonts w:eastAsia="Times New Roman" w:cs="Times New Roman"/>
          <w:szCs w:val="24"/>
          <w:lang w:val="sr-Cyrl-RS"/>
        </w:rPr>
        <w:t xml:space="preserve"> На састанку су представљене нове, измењене Смернице Европске комисије за израду ЕРП 2025-2027</w:t>
      </w:r>
      <w:r w:rsidRPr="00AD7E7D">
        <w:rPr>
          <w:rFonts w:eastAsia="Times New Roman" w:cs="Times New Roman"/>
          <w:szCs w:val="24"/>
          <w:lang w:val="sr-Latn-RS"/>
        </w:rPr>
        <w:t xml:space="preserve"> и </w:t>
      </w:r>
      <w:r w:rsidRPr="00AD7E7D">
        <w:rPr>
          <w:rFonts w:eastAsia="Times New Roman" w:cs="Times New Roman"/>
          <w:szCs w:val="24"/>
          <w:lang w:val="sr-Cyrl-RS"/>
        </w:rPr>
        <w:t xml:space="preserve">анализиран је </w:t>
      </w:r>
      <w:r w:rsidRPr="00AD7E7D">
        <w:rPr>
          <w:rFonts w:eastAsia="Times New Roman" w:cs="Times New Roman"/>
          <w:szCs w:val="24"/>
          <w:lang w:val="sr-Latn-RS"/>
        </w:rPr>
        <w:t>претходни документ ЕРП како би се пре свега превазишли сви евентуални изазови у наредном циклусу.</w:t>
      </w:r>
      <w:r w:rsidRPr="00AD7E7D">
        <w:rPr>
          <w:rFonts w:eastAsia="Times New Roman" w:cs="Times New Roman"/>
          <w:szCs w:val="24"/>
          <w:lang w:val="sr-Cyrl-RS"/>
        </w:rPr>
        <w:t xml:space="preserve"> Република Србија доставила је ЕК захтев за додатним појашњењима Смерница</w:t>
      </w:r>
      <w:r w:rsidRPr="00AD7E7D">
        <w:rPr>
          <w:rFonts w:eastAsia="Times New Roman" w:cs="Times New Roman"/>
          <w:szCs w:val="24"/>
        </w:rPr>
        <w:t>.</w:t>
      </w:r>
    </w:p>
    <w:p w14:paraId="73DBEC58" w14:textId="77777777" w:rsidR="00A8098E" w:rsidRPr="00AD7E7D" w:rsidRDefault="00A8098E" w:rsidP="00367824">
      <w:pPr>
        <w:spacing w:after="0"/>
        <w:ind w:right="-45"/>
        <w:rPr>
          <w:rFonts w:eastAsia="MS PGothic" w:cs="Times New Roman"/>
          <w:szCs w:val="24"/>
          <w:lang w:val="sr-Cyrl-RS" w:eastAsia="ja-JP"/>
        </w:rPr>
      </w:pPr>
      <w:r w:rsidRPr="00AD7E7D">
        <w:rPr>
          <w:rFonts w:eastAsia="MS PGothic" w:cs="Times New Roman"/>
          <w:szCs w:val="24"/>
          <w:lang w:val="sr-Cyrl-RS" w:eastAsia="ja-JP"/>
        </w:rPr>
        <w:t xml:space="preserve">Паралелно са овим активностима, текао је и рад на изради </w:t>
      </w:r>
      <w:r w:rsidRPr="00AD7E7D">
        <w:rPr>
          <w:rFonts w:eastAsia="MS PGothic" w:cs="Times New Roman"/>
          <w:b/>
          <w:szCs w:val="24"/>
          <w:lang w:val="sr-Cyrl-RS" w:eastAsia="ja-JP"/>
        </w:rPr>
        <w:t>Фискалне стратегије за 2025</w:t>
      </w:r>
      <w:r w:rsidRPr="00AD7E7D">
        <w:rPr>
          <w:rFonts w:eastAsia="MS PGothic" w:cs="Times New Roman"/>
          <w:szCs w:val="24"/>
          <w:lang w:val="sr-Cyrl-RS" w:eastAsia="ja-JP"/>
        </w:rPr>
        <w:t>. годину са пројекцијама за 2026. и 2027. годину, која је усвојена 4. јула, док је Ревидирана Фискална стратегија са пројекцијама за 2026. и 2027. годину усвојена 31. октобра 202</w:t>
      </w:r>
      <w:r w:rsidRPr="00AD7E7D">
        <w:rPr>
          <w:rFonts w:eastAsia="MS PGothic" w:cs="Times New Roman"/>
          <w:szCs w:val="24"/>
          <w:lang w:eastAsia="ja-JP"/>
        </w:rPr>
        <w:t>4</w:t>
      </w:r>
      <w:r w:rsidRPr="00AD7E7D">
        <w:rPr>
          <w:rFonts w:eastAsia="MS PGothic" w:cs="Times New Roman"/>
          <w:szCs w:val="24"/>
          <w:lang w:val="sr-Cyrl-RS" w:eastAsia="ja-JP"/>
        </w:rPr>
        <w:t>. године, а која представља основ за припрему одговарајућих поглавља ЕРП.</w:t>
      </w:r>
    </w:p>
    <w:p w14:paraId="5706D71D" w14:textId="77777777" w:rsidR="00A8098E" w:rsidRPr="00AD7E7D" w:rsidRDefault="00A8098E" w:rsidP="00367824">
      <w:pPr>
        <w:spacing w:after="0"/>
        <w:ind w:right="-45"/>
        <w:rPr>
          <w:rFonts w:eastAsia="Calibri" w:cs="Times New Roman"/>
          <w:szCs w:val="24"/>
          <w:lang w:val="sr-Latn-RS"/>
        </w:rPr>
      </w:pPr>
      <w:r w:rsidRPr="00AD7E7D">
        <w:rPr>
          <w:rFonts w:eastAsia="Calibri" w:cs="Times New Roman"/>
          <w:b/>
          <w:szCs w:val="24"/>
          <w:lang w:val="sr-Cyrl-RS"/>
        </w:rPr>
        <w:t>Нацрт ЕРП документа</w:t>
      </w:r>
      <w:r w:rsidRPr="00AD7E7D">
        <w:rPr>
          <w:rFonts w:eastAsia="Calibri" w:cs="Times New Roman"/>
          <w:szCs w:val="24"/>
          <w:lang w:val="sr-Cyrl-RS"/>
        </w:rPr>
        <w:t xml:space="preserve"> стављeн је на увид јавности путем веб-сајта Министарства финансија и Е-консултације од 29. новембра до 13. децембра 2024. године уз позив заинтересованим странама да дају своје коментаре и сугестије. </w:t>
      </w:r>
      <w:r w:rsidRPr="00AD7E7D">
        <w:rPr>
          <w:rFonts w:eastAsia="Calibri" w:cs="Times New Roman"/>
          <w:szCs w:val="24"/>
          <w:lang w:val="sr-Latn-RS"/>
        </w:rPr>
        <w:t>K</w:t>
      </w:r>
      <w:r w:rsidRPr="00AD7E7D">
        <w:rPr>
          <w:rFonts w:eastAsia="Calibri" w:cs="Times New Roman"/>
          <w:szCs w:val="24"/>
          <w:lang w:val="sr-Cyrl-RS"/>
        </w:rPr>
        <w:t>оментаре на Нацрт Програма економских реформи 2025-2027 доставили су представници Транспарентности Србија</w:t>
      </w:r>
      <w:r w:rsidRPr="00AD7E7D">
        <w:rPr>
          <w:rFonts w:eastAsia="Calibri" w:cs="Times New Roman"/>
          <w:szCs w:val="24"/>
          <w:lang w:val="sr-Latn-RS"/>
        </w:rPr>
        <w:t>.</w:t>
      </w:r>
    </w:p>
    <w:p w14:paraId="3C776A26" w14:textId="77777777" w:rsidR="00A8098E" w:rsidRPr="00AD7E7D" w:rsidRDefault="00A8098E" w:rsidP="00367824">
      <w:pPr>
        <w:spacing w:after="0"/>
        <w:rPr>
          <w:rFonts w:eastAsia="Calibri" w:cs="Times New Roman"/>
          <w:szCs w:val="24"/>
          <w:lang w:val="sr-Cyrl-RS"/>
        </w:rPr>
      </w:pPr>
      <w:r w:rsidRPr="00AD7E7D">
        <w:rPr>
          <w:rFonts w:eastAsia="Times New Roman" w:cs="Times New Roman"/>
          <w:szCs w:val="24"/>
          <w:lang w:val="sr-Cyrl-RS"/>
        </w:rPr>
        <w:t>Имајући у виду да је ЕРП преносни документ, те да је припрема континуирани процес, велики број сугестија и коментара заинтересованих страна из претходног циклуса узима се у обзир у актуелном циклусу израде ЕРП.</w:t>
      </w:r>
    </w:p>
    <w:p w14:paraId="4C2FFBE3" w14:textId="77777777" w:rsidR="009B5DE5" w:rsidRDefault="00A8098E" w:rsidP="00367824">
      <w:pPr>
        <w:spacing w:after="0"/>
        <w:ind w:right="-46"/>
        <w:rPr>
          <w:rFonts w:eastAsia="Calibri" w:cs="Times New Roman"/>
          <w:szCs w:val="24"/>
          <w:lang w:val="sr-Cyrl-RS"/>
        </w:rPr>
        <w:sectPr w:rsidR="009B5DE5" w:rsidSect="009F2623">
          <w:footerReference w:type="default" r:id="rId31"/>
          <w:footerReference w:type="first" r:id="rId32"/>
          <w:type w:val="continuous"/>
          <w:pgSz w:w="11906" w:h="16838" w:code="9"/>
          <w:pgMar w:top="1440" w:right="1440" w:bottom="1440" w:left="1440" w:header="720" w:footer="720" w:gutter="0"/>
          <w:pgNumType w:start="1"/>
          <w:cols w:space="720"/>
          <w:docGrid w:linePitch="360"/>
        </w:sectPr>
      </w:pPr>
      <w:r w:rsidRPr="00AD7E7D">
        <w:rPr>
          <w:rFonts w:eastAsia="Calibri" w:cs="Times New Roman"/>
          <w:szCs w:val="24"/>
          <w:lang w:val="sr-Cyrl-RS"/>
        </w:rPr>
        <w:t xml:space="preserve">Након консултација са заинтересованим странама и по окончању интерне процедуре, документ се усваја од стране Владе Републике Србије и доставља Европској комисији у предвиђеном року, односно </w:t>
      </w:r>
      <w:r w:rsidRPr="00AD7E7D">
        <w:rPr>
          <w:rFonts w:eastAsia="Calibri" w:cs="Times New Roman"/>
          <w:b/>
          <w:szCs w:val="24"/>
          <w:lang w:val="sr-Cyrl-RS"/>
        </w:rPr>
        <w:t>до 15. јануара 2025. године</w:t>
      </w:r>
      <w:r w:rsidRPr="00AD7E7D">
        <w:rPr>
          <w:rFonts w:eastAsia="Calibri" w:cs="Times New Roman"/>
          <w:szCs w:val="24"/>
          <w:lang w:val="sr-Cyrl-RS"/>
        </w:rPr>
        <w:t>. ЕРП се затим даље разматра са представницима ЕУ институција и држава чланица у процесу Европски семестар лајт за Западни Балкан и Турску, а средином 2025. године предвиђен је почетак израде наредног документа за период 2026- 2028. године.</w:t>
      </w:r>
    </w:p>
    <w:p w14:paraId="67DF0343" w14:textId="77777777" w:rsidR="009B5DE5" w:rsidRPr="009B5DE5" w:rsidRDefault="009B5DE5" w:rsidP="009B5DE5">
      <w:pPr>
        <w:pStyle w:val="Heading1"/>
        <w:spacing w:after="240"/>
        <w:rPr>
          <w:rFonts w:ascii="Times New Roman" w:eastAsiaTheme="minorHAnsi" w:hAnsi="Times New Roman" w:cs="Times New Roman"/>
          <w:b/>
          <w:color w:val="auto"/>
          <w:sz w:val="24"/>
          <w:szCs w:val="24"/>
          <w:lang w:val="sr-Latn-RS"/>
        </w:rPr>
      </w:pPr>
      <w:bookmarkStart w:id="36" w:name="_Toc185342343"/>
      <w:r w:rsidRPr="009B5DE5">
        <w:rPr>
          <w:rFonts w:ascii="Times New Roman" w:eastAsiaTheme="minorHAnsi" w:hAnsi="Times New Roman" w:cs="Times New Roman"/>
          <w:b/>
          <w:color w:val="auto"/>
          <w:sz w:val="24"/>
          <w:szCs w:val="24"/>
          <w:lang w:val="sr-Latn-RS"/>
        </w:rPr>
        <w:lastRenderedPageBreak/>
        <w:t>АНЕКС 1: Табеле 1 – 8</w:t>
      </w:r>
      <w:bookmarkEnd w:id="36"/>
    </w:p>
    <w:p w14:paraId="718D0C56" w14:textId="77777777" w:rsidR="009B5DE5" w:rsidRPr="009B5DE5" w:rsidRDefault="009B5DE5" w:rsidP="009B5DE5">
      <w:pPr>
        <w:spacing w:after="160" w:line="259" w:lineRule="auto"/>
        <w:jc w:val="left"/>
        <w:rPr>
          <w:rFonts w:eastAsia="Calibri" w:cs="Times New Roman"/>
          <w:sz w:val="22"/>
          <w:lang w:val="sr-Cyrl-RS"/>
        </w:rPr>
      </w:pPr>
      <w:r w:rsidRPr="009B5DE5">
        <w:rPr>
          <w:rFonts w:eastAsia="Calibri" w:cs="Times New Roman"/>
          <w:sz w:val="22"/>
          <w:lang w:val="sr-Cyrl-RS"/>
        </w:rPr>
        <w:t xml:space="preserve">Табела 1: Макроекономски оквир </w:t>
      </w:r>
    </w:p>
    <w:p w14:paraId="4B1F27C4" w14:textId="77777777" w:rsidR="009B5DE5" w:rsidRPr="009B5DE5" w:rsidRDefault="009B5DE5" w:rsidP="009B5DE5">
      <w:pPr>
        <w:spacing w:after="160" w:line="259" w:lineRule="auto"/>
        <w:jc w:val="left"/>
        <w:rPr>
          <w:rFonts w:ascii="Calibri" w:eastAsia="Calibri" w:hAnsi="Calibri" w:cs="Times New Roman"/>
          <w:sz w:val="22"/>
          <w:lang w:val="sr-Cyrl-RS"/>
        </w:rPr>
      </w:pPr>
      <w:r w:rsidRPr="009B5DE5">
        <w:rPr>
          <w:rFonts w:ascii="Calibri" w:eastAsia="Calibri" w:hAnsi="Calibri" w:cs="Times New Roman"/>
          <w:noProof/>
          <w:sz w:val="22"/>
        </w:rPr>
        <w:drawing>
          <wp:inline distT="0" distB="0" distL="0" distR="0" wp14:anchorId="6AE0C518" wp14:editId="4BF628DF">
            <wp:extent cx="9697926" cy="394289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08146" cy="3947048"/>
                    </a:xfrm>
                    <a:prstGeom prst="rect">
                      <a:avLst/>
                    </a:prstGeom>
                    <a:noFill/>
                    <a:ln>
                      <a:noFill/>
                    </a:ln>
                  </pic:spPr>
                </pic:pic>
              </a:graphicData>
            </a:graphic>
          </wp:inline>
        </w:drawing>
      </w:r>
    </w:p>
    <w:p w14:paraId="05457308" w14:textId="77777777" w:rsidR="009B5DE5" w:rsidRPr="009B5DE5" w:rsidRDefault="009B5DE5" w:rsidP="009B5DE5">
      <w:pPr>
        <w:spacing w:after="160" w:line="259" w:lineRule="auto"/>
        <w:jc w:val="left"/>
        <w:rPr>
          <w:rFonts w:ascii="Calibri" w:eastAsia="Calibri" w:hAnsi="Calibri" w:cs="Times New Roman"/>
          <w:sz w:val="22"/>
          <w:lang w:val="sr-Cyrl-RS"/>
        </w:rPr>
      </w:pPr>
    </w:p>
    <w:p w14:paraId="545AB1CD" w14:textId="77777777" w:rsidR="009B5DE5" w:rsidRPr="009B5DE5" w:rsidRDefault="009B5DE5" w:rsidP="009B5DE5">
      <w:pPr>
        <w:spacing w:after="160" w:line="259" w:lineRule="auto"/>
        <w:jc w:val="left"/>
        <w:rPr>
          <w:rFonts w:ascii="Calibri" w:eastAsia="Calibri" w:hAnsi="Calibri" w:cs="Times New Roman"/>
          <w:sz w:val="22"/>
          <w:lang w:val="sr-Cyrl-RS"/>
        </w:rPr>
      </w:pPr>
    </w:p>
    <w:p w14:paraId="3663F2A5" w14:textId="77777777" w:rsidR="009B5DE5" w:rsidRPr="009B5DE5" w:rsidRDefault="009B5DE5" w:rsidP="009B5DE5">
      <w:pPr>
        <w:spacing w:after="160" w:line="259" w:lineRule="auto"/>
        <w:jc w:val="left"/>
        <w:rPr>
          <w:rFonts w:ascii="Calibri" w:eastAsia="Calibri" w:hAnsi="Calibri" w:cs="Times New Roman"/>
          <w:sz w:val="22"/>
          <w:lang w:val="sr-Cyrl-RS"/>
        </w:rPr>
      </w:pPr>
    </w:p>
    <w:p w14:paraId="3360705F" w14:textId="77777777" w:rsidR="009B5DE5" w:rsidRPr="009B5DE5" w:rsidRDefault="009B5DE5" w:rsidP="009B5DE5">
      <w:pPr>
        <w:spacing w:after="160" w:line="259" w:lineRule="auto"/>
        <w:jc w:val="left"/>
        <w:rPr>
          <w:rFonts w:ascii="Calibri" w:eastAsia="Calibri" w:hAnsi="Calibri" w:cs="Times New Roman"/>
          <w:sz w:val="22"/>
          <w:lang w:val="sr-Cyrl-RS"/>
        </w:rPr>
      </w:pPr>
    </w:p>
    <w:p w14:paraId="15C3AA7B" w14:textId="77777777" w:rsidR="009B5DE5" w:rsidRPr="009B5DE5" w:rsidRDefault="009B5DE5" w:rsidP="009B5DE5">
      <w:pPr>
        <w:spacing w:after="160" w:line="259" w:lineRule="auto"/>
        <w:jc w:val="left"/>
        <w:rPr>
          <w:rFonts w:ascii="Calibri" w:eastAsia="Calibri" w:hAnsi="Calibri" w:cs="Times New Roman"/>
          <w:sz w:val="22"/>
          <w:lang w:val="sr-Cyrl-RS"/>
        </w:rPr>
      </w:pPr>
    </w:p>
    <w:p w14:paraId="0E6FEC7B" w14:textId="039B78D0" w:rsidR="009B5DE5" w:rsidRDefault="009B5DE5" w:rsidP="009B5DE5">
      <w:pPr>
        <w:spacing w:after="160" w:line="259" w:lineRule="auto"/>
        <w:jc w:val="left"/>
        <w:rPr>
          <w:rFonts w:ascii="Calibri" w:eastAsia="Calibri" w:hAnsi="Calibri" w:cs="Times New Roman"/>
          <w:sz w:val="22"/>
          <w:lang w:val="sr-Cyrl-RS"/>
        </w:rPr>
      </w:pPr>
      <w:r w:rsidRPr="009B5DE5">
        <w:rPr>
          <w:rFonts w:ascii="Calibri" w:eastAsia="Calibri" w:hAnsi="Calibri" w:cs="Times New Roman"/>
          <w:noProof/>
          <w:sz w:val="22"/>
        </w:rPr>
        <w:lastRenderedPageBreak/>
        <w:drawing>
          <wp:inline distT="0" distB="0" distL="0" distR="0" wp14:anchorId="3D8AD64B" wp14:editId="124BC893">
            <wp:extent cx="9504364" cy="531815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14867" cy="5324027"/>
                    </a:xfrm>
                    <a:prstGeom prst="rect">
                      <a:avLst/>
                    </a:prstGeom>
                    <a:noFill/>
                    <a:ln>
                      <a:noFill/>
                    </a:ln>
                  </pic:spPr>
                </pic:pic>
              </a:graphicData>
            </a:graphic>
          </wp:inline>
        </w:drawing>
      </w:r>
    </w:p>
    <w:p w14:paraId="7E766F9E" w14:textId="72398AD7" w:rsidR="00422399" w:rsidRDefault="00422399" w:rsidP="009B5DE5">
      <w:pPr>
        <w:spacing w:after="160" w:line="259" w:lineRule="auto"/>
        <w:jc w:val="left"/>
        <w:rPr>
          <w:rFonts w:ascii="Calibri" w:eastAsia="Calibri" w:hAnsi="Calibri" w:cs="Times New Roman"/>
          <w:sz w:val="22"/>
          <w:lang w:val="sr-Cyrl-RS"/>
        </w:rPr>
      </w:pPr>
    </w:p>
    <w:p w14:paraId="249050DE" w14:textId="23C414C7" w:rsidR="00422399" w:rsidRDefault="00422399" w:rsidP="009B5DE5">
      <w:pPr>
        <w:spacing w:after="160" w:line="259" w:lineRule="auto"/>
        <w:jc w:val="left"/>
        <w:rPr>
          <w:rFonts w:ascii="Calibri" w:eastAsia="Calibri" w:hAnsi="Calibri" w:cs="Times New Roman"/>
          <w:sz w:val="22"/>
          <w:lang w:val="sr-Cyrl-RS"/>
        </w:rPr>
      </w:pPr>
    </w:p>
    <w:p w14:paraId="345DD815" w14:textId="5368EAED" w:rsidR="00422399" w:rsidRDefault="00422399" w:rsidP="009B5DE5">
      <w:pPr>
        <w:spacing w:after="160" w:line="259" w:lineRule="auto"/>
        <w:jc w:val="left"/>
        <w:rPr>
          <w:rFonts w:ascii="Calibri" w:eastAsia="Calibri" w:hAnsi="Calibri" w:cs="Times New Roman"/>
          <w:sz w:val="22"/>
          <w:lang w:val="sr-Cyrl-RS"/>
        </w:rPr>
      </w:pPr>
    </w:p>
    <w:p w14:paraId="7B095C0A" w14:textId="4D90FE79" w:rsidR="00422399" w:rsidRDefault="00422399" w:rsidP="009B5DE5">
      <w:pPr>
        <w:spacing w:after="160" w:line="259" w:lineRule="auto"/>
        <w:jc w:val="left"/>
        <w:rPr>
          <w:rFonts w:ascii="Calibri" w:eastAsia="Calibri" w:hAnsi="Calibri" w:cs="Times New Roman"/>
          <w:sz w:val="22"/>
          <w:lang w:val="sr-Cyrl-RS"/>
        </w:rPr>
      </w:pPr>
    </w:p>
    <w:p w14:paraId="4E7F531B" w14:textId="50C57B2C" w:rsidR="00422399" w:rsidRPr="009B5DE5" w:rsidRDefault="00422399" w:rsidP="009B5DE5">
      <w:pPr>
        <w:spacing w:after="160" w:line="259" w:lineRule="auto"/>
        <w:jc w:val="left"/>
        <w:rPr>
          <w:rFonts w:ascii="Calibri" w:eastAsia="Calibri" w:hAnsi="Calibri" w:cs="Times New Roman"/>
          <w:sz w:val="22"/>
          <w:lang w:val="sr-Cyrl-RS"/>
        </w:rPr>
      </w:pPr>
      <w:r w:rsidRPr="00422399">
        <w:rPr>
          <w:noProof/>
        </w:rPr>
        <w:lastRenderedPageBreak/>
        <w:drawing>
          <wp:inline distT="0" distB="0" distL="0" distR="0" wp14:anchorId="1E2F15F6" wp14:editId="7A4C00BE">
            <wp:extent cx="9277350" cy="4562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77350" cy="4562475"/>
                    </a:xfrm>
                    <a:prstGeom prst="rect">
                      <a:avLst/>
                    </a:prstGeom>
                    <a:noFill/>
                    <a:ln>
                      <a:noFill/>
                    </a:ln>
                  </pic:spPr>
                </pic:pic>
              </a:graphicData>
            </a:graphic>
          </wp:inline>
        </w:drawing>
      </w:r>
    </w:p>
    <w:p w14:paraId="47B54DBA" w14:textId="736A033C" w:rsidR="009B5DE5" w:rsidRPr="009B5DE5" w:rsidRDefault="009B5DE5" w:rsidP="009B5DE5">
      <w:pPr>
        <w:spacing w:after="160" w:line="259" w:lineRule="auto"/>
        <w:jc w:val="left"/>
        <w:rPr>
          <w:rFonts w:ascii="Calibri" w:eastAsia="Calibri" w:hAnsi="Calibri" w:cs="Times New Roman"/>
          <w:sz w:val="22"/>
          <w:lang w:val="sr-Cyrl-RS"/>
        </w:rPr>
      </w:pPr>
    </w:p>
    <w:tbl>
      <w:tblPr>
        <w:tblW w:w="5476" w:type="dxa"/>
        <w:tblLook w:val="04A0" w:firstRow="1" w:lastRow="0" w:firstColumn="1" w:lastColumn="0" w:noHBand="0" w:noVBand="1"/>
      </w:tblPr>
      <w:tblGrid>
        <w:gridCol w:w="5476"/>
      </w:tblGrid>
      <w:tr w:rsidR="009B5DE5" w:rsidRPr="009B5DE5" w14:paraId="1E5F5A04" w14:textId="77777777" w:rsidTr="009B5DE5">
        <w:trPr>
          <w:trHeight w:val="240"/>
        </w:trPr>
        <w:tc>
          <w:tcPr>
            <w:tcW w:w="5476" w:type="dxa"/>
            <w:tcBorders>
              <w:top w:val="nil"/>
              <w:left w:val="nil"/>
              <w:bottom w:val="nil"/>
              <w:right w:val="nil"/>
            </w:tcBorders>
            <w:shd w:val="clear" w:color="auto" w:fill="auto"/>
            <w:noWrap/>
            <w:hideMark/>
          </w:tcPr>
          <w:p w14:paraId="1173B124" w14:textId="77777777" w:rsidR="009B5DE5" w:rsidRPr="009B5DE5" w:rsidRDefault="009B5DE5" w:rsidP="009B5DE5">
            <w:pPr>
              <w:spacing w:after="0"/>
              <w:jc w:val="left"/>
              <w:rPr>
                <w:rFonts w:eastAsia="Times New Roman" w:cs="Times New Roman"/>
                <w:sz w:val="16"/>
                <w:szCs w:val="16"/>
              </w:rPr>
            </w:pPr>
            <w:r w:rsidRPr="009B5DE5">
              <w:rPr>
                <w:rFonts w:eastAsia="Times New Roman" w:cs="Times New Roman"/>
                <w:sz w:val="16"/>
                <w:szCs w:val="16"/>
              </w:rPr>
              <w:t>[1] просек јануар-октобар 2024.</w:t>
            </w:r>
          </w:p>
        </w:tc>
      </w:tr>
      <w:tr w:rsidR="009B5DE5" w:rsidRPr="009B5DE5" w14:paraId="514B6C34" w14:textId="77777777" w:rsidTr="009B5DE5">
        <w:trPr>
          <w:trHeight w:val="225"/>
        </w:trPr>
        <w:tc>
          <w:tcPr>
            <w:tcW w:w="5476" w:type="dxa"/>
            <w:tcBorders>
              <w:top w:val="nil"/>
              <w:left w:val="nil"/>
              <w:bottom w:val="nil"/>
              <w:right w:val="nil"/>
            </w:tcBorders>
            <w:shd w:val="clear" w:color="auto" w:fill="auto"/>
            <w:noWrap/>
            <w:hideMark/>
          </w:tcPr>
          <w:p w14:paraId="4B0D1E2C" w14:textId="77777777" w:rsidR="009B5DE5" w:rsidRPr="009B5DE5" w:rsidRDefault="009B5DE5" w:rsidP="009B5DE5">
            <w:pPr>
              <w:spacing w:after="0"/>
              <w:jc w:val="left"/>
              <w:rPr>
                <w:rFonts w:eastAsia="Times New Roman" w:cs="Times New Roman"/>
                <w:sz w:val="16"/>
                <w:szCs w:val="16"/>
              </w:rPr>
            </w:pPr>
            <w:r w:rsidRPr="009B5DE5">
              <w:rPr>
                <w:rFonts w:eastAsia="Times New Roman" w:cs="Times New Roman"/>
                <w:sz w:val="16"/>
                <w:szCs w:val="16"/>
              </w:rPr>
              <w:t>[2] крај октобра 2024.</w:t>
            </w:r>
          </w:p>
        </w:tc>
      </w:tr>
      <w:tr w:rsidR="009B5DE5" w:rsidRPr="009B5DE5" w14:paraId="1A10CACE" w14:textId="77777777" w:rsidTr="009B5DE5">
        <w:trPr>
          <w:trHeight w:val="225"/>
        </w:trPr>
        <w:tc>
          <w:tcPr>
            <w:tcW w:w="5476" w:type="dxa"/>
            <w:tcBorders>
              <w:top w:val="nil"/>
              <w:left w:val="nil"/>
              <w:bottom w:val="nil"/>
              <w:right w:val="nil"/>
            </w:tcBorders>
            <w:shd w:val="clear" w:color="auto" w:fill="auto"/>
            <w:noWrap/>
            <w:hideMark/>
          </w:tcPr>
          <w:p w14:paraId="5582E826" w14:textId="77777777" w:rsidR="009B5DE5" w:rsidRPr="009B5DE5" w:rsidRDefault="009B5DE5" w:rsidP="009B5DE5">
            <w:pPr>
              <w:spacing w:after="0"/>
              <w:jc w:val="left"/>
              <w:rPr>
                <w:rFonts w:eastAsia="Times New Roman" w:cs="Times New Roman"/>
                <w:sz w:val="16"/>
                <w:szCs w:val="16"/>
              </w:rPr>
            </w:pPr>
            <w:r w:rsidRPr="009B5DE5">
              <w:rPr>
                <w:rFonts w:eastAsia="Times New Roman" w:cs="Times New Roman"/>
                <w:sz w:val="16"/>
                <w:szCs w:val="16"/>
              </w:rPr>
              <w:t>[3] Узрасна група 15-64 године</w:t>
            </w:r>
          </w:p>
        </w:tc>
      </w:tr>
      <w:tr w:rsidR="009B5DE5" w:rsidRPr="009B5DE5" w14:paraId="05F1BB55" w14:textId="77777777" w:rsidTr="009B5DE5">
        <w:trPr>
          <w:trHeight w:val="225"/>
        </w:trPr>
        <w:tc>
          <w:tcPr>
            <w:tcW w:w="5476" w:type="dxa"/>
            <w:tcBorders>
              <w:top w:val="nil"/>
              <w:left w:val="nil"/>
              <w:bottom w:val="nil"/>
              <w:right w:val="nil"/>
            </w:tcBorders>
            <w:shd w:val="clear" w:color="auto" w:fill="auto"/>
            <w:noWrap/>
            <w:hideMark/>
          </w:tcPr>
          <w:p w14:paraId="114101E0" w14:textId="77777777" w:rsidR="009B5DE5" w:rsidRPr="009B5DE5" w:rsidRDefault="009B5DE5" w:rsidP="009B5DE5">
            <w:pPr>
              <w:spacing w:after="0"/>
              <w:jc w:val="left"/>
              <w:rPr>
                <w:rFonts w:eastAsia="Times New Roman" w:cs="Times New Roman"/>
                <w:sz w:val="16"/>
                <w:szCs w:val="16"/>
              </w:rPr>
            </w:pPr>
            <w:r w:rsidRPr="009B5DE5">
              <w:rPr>
                <w:rFonts w:eastAsia="Times New Roman" w:cs="Times New Roman"/>
                <w:sz w:val="16"/>
                <w:szCs w:val="16"/>
              </w:rPr>
              <w:t>[4] Запослено становништво, дефиниција према Анкети о радној снази</w:t>
            </w:r>
          </w:p>
        </w:tc>
      </w:tr>
      <w:tr w:rsidR="009B5DE5" w:rsidRPr="009B5DE5" w14:paraId="5E3535DD" w14:textId="77777777" w:rsidTr="009B5DE5">
        <w:trPr>
          <w:trHeight w:val="225"/>
        </w:trPr>
        <w:tc>
          <w:tcPr>
            <w:tcW w:w="5476" w:type="dxa"/>
            <w:tcBorders>
              <w:top w:val="nil"/>
              <w:left w:val="nil"/>
              <w:bottom w:val="nil"/>
              <w:right w:val="nil"/>
            </w:tcBorders>
            <w:shd w:val="clear" w:color="auto" w:fill="auto"/>
            <w:hideMark/>
          </w:tcPr>
          <w:p w14:paraId="25AC4DE6" w14:textId="77777777" w:rsidR="009B5DE5" w:rsidRPr="009B5DE5" w:rsidRDefault="009B5DE5" w:rsidP="009B5DE5">
            <w:pPr>
              <w:spacing w:after="0"/>
              <w:jc w:val="left"/>
              <w:rPr>
                <w:rFonts w:eastAsia="Times New Roman" w:cs="Times New Roman"/>
                <w:sz w:val="16"/>
                <w:szCs w:val="16"/>
              </w:rPr>
            </w:pPr>
            <w:r w:rsidRPr="009B5DE5">
              <w:rPr>
                <w:rFonts w:eastAsia="Times New Roman" w:cs="Times New Roman"/>
                <w:sz w:val="16"/>
                <w:szCs w:val="16"/>
              </w:rPr>
              <w:t>[5] Дефиниција према националним рачунима</w:t>
            </w:r>
          </w:p>
        </w:tc>
      </w:tr>
    </w:tbl>
    <w:p w14:paraId="3A6039CD" w14:textId="77777777" w:rsidR="009B5DE5" w:rsidRPr="009B5DE5" w:rsidRDefault="009B5DE5" w:rsidP="009B5DE5">
      <w:pPr>
        <w:spacing w:after="160" w:line="259" w:lineRule="auto"/>
        <w:jc w:val="left"/>
        <w:rPr>
          <w:rFonts w:ascii="Calibri" w:eastAsia="Calibri" w:hAnsi="Calibri" w:cs="Times New Roman"/>
          <w:sz w:val="22"/>
          <w:lang w:val="sr-Cyrl-RS"/>
        </w:rPr>
      </w:pPr>
    </w:p>
    <w:p w14:paraId="18963123" w14:textId="77777777" w:rsidR="009B5DE5" w:rsidRPr="009B5DE5" w:rsidRDefault="009B5DE5" w:rsidP="009B5DE5">
      <w:pPr>
        <w:spacing w:after="160" w:line="259" w:lineRule="auto"/>
        <w:jc w:val="left"/>
        <w:rPr>
          <w:rFonts w:ascii="Calibri" w:eastAsia="Calibri" w:hAnsi="Calibri" w:cs="Times New Roman"/>
          <w:sz w:val="22"/>
          <w:lang w:val="sr-Cyrl-RS"/>
        </w:rPr>
      </w:pPr>
    </w:p>
    <w:p w14:paraId="54E7C004" w14:textId="77777777" w:rsidR="009B5DE5" w:rsidRPr="009B5DE5" w:rsidRDefault="009B5DE5" w:rsidP="009B5DE5">
      <w:pPr>
        <w:spacing w:after="160" w:line="259" w:lineRule="auto"/>
        <w:jc w:val="left"/>
        <w:rPr>
          <w:rFonts w:ascii="Calibri" w:eastAsia="Calibri" w:hAnsi="Calibri" w:cs="Times New Roman"/>
          <w:sz w:val="22"/>
          <w:lang w:val="sr-Cyrl-RS"/>
        </w:rPr>
      </w:pPr>
    </w:p>
    <w:p w14:paraId="59BE2B0C" w14:textId="77777777" w:rsidR="009B5DE5" w:rsidRPr="009B5DE5" w:rsidRDefault="009B5DE5" w:rsidP="009B5DE5">
      <w:pPr>
        <w:spacing w:after="160" w:line="259" w:lineRule="auto"/>
        <w:jc w:val="left"/>
        <w:rPr>
          <w:rFonts w:ascii="Calibri" w:eastAsia="Calibri" w:hAnsi="Calibri" w:cs="Times New Roman"/>
          <w:sz w:val="22"/>
          <w:lang w:val="sr-Cyrl-RS"/>
        </w:rPr>
      </w:pPr>
    </w:p>
    <w:p w14:paraId="6F866424" w14:textId="77777777" w:rsidR="009B5DE5" w:rsidRPr="009B5DE5" w:rsidRDefault="009B5DE5" w:rsidP="009B5DE5">
      <w:pPr>
        <w:spacing w:after="160" w:line="259" w:lineRule="auto"/>
        <w:jc w:val="left"/>
        <w:rPr>
          <w:rFonts w:ascii="Calibri" w:eastAsia="Calibri" w:hAnsi="Calibri" w:cs="Times New Roman"/>
          <w:sz w:val="22"/>
          <w:lang w:val="sr-Cyrl-RS"/>
        </w:rPr>
      </w:pPr>
      <w:r w:rsidRPr="009B5DE5">
        <w:rPr>
          <w:rFonts w:ascii="Calibri" w:eastAsia="Calibri" w:hAnsi="Calibri" w:cs="Times New Roman"/>
          <w:noProof/>
          <w:sz w:val="22"/>
        </w:rPr>
        <w:drawing>
          <wp:inline distT="0" distB="0" distL="0" distR="0" wp14:anchorId="727B432B" wp14:editId="7DCCAF6B">
            <wp:extent cx="9521896" cy="2121408"/>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50925" cy="2127876"/>
                    </a:xfrm>
                    <a:prstGeom prst="rect">
                      <a:avLst/>
                    </a:prstGeom>
                    <a:noFill/>
                    <a:ln>
                      <a:noFill/>
                    </a:ln>
                  </pic:spPr>
                </pic:pic>
              </a:graphicData>
            </a:graphic>
          </wp:inline>
        </w:drawing>
      </w:r>
    </w:p>
    <w:tbl>
      <w:tblPr>
        <w:tblW w:w="5476" w:type="dxa"/>
        <w:tblLook w:val="04A0" w:firstRow="1" w:lastRow="0" w:firstColumn="1" w:lastColumn="0" w:noHBand="0" w:noVBand="1"/>
      </w:tblPr>
      <w:tblGrid>
        <w:gridCol w:w="5476"/>
      </w:tblGrid>
      <w:tr w:rsidR="009B5DE5" w:rsidRPr="009B5DE5" w14:paraId="0EFD5DD7" w14:textId="77777777" w:rsidTr="009B5DE5">
        <w:trPr>
          <w:trHeight w:val="270"/>
        </w:trPr>
        <w:tc>
          <w:tcPr>
            <w:tcW w:w="5476" w:type="dxa"/>
            <w:tcBorders>
              <w:top w:val="nil"/>
              <w:left w:val="nil"/>
              <w:bottom w:val="nil"/>
              <w:right w:val="nil"/>
            </w:tcBorders>
            <w:shd w:val="clear" w:color="auto" w:fill="auto"/>
            <w:noWrap/>
            <w:vAlign w:val="bottom"/>
            <w:hideMark/>
          </w:tcPr>
          <w:p w14:paraId="11BCB1CA" w14:textId="77777777" w:rsidR="009B5DE5" w:rsidRPr="009B5DE5" w:rsidRDefault="009B5DE5" w:rsidP="009B5DE5">
            <w:pPr>
              <w:spacing w:after="0"/>
              <w:jc w:val="left"/>
              <w:rPr>
                <w:rFonts w:eastAsia="Times New Roman" w:cs="Times New Roman"/>
                <w:sz w:val="16"/>
                <w:szCs w:val="16"/>
              </w:rPr>
            </w:pPr>
            <w:r w:rsidRPr="009B5DE5">
              <w:rPr>
                <w:rFonts w:eastAsia="Times New Roman" w:cs="Times New Roman"/>
                <w:sz w:val="16"/>
                <w:szCs w:val="16"/>
              </w:rPr>
              <w:t>[1] јануар-септембар 2024.</w:t>
            </w:r>
          </w:p>
        </w:tc>
      </w:tr>
      <w:tr w:rsidR="009B5DE5" w:rsidRPr="009B5DE5" w14:paraId="5A6C2F9E" w14:textId="77777777" w:rsidTr="009B5DE5">
        <w:trPr>
          <w:trHeight w:val="255"/>
        </w:trPr>
        <w:tc>
          <w:tcPr>
            <w:tcW w:w="5476" w:type="dxa"/>
            <w:tcBorders>
              <w:top w:val="nil"/>
              <w:left w:val="nil"/>
              <w:bottom w:val="nil"/>
              <w:right w:val="nil"/>
            </w:tcBorders>
            <w:shd w:val="clear" w:color="auto" w:fill="auto"/>
            <w:noWrap/>
            <w:vAlign w:val="bottom"/>
            <w:hideMark/>
          </w:tcPr>
          <w:p w14:paraId="2905B136" w14:textId="77777777" w:rsidR="009B5DE5" w:rsidRPr="009B5DE5" w:rsidRDefault="009B5DE5" w:rsidP="009B5DE5">
            <w:pPr>
              <w:spacing w:after="0"/>
              <w:jc w:val="left"/>
              <w:rPr>
                <w:rFonts w:eastAsia="Times New Roman" w:cs="Times New Roman"/>
                <w:sz w:val="16"/>
                <w:szCs w:val="16"/>
              </w:rPr>
            </w:pPr>
            <w:r w:rsidRPr="009B5DE5">
              <w:rPr>
                <w:rFonts w:eastAsia="Times New Roman" w:cs="Times New Roman"/>
                <w:sz w:val="16"/>
                <w:szCs w:val="16"/>
              </w:rPr>
              <w:t>[2] крај септембра 2024.</w:t>
            </w:r>
          </w:p>
        </w:tc>
      </w:tr>
      <w:tr w:rsidR="009B5DE5" w:rsidRPr="009B5DE5" w14:paraId="56C31162" w14:textId="77777777" w:rsidTr="009B5DE5">
        <w:trPr>
          <w:trHeight w:val="255"/>
        </w:trPr>
        <w:tc>
          <w:tcPr>
            <w:tcW w:w="5476" w:type="dxa"/>
            <w:tcBorders>
              <w:top w:val="nil"/>
              <w:left w:val="nil"/>
              <w:bottom w:val="nil"/>
              <w:right w:val="nil"/>
            </w:tcBorders>
            <w:shd w:val="clear" w:color="auto" w:fill="auto"/>
            <w:noWrap/>
            <w:vAlign w:val="bottom"/>
            <w:hideMark/>
          </w:tcPr>
          <w:p w14:paraId="036BB9C9" w14:textId="77777777" w:rsidR="009B5DE5" w:rsidRPr="009B5DE5" w:rsidRDefault="009B5DE5" w:rsidP="009B5DE5">
            <w:pPr>
              <w:spacing w:after="0"/>
              <w:jc w:val="left"/>
              <w:rPr>
                <w:rFonts w:eastAsia="Times New Roman" w:cs="Times New Roman"/>
                <w:sz w:val="16"/>
                <w:szCs w:val="16"/>
              </w:rPr>
            </w:pPr>
            <w:r w:rsidRPr="009B5DE5">
              <w:rPr>
                <w:rFonts w:eastAsia="Times New Roman" w:cs="Times New Roman"/>
                <w:sz w:val="16"/>
                <w:szCs w:val="16"/>
              </w:rPr>
              <w:t>[3] просек јануар-октобар 2024.</w:t>
            </w:r>
          </w:p>
        </w:tc>
      </w:tr>
    </w:tbl>
    <w:p w14:paraId="147ED3BE" w14:textId="77777777" w:rsidR="009B5DE5" w:rsidRPr="009B5DE5" w:rsidRDefault="009B5DE5" w:rsidP="009B5DE5">
      <w:pPr>
        <w:spacing w:after="160" w:line="259" w:lineRule="auto"/>
        <w:jc w:val="left"/>
        <w:rPr>
          <w:rFonts w:ascii="Calibri" w:eastAsia="Calibri" w:hAnsi="Calibri" w:cs="Times New Roman"/>
          <w:sz w:val="22"/>
          <w:lang w:val="sr-Cyrl-RS"/>
        </w:rPr>
      </w:pPr>
    </w:p>
    <w:p w14:paraId="608DCC28" w14:textId="77777777" w:rsidR="009B5DE5" w:rsidRDefault="009B5DE5" w:rsidP="009B5DE5">
      <w:pPr>
        <w:spacing w:after="160" w:line="259" w:lineRule="auto"/>
        <w:jc w:val="left"/>
        <w:rPr>
          <w:rFonts w:eastAsia="Calibri" w:cs="Times New Roman"/>
          <w:bCs/>
          <w:sz w:val="22"/>
        </w:rPr>
      </w:pPr>
    </w:p>
    <w:p w14:paraId="3ADDF3D9" w14:textId="77777777" w:rsidR="00396800" w:rsidRDefault="00396800" w:rsidP="009B5DE5">
      <w:pPr>
        <w:spacing w:after="160" w:line="259" w:lineRule="auto"/>
        <w:jc w:val="left"/>
        <w:rPr>
          <w:rFonts w:eastAsia="Calibri" w:cs="Times New Roman"/>
          <w:bCs/>
          <w:sz w:val="22"/>
        </w:rPr>
      </w:pPr>
    </w:p>
    <w:p w14:paraId="6FE09316" w14:textId="77777777" w:rsidR="00396800" w:rsidRDefault="00396800" w:rsidP="009B5DE5">
      <w:pPr>
        <w:spacing w:after="160" w:line="259" w:lineRule="auto"/>
        <w:jc w:val="left"/>
        <w:rPr>
          <w:rFonts w:eastAsia="Calibri" w:cs="Times New Roman"/>
          <w:bCs/>
          <w:sz w:val="22"/>
        </w:rPr>
      </w:pPr>
    </w:p>
    <w:p w14:paraId="1577A93B" w14:textId="77777777" w:rsidR="00396800" w:rsidRDefault="00396800" w:rsidP="009B5DE5">
      <w:pPr>
        <w:spacing w:after="160" w:line="259" w:lineRule="auto"/>
        <w:jc w:val="left"/>
        <w:rPr>
          <w:rFonts w:eastAsia="Calibri" w:cs="Times New Roman"/>
          <w:bCs/>
          <w:sz w:val="22"/>
        </w:rPr>
      </w:pPr>
    </w:p>
    <w:p w14:paraId="2AA40830" w14:textId="77777777" w:rsidR="00396800" w:rsidRPr="009B5DE5" w:rsidRDefault="00396800" w:rsidP="009B5DE5">
      <w:pPr>
        <w:spacing w:after="160" w:line="259" w:lineRule="auto"/>
        <w:jc w:val="left"/>
        <w:rPr>
          <w:rFonts w:eastAsia="Calibri" w:cs="Times New Roman"/>
          <w:bCs/>
          <w:sz w:val="22"/>
        </w:rPr>
      </w:pPr>
    </w:p>
    <w:p w14:paraId="71DAE569" w14:textId="77777777" w:rsidR="009B5DE5" w:rsidRPr="009B5DE5" w:rsidRDefault="009B5DE5" w:rsidP="009B5DE5">
      <w:pPr>
        <w:spacing w:after="160" w:line="259" w:lineRule="auto"/>
        <w:jc w:val="left"/>
        <w:rPr>
          <w:rFonts w:eastAsia="Calibri" w:cs="Times New Roman"/>
          <w:bCs/>
          <w:sz w:val="22"/>
        </w:rPr>
      </w:pPr>
    </w:p>
    <w:p w14:paraId="759FF463" w14:textId="77777777" w:rsidR="009B5DE5" w:rsidRPr="009B5DE5" w:rsidRDefault="009B5DE5" w:rsidP="009B5DE5">
      <w:pPr>
        <w:spacing w:after="160" w:line="259" w:lineRule="auto"/>
        <w:jc w:val="left"/>
        <w:rPr>
          <w:rFonts w:eastAsia="Calibri" w:cs="Times New Roman"/>
          <w:bCs/>
          <w:sz w:val="22"/>
        </w:rPr>
      </w:pPr>
    </w:p>
    <w:p w14:paraId="146F74ED" w14:textId="77777777" w:rsidR="009B5DE5" w:rsidRPr="009B5DE5" w:rsidRDefault="009B5DE5" w:rsidP="009B5DE5">
      <w:pPr>
        <w:spacing w:after="160" w:line="259" w:lineRule="auto"/>
        <w:jc w:val="left"/>
        <w:rPr>
          <w:rFonts w:eastAsia="Calibri" w:cs="Times New Roman"/>
          <w:bCs/>
          <w:sz w:val="22"/>
        </w:rPr>
      </w:pPr>
    </w:p>
    <w:p w14:paraId="12E55E6C" w14:textId="77777777" w:rsidR="009B5DE5" w:rsidRPr="009B5DE5" w:rsidRDefault="009B5DE5" w:rsidP="009B5DE5">
      <w:pPr>
        <w:spacing w:after="160" w:line="259" w:lineRule="auto"/>
        <w:jc w:val="left"/>
        <w:rPr>
          <w:rFonts w:eastAsia="Calibri" w:cs="Times New Roman"/>
          <w:bCs/>
          <w:sz w:val="22"/>
        </w:rPr>
      </w:pPr>
    </w:p>
    <w:p w14:paraId="0464232A" w14:textId="77777777" w:rsidR="009B5DE5" w:rsidRPr="009B5DE5" w:rsidRDefault="009B5DE5" w:rsidP="009B5DE5">
      <w:pPr>
        <w:spacing w:after="160" w:line="259" w:lineRule="auto"/>
        <w:jc w:val="left"/>
        <w:rPr>
          <w:rFonts w:eastAsia="Calibri" w:cs="Times New Roman"/>
          <w:bCs/>
          <w:sz w:val="22"/>
        </w:rPr>
      </w:pPr>
    </w:p>
    <w:p w14:paraId="10A5B224" w14:textId="77777777" w:rsidR="009B5DE5" w:rsidRPr="009B5DE5" w:rsidRDefault="009B5DE5" w:rsidP="009B5DE5">
      <w:pPr>
        <w:spacing w:after="160" w:line="259" w:lineRule="auto"/>
        <w:jc w:val="left"/>
        <w:rPr>
          <w:rFonts w:eastAsia="Calibri" w:cs="Times New Roman"/>
          <w:bCs/>
          <w:sz w:val="22"/>
        </w:rPr>
      </w:pPr>
    </w:p>
    <w:p w14:paraId="3FAFC52D" w14:textId="77777777" w:rsidR="009B5DE5" w:rsidRPr="009B5DE5" w:rsidRDefault="009B5DE5" w:rsidP="009B5DE5">
      <w:pPr>
        <w:spacing w:after="160" w:line="259" w:lineRule="auto"/>
        <w:jc w:val="left"/>
        <w:rPr>
          <w:rFonts w:eastAsia="Calibri" w:cs="Times New Roman"/>
          <w:bCs/>
          <w:sz w:val="22"/>
        </w:rPr>
      </w:pPr>
    </w:p>
    <w:p w14:paraId="552C2EBB" w14:textId="77777777" w:rsidR="009B5DE5" w:rsidRPr="009B5DE5" w:rsidRDefault="009B5DE5" w:rsidP="009B5DE5">
      <w:pPr>
        <w:spacing w:after="160" w:line="259" w:lineRule="auto"/>
        <w:jc w:val="left"/>
        <w:rPr>
          <w:rFonts w:eastAsia="Calibri" w:cs="Times New Roman"/>
          <w:bCs/>
          <w:sz w:val="22"/>
        </w:rPr>
      </w:pPr>
    </w:p>
    <w:p w14:paraId="1B099E8B" w14:textId="77777777" w:rsidR="009B5DE5" w:rsidRPr="009B5DE5" w:rsidRDefault="009B5DE5" w:rsidP="009B5DE5">
      <w:pPr>
        <w:spacing w:after="160" w:line="259" w:lineRule="auto"/>
        <w:jc w:val="left"/>
        <w:rPr>
          <w:rFonts w:eastAsia="Calibri" w:cs="Times New Roman"/>
          <w:bCs/>
          <w:sz w:val="22"/>
        </w:rPr>
      </w:pPr>
      <w:r w:rsidRPr="009B5DE5">
        <w:rPr>
          <w:rFonts w:eastAsia="Calibri" w:cs="Times New Roman"/>
          <w:bCs/>
          <w:sz w:val="22"/>
        </w:rPr>
        <w:t>Табела 1a:  Макроекономски изгледи</w:t>
      </w:r>
    </w:p>
    <w:p w14:paraId="5B13EF78" w14:textId="77777777" w:rsidR="009B5DE5" w:rsidRPr="009B5DE5" w:rsidRDefault="009B5DE5" w:rsidP="009B5DE5">
      <w:pPr>
        <w:spacing w:after="160" w:line="259" w:lineRule="auto"/>
        <w:jc w:val="left"/>
        <w:rPr>
          <w:rFonts w:eastAsia="Calibri" w:cs="Times New Roman"/>
          <w:bCs/>
          <w:sz w:val="22"/>
        </w:rPr>
      </w:pPr>
      <w:r w:rsidRPr="009B5DE5">
        <w:rPr>
          <w:rFonts w:ascii="Calibri" w:eastAsia="Calibri" w:hAnsi="Calibri" w:cs="Times New Roman"/>
          <w:noProof/>
          <w:sz w:val="22"/>
        </w:rPr>
        <w:drawing>
          <wp:inline distT="0" distB="0" distL="0" distR="0" wp14:anchorId="3072A42B" wp14:editId="3910C8AF">
            <wp:extent cx="9599623" cy="480608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05959" cy="4809258"/>
                    </a:xfrm>
                    <a:prstGeom prst="rect">
                      <a:avLst/>
                    </a:prstGeom>
                    <a:noFill/>
                    <a:ln>
                      <a:noFill/>
                    </a:ln>
                  </pic:spPr>
                </pic:pic>
              </a:graphicData>
            </a:graphic>
          </wp:inline>
        </w:drawing>
      </w:r>
    </w:p>
    <w:p w14:paraId="26D6B88B" w14:textId="77777777" w:rsidR="009B5DE5" w:rsidRPr="009B5DE5" w:rsidRDefault="009B5DE5" w:rsidP="009B5DE5">
      <w:pPr>
        <w:spacing w:after="160" w:line="259" w:lineRule="auto"/>
        <w:jc w:val="left"/>
        <w:rPr>
          <w:rFonts w:ascii="Calibri" w:eastAsia="Calibri" w:hAnsi="Calibri" w:cs="Times New Roman"/>
          <w:sz w:val="22"/>
          <w:lang w:val="sr-Cyrl-RS"/>
        </w:rPr>
      </w:pPr>
    </w:p>
    <w:p w14:paraId="16728032" w14:textId="77777777" w:rsidR="009B5DE5" w:rsidRPr="009B5DE5" w:rsidRDefault="009B5DE5" w:rsidP="009B5DE5">
      <w:pPr>
        <w:spacing w:after="160" w:line="259" w:lineRule="auto"/>
        <w:jc w:val="left"/>
        <w:rPr>
          <w:rFonts w:ascii="Calibri" w:eastAsia="Calibri" w:hAnsi="Calibri" w:cs="Times New Roman"/>
          <w:sz w:val="22"/>
          <w:lang w:val="sr-Cyrl-RS"/>
        </w:rPr>
      </w:pPr>
    </w:p>
    <w:p w14:paraId="41ACAD85" w14:textId="77777777" w:rsidR="009B5DE5" w:rsidRPr="009B5DE5" w:rsidRDefault="009B5DE5" w:rsidP="009B5DE5">
      <w:pPr>
        <w:spacing w:after="160" w:line="259" w:lineRule="auto"/>
        <w:jc w:val="left"/>
        <w:rPr>
          <w:rFonts w:ascii="Calibri" w:eastAsia="Calibri" w:hAnsi="Calibri" w:cs="Times New Roman"/>
          <w:sz w:val="22"/>
          <w:lang w:val="sr-Cyrl-RS"/>
        </w:rPr>
      </w:pPr>
    </w:p>
    <w:p w14:paraId="1889995E" w14:textId="77777777" w:rsidR="009B5DE5" w:rsidRPr="009B5DE5" w:rsidRDefault="009B5DE5" w:rsidP="009B5DE5">
      <w:pPr>
        <w:spacing w:after="160" w:line="259" w:lineRule="auto"/>
        <w:jc w:val="left"/>
        <w:rPr>
          <w:rFonts w:ascii="Calibri" w:eastAsia="Calibri" w:hAnsi="Calibri" w:cs="Times New Roman"/>
          <w:sz w:val="22"/>
          <w:lang w:val="sr-Cyrl-RS"/>
        </w:rPr>
      </w:pPr>
    </w:p>
    <w:p w14:paraId="71CD5AA6" w14:textId="77777777" w:rsidR="009B5DE5" w:rsidRPr="009B5DE5" w:rsidRDefault="009B5DE5" w:rsidP="009B5DE5">
      <w:pPr>
        <w:spacing w:after="160" w:line="259" w:lineRule="auto"/>
        <w:jc w:val="left"/>
        <w:rPr>
          <w:rFonts w:ascii="Calibri" w:eastAsia="Calibri" w:hAnsi="Calibri" w:cs="Times New Roman"/>
          <w:sz w:val="22"/>
          <w:lang w:val="sr-Cyrl-RS"/>
        </w:rPr>
      </w:pPr>
    </w:p>
    <w:p w14:paraId="6E1B98A6" w14:textId="77777777" w:rsidR="009B5DE5" w:rsidRPr="009B5DE5" w:rsidRDefault="009B5DE5" w:rsidP="009B5DE5">
      <w:pPr>
        <w:spacing w:after="0"/>
        <w:jc w:val="left"/>
        <w:rPr>
          <w:rFonts w:eastAsia="Times New Roman" w:cs="Times New Roman"/>
          <w:bCs/>
          <w:sz w:val="22"/>
        </w:rPr>
      </w:pPr>
      <w:r w:rsidRPr="009B5DE5">
        <w:rPr>
          <w:rFonts w:eastAsia="Times New Roman" w:cs="Times New Roman"/>
          <w:bCs/>
          <w:sz w:val="22"/>
        </w:rPr>
        <w:t>Табела 1b: Кретање цена</w:t>
      </w:r>
    </w:p>
    <w:p w14:paraId="33BC0C5F" w14:textId="77777777" w:rsidR="009B5DE5" w:rsidRPr="009B5DE5" w:rsidRDefault="009B5DE5" w:rsidP="009B5DE5">
      <w:pPr>
        <w:spacing w:after="0"/>
        <w:jc w:val="left"/>
        <w:rPr>
          <w:rFonts w:eastAsia="Times New Roman" w:cs="Times New Roman"/>
          <w:bCs/>
          <w:sz w:val="22"/>
        </w:rPr>
      </w:pPr>
    </w:p>
    <w:tbl>
      <w:tblPr>
        <w:tblW w:w="14982" w:type="dxa"/>
        <w:tblLook w:val="04A0" w:firstRow="1" w:lastRow="0" w:firstColumn="1" w:lastColumn="0" w:noHBand="0" w:noVBand="1"/>
      </w:tblPr>
      <w:tblGrid>
        <w:gridCol w:w="6922"/>
        <w:gridCol w:w="1390"/>
        <w:gridCol w:w="1334"/>
        <w:gridCol w:w="1334"/>
        <w:gridCol w:w="1334"/>
        <w:gridCol w:w="1334"/>
        <w:gridCol w:w="1334"/>
      </w:tblGrid>
      <w:tr w:rsidR="009B5DE5" w:rsidRPr="009B5DE5" w14:paraId="5614C043" w14:textId="77777777" w:rsidTr="00396800">
        <w:trPr>
          <w:trHeight w:val="468"/>
        </w:trPr>
        <w:tc>
          <w:tcPr>
            <w:tcW w:w="6922" w:type="dxa"/>
            <w:vMerge w:val="restart"/>
            <w:tcBorders>
              <w:top w:val="double" w:sz="6" w:space="0" w:color="auto"/>
              <w:left w:val="double" w:sz="6" w:space="0" w:color="auto"/>
              <w:bottom w:val="single" w:sz="8" w:space="0" w:color="000000"/>
              <w:right w:val="dotted" w:sz="4" w:space="0" w:color="auto"/>
            </w:tcBorders>
            <w:shd w:val="clear" w:color="000000" w:fill="FFFFFF"/>
            <w:vAlign w:val="center"/>
            <w:hideMark/>
          </w:tcPr>
          <w:p w14:paraId="503359EC"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Процентуалне промене, годишњи просек</w:t>
            </w:r>
          </w:p>
        </w:tc>
        <w:tc>
          <w:tcPr>
            <w:tcW w:w="1390" w:type="dxa"/>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14:paraId="5D0DA28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ESA</w:t>
            </w:r>
            <w:r w:rsidRPr="009B5DE5">
              <w:rPr>
                <w:rFonts w:eastAsia="Times New Roman" w:cs="Times New Roman"/>
                <w:sz w:val="20"/>
                <w:szCs w:val="20"/>
              </w:rPr>
              <w:br/>
              <w:t xml:space="preserve"> шифра</w:t>
            </w:r>
          </w:p>
        </w:tc>
        <w:tc>
          <w:tcPr>
            <w:tcW w:w="1334" w:type="dxa"/>
            <w:tcBorders>
              <w:top w:val="double" w:sz="6" w:space="0" w:color="auto"/>
              <w:left w:val="nil"/>
              <w:bottom w:val="nil"/>
              <w:right w:val="dotted" w:sz="4" w:space="0" w:color="auto"/>
            </w:tcBorders>
            <w:shd w:val="clear" w:color="000000" w:fill="FFFFFF"/>
            <w:vAlign w:val="center"/>
            <w:hideMark/>
          </w:tcPr>
          <w:p w14:paraId="6F20EF2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Година</w:t>
            </w:r>
          </w:p>
        </w:tc>
        <w:tc>
          <w:tcPr>
            <w:tcW w:w="1334" w:type="dxa"/>
            <w:tcBorders>
              <w:top w:val="double" w:sz="6" w:space="0" w:color="auto"/>
              <w:left w:val="nil"/>
              <w:bottom w:val="nil"/>
              <w:right w:val="dotted" w:sz="4" w:space="0" w:color="auto"/>
            </w:tcBorders>
            <w:shd w:val="clear" w:color="000000" w:fill="FFFFFF"/>
            <w:vAlign w:val="center"/>
            <w:hideMark/>
          </w:tcPr>
          <w:p w14:paraId="5D84A54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Година</w:t>
            </w:r>
          </w:p>
        </w:tc>
        <w:tc>
          <w:tcPr>
            <w:tcW w:w="1334" w:type="dxa"/>
            <w:tcBorders>
              <w:top w:val="double" w:sz="6" w:space="0" w:color="auto"/>
              <w:left w:val="nil"/>
              <w:bottom w:val="nil"/>
              <w:right w:val="dotted" w:sz="4" w:space="0" w:color="auto"/>
            </w:tcBorders>
            <w:shd w:val="clear" w:color="000000" w:fill="FFFFFF"/>
            <w:vAlign w:val="center"/>
            <w:hideMark/>
          </w:tcPr>
          <w:p w14:paraId="44C49E0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Година</w:t>
            </w:r>
          </w:p>
        </w:tc>
        <w:tc>
          <w:tcPr>
            <w:tcW w:w="1334" w:type="dxa"/>
            <w:tcBorders>
              <w:top w:val="double" w:sz="6" w:space="0" w:color="auto"/>
              <w:left w:val="nil"/>
              <w:bottom w:val="nil"/>
              <w:right w:val="dotted" w:sz="4" w:space="0" w:color="auto"/>
            </w:tcBorders>
            <w:shd w:val="clear" w:color="000000" w:fill="FFFFFF"/>
            <w:vAlign w:val="center"/>
            <w:hideMark/>
          </w:tcPr>
          <w:p w14:paraId="45EF769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Година</w:t>
            </w:r>
          </w:p>
        </w:tc>
        <w:tc>
          <w:tcPr>
            <w:tcW w:w="1334" w:type="dxa"/>
            <w:tcBorders>
              <w:top w:val="double" w:sz="6" w:space="0" w:color="auto"/>
              <w:left w:val="nil"/>
              <w:bottom w:val="nil"/>
              <w:right w:val="double" w:sz="6" w:space="0" w:color="auto"/>
            </w:tcBorders>
            <w:shd w:val="clear" w:color="000000" w:fill="FFFFFF"/>
            <w:vAlign w:val="center"/>
            <w:hideMark/>
          </w:tcPr>
          <w:p w14:paraId="0EA4747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Година</w:t>
            </w:r>
          </w:p>
        </w:tc>
      </w:tr>
      <w:tr w:rsidR="009B5DE5" w:rsidRPr="009B5DE5" w14:paraId="58CFD853" w14:textId="77777777" w:rsidTr="00396800">
        <w:trPr>
          <w:trHeight w:val="468"/>
        </w:trPr>
        <w:tc>
          <w:tcPr>
            <w:tcW w:w="6922" w:type="dxa"/>
            <w:vMerge/>
            <w:tcBorders>
              <w:top w:val="double" w:sz="6" w:space="0" w:color="auto"/>
              <w:left w:val="double" w:sz="6" w:space="0" w:color="auto"/>
              <w:bottom w:val="single" w:sz="8" w:space="0" w:color="000000"/>
              <w:right w:val="dotted" w:sz="4" w:space="0" w:color="auto"/>
            </w:tcBorders>
            <w:vAlign w:val="center"/>
            <w:hideMark/>
          </w:tcPr>
          <w:p w14:paraId="7520ABAB" w14:textId="77777777" w:rsidR="009B5DE5" w:rsidRPr="009B5DE5" w:rsidRDefault="009B5DE5" w:rsidP="009B5DE5">
            <w:pPr>
              <w:spacing w:after="0"/>
              <w:jc w:val="left"/>
              <w:rPr>
                <w:rFonts w:eastAsia="Times New Roman" w:cs="Times New Roman"/>
                <w:sz w:val="20"/>
                <w:szCs w:val="20"/>
              </w:rPr>
            </w:pPr>
          </w:p>
        </w:tc>
        <w:tc>
          <w:tcPr>
            <w:tcW w:w="1390" w:type="dxa"/>
            <w:vMerge/>
            <w:tcBorders>
              <w:top w:val="double" w:sz="6" w:space="0" w:color="auto"/>
              <w:left w:val="dotted" w:sz="4" w:space="0" w:color="auto"/>
              <w:bottom w:val="single" w:sz="8" w:space="0" w:color="000000"/>
              <w:right w:val="single" w:sz="8" w:space="0" w:color="auto"/>
            </w:tcBorders>
            <w:vAlign w:val="center"/>
            <w:hideMark/>
          </w:tcPr>
          <w:p w14:paraId="0166BD74" w14:textId="77777777" w:rsidR="009B5DE5" w:rsidRPr="009B5DE5" w:rsidRDefault="009B5DE5" w:rsidP="009B5DE5">
            <w:pPr>
              <w:spacing w:after="0"/>
              <w:jc w:val="left"/>
              <w:rPr>
                <w:rFonts w:eastAsia="Times New Roman" w:cs="Times New Roman"/>
                <w:sz w:val="20"/>
                <w:szCs w:val="20"/>
              </w:rPr>
            </w:pPr>
          </w:p>
        </w:tc>
        <w:tc>
          <w:tcPr>
            <w:tcW w:w="1334" w:type="dxa"/>
            <w:tcBorders>
              <w:top w:val="nil"/>
              <w:left w:val="nil"/>
              <w:bottom w:val="single" w:sz="8" w:space="0" w:color="auto"/>
              <w:right w:val="dotted" w:sz="4" w:space="0" w:color="auto"/>
            </w:tcBorders>
            <w:shd w:val="clear" w:color="000000" w:fill="FFFFFF"/>
            <w:vAlign w:val="center"/>
            <w:hideMark/>
          </w:tcPr>
          <w:p w14:paraId="5D7EC83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2023</w:t>
            </w:r>
          </w:p>
        </w:tc>
        <w:tc>
          <w:tcPr>
            <w:tcW w:w="1334" w:type="dxa"/>
            <w:tcBorders>
              <w:top w:val="nil"/>
              <w:left w:val="nil"/>
              <w:bottom w:val="single" w:sz="8" w:space="0" w:color="auto"/>
              <w:right w:val="dotted" w:sz="4" w:space="0" w:color="auto"/>
            </w:tcBorders>
            <w:shd w:val="clear" w:color="000000" w:fill="FFFFFF"/>
            <w:vAlign w:val="center"/>
            <w:hideMark/>
          </w:tcPr>
          <w:p w14:paraId="63D3748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2024</w:t>
            </w:r>
          </w:p>
        </w:tc>
        <w:tc>
          <w:tcPr>
            <w:tcW w:w="1334" w:type="dxa"/>
            <w:tcBorders>
              <w:top w:val="nil"/>
              <w:left w:val="nil"/>
              <w:bottom w:val="single" w:sz="8" w:space="0" w:color="auto"/>
              <w:right w:val="dotted" w:sz="4" w:space="0" w:color="auto"/>
            </w:tcBorders>
            <w:shd w:val="clear" w:color="000000" w:fill="FFFFFF"/>
            <w:vAlign w:val="center"/>
            <w:hideMark/>
          </w:tcPr>
          <w:p w14:paraId="4229DA6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2025</w:t>
            </w:r>
          </w:p>
        </w:tc>
        <w:tc>
          <w:tcPr>
            <w:tcW w:w="1334" w:type="dxa"/>
            <w:tcBorders>
              <w:top w:val="nil"/>
              <w:left w:val="nil"/>
              <w:bottom w:val="single" w:sz="8" w:space="0" w:color="auto"/>
              <w:right w:val="dotted" w:sz="4" w:space="0" w:color="auto"/>
            </w:tcBorders>
            <w:shd w:val="clear" w:color="000000" w:fill="FFFFFF"/>
            <w:vAlign w:val="center"/>
            <w:hideMark/>
          </w:tcPr>
          <w:p w14:paraId="5AAC4AD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2026</w:t>
            </w:r>
          </w:p>
        </w:tc>
        <w:tc>
          <w:tcPr>
            <w:tcW w:w="1334" w:type="dxa"/>
            <w:tcBorders>
              <w:top w:val="nil"/>
              <w:left w:val="nil"/>
              <w:bottom w:val="single" w:sz="8" w:space="0" w:color="auto"/>
              <w:right w:val="double" w:sz="6" w:space="0" w:color="auto"/>
            </w:tcBorders>
            <w:shd w:val="clear" w:color="000000" w:fill="FFFFFF"/>
            <w:vAlign w:val="center"/>
            <w:hideMark/>
          </w:tcPr>
          <w:p w14:paraId="1EC0783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2027</w:t>
            </w:r>
          </w:p>
        </w:tc>
      </w:tr>
      <w:tr w:rsidR="009B5DE5" w:rsidRPr="009B5DE5" w14:paraId="37FEE4F1" w14:textId="77777777" w:rsidTr="00396800">
        <w:trPr>
          <w:trHeight w:val="468"/>
        </w:trPr>
        <w:tc>
          <w:tcPr>
            <w:tcW w:w="6922" w:type="dxa"/>
            <w:tcBorders>
              <w:top w:val="nil"/>
              <w:left w:val="double" w:sz="6" w:space="0" w:color="auto"/>
              <w:bottom w:val="dotted" w:sz="4" w:space="0" w:color="auto"/>
              <w:right w:val="dotted" w:sz="4" w:space="0" w:color="auto"/>
            </w:tcBorders>
            <w:shd w:val="clear" w:color="000000" w:fill="FFFFFF"/>
            <w:vAlign w:val="center"/>
            <w:hideMark/>
          </w:tcPr>
          <w:p w14:paraId="38AAD0E7"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1. Дефлатор БДП-а</w:t>
            </w:r>
          </w:p>
        </w:tc>
        <w:tc>
          <w:tcPr>
            <w:tcW w:w="1390" w:type="dxa"/>
            <w:tcBorders>
              <w:top w:val="nil"/>
              <w:left w:val="nil"/>
              <w:bottom w:val="dotted" w:sz="4" w:space="0" w:color="auto"/>
              <w:right w:val="single" w:sz="8" w:space="0" w:color="auto"/>
            </w:tcBorders>
            <w:shd w:val="clear" w:color="000000" w:fill="FFFFFF"/>
            <w:vAlign w:val="center"/>
            <w:hideMark/>
          </w:tcPr>
          <w:p w14:paraId="0C1D0537"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334" w:type="dxa"/>
            <w:tcBorders>
              <w:top w:val="nil"/>
              <w:left w:val="nil"/>
              <w:bottom w:val="dotted" w:sz="4" w:space="0" w:color="auto"/>
              <w:right w:val="dotted" w:sz="4" w:space="0" w:color="auto"/>
            </w:tcBorders>
            <w:shd w:val="clear" w:color="000000" w:fill="FFFFFF"/>
            <w:vAlign w:val="center"/>
            <w:hideMark/>
          </w:tcPr>
          <w:p w14:paraId="505DB38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13,8</w:t>
            </w:r>
          </w:p>
        </w:tc>
        <w:tc>
          <w:tcPr>
            <w:tcW w:w="1334" w:type="dxa"/>
            <w:tcBorders>
              <w:top w:val="nil"/>
              <w:left w:val="nil"/>
              <w:bottom w:val="dotted" w:sz="4" w:space="0" w:color="auto"/>
              <w:right w:val="dotted" w:sz="4" w:space="0" w:color="auto"/>
            </w:tcBorders>
            <w:shd w:val="clear" w:color="000000" w:fill="FFFFFF"/>
            <w:vAlign w:val="center"/>
            <w:hideMark/>
          </w:tcPr>
          <w:p w14:paraId="35BDCDE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5,0</w:t>
            </w:r>
          </w:p>
        </w:tc>
        <w:tc>
          <w:tcPr>
            <w:tcW w:w="1334" w:type="dxa"/>
            <w:tcBorders>
              <w:top w:val="nil"/>
              <w:left w:val="nil"/>
              <w:bottom w:val="dotted" w:sz="4" w:space="0" w:color="auto"/>
              <w:right w:val="dotted" w:sz="4" w:space="0" w:color="auto"/>
            </w:tcBorders>
            <w:shd w:val="clear" w:color="000000" w:fill="FFFFFF"/>
            <w:vAlign w:val="center"/>
            <w:hideMark/>
          </w:tcPr>
          <w:p w14:paraId="4D914B7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3,2</w:t>
            </w:r>
          </w:p>
        </w:tc>
        <w:tc>
          <w:tcPr>
            <w:tcW w:w="1334" w:type="dxa"/>
            <w:tcBorders>
              <w:top w:val="nil"/>
              <w:left w:val="nil"/>
              <w:bottom w:val="dotted" w:sz="4" w:space="0" w:color="auto"/>
              <w:right w:val="dotted" w:sz="4" w:space="0" w:color="auto"/>
            </w:tcBorders>
            <w:shd w:val="clear" w:color="000000" w:fill="FFFFFF"/>
            <w:vAlign w:val="center"/>
            <w:hideMark/>
          </w:tcPr>
          <w:p w14:paraId="5A0A178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3,2</w:t>
            </w:r>
          </w:p>
        </w:tc>
        <w:tc>
          <w:tcPr>
            <w:tcW w:w="1334" w:type="dxa"/>
            <w:tcBorders>
              <w:top w:val="nil"/>
              <w:left w:val="nil"/>
              <w:bottom w:val="dotted" w:sz="4" w:space="0" w:color="auto"/>
              <w:right w:val="double" w:sz="6" w:space="0" w:color="auto"/>
            </w:tcBorders>
            <w:shd w:val="clear" w:color="000000" w:fill="FFFFFF"/>
            <w:vAlign w:val="center"/>
            <w:hideMark/>
          </w:tcPr>
          <w:p w14:paraId="5035B8C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3,0</w:t>
            </w:r>
          </w:p>
        </w:tc>
      </w:tr>
      <w:tr w:rsidR="009B5DE5" w:rsidRPr="009B5DE5" w14:paraId="43D20441" w14:textId="77777777" w:rsidTr="00396800">
        <w:trPr>
          <w:trHeight w:val="468"/>
        </w:trPr>
        <w:tc>
          <w:tcPr>
            <w:tcW w:w="6922" w:type="dxa"/>
            <w:tcBorders>
              <w:top w:val="nil"/>
              <w:left w:val="double" w:sz="6" w:space="0" w:color="auto"/>
              <w:bottom w:val="dotted" w:sz="4" w:space="0" w:color="auto"/>
              <w:right w:val="dotted" w:sz="4" w:space="0" w:color="auto"/>
            </w:tcBorders>
            <w:shd w:val="clear" w:color="000000" w:fill="FFFFFF"/>
            <w:vAlign w:val="center"/>
            <w:hideMark/>
          </w:tcPr>
          <w:p w14:paraId="48A1B6EF"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2. Дефлатор приватне потрошње</w:t>
            </w:r>
          </w:p>
        </w:tc>
        <w:tc>
          <w:tcPr>
            <w:tcW w:w="1390" w:type="dxa"/>
            <w:tcBorders>
              <w:top w:val="nil"/>
              <w:left w:val="nil"/>
              <w:bottom w:val="dotted" w:sz="4" w:space="0" w:color="auto"/>
              <w:right w:val="single" w:sz="8" w:space="0" w:color="auto"/>
            </w:tcBorders>
            <w:shd w:val="clear" w:color="000000" w:fill="FFFFFF"/>
            <w:vAlign w:val="center"/>
            <w:hideMark/>
          </w:tcPr>
          <w:p w14:paraId="7EF3D04D"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334" w:type="dxa"/>
            <w:tcBorders>
              <w:top w:val="nil"/>
              <w:left w:val="nil"/>
              <w:bottom w:val="dotted" w:sz="4" w:space="0" w:color="auto"/>
              <w:right w:val="dotted" w:sz="4" w:space="0" w:color="auto"/>
            </w:tcBorders>
            <w:shd w:val="clear" w:color="000000" w:fill="FFFFFF"/>
            <w:vAlign w:val="center"/>
            <w:hideMark/>
          </w:tcPr>
          <w:p w14:paraId="6A8B263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12,1</w:t>
            </w:r>
          </w:p>
        </w:tc>
        <w:tc>
          <w:tcPr>
            <w:tcW w:w="1334" w:type="dxa"/>
            <w:tcBorders>
              <w:top w:val="nil"/>
              <w:left w:val="nil"/>
              <w:bottom w:val="dotted" w:sz="4" w:space="0" w:color="auto"/>
              <w:right w:val="dotted" w:sz="4" w:space="0" w:color="auto"/>
            </w:tcBorders>
            <w:shd w:val="clear" w:color="000000" w:fill="FFFFFF"/>
            <w:vAlign w:val="center"/>
            <w:hideMark/>
          </w:tcPr>
          <w:p w14:paraId="7746CD3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4,2</w:t>
            </w:r>
          </w:p>
        </w:tc>
        <w:tc>
          <w:tcPr>
            <w:tcW w:w="1334" w:type="dxa"/>
            <w:tcBorders>
              <w:top w:val="nil"/>
              <w:left w:val="nil"/>
              <w:bottom w:val="dotted" w:sz="4" w:space="0" w:color="auto"/>
              <w:right w:val="dotted" w:sz="4" w:space="0" w:color="auto"/>
            </w:tcBorders>
            <w:shd w:val="clear" w:color="000000" w:fill="FFFFFF"/>
            <w:vAlign w:val="center"/>
            <w:hideMark/>
          </w:tcPr>
          <w:p w14:paraId="723AEB9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3,1</w:t>
            </w:r>
          </w:p>
        </w:tc>
        <w:tc>
          <w:tcPr>
            <w:tcW w:w="1334" w:type="dxa"/>
            <w:tcBorders>
              <w:top w:val="nil"/>
              <w:left w:val="nil"/>
              <w:bottom w:val="dotted" w:sz="4" w:space="0" w:color="auto"/>
              <w:right w:val="dotted" w:sz="4" w:space="0" w:color="auto"/>
            </w:tcBorders>
            <w:shd w:val="clear" w:color="000000" w:fill="FFFFFF"/>
            <w:vAlign w:val="center"/>
            <w:hideMark/>
          </w:tcPr>
          <w:p w14:paraId="596D574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3,1</w:t>
            </w:r>
          </w:p>
        </w:tc>
        <w:tc>
          <w:tcPr>
            <w:tcW w:w="1334" w:type="dxa"/>
            <w:tcBorders>
              <w:top w:val="nil"/>
              <w:left w:val="nil"/>
              <w:bottom w:val="dotted" w:sz="4" w:space="0" w:color="auto"/>
              <w:right w:val="double" w:sz="6" w:space="0" w:color="auto"/>
            </w:tcBorders>
            <w:shd w:val="clear" w:color="000000" w:fill="FFFFFF"/>
            <w:vAlign w:val="center"/>
            <w:hideMark/>
          </w:tcPr>
          <w:p w14:paraId="52B9FAA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2,9</w:t>
            </w:r>
          </w:p>
        </w:tc>
      </w:tr>
      <w:tr w:rsidR="009B5DE5" w:rsidRPr="009B5DE5" w14:paraId="24A30D9D" w14:textId="77777777" w:rsidTr="00396800">
        <w:trPr>
          <w:trHeight w:val="468"/>
        </w:trPr>
        <w:tc>
          <w:tcPr>
            <w:tcW w:w="6922" w:type="dxa"/>
            <w:tcBorders>
              <w:top w:val="nil"/>
              <w:left w:val="double" w:sz="6" w:space="0" w:color="auto"/>
              <w:bottom w:val="dotted" w:sz="4" w:space="0" w:color="auto"/>
              <w:right w:val="dotted" w:sz="4" w:space="0" w:color="auto"/>
            </w:tcBorders>
            <w:shd w:val="clear" w:color="000000" w:fill="FFFFFF"/>
            <w:vAlign w:val="center"/>
            <w:hideMark/>
          </w:tcPr>
          <w:p w14:paraId="6AFA09CD"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3. Хармонизовани индекс потрошачких цена (HICP)</w:t>
            </w:r>
          </w:p>
        </w:tc>
        <w:tc>
          <w:tcPr>
            <w:tcW w:w="1390" w:type="dxa"/>
            <w:tcBorders>
              <w:top w:val="nil"/>
              <w:left w:val="nil"/>
              <w:bottom w:val="dotted" w:sz="4" w:space="0" w:color="auto"/>
              <w:right w:val="single" w:sz="8" w:space="0" w:color="auto"/>
            </w:tcBorders>
            <w:shd w:val="clear" w:color="000000" w:fill="FFFFFF"/>
            <w:vAlign w:val="center"/>
            <w:hideMark/>
          </w:tcPr>
          <w:p w14:paraId="1556F5A9"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334" w:type="dxa"/>
            <w:tcBorders>
              <w:top w:val="nil"/>
              <w:left w:val="nil"/>
              <w:bottom w:val="dotted" w:sz="4" w:space="0" w:color="auto"/>
              <w:right w:val="dotted" w:sz="4" w:space="0" w:color="auto"/>
            </w:tcBorders>
            <w:shd w:val="clear" w:color="000000" w:fill="FFFFFF"/>
            <w:vAlign w:val="center"/>
            <w:hideMark/>
          </w:tcPr>
          <w:p w14:paraId="441B155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12,2</w:t>
            </w:r>
          </w:p>
        </w:tc>
        <w:tc>
          <w:tcPr>
            <w:tcW w:w="1334" w:type="dxa"/>
            <w:tcBorders>
              <w:top w:val="nil"/>
              <w:left w:val="nil"/>
              <w:bottom w:val="dotted" w:sz="4" w:space="0" w:color="auto"/>
              <w:right w:val="dotted" w:sz="4" w:space="0" w:color="auto"/>
            </w:tcBorders>
            <w:shd w:val="clear" w:color="000000" w:fill="FFFFFF"/>
            <w:vAlign w:val="center"/>
            <w:hideMark/>
          </w:tcPr>
          <w:p w14:paraId="5E0F306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4,7</w:t>
            </w:r>
          </w:p>
        </w:tc>
        <w:tc>
          <w:tcPr>
            <w:tcW w:w="1334" w:type="dxa"/>
            <w:tcBorders>
              <w:top w:val="nil"/>
              <w:left w:val="nil"/>
              <w:bottom w:val="dotted" w:sz="4" w:space="0" w:color="auto"/>
              <w:right w:val="dotted" w:sz="4" w:space="0" w:color="auto"/>
            </w:tcBorders>
            <w:shd w:val="clear" w:color="000000" w:fill="FFFFFF"/>
            <w:vAlign w:val="center"/>
            <w:hideMark/>
          </w:tcPr>
          <w:p w14:paraId="07C0D24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3,7</w:t>
            </w:r>
          </w:p>
        </w:tc>
        <w:tc>
          <w:tcPr>
            <w:tcW w:w="1334" w:type="dxa"/>
            <w:tcBorders>
              <w:top w:val="nil"/>
              <w:left w:val="nil"/>
              <w:bottom w:val="dotted" w:sz="4" w:space="0" w:color="auto"/>
              <w:right w:val="dotted" w:sz="4" w:space="0" w:color="auto"/>
            </w:tcBorders>
            <w:shd w:val="clear" w:color="000000" w:fill="FFFFFF"/>
            <w:vAlign w:val="center"/>
            <w:hideMark/>
          </w:tcPr>
          <w:p w14:paraId="0B4FFF7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3,3</w:t>
            </w:r>
          </w:p>
        </w:tc>
        <w:tc>
          <w:tcPr>
            <w:tcW w:w="1334" w:type="dxa"/>
            <w:tcBorders>
              <w:top w:val="nil"/>
              <w:left w:val="nil"/>
              <w:bottom w:val="dotted" w:sz="4" w:space="0" w:color="auto"/>
              <w:right w:val="double" w:sz="6" w:space="0" w:color="auto"/>
            </w:tcBorders>
            <w:shd w:val="clear" w:color="000000" w:fill="FFFFFF"/>
            <w:vAlign w:val="center"/>
            <w:hideMark/>
          </w:tcPr>
          <w:p w14:paraId="1707E32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3,0</w:t>
            </w:r>
          </w:p>
        </w:tc>
      </w:tr>
      <w:tr w:rsidR="009B5DE5" w:rsidRPr="009B5DE5" w14:paraId="2C119844" w14:textId="77777777" w:rsidTr="00396800">
        <w:trPr>
          <w:trHeight w:val="468"/>
        </w:trPr>
        <w:tc>
          <w:tcPr>
            <w:tcW w:w="6922" w:type="dxa"/>
            <w:tcBorders>
              <w:top w:val="nil"/>
              <w:left w:val="double" w:sz="6" w:space="0" w:color="auto"/>
              <w:bottom w:val="dotted" w:sz="4" w:space="0" w:color="auto"/>
              <w:right w:val="dotted" w:sz="4" w:space="0" w:color="auto"/>
            </w:tcBorders>
            <w:shd w:val="clear" w:color="000000" w:fill="FFFFFF"/>
            <w:vAlign w:val="center"/>
            <w:hideMark/>
          </w:tcPr>
          <w:p w14:paraId="1E4E18D4"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4. Промена индекса потрошачких цена (CPI)</w:t>
            </w:r>
          </w:p>
        </w:tc>
        <w:tc>
          <w:tcPr>
            <w:tcW w:w="1390" w:type="dxa"/>
            <w:tcBorders>
              <w:top w:val="nil"/>
              <w:left w:val="nil"/>
              <w:bottom w:val="dotted" w:sz="4" w:space="0" w:color="auto"/>
              <w:right w:val="single" w:sz="8" w:space="0" w:color="auto"/>
            </w:tcBorders>
            <w:shd w:val="clear" w:color="000000" w:fill="FFFFFF"/>
            <w:vAlign w:val="center"/>
            <w:hideMark/>
          </w:tcPr>
          <w:p w14:paraId="351B39DC"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334" w:type="dxa"/>
            <w:tcBorders>
              <w:top w:val="nil"/>
              <w:left w:val="nil"/>
              <w:bottom w:val="dotted" w:sz="4" w:space="0" w:color="auto"/>
              <w:right w:val="dotted" w:sz="4" w:space="0" w:color="auto"/>
            </w:tcBorders>
            <w:shd w:val="clear" w:color="000000" w:fill="FFFFFF"/>
            <w:vAlign w:val="center"/>
            <w:hideMark/>
          </w:tcPr>
          <w:p w14:paraId="7087734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12,1</w:t>
            </w:r>
          </w:p>
        </w:tc>
        <w:tc>
          <w:tcPr>
            <w:tcW w:w="1334" w:type="dxa"/>
            <w:tcBorders>
              <w:top w:val="nil"/>
              <w:left w:val="nil"/>
              <w:bottom w:val="dotted" w:sz="4" w:space="0" w:color="auto"/>
              <w:right w:val="dotted" w:sz="4" w:space="0" w:color="auto"/>
            </w:tcBorders>
            <w:shd w:val="clear" w:color="000000" w:fill="FFFFFF"/>
            <w:vAlign w:val="center"/>
            <w:hideMark/>
          </w:tcPr>
          <w:p w14:paraId="175E5A2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4,7</w:t>
            </w:r>
          </w:p>
        </w:tc>
        <w:tc>
          <w:tcPr>
            <w:tcW w:w="1334" w:type="dxa"/>
            <w:tcBorders>
              <w:top w:val="nil"/>
              <w:left w:val="nil"/>
              <w:bottom w:val="dotted" w:sz="4" w:space="0" w:color="auto"/>
              <w:right w:val="dotted" w:sz="4" w:space="0" w:color="auto"/>
            </w:tcBorders>
            <w:shd w:val="clear" w:color="000000" w:fill="FFFFFF"/>
            <w:vAlign w:val="center"/>
            <w:hideMark/>
          </w:tcPr>
          <w:p w14:paraId="19B4C78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3,7</w:t>
            </w:r>
          </w:p>
        </w:tc>
        <w:tc>
          <w:tcPr>
            <w:tcW w:w="1334" w:type="dxa"/>
            <w:tcBorders>
              <w:top w:val="nil"/>
              <w:left w:val="nil"/>
              <w:bottom w:val="dotted" w:sz="4" w:space="0" w:color="auto"/>
              <w:right w:val="dotted" w:sz="4" w:space="0" w:color="auto"/>
            </w:tcBorders>
            <w:shd w:val="clear" w:color="000000" w:fill="FFFFFF"/>
            <w:vAlign w:val="center"/>
            <w:hideMark/>
          </w:tcPr>
          <w:p w14:paraId="4758806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3,3</w:t>
            </w:r>
          </w:p>
        </w:tc>
        <w:tc>
          <w:tcPr>
            <w:tcW w:w="1334" w:type="dxa"/>
            <w:tcBorders>
              <w:top w:val="nil"/>
              <w:left w:val="nil"/>
              <w:bottom w:val="dotted" w:sz="4" w:space="0" w:color="auto"/>
              <w:right w:val="double" w:sz="6" w:space="0" w:color="auto"/>
            </w:tcBorders>
            <w:shd w:val="clear" w:color="000000" w:fill="FFFFFF"/>
            <w:vAlign w:val="center"/>
            <w:hideMark/>
          </w:tcPr>
          <w:p w14:paraId="2943E0B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3,0</w:t>
            </w:r>
          </w:p>
        </w:tc>
      </w:tr>
      <w:tr w:rsidR="009B5DE5" w:rsidRPr="009B5DE5" w14:paraId="3D1ECEED" w14:textId="77777777" w:rsidTr="00396800">
        <w:trPr>
          <w:trHeight w:val="468"/>
        </w:trPr>
        <w:tc>
          <w:tcPr>
            <w:tcW w:w="6922" w:type="dxa"/>
            <w:tcBorders>
              <w:top w:val="nil"/>
              <w:left w:val="double" w:sz="6" w:space="0" w:color="auto"/>
              <w:bottom w:val="dotted" w:sz="4" w:space="0" w:color="auto"/>
              <w:right w:val="dotted" w:sz="4" w:space="0" w:color="auto"/>
            </w:tcBorders>
            <w:shd w:val="clear" w:color="000000" w:fill="FFFFFF"/>
            <w:vAlign w:val="center"/>
            <w:hideMark/>
          </w:tcPr>
          <w:p w14:paraId="3A0B27DE"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5. Дефлатор јавне потрошње</w:t>
            </w:r>
          </w:p>
        </w:tc>
        <w:tc>
          <w:tcPr>
            <w:tcW w:w="1390" w:type="dxa"/>
            <w:tcBorders>
              <w:top w:val="nil"/>
              <w:left w:val="nil"/>
              <w:bottom w:val="dotted" w:sz="4" w:space="0" w:color="auto"/>
              <w:right w:val="single" w:sz="8" w:space="0" w:color="auto"/>
            </w:tcBorders>
            <w:shd w:val="clear" w:color="000000" w:fill="FFFFFF"/>
            <w:vAlign w:val="center"/>
            <w:hideMark/>
          </w:tcPr>
          <w:p w14:paraId="59054E35"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334" w:type="dxa"/>
            <w:tcBorders>
              <w:top w:val="nil"/>
              <w:left w:val="nil"/>
              <w:bottom w:val="dotted" w:sz="4" w:space="0" w:color="auto"/>
              <w:right w:val="dotted" w:sz="4" w:space="0" w:color="auto"/>
            </w:tcBorders>
            <w:shd w:val="clear" w:color="000000" w:fill="FFFFFF"/>
            <w:vAlign w:val="center"/>
            <w:hideMark/>
          </w:tcPr>
          <w:p w14:paraId="3B9629E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13,0</w:t>
            </w:r>
          </w:p>
        </w:tc>
        <w:tc>
          <w:tcPr>
            <w:tcW w:w="1334" w:type="dxa"/>
            <w:tcBorders>
              <w:top w:val="nil"/>
              <w:left w:val="nil"/>
              <w:bottom w:val="dotted" w:sz="4" w:space="0" w:color="auto"/>
              <w:right w:val="dotted" w:sz="4" w:space="0" w:color="auto"/>
            </w:tcBorders>
            <w:shd w:val="clear" w:color="000000" w:fill="FFFFFF"/>
            <w:vAlign w:val="center"/>
            <w:hideMark/>
          </w:tcPr>
          <w:p w14:paraId="0AD3982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4,7</w:t>
            </w:r>
          </w:p>
        </w:tc>
        <w:tc>
          <w:tcPr>
            <w:tcW w:w="1334" w:type="dxa"/>
            <w:tcBorders>
              <w:top w:val="nil"/>
              <w:left w:val="nil"/>
              <w:bottom w:val="dotted" w:sz="4" w:space="0" w:color="auto"/>
              <w:right w:val="dotted" w:sz="4" w:space="0" w:color="auto"/>
            </w:tcBorders>
            <w:shd w:val="clear" w:color="000000" w:fill="FFFFFF"/>
            <w:vAlign w:val="center"/>
            <w:hideMark/>
          </w:tcPr>
          <w:p w14:paraId="72800FD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3,2</w:t>
            </w:r>
          </w:p>
        </w:tc>
        <w:tc>
          <w:tcPr>
            <w:tcW w:w="1334" w:type="dxa"/>
            <w:tcBorders>
              <w:top w:val="nil"/>
              <w:left w:val="nil"/>
              <w:bottom w:val="dotted" w:sz="4" w:space="0" w:color="auto"/>
              <w:right w:val="dotted" w:sz="4" w:space="0" w:color="auto"/>
            </w:tcBorders>
            <w:shd w:val="clear" w:color="000000" w:fill="FFFFFF"/>
            <w:vAlign w:val="center"/>
            <w:hideMark/>
          </w:tcPr>
          <w:p w14:paraId="35EB98F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3,9</w:t>
            </w:r>
          </w:p>
        </w:tc>
        <w:tc>
          <w:tcPr>
            <w:tcW w:w="1334" w:type="dxa"/>
            <w:tcBorders>
              <w:top w:val="nil"/>
              <w:left w:val="nil"/>
              <w:bottom w:val="dotted" w:sz="4" w:space="0" w:color="auto"/>
              <w:right w:val="double" w:sz="6" w:space="0" w:color="auto"/>
            </w:tcBorders>
            <w:shd w:val="clear" w:color="000000" w:fill="FFFFFF"/>
            <w:vAlign w:val="center"/>
            <w:hideMark/>
          </w:tcPr>
          <w:p w14:paraId="2A5940F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3,6</w:t>
            </w:r>
          </w:p>
        </w:tc>
      </w:tr>
      <w:tr w:rsidR="009B5DE5" w:rsidRPr="009B5DE5" w14:paraId="7FA148B4" w14:textId="77777777" w:rsidTr="00396800">
        <w:trPr>
          <w:trHeight w:val="468"/>
        </w:trPr>
        <w:tc>
          <w:tcPr>
            <w:tcW w:w="6922" w:type="dxa"/>
            <w:tcBorders>
              <w:top w:val="nil"/>
              <w:left w:val="double" w:sz="6" w:space="0" w:color="auto"/>
              <w:bottom w:val="dotted" w:sz="4" w:space="0" w:color="auto"/>
              <w:right w:val="dotted" w:sz="4" w:space="0" w:color="auto"/>
            </w:tcBorders>
            <w:shd w:val="clear" w:color="000000" w:fill="FFFFFF"/>
            <w:vAlign w:val="center"/>
            <w:hideMark/>
          </w:tcPr>
          <w:p w14:paraId="61F52998"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6. Дефлатор инвестиција</w:t>
            </w:r>
          </w:p>
        </w:tc>
        <w:tc>
          <w:tcPr>
            <w:tcW w:w="1390" w:type="dxa"/>
            <w:tcBorders>
              <w:top w:val="nil"/>
              <w:left w:val="nil"/>
              <w:bottom w:val="dotted" w:sz="4" w:space="0" w:color="auto"/>
              <w:right w:val="single" w:sz="8" w:space="0" w:color="auto"/>
            </w:tcBorders>
            <w:shd w:val="clear" w:color="000000" w:fill="FFFFFF"/>
            <w:vAlign w:val="center"/>
            <w:hideMark/>
          </w:tcPr>
          <w:p w14:paraId="1549A1B6"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334" w:type="dxa"/>
            <w:tcBorders>
              <w:top w:val="nil"/>
              <w:left w:val="nil"/>
              <w:bottom w:val="dotted" w:sz="4" w:space="0" w:color="auto"/>
              <w:right w:val="dotted" w:sz="4" w:space="0" w:color="auto"/>
            </w:tcBorders>
            <w:shd w:val="clear" w:color="000000" w:fill="FFFFFF"/>
            <w:vAlign w:val="center"/>
            <w:hideMark/>
          </w:tcPr>
          <w:p w14:paraId="44CD6F6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5,3</w:t>
            </w:r>
          </w:p>
        </w:tc>
        <w:tc>
          <w:tcPr>
            <w:tcW w:w="1334" w:type="dxa"/>
            <w:tcBorders>
              <w:top w:val="nil"/>
              <w:left w:val="nil"/>
              <w:bottom w:val="dotted" w:sz="4" w:space="0" w:color="auto"/>
              <w:right w:val="dotted" w:sz="4" w:space="0" w:color="auto"/>
            </w:tcBorders>
            <w:shd w:val="clear" w:color="000000" w:fill="FFFFFF"/>
            <w:vAlign w:val="center"/>
            <w:hideMark/>
          </w:tcPr>
          <w:p w14:paraId="1837834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4,6</w:t>
            </w:r>
          </w:p>
        </w:tc>
        <w:tc>
          <w:tcPr>
            <w:tcW w:w="1334" w:type="dxa"/>
            <w:tcBorders>
              <w:top w:val="nil"/>
              <w:left w:val="nil"/>
              <w:bottom w:val="dotted" w:sz="4" w:space="0" w:color="auto"/>
              <w:right w:val="dotted" w:sz="4" w:space="0" w:color="auto"/>
            </w:tcBorders>
            <w:shd w:val="clear" w:color="000000" w:fill="FFFFFF"/>
            <w:vAlign w:val="center"/>
            <w:hideMark/>
          </w:tcPr>
          <w:p w14:paraId="24B52CB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3,3</w:t>
            </w:r>
          </w:p>
        </w:tc>
        <w:tc>
          <w:tcPr>
            <w:tcW w:w="1334" w:type="dxa"/>
            <w:tcBorders>
              <w:top w:val="nil"/>
              <w:left w:val="nil"/>
              <w:bottom w:val="dotted" w:sz="4" w:space="0" w:color="auto"/>
              <w:right w:val="dotted" w:sz="4" w:space="0" w:color="auto"/>
            </w:tcBorders>
            <w:shd w:val="clear" w:color="000000" w:fill="FFFFFF"/>
            <w:vAlign w:val="center"/>
            <w:hideMark/>
          </w:tcPr>
          <w:p w14:paraId="5581391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2,6</w:t>
            </w:r>
          </w:p>
        </w:tc>
        <w:tc>
          <w:tcPr>
            <w:tcW w:w="1334" w:type="dxa"/>
            <w:tcBorders>
              <w:top w:val="nil"/>
              <w:left w:val="nil"/>
              <w:bottom w:val="dotted" w:sz="4" w:space="0" w:color="auto"/>
              <w:right w:val="double" w:sz="6" w:space="0" w:color="auto"/>
            </w:tcBorders>
            <w:shd w:val="clear" w:color="000000" w:fill="FFFFFF"/>
            <w:vAlign w:val="center"/>
            <w:hideMark/>
          </w:tcPr>
          <w:p w14:paraId="5978855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2,6</w:t>
            </w:r>
          </w:p>
        </w:tc>
      </w:tr>
      <w:tr w:rsidR="009B5DE5" w:rsidRPr="009B5DE5" w14:paraId="44B730BD" w14:textId="77777777" w:rsidTr="00396800">
        <w:trPr>
          <w:trHeight w:val="468"/>
        </w:trPr>
        <w:tc>
          <w:tcPr>
            <w:tcW w:w="6922" w:type="dxa"/>
            <w:tcBorders>
              <w:top w:val="nil"/>
              <w:left w:val="double" w:sz="6" w:space="0" w:color="auto"/>
              <w:bottom w:val="dotted" w:sz="4" w:space="0" w:color="auto"/>
              <w:right w:val="dotted" w:sz="4" w:space="0" w:color="auto"/>
            </w:tcBorders>
            <w:shd w:val="clear" w:color="000000" w:fill="FFFFFF"/>
            <w:vAlign w:val="center"/>
            <w:hideMark/>
          </w:tcPr>
          <w:p w14:paraId="696F0E42"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7. Дефлатор извозних цена (робе и услуге)</w:t>
            </w:r>
          </w:p>
        </w:tc>
        <w:tc>
          <w:tcPr>
            <w:tcW w:w="1390" w:type="dxa"/>
            <w:tcBorders>
              <w:top w:val="nil"/>
              <w:left w:val="nil"/>
              <w:bottom w:val="dotted" w:sz="4" w:space="0" w:color="auto"/>
              <w:right w:val="single" w:sz="8" w:space="0" w:color="auto"/>
            </w:tcBorders>
            <w:shd w:val="clear" w:color="000000" w:fill="FFFFFF"/>
            <w:vAlign w:val="center"/>
            <w:hideMark/>
          </w:tcPr>
          <w:p w14:paraId="6482F754"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334" w:type="dxa"/>
            <w:tcBorders>
              <w:top w:val="nil"/>
              <w:left w:val="nil"/>
              <w:bottom w:val="dotted" w:sz="4" w:space="0" w:color="auto"/>
              <w:right w:val="dotted" w:sz="4" w:space="0" w:color="auto"/>
            </w:tcBorders>
            <w:shd w:val="clear" w:color="000000" w:fill="FFFFFF"/>
            <w:vAlign w:val="center"/>
            <w:hideMark/>
          </w:tcPr>
          <w:p w14:paraId="0F574D4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4,3</w:t>
            </w:r>
          </w:p>
        </w:tc>
        <w:tc>
          <w:tcPr>
            <w:tcW w:w="1334" w:type="dxa"/>
            <w:tcBorders>
              <w:top w:val="nil"/>
              <w:left w:val="nil"/>
              <w:bottom w:val="dotted" w:sz="4" w:space="0" w:color="auto"/>
              <w:right w:val="dotted" w:sz="4" w:space="0" w:color="auto"/>
            </w:tcBorders>
            <w:shd w:val="clear" w:color="000000" w:fill="FFFFFF"/>
            <w:vAlign w:val="center"/>
            <w:hideMark/>
          </w:tcPr>
          <w:p w14:paraId="233D392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w:t>
            </w:r>
          </w:p>
        </w:tc>
        <w:tc>
          <w:tcPr>
            <w:tcW w:w="1334" w:type="dxa"/>
            <w:tcBorders>
              <w:top w:val="nil"/>
              <w:left w:val="nil"/>
              <w:bottom w:val="dotted" w:sz="4" w:space="0" w:color="auto"/>
              <w:right w:val="dotted" w:sz="4" w:space="0" w:color="auto"/>
            </w:tcBorders>
            <w:shd w:val="clear" w:color="000000" w:fill="FFFFFF"/>
            <w:vAlign w:val="center"/>
            <w:hideMark/>
          </w:tcPr>
          <w:p w14:paraId="7EC626C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2,2</w:t>
            </w:r>
          </w:p>
        </w:tc>
        <w:tc>
          <w:tcPr>
            <w:tcW w:w="1334" w:type="dxa"/>
            <w:tcBorders>
              <w:top w:val="nil"/>
              <w:left w:val="nil"/>
              <w:bottom w:val="dotted" w:sz="4" w:space="0" w:color="auto"/>
              <w:right w:val="dotted" w:sz="4" w:space="0" w:color="auto"/>
            </w:tcBorders>
            <w:shd w:val="clear" w:color="000000" w:fill="FFFFFF"/>
            <w:vAlign w:val="center"/>
            <w:hideMark/>
          </w:tcPr>
          <w:p w14:paraId="12CB183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2,2</w:t>
            </w:r>
          </w:p>
        </w:tc>
        <w:tc>
          <w:tcPr>
            <w:tcW w:w="1334" w:type="dxa"/>
            <w:tcBorders>
              <w:top w:val="nil"/>
              <w:left w:val="nil"/>
              <w:bottom w:val="dotted" w:sz="4" w:space="0" w:color="auto"/>
              <w:right w:val="double" w:sz="6" w:space="0" w:color="auto"/>
            </w:tcBorders>
            <w:shd w:val="clear" w:color="000000" w:fill="FFFFFF"/>
            <w:vAlign w:val="center"/>
            <w:hideMark/>
          </w:tcPr>
          <w:p w14:paraId="146D6B3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2,3</w:t>
            </w:r>
          </w:p>
        </w:tc>
      </w:tr>
      <w:tr w:rsidR="009B5DE5" w:rsidRPr="009B5DE5" w14:paraId="52E11037" w14:textId="77777777" w:rsidTr="00396800">
        <w:trPr>
          <w:trHeight w:val="468"/>
        </w:trPr>
        <w:tc>
          <w:tcPr>
            <w:tcW w:w="6922" w:type="dxa"/>
            <w:tcBorders>
              <w:top w:val="nil"/>
              <w:left w:val="double" w:sz="6" w:space="0" w:color="auto"/>
              <w:bottom w:val="double" w:sz="6" w:space="0" w:color="auto"/>
              <w:right w:val="dotted" w:sz="4" w:space="0" w:color="auto"/>
            </w:tcBorders>
            <w:shd w:val="clear" w:color="000000" w:fill="FFFFFF"/>
            <w:vAlign w:val="center"/>
            <w:hideMark/>
          </w:tcPr>
          <w:p w14:paraId="42D5A3FE"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8. Дефлатор увозних цена (робе и услуге)</w:t>
            </w:r>
          </w:p>
        </w:tc>
        <w:tc>
          <w:tcPr>
            <w:tcW w:w="1390" w:type="dxa"/>
            <w:tcBorders>
              <w:top w:val="nil"/>
              <w:left w:val="nil"/>
              <w:bottom w:val="double" w:sz="6" w:space="0" w:color="auto"/>
              <w:right w:val="single" w:sz="8" w:space="0" w:color="auto"/>
            </w:tcBorders>
            <w:shd w:val="clear" w:color="000000" w:fill="FFFFFF"/>
            <w:vAlign w:val="center"/>
            <w:hideMark/>
          </w:tcPr>
          <w:p w14:paraId="19011F3E"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334" w:type="dxa"/>
            <w:tcBorders>
              <w:top w:val="nil"/>
              <w:left w:val="nil"/>
              <w:bottom w:val="double" w:sz="6" w:space="0" w:color="auto"/>
              <w:right w:val="dotted" w:sz="4" w:space="0" w:color="auto"/>
            </w:tcBorders>
            <w:shd w:val="clear" w:color="000000" w:fill="FFFFFF"/>
            <w:vAlign w:val="center"/>
            <w:hideMark/>
          </w:tcPr>
          <w:p w14:paraId="5B184A7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0,3</w:t>
            </w:r>
          </w:p>
        </w:tc>
        <w:tc>
          <w:tcPr>
            <w:tcW w:w="1334" w:type="dxa"/>
            <w:tcBorders>
              <w:top w:val="nil"/>
              <w:left w:val="nil"/>
              <w:bottom w:val="double" w:sz="6" w:space="0" w:color="auto"/>
              <w:right w:val="dotted" w:sz="4" w:space="0" w:color="auto"/>
            </w:tcBorders>
            <w:shd w:val="clear" w:color="000000" w:fill="FFFFFF"/>
            <w:vAlign w:val="center"/>
            <w:hideMark/>
          </w:tcPr>
          <w:p w14:paraId="4DEC9E6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0,8</w:t>
            </w:r>
          </w:p>
        </w:tc>
        <w:tc>
          <w:tcPr>
            <w:tcW w:w="1334" w:type="dxa"/>
            <w:tcBorders>
              <w:top w:val="nil"/>
              <w:left w:val="nil"/>
              <w:bottom w:val="double" w:sz="6" w:space="0" w:color="auto"/>
              <w:right w:val="dotted" w:sz="4" w:space="0" w:color="auto"/>
            </w:tcBorders>
            <w:shd w:val="clear" w:color="000000" w:fill="FFFFFF"/>
            <w:vAlign w:val="center"/>
            <w:hideMark/>
          </w:tcPr>
          <w:p w14:paraId="0984B41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w:t>
            </w:r>
          </w:p>
        </w:tc>
        <w:tc>
          <w:tcPr>
            <w:tcW w:w="1334" w:type="dxa"/>
            <w:tcBorders>
              <w:top w:val="nil"/>
              <w:left w:val="nil"/>
              <w:bottom w:val="double" w:sz="6" w:space="0" w:color="auto"/>
              <w:right w:val="dotted" w:sz="4" w:space="0" w:color="auto"/>
            </w:tcBorders>
            <w:shd w:val="clear" w:color="000000" w:fill="FFFFFF"/>
            <w:vAlign w:val="center"/>
            <w:hideMark/>
          </w:tcPr>
          <w:p w14:paraId="42FDFA2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w:t>
            </w:r>
          </w:p>
        </w:tc>
        <w:tc>
          <w:tcPr>
            <w:tcW w:w="1334" w:type="dxa"/>
            <w:tcBorders>
              <w:top w:val="nil"/>
              <w:left w:val="nil"/>
              <w:bottom w:val="double" w:sz="6" w:space="0" w:color="auto"/>
              <w:right w:val="double" w:sz="6" w:space="0" w:color="auto"/>
            </w:tcBorders>
            <w:shd w:val="clear" w:color="000000" w:fill="FFFFFF"/>
            <w:vAlign w:val="center"/>
            <w:hideMark/>
          </w:tcPr>
          <w:p w14:paraId="2472603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w:t>
            </w:r>
          </w:p>
        </w:tc>
      </w:tr>
    </w:tbl>
    <w:p w14:paraId="1F37F4B6" w14:textId="77777777" w:rsidR="009B5DE5" w:rsidRPr="009B5DE5" w:rsidRDefault="009B5DE5" w:rsidP="009B5DE5">
      <w:pPr>
        <w:spacing w:after="0"/>
        <w:jc w:val="left"/>
        <w:rPr>
          <w:rFonts w:eastAsia="Times New Roman" w:cs="Times New Roman"/>
          <w:bCs/>
          <w:sz w:val="22"/>
        </w:rPr>
      </w:pPr>
    </w:p>
    <w:p w14:paraId="40B39EB8" w14:textId="77777777" w:rsidR="009B5DE5" w:rsidRPr="009B5DE5" w:rsidRDefault="009B5DE5" w:rsidP="009B5DE5">
      <w:pPr>
        <w:spacing w:after="0"/>
        <w:jc w:val="left"/>
        <w:rPr>
          <w:rFonts w:eastAsia="Times New Roman" w:cs="Times New Roman"/>
          <w:bCs/>
          <w:sz w:val="22"/>
        </w:rPr>
      </w:pPr>
    </w:p>
    <w:p w14:paraId="45DCBFF3" w14:textId="77777777" w:rsidR="009B5DE5" w:rsidRPr="009B5DE5" w:rsidRDefault="009B5DE5" w:rsidP="009B5DE5">
      <w:pPr>
        <w:spacing w:after="0"/>
        <w:jc w:val="left"/>
        <w:rPr>
          <w:rFonts w:eastAsia="Times New Roman" w:cs="Times New Roman"/>
          <w:bCs/>
          <w:sz w:val="22"/>
        </w:rPr>
      </w:pPr>
    </w:p>
    <w:p w14:paraId="40BCB594" w14:textId="77777777" w:rsidR="009B5DE5" w:rsidRPr="009B5DE5" w:rsidRDefault="009B5DE5" w:rsidP="009B5DE5">
      <w:pPr>
        <w:spacing w:after="0"/>
        <w:jc w:val="left"/>
        <w:rPr>
          <w:rFonts w:eastAsia="Times New Roman" w:cs="Times New Roman"/>
          <w:bCs/>
          <w:sz w:val="22"/>
        </w:rPr>
      </w:pPr>
    </w:p>
    <w:p w14:paraId="228EC29D" w14:textId="77777777" w:rsidR="009B5DE5" w:rsidRPr="009B5DE5" w:rsidRDefault="009B5DE5" w:rsidP="009B5DE5">
      <w:pPr>
        <w:spacing w:after="0"/>
        <w:jc w:val="left"/>
        <w:rPr>
          <w:rFonts w:eastAsia="Times New Roman" w:cs="Times New Roman"/>
          <w:bCs/>
          <w:sz w:val="22"/>
        </w:rPr>
      </w:pPr>
    </w:p>
    <w:p w14:paraId="59CCBE53" w14:textId="77777777" w:rsidR="009B5DE5" w:rsidRPr="009B5DE5" w:rsidRDefault="009B5DE5" w:rsidP="009B5DE5">
      <w:pPr>
        <w:spacing w:after="0"/>
        <w:jc w:val="left"/>
        <w:rPr>
          <w:rFonts w:eastAsia="Times New Roman" w:cs="Times New Roman"/>
          <w:bCs/>
          <w:sz w:val="22"/>
        </w:rPr>
      </w:pPr>
    </w:p>
    <w:p w14:paraId="1EAE6653" w14:textId="77777777" w:rsidR="009B5DE5" w:rsidRPr="009B5DE5" w:rsidRDefault="009B5DE5" w:rsidP="009B5DE5">
      <w:pPr>
        <w:spacing w:after="0"/>
        <w:jc w:val="left"/>
        <w:rPr>
          <w:rFonts w:eastAsia="Times New Roman" w:cs="Times New Roman"/>
          <w:bCs/>
          <w:sz w:val="22"/>
        </w:rPr>
      </w:pPr>
    </w:p>
    <w:p w14:paraId="23982E69" w14:textId="77777777" w:rsidR="009B5DE5" w:rsidRPr="009B5DE5" w:rsidRDefault="009B5DE5" w:rsidP="009B5DE5">
      <w:pPr>
        <w:spacing w:after="0"/>
        <w:jc w:val="left"/>
        <w:rPr>
          <w:rFonts w:eastAsia="Times New Roman" w:cs="Times New Roman"/>
          <w:bCs/>
          <w:sz w:val="22"/>
        </w:rPr>
      </w:pPr>
    </w:p>
    <w:p w14:paraId="203924B9" w14:textId="77777777" w:rsidR="009B5DE5" w:rsidRPr="009B5DE5" w:rsidRDefault="009B5DE5" w:rsidP="009B5DE5">
      <w:pPr>
        <w:spacing w:after="0"/>
        <w:jc w:val="left"/>
        <w:rPr>
          <w:rFonts w:eastAsia="Times New Roman" w:cs="Times New Roman"/>
          <w:bCs/>
          <w:sz w:val="22"/>
        </w:rPr>
      </w:pPr>
    </w:p>
    <w:p w14:paraId="4B4297FC" w14:textId="77777777" w:rsidR="009B5DE5" w:rsidRPr="009B5DE5" w:rsidRDefault="009B5DE5" w:rsidP="009B5DE5">
      <w:pPr>
        <w:spacing w:after="0"/>
        <w:jc w:val="left"/>
        <w:rPr>
          <w:rFonts w:eastAsia="Times New Roman" w:cs="Times New Roman"/>
          <w:bCs/>
          <w:sz w:val="22"/>
        </w:rPr>
      </w:pPr>
    </w:p>
    <w:p w14:paraId="54CD8306" w14:textId="77777777" w:rsidR="009B5DE5" w:rsidRPr="009B5DE5" w:rsidRDefault="009B5DE5" w:rsidP="009B5DE5">
      <w:pPr>
        <w:spacing w:after="0"/>
        <w:jc w:val="left"/>
        <w:rPr>
          <w:rFonts w:eastAsia="Times New Roman" w:cs="Times New Roman"/>
          <w:bCs/>
          <w:sz w:val="22"/>
        </w:rPr>
      </w:pPr>
    </w:p>
    <w:p w14:paraId="6B286D45" w14:textId="77777777" w:rsidR="009B5DE5" w:rsidRPr="009B5DE5" w:rsidRDefault="009B5DE5" w:rsidP="009B5DE5">
      <w:pPr>
        <w:spacing w:after="0"/>
        <w:jc w:val="left"/>
        <w:rPr>
          <w:rFonts w:eastAsia="Times New Roman" w:cs="Times New Roman"/>
          <w:bCs/>
          <w:sz w:val="22"/>
        </w:rPr>
      </w:pPr>
    </w:p>
    <w:p w14:paraId="08F4E615" w14:textId="77777777" w:rsidR="009B5DE5" w:rsidRPr="009B5DE5" w:rsidRDefault="009B5DE5" w:rsidP="009B5DE5">
      <w:pPr>
        <w:spacing w:after="0"/>
        <w:jc w:val="left"/>
        <w:rPr>
          <w:rFonts w:eastAsia="Times New Roman" w:cs="Times New Roman"/>
          <w:bCs/>
          <w:sz w:val="22"/>
        </w:rPr>
      </w:pPr>
    </w:p>
    <w:p w14:paraId="362B6A67" w14:textId="77777777" w:rsidR="009B5DE5" w:rsidRPr="009B5DE5" w:rsidRDefault="009B5DE5" w:rsidP="009B5DE5">
      <w:pPr>
        <w:spacing w:after="0"/>
        <w:jc w:val="left"/>
        <w:rPr>
          <w:rFonts w:eastAsia="Times New Roman" w:cs="Times New Roman"/>
          <w:bCs/>
          <w:sz w:val="22"/>
        </w:rPr>
      </w:pPr>
    </w:p>
    <w:p w14:paraId="3A9DC2CA" w14:textId="77777777" w:rsidR="009B5DE5" w:rsidRPr="009B5DE5" w:rsidRDefault="009B5DE5" w:rsidP="009B5DE5">
      <w:pPr>
        <w:spacing w:after="0"/>
        <w:jc w:val="left"/>
        <w:rPr>
          <w:rFonts w:eastAsia="Times New Roman" w:cs="Times New Roman"/>
          <w:bCs/>
          <w:sz w:val="22"/>
        </w:rPr>
      </w:pPr>
    </w:p>
    <w:p w14:paraId="5146A343" w14:textId="77777777" w:rsidR="009B5DE5" w:rsidRPr="009B5DE5" w:rsidRDefault="009B5DE5" w:rsidP="009B5DE5">
      <w:pPr>
        <w:spacing w:after="0"/>
        <w:jc w:val="left"/>
        <w:rPr>
          <w:rFonts w:eastAsia="Times New Roman" w:cs="Times New Roman"/>
          <w:bCs/>
          <w:sz w:val="22"/>
        </w:rPr>
      </w:pPr>
    </w:p>
    <w:p w14:paraId="1DF2200D" w14:textId="77777777" w:rsidR="009B5DE5" w:rsidRPr="009B5DE5" w:rsidRDefault="009B5DE5" w:rsidP="009B5DE5">
      <w:pPr>
        <w:spacing w:after="0"/>
        <w:jc w:val="left"/>
        <w:rPr>
          <w:rFonts w:eastAsia="Times New Roman" w:cs="Times New Roman"/>
          <w:bCs/>
          <w:sz w:val="22"/>
        </w:rPr>
      </w:pPr>
    </w:p>
    <w:p w14:paraId="6CC45CF9" w14:textId="77777777" w:rsidR="009B5DE5" w:rsidRPr="009B5DE5" w:rsidRDefault="009B5DE5" w:rsidP="009B5DE5">
      <w:pPr>
        <w:spacing w:after="0"/>
        <w:jc w:val="left"/>
        <w:rPr>
          <w:rFonts w:eastAsia="Times New Roman" w:cs="Times New Roman"/>
          <w:bCs/>
          <w:sz w:val="22"/>
        </w:rPr>
      </w:pPr>
      <w:r w:rsidRPr="009B5DE5">
        <w:rPr>
          <w:rFonts w:eastAsia="Times New Roman" w:cs="Times New Roman"/>
          <w:bCs/>
          <w:sz w:val="22"/>
        </w:rPr>
        <w:lastRenderedPageBreak/>
        <w:t>Табела 1c:  Кретања на тржишту рада</w:t>
      </w:r>
    </w:p>
    <w:p w14:paraId="442FBCE2" w14:textId="77777777" w:rsidR="009B5DE5" w:rsidRPr="009B5DE5" w:rsidRDefault="009B5DE5" w:rsidP="009B5DE5">
      <w:pPr>
        <w:spacing w:after="0"/>
        <w:jc w:val="left"/>
        <w:rPr>
          <w:rFonts w:eastAsia="Times New Roman" w:cs="Times New Roman"/>
          <w:bCs/>
          <w:sz w:val="22"/>
        </w:rPr>
      </w:pPr>
    </w:p>
    <w:tbl>
      <w:tblPr>
        <w:tblW w:w="14818" w:type="dxa"/>
        <w:tblLook w:val="04A0" w:firstRow="1" w:lastRow="0" w:firstColumn="1" w:lastColumn="0" w:noHBand="0" w:noVBand="1"/>
      </w:tblPr>
      <w:tblGrid>
        <w:gridCol w:w="6858"/>
        <w:gridCol w:w="1136"/>
        <w:gridCol w:w="1137"/>
        <w:gridCol w:w="1137"/>
        <w:gridCol w:w="1137"/>
        <w:gridCol w:w="1137"/>
        <w:gridCol w:w="1137"/>
        <w:gridCol w:w="1139"/>
      </w:tblGrid>
      <w:tr w:rsidR="009B5DE5" w:rsidRPr="009B5DE5" w14:paraId="55982952" w14:textId="77777777" w:rsidTr="00396800">
        <w:trPr>
          <w:trHeight w:val="429"/>
        </w:trPr>
        <w:tc>
          <w:tcPr>
            <w:tcW w:w="6858" w:type="dxa"/>
            <w:vMerge w:val="restart"/>
            <w:tcBorders>
              <w:top w:val="double" w:sz="6" w:space="0" w:color="auto"/>
              <w:left w:val="double" w:sz="6" w:space="0" w:color="auto"/>
              <w:bottom w:val="nil"/>
              <w:right w:val="nil"/>
            </w:tcBorders>
            <w:shd w:val="clear" w:color="000000" w:fill="FFFFFF"/>
            <w:vAlign w:val="center"/>
            <w:hideMark/>
          </w:tcPr>
          <w:p w14:paraId="766E10D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 </w:t>
            </w:r>
          </w:p>
        </w:tc>
        <w:tc>
          <w:tcPr>
            <w:tcW w:w="1136" w:type="dxa"/>
            <w:tcBorders>
              <w:top w:val="double" w:sz="6" w:space="0" w:color="auto"/>
              <w:left w:val="single" w:sz="4" w:space="0" w:color="auto"/>
              <w:bottom w:val="nil"/>
              <w:right w:val="single" w:sz="4" w:space="0" w:color="auto"/>
            </w:tcBorders>
            <w:shd w:val="clear" w:color="000000" w:fill="FFFFFF"/>
            <w:vAlign w:val="center"/>
            <w:hideMark/>
          </w:tcPr>
          <w:p w14:paraId="77886FFA"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ESA</w:t>
            </w:r>
          </w:p>
        </w:tc>
        <w:tc>
          <w:tcPr>
            <w:tcW w:w="1137" w:type="dxa"/>
            <w:tcBorders>
              <w:top w:val="double" w:sz="6" w:space="0" w:color="auto"/>
              <w:left w:val="nil"/>
              <w:bottom w:val="nil"/>
              <w:right w:val="single" w:sz="4" w:space="0" w:color="auto"/>
            </w:tcBorders>
            <w:shd w:val="clear" w:color="000000" w:fill="FFFFFF"/>
            <w:vAlign w:val="center"/>
            <w:hideMark/>
          </w:tcPr>
          <w:p w14:paraId="483CB77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Година</w:t>
            </w:r>
          </w:p>
        </w:tc>
        <w:tc>
          <w:tcPr>
            <w:tcW w:w="1137" w:type="dxa"/>
            <w:tcBorders>
              <w:top w:val="double" w:sz="6" w:space="0" w:color="auto"/>
              <w:left w:val="nil"/>
              <w:bottom w:val="nil"/>
              <w:right w:val="dotted" w:sz="4" w:space="0" w:color="auto"/>
            </w:tcBorders>
            <w:shd w:val="clear" w:color="000000" w:fill="FFFFFF"/>
            <w:vAlign w:val="center"/>
            <w:hideMark/>
          </w:tcPr>
          <w:p w14:paraId="5C5639FF"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Година</w:t>
            </w:r>
          </w:p>
        </w:tc>
        <w:tc>
          <w:tcPr>
            <w:tcW w:w="1137" w:type="dxa"/>
            <w:tcBorders>
              <w:top w:val="double" w:sz="6" w:space="0" w:color="auto"/>
              <w:left w:val="nil"/>
              <w:bottom w:val="nil"/>
              <w:right w:val="dotted" w:sz="4" w:space="0" w:color="auto"/>
            </w:tcBorders>
            <w:shd w:val="clear" w:color="000000" w:fill="FFFFFF"/>
            <w:vAlign w:val="center"/>
            <w:hideMark/>
          </w:tcPr>
          <w:p w14:paraId="72FBE49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Година</w:t>
            </w:r>
          </w:p>
        </w:tc>
        <w:tc>
          <w:tcPr>
            <w:tcW w:w="1137" w:type="dxa"/>
            <w:tcBorders>
              <w:top w:val="double" w:sz="6" w:space="0" w:color="auto"/>
              <w:left w:val="nil"/>
              <w:bottom w:val="nil"/>
              <w:right w:val="dotted" w:sz="4" w:space="0" w:color="auto"/>
            </w:tcBorders>
            <w:shd w:val="clear" w:color="000000" w:fill="FFFFFF"/>
            <w:vAlign w:val="center"/>
            <w:hideMark/>
          </w:tcPr>
          <w:p w14:paraId="447C955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Година</w:t>
            </w:r>
          </w:p>
        </w:tc>
        <w:tc>
          <w:tcPr>
            <w:tcW w:w="1137" w:type="dxa"/>
            <w:tcBorders>
              <w:top w:val="double" w:sz="6" w:space="0" w:color="auto"/>
              <w:left w:val="nil"/>
              <w:bottom w:val="nil"/>
              <w:right w:val="dotted" w:sz="4" w:space="0" w:color="auto"/>
            </w:tcBorders>
            <w:shd w:val="clear" w:color="000000" w:fill="FFFFFF"/>
            <w:vAlign w:val="center"/>
            <w:hideMark/>
          </w:tcPr>
          <w:p w14:paraId="7A79545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Година</w:t>
            </w:r>
          </w:p>
        </w:tc>
        <w:tc>
          <w:tcPr>
            <w:tcW w:w="1137" w:type="dxa"/>
            <w:tcBorders>
              <w:top w:val="double" w:sz="6" w:space="0" w:color="auto"/>
              <w:left w:val="nil"/>
              <w:bottom w:val="nil"/>
              <w:right w:val="double" w:sz="6" w:space="0" w:color="auto"/>
            </w:tcBorders>
            <w:shd w:val="clear" w:color="000000" w:fill="FFFFFF"/>
            <w:vAlign w:val="center"/>
            <w:hideMark/>
          </w:tcPr>
          <w:p w14:paraId="1BA64B0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Година</w:t>
            </w:r>
          </w:p>
        </w:tc>
      </w:tr>
      <w:tr w:rsidR="009B5DE5" w:rsidRPr="009B5DE5" w14:paraId="18C94024" w14:textId="77777777" w:rsidTr="00396800">
        <w:trPr>
          <w:trHeight w:val="410"/>
        </w:trPr>
        <w:tc>
          <w:tcPr>
            <w:tcW w:w="6858" w:type="dxa"/>
            <w:vMerge/>
            <w:tcBorders>
              <w:top w:val="double" w:sz="6" w:space="0" w:color="auto"/>
              <w:left w:val="double" w:sz="6" w:space="0" w:color="auto"/>
              <w:bottom w:val="nil"/>
              <w:right w:val="nil"/>
            </w:tcBorders>
            <w:vAlign w:val="center"/>
            <w:hideMark/>
          </w:tcPr>
          <w:p w14:paraId="49762553" w14:textId="77777777" w:rsidR="009B5DE5" w:rsidRPr="009B5DE5" w:rsidRDefault="009B5DE5" w:rsidP="009B5DE5">
            <w:pPr>
              <w:spacing w:after="0"/>
              <w:jc w:val="left"/>
              <w:rPr>
                <w:rFonts w:eastAsia="Times New Roman" w:cs="Times New Roman"/>
                <w:szCs w:val="24"/>
              </w:rPr>
            </w:pPr>
          </w:p>
        </w:tc>
        <w:tc>
          <w:tcPr>
            <w:tcW w:w="1136" w:type="dxa"/>
            <w:tcBorders>
              <w:top w:val="nil"/>
              <w:left w:val="single" w:sz="4" w:space="0" w:color="auto"/>
              <w:bottom w:val="nil"/>
              <w:right w:val="single" w:sz="4" w:space="0" w:color="auto"/>
            </w:tcBorders>
            <w:shd w:val="clear" w:color="000000" w:fill="FFFFFF"/>
            <w:vAlign w:val="center"/>
            <w:hideMark/>
          </w:tcPr>
          <w:p w14:paraId="5482C8A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шифра</w:t>
            </w:r>
          </w:p>
        </w:tc>
        <w:tc>
          <w:tcPr>
            <w:tcW w:w="1137" w:type="dxa"/>
            <w:tcBorders>
              <w:top w:val="nil"/>
              <w:left w:val="nil"/>
              <w:bottom w:val="dotted" w:sz="4" w:space="0" w:color="auto"/>
              <w:right w:val="single" w:sz="4" w:space="0" w:color="auto"/>
            </w:tcBorders>
            <w:shd w:val="clear" w:color="000000" w:fill="FFFFFF"/>
            <w:vAlign w:val="center"/>
            <w:hideMark/>
          </w:tcPr>
          <w:p w14:paraId="38579C6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2023</w:t>
            </w:r>
          </w:p>
        </w:tc>
        <w:tc>
          <w:tcPr>
            <w:tcW w:w="1137" w:type="dxa"/>
            <w:tcBorders>
              <w:top w:val="nil"/>
              <w:left w:val="nil"/>
              <w:bottom w:val="dotted" w:sz="4" w:space="0" w:color="auto"/>
              <w:right w:val="dotted" w:sz="4" w:space="0" w:color="auto"/>
            </w:tcBorders>
            <w:shd w:val="clear" w:color="000000" w:fill="FFFFFF"/>
            <w:vAlign w:val="center"/>
            <w:hideMark/>
          </w:tcPr>
          <w:p w14:paraId="14182C6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2023</w:t>
            </w:r>
          </w:p>
        </w:tc>
        <w:tc>
          <w:tcPr>
            <w:tcW w:w="1137" w:type="dxa"/>
            <w:tcBorders>
              <w:top w:val="nil"/>
              <w:left w:val="nil"/>
              <w:bottom w:val="dotted" w:sz="4" w:space="0" w:color="auto"/>
              <w:right w:val="dotted" w:sz="4" w:space="0" w:color="auto"/>
            </w:tcBorders>
            <w:shd w:val="clear" w:color="000000" w:fill="FFFFFF"/>
            <w:vAlign w:val="center"/>
            <w:hideMark/>
          </w:tcPr>
          <w:p w14:paraId="7E6C577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2024</w:t>
            </w:r>
          </w:p>
        </w:tc>
        <w:tc>
          <w:tcPr>
            <w:tcW w:w="1137" w:type="dxa"/>
            <w:tcBorders>
              <w:top w:val="nil"/>
              <w:left w:val="nil"/>
              <w:bottom w:val="dotted" w:sz="4" w:space="0" w:color="auto"/>
              <w:right w:val="dotted" w:sz="4" w:space="0" w:color="auto"/>
            </w:tcBorders>
            <w:shd w:val="clear" w:color="000000" w:fill="FFFFFF"/>
            <w:vAlign w:val="center"/>
            <w:hideMark/>
          </w:tcPr>
          <w:p w14:paraId="1D64473A"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2025</w:t>
            </w:r>
          </w:p>
        </w:tc>
        <w:tc>
          <w:tcPr>
            <w:tcW w:w="1137" w:type="dxa"/>
            <w:tcBorders>
              <w:top w:val="nil"/>
              <w:left w:val="nil"/>
              <w:bottom w:val="dotted" w:sz="4" w:space="0" w:color="auto"/>
              <w:right w:val="dotted" w:sz="4" w:space="0" w:color="auto"/>
            </w:tcBorders>
            <w:shd w:val="clear" w:color="000000" w:fill="FFFFFF"/>
            <w:vAlign w:val="center"/>
            <w:hideMark/>
          </w:tcPr>
          <w:p w14:paraId="2B0D2B3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2026</w:t>
            </w:r>
          </w:p>
        </w:tc>
        <w:tc>
          <w:tcPr>
            <w:tcW w:w="1137" w:type="dxa"/>
            <w:tcBorders>
              <w:top w:val="nil"/>
              <w:left w:val="nil"/>
              <w:bottom w:val="dotted" w:sz="4" w:space="0" w:color="auto"/>
              <w:right w:val="double" w:sz="6" w:space="0" w:color="auto"/>
            </w:tcBorders>
            <w:shd w:val="clear" w:color="000000" w:fill="FFFFFF"/>
            <w:vAlign w:val="center"/>
            <w:hideMark/>
          </w:tcPr>
          <w:p w14:paraId="333F270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2027</w:t>
            </w:r>
          </w:p>
        </w:tc>
      </w:tr>
      <w:tr w:rsidR="009B5DE5" w:rsidRPr="009B5DE5" w14:paraId="126D641D" w14:textId="77777777" w:rsidTr="00396800">
        <w:trPr>
          <w:trHeight w:val="508"/>
        </w:trPr>
        <w:tc>
          <w:tcPr>
            <w:tcW w:w="6858" w:type="dxa"/>
            <w:tcBorders>
              <w:top w:val="nil"/>
              <w:left w:val="double" w:sz="6" w:space="0" w:color="auto"/>
              <w:bottom w:val="single" w:sz="8" w:space="0" w:color="auto"/>
              <w:right w:val="nil"/>
            </w:tcBorders>
            <w:shd w:val="clear" w:color="000000" w:fill="FFFFFF"/>
            <w:vAlign w:val="center"/>
            <w:hideMark/>
          </w:tcPr>
          <w:p w14:paraId="7BAE5D92"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 </w:t>
            </w:r>
          </w:p>
        </w:tc>
        <w:tc>
          <w:tcPr>
            <w:tcW w:w="1136" w:type="dxa"/>
            <w:tcBorders>
              <w:top w:val="nil"/>
              <w:left w:val="single" w:sz="4" w:space="0" w:color="auto"/>
              <w:bottom w:val="single" w:sz="8" w:space="0" w:color="auto"/>
              <w:right w:val="single" w:sz="4" w:space="0" w:color="auto"/>
            </w:tcBorders>
            <w:shd w:val="clear" w:color="000000" w:fill="FFFFFF"/>
            <w:vAlign w:val="center"/>
            <w:hideMark/>
          </w:tcPr>
          <w:p w14:paraId="6B48A89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 </w:t>
            </w:r>
          </w:p>
        </w:tc>
        <w:tc>
          <w:tcPr>
            <w:tcW w:w="1137" w:type="dxa"/>
            <w:tcBorders>
              <w:top w:val="nil"/>
              <w:left w:val="nil"/>
              <w:bottom w:val="single" w:sz="8" w:space="0" w:color="auto"/>
              <w:right w:val="single" w:sz="4" w:space="0" w:color="auto"/>
            </w:tcBorders>
            <w:shd w:val="clear" w:color="000000" w:fill="FFFFFF"/>
            <w:vAlign w:val="center"/>
            <w:hideMark/>
          </w:tcPr>
          <w:p w14:paraId="5D78A11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Ниво</w:t>
            </w:r>
          </w:p>
        </w:tc>
        <w:tc>
          <w:tcPr>
            <w:tcW w:w="5687" w:type="dxa"/>
            <w:gridSpan w:val="5"/>
            <w:tcBorders>
              <w:top w:val="dotted" w:sz="4" w:space="0" w:color="auto"/>
              <w:left w:val="nil"/>
              <w:bottom w:val="single" w:sz="8" w:space="0" w:color="auto"/>
              <w:right w:val="double" w:sz="6" w:space="0" w:color="000000"/>
            </w:tcBorders>
            <w:shd w:val="clear" w:color="000000" w:fill="FFFFFF"/>
            <w:vAlign w:val="center"/>
            <w:hideMark/>
          </w:tcPr>
          <w:p w14:paraId="77C9C3E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Ниво/Стопа промене</w:t>
            </w:r>
          </w:p>
        </w:tc>
      </w:tr>
      <w:tr w:rsidR="009B5DE5" w:rsidRPr="009B5DE5" w14:paraId="2915ED19" w14:textId="77777777" w:rsidTr="00396800">
        <w:trPr>
          <w:trHeight w:val="390"/>
        </w:trPr>
        <w:tc>
          <w:tcPr>
            <w:tcW w:w="6858" w:type="dxa"/>
            <w:tcBorders>
              <w:top w:val="nil"/>
              <w:left w:val="double" w:sz="6" w:space="0" w:color="auto"/>
              <w:bottom w:val="dotted" w:sz="4" w:space="0" w:color="auto"/>
              <w:right w:val="nil"/>
            </w:tcBorders>
            <w:shd w:val="clear" w:color="000000" w:fill="FFFFFF"/>
            <w:hideMark/>
          </w:tcPr>
          <w:p w14:paraId="09A6754B" w14:textId="77777777" w:rsidR="009B5DE5" w:rsidRPr="009B5DE5" w:rsidRDefault="009B5DE5" w:rsidP="009B5DE5">
            <w:pPr>
              <w:spacing w:after="0"/>
              <w:jc w:val="left"/>
              <w:rPr>
                <w:rFonts w:eastAsia="Times New Roman" w:cs="Times New Roman"/>
                <w:sz w:val="20"/>
                <w:szCs w:val="20"/>
              </w:rPr>
            </w:pPr>
            <w:bookmarkStart w:id="37" w:name="RANGE!B7"/>
            <w:r w:rsidRPr="009B5DE5">
              <w:rPr>
                <w:rFonts w:eastAsia="Times New Roman" w:cs="Times New Roman"/>
                <w:sz w:val="20"/>
                <w:szCs w:val="20"/>
              </w:rPr>
              <w:t>1. Становништво (у хиљадама)</w:t>
            </w:r>
            <w:bookmarkEnd w:id="37"/>
          </w:p>
        </w:tc>
        <w:tc>
          <w:tcPr>
            <w:tcW w:w="1136" w:type="dxa"/>
            <w:tcBorders>
              <w:top w:val="nil"/>
              <w:left w:val="single" w:sz="4" w:space="0" w:color="auto"/>
              <w:bottom w:val="dotted" w:sz="4" w:space="0" w:color="auto"/>
              <w:right w:val="single" w:sz="4" w:space="0" w:color="auto"/>
            </w:tcBorders>
            <w:shd w:val="clear" w:color="000000" w:fill="FFFFFF"/>
            <w:hideMark/>
          </w:tcPr>
          <w:p w14:paraId="51EE8008"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137" w:type="dxa"/>
            <w:tcBorders>
              <w:top w:val="nil"/>
              <w:left w:val="nil"/>
              <w:bottom w:val="dotted" w:sz="4" w:space="0" w:color="auto"/>
              <w:right w:val="single" w:sz="4" w:space="0" w:color="auto"/>
            </w:tcBorders>
            <w:shd w:val="clear" w:color="000000" w:fill="FFFFFF"/>
            <w:hideMark/>
          </w:tcPr>
          <w:p w14:paraId="45B29F2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37" w:type="dxa"/>
            <w:tcBorders>
              <w:top w:val="nil"/>
              <w:left w:val="nil"/>
              <w:bottom w:val="dotted" w:sz="4" w:space="0" w:color="auto"/>
              <w:right w:val="dotted" w:sz="4" w:space="0" w:color="auto"/>
            </w:tcBorders>
            <w:shd w:val="clear" w:color="auto" w:fill="auto"/>
            <w:noWrap/>
            <w:vAlign w:val="center"/>
            <w:hideMark/>
          </w:tcPr>
          <w:p w14:paraId="70916D3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6.622</w:t>
            </w:r>
          </w:p>
        </w:tc>
        <w:tc>
          <w:tcPr>
            <w:tcW w:w="1137" w:type="dxa"/>
            <w:tcBorders>
              <w:top w:val="nil"/>
              <w:left w:val="nil"/>
              <w:bottom w:val="dotted" w:sz="4" w:space="0" w:color="auto"/>
              <w:right w:val="dotted" w:sz="4" w:space="0" w:color="auto"/>
            </w:tcBorders>
            <w:shd w:val="clear" w:color="auto" w:fill="auto"/>
            <w:noWrap/>
            <w:vAlign w:val="center"/>
            <w:hideMark/>
          </w:tcPr>
          <w:p w14:paraId="1618D2F2"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6.580</w:t>
            </w:r>
          </w:p>
        </w:tc>
        <w:tc>
          <w:tcPr>
            <w:tcW w:w="1137" w:type="dxa"/>
            <w:tcBorders>
              <w:top w:val="nil"/>
              <w:left w:val="nil"/>
              <w:bottom w:val="dotted" w:sz="4" w:space="0" w:color="auto"/>
              <w:right w:val="dotted" w:sz="4" w:space="0" w:color="auto"/>
            </w:tcBorders>
            <w:shd w:val="clear" w:color="auto" w:fill="auto"/>
            <w:noWrap/>
            <w:vAlign w:val="center"/>
            <w:hideMark/>
          </w:tcPr>
          <w:p w14:paraId="51614549"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6.538</w:t>
            </w:r>
          </w:p>
        </w:tc>
        <w:tc>
          <w:tcPr>
            <w:tcW w:w="1137" w:type="dxa"/>
            <w:tcBorders>
              <w:top w:val="nil"/>
              <w:left w:val="nil"/>
              <w:bottom w:val="dotted" w:sz="4" w:space="0" w:color="auto"/>
              <w:right w:val="dotted" w:sz="4" w:space="0" w:color="auto"/>
            </w:tcBorders>
            <w:shd w:val="clear" w:color="auto" w:fill="auto"/>
            <w:noWrap/>
            <w:vAlign w:val="center"/>
            <w:hideMark/>
          </w:tcPr>
          <w:p w14:paraId="1BABE447"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6.498</w:t>
            </w:r>
          </w:p>
        </w:tc>
        <w:tc>
          <w:tcPr>
            <w:tcW w:w="1137" w:type="dxa"/>
            <w:tcBorders>
              <w:top w:val="nil"/>
              <w:left w:val="nil"/>
              <w:bottom w:val="dotted" w:sz="4" w:space="0" w:color="auto"/>
              <w:right w:val="double" w:sz="6" w:space="0" w:color="auto"/>
            </w:tcBorders>
            <w:shd w:val="clear" w:color="auto" w:fill="auto"/>
            <w:noWrap/>
            <w:vAlign w:val="center"/>
            <w:hideMark/>
          </w:tcPr>
          <w:p w14:paraId="2C613AB5"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6.459</w:t>
            </w:r>
          </w:p>
        </w:tc>
      </w:tr>
      <w:tr w:rsidR="009B5DE5" w:rsidRPr="009B5DE5" w14:paraId="4D6CE27F" w14:textId="77777777" w:rsidTr="00396800">
        <w:trPr>
          <w:trHeight w:val="390"/>
        </w:trPr>
        <w:tc>
          <w:tcPr>
            <w:tcW w:w="6858" w:type="dxa"/>
            <w:tcBorders>
              <w:top w:val="nil"/>
              <w:left w:val="double" w:sz="6" w:space="0" w:color="auto"/>
              <w:bottom w:val="dotted" w:sz="4" w:space="0" w:color="auto"/>
              <w:right w:val="nil"/>
            </w:tcBorders>
            <w:shd w:val="clear" w:color="000000" w:fill="FFFFFF"/>
            <w:hideMark/>
          </w:tcPr>
          <w:p w14:paraId="4935AC87" w14:textId="77777777" w:rsidR="009B5DE5" w:rsidRPr="009B5DE5" w:rsidRDefault="009B5DE5" w:rsidP="009B5DE5">
            <w:pPr>
              <w:spacing w:after="0"/>
              <w:jc w:val="left"/>
              <w:rPr>
                <w:rFonts w:eastAsia="Times New Roman" w:cs="Times New Roman"/>
                <w:sz w:val="20"/>
                <w:szCs w:val="20"/>
              </w:rPr>
            </w:pPr>
            <w:bookmarkStart w:id="38" w:name="RANGE!B8"/>
            <w:r w:rsidRPr="009B5DE5">
              <w:rPr>
                <w:rFonts w:eastAsia="Times New Roman" w:cs="Times New Roman"/>
                <w:sz w:val="20"/>
                <w:szCs w:val="20"/>
              </w:rPr>
              <w:t>2. Становништво (стопа раста у %)</w:t>
            </w:r>
            <w:bookmarkEnd w:id="38"/>
          </w:p>
        </w:tc>
        <w:tc>
          <w:tcPr>
            <w:tcW w:w="1136" w:type="dxa"/>
            <w:tcBorders>
              <w:top w:val="nil"/>
              <w:left w:val="single" w:sz="4" w:space="0" w:color="auto"/>
              <w:bottom w:val="dotted" w:sz="4" w:space="0" w:color="auto"/>
              <w:right w:val="single" w:sz="4" w:space="0" w:color="auto"/>
            </w:tcBorders>
            <w:shd w:val="clear" w:color="000000" w:fill="FFFFFF"/>
            <w:hideMark/>
          </w:tcPr>
          <w:p w14:paraId="2B2885B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37" w:type="dxa"/>
            <w:tcBorders>
              <w:top w:val="nil"/>
              <w:left w:val="nil"/>
              <w:bottom w:val="dotted" w:sz="4" w:space="0" w:color="auto"/>
              <w:right w:val="single" w:sz="4" w:space="0" w:color="auto"/>
            </w:tcBorders>
            <w:shd w:val="clear" w:color="000000" w:fill="FFFFFF"/>
            <w:hideMark/>
          </w:tcPr>
          <w:p w14:paraId="4C9EB30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37" w:type="dxa"/>
            <w:tcBorders>
              <w:top w:val="nil"/>
              <w:left w:val="nil"/>
              <w:bottom w:val="dotted" w:sz="4" w:space="0" w:color="auto"/>
              <w:right w:val="dotted" w:sz="4" w:space="0" w:color="auto"/>
            </w:tcBorders>
            <w:shd w:val="clear" w:color="auto" w:fill="auto"/>
            <w:noWrap/>
            <w:vAlign w:val="center"/>
            <w:hideMark/>
          </w:tcPr>
          <w:p w14:paraId="7F47869B"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-0,6</w:t>
            </w:r>
          </w:p>
        </w:tc>
        <w:tc>
          <w:tcPr>
            <w:tcW w:w="1137" w:type="dxa"/>
            <w:tcBorders>
              <w:top w:val="nil"/>
              <w:left w:val="nil"/>
              <w:bottom w:val="dotted" w:sz="4" w:space="0" w:color="auto"/>
              <w:right w:val="dotted" w:sz="4" w:space="0" w:color="auto"/>
            </w:tcBorders>
            <w:shd w:val="clear" w:color="auto" w:fill="auto"/>
            <w:noWrap/>
            <w:vAlign w:val="center"/>
            <w:hideMark/>
          </w:tcPr>
          <w:p w14:paraId="7603F1CD"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-0,6</w:t>
            </w:r>
          </w:p>
        </w:tc>
        <w:tc>
          <w:tcPr>
            <w:tcW w:w="1137" w:type="dxa"/>
            <w:tcBorders>
              <w:top w:val="nil"/>
              <w:left w:val="nil"/>
              <w:bottom w:val="dotted" w:sz="4" w:space="0" w:color="auto"/>
              <w:right w:val="dotted" w:sz="4" w:space="0" w:color="auto"/>
            </w:tcBorders>
            <w:shd w:val="clear" w:color="auto" w:fill="auto"/>
            <w:noWrap/>
            <w:vAlign w:val="center"/>
            <w:hideMark/>
          </w:tcPr>
          <w:p w14:paraId="10602B4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-0,6</w:t>
            </w:r>
          </w:p>
        </w:tc>
        <w:tc>
          <w:tcPr>
            <w:tcW w:w="1137" w:type="dxa"/>
            <w:tcBorders>
              <w:top w:val="nil"/>
              <w:left w:val="nil"/>
              <w:bottom w:val="dotted" w:sz="4" w:space="0" w:color="auto"/>
              <w:right w:val="dotted" w:sz="4" w:space="0" w:color="auto"/>
            </w:tcBorders>
            <w:shd w:val="clear" w:color="auto" w:fill="auto"/>
            <w:noWrap/>
            <w:vAlign w:val="center"/>
            <w:hideMark/>
          </w:tcPr>
          <w:p w14:paraId="5469FD1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-0,6</w:t>
            </w:r>
          </w:p>
        </w:tc>
        <w:tc>
          <w:tcPr>
            <w:tcW w:w="1137" w:type="dxa"/>
            <w:tcBorders>
              <w:top w:val="nil"/>
              <w:left w:val="nil"/>
              <w:bottom w:val="dotted" w:sz="4" w:space="0" w:color="auto"/>
              <w:right w:val="double" w:sz="6" w:space="0" w:color="auto"/>
            </w:tcBorders>
            <w:shd w:val="clear" w:color="auto" w:fill="auto"/>
            <w:noWrap/>
            <w:vAlign w:val="center"/>
            <w:hideMark/>
          </w:tcPr>
          <w:p w14:paraId="0120411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-0,6</w:t>
            </w:r>
          </w:p>
        </w:tc>
      </w:tr>
      <w:bookmarkStart w:id="39" w:name="RANGE!B9"/>
      <w:tr w:rsidR="009B5DE5" w:rsidRPr="009B5DE5" w14:paraId="58732371" w14:textId="77777777" w:rsidTr="00396800">
        <w:trPr>
          <w:trHeight w:val="390"/>
        </w:trPr>
        <w:tc>
          <w:tcPr>
            <w:tcW w:w="6858" w:type="dxa"/>
            <w:tcBorders>
              <w:top w:val="nil"/>
              <w:left w:val="double" w:sz="6" w:space="0" w:color="auto"/>
              <w:bottom w:val="dotted" w:sz="4" w:space="0" w:color="auto"/>
              <w:right w:val="nil"/>
            </w:tcBorders>
            <w:shd w:val="clear" w:color="000000" w:fill="FFFFFF"/>
            <w:hideMark/>
          </w:tcPr>
          <w:p w14:paraId="6539FA40"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fldChar w:fldCharType="begin"/>
            </w:r>
            <w:r w:rsidRPr="009B5DE5">
              <w:rPr>
                <w:rFonts w:eastAsia="Times New Roman" w:cs="Times New Roman"/>
                <w:sz w:val="20"/>
                <w:szCs w:val="20"/>
              </w:rPr>
              <w:instrText xml:space="preserve"> HYPERLINK "file:///C:\\Users\\ognjen.jancic\\Dropbox\\Dropbox\\Makro%20sektor\\7.2.%20ERP%202025-2027\\tabele\\табеле%20ворд\\2025_ERP_Annex_tables_RS_srpski%20za%20word.xlsx" \l "RANGE!B21" </w:instrText>
            </w:r>
            <w:r w:rsidRPr="009B5DE5">
              <w:rPr>
                <w:rFonts w:eastAsia="Times New Roman" w:cs="Times New Roman"/>
                <w:sz w:val="20"/>
                <w:szCs w:val="20"/>
              </w:rPr>
              <w:fldChar w:fldCharType="separate"/>
            </w:r>
            <w:r w:rsidRPr="009B5DE5">
              <w:rPr>
                <w:rFonts w:eastAsia="Times New Roman" w:cs="Times New Roman"/>
                <w:sz w:val="20"/>
                <w:szCs w:val="20"/>
              </w:rPr>
              <w:t>3. Становништво радног узраста (број лица) [1]</w:t>
            </w:r>
            <w:r w:rsidRPr="009B5DE5">
              <w:rPr>
                <w:rFonts w:eastAsia="Times New Roman" w:cs="Times New Roman"/>
                <w:sz w:val="20"/>
                <w:szCs w:val="20"/>
              </w:rPr>
              <w:fldChar w:fldCharType="end"/>
            </w:r>
            <w:bookmarkEnd w:id="39"/>
          </w:p>
        </w:tc>
        <w:tc>
          <w:tcPr>
            <w:tcW w:w="1136" w:type="dxa"/>
            <w:tcBorders>
              <w:top w:val="nil"/>
              <w:left w:val="single" w:sz="4" w:space="0" w:color="auto"/>
              <w:bottom w:val="dotted" w:sz="4" w:space="0" w:color="auto"/>
              <w:right w:val="single" w:sz="4" w:space="0" w:color="auto"/>
            </w:tcBorders>
            <w:shd w:val="clear" w:color="000000" w:fill="FFFFFF"/>
            <w:hideMark/>
          </w:tcPr>
          <w:p w14:paraId="7C4265E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37" w:type="dxa"/>
            <w:tcBorders>
              <w:top w:val="nil"/>
              <w:left w:val="nil"/>
              <w:bottom w:val="dotted" w:sz="4" w:space="0" w:color="auto"/>
              <w:right w:val="single" w:sz="4" w:space="0" w:color="auto"/>
            </w:tcBorders>
            <w:shd w:val="clear" w:color="000000" w:fill="FFFFFF"/>
            <w:hideMark/>
          </w:tcPr>
          <w:p w14:paraId="1A4D3EE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37" w:type="dxa"/>
            <w:tcBorders>
              <w:top w:val="nil"/>
              <w:left w:val="nil"/>
              <w:bottom w:val="dotted" w:sz="4" w:space="0" w:color="auto"/>
              <w:right w:val="dotted" w:sz="4" w:space="0" w:color="auto"/>
            </w:tcBorders>
            <w:shd w:val="clear" w:color="auto" w:fill="auto"/>
            <w:noWrap/>
            <w:vAlign w:val="center"/>
            <w:hideMark/>
          </w:tcPr>
          <w:p w14:paraId="20728C2B"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4.189</w:t>
            </w:r>
          </w:p>
        </w:tc>
        <w:tc>
          <w:tcPr>
            <w:tcW w:w="1137" w:type="dxa"/>
            <w:tcBorders>
              <w:top w:val="nil"/>
              <w:left w:val="nil"/>
              <w:bottom w:val="dotted" w:sz="4" w:space="0" w:color="auto"/>
              <w:right w:val="dotted" w:sz="4" w:space="0" w:color="auto"/>
            </w:tcBorders>
            <w:shd w:val="clear" w:color="auto" w:fill="auto"/>
            <w:noWrap/>
            <w:vAlign w:val="center"/>
            <w:hideMark/>
          </w:tcPr>
          <w:p w14:paraId="6578113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4.191</w:t>
            </w:r>
          </w:p>
        </w:tc>
        <w:tc>
          <w:tcPr>
            <w:tcW w:w="1137" w:type="dxa"/>
            <w:tcBorders>
              <w:top w:val="nil"/>
              <w:left w:val="nil"/>
              <w:bottom w:val="dotted" w:sz="4" w:space="0" w:color="auto"/>
              <w:right w:val="dotted" w:sz="4" w:space="0" w:color="auto"/>
            </w:tcBorders>
            <w:shd w:val="clear" w:color="auto" w:fill="auto"/>
            <w:noWrap/>
            <w:vAlign w:val="center"/>
            <w:hideMark/>
          </w:tcPr>
          <w:p w14:paraId="4A38F1F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4.193</w:t>
            </w:r>
          </w:p>
        </w:tc>
        <w:tc>
          <w:tcPr>
            <w:tcW w:w="1137" w:type="dxa"/>
            <w:tcBorders>
              <w:top w:val="nil"/>
              <w:left w:val="nil"/>
              <w:bottom w:val="dotted" w:sz="4" w:space="0" w:color="auto"/>
              <w:right w:val="dotted" w:sz="4" w:space="0" w:color="auto"/>
            </w:tcBorders>
            <w:shd w:val="clear" w:color="auto" w:fill="auto"/>
            <w:noWrap/>
            <w:vAlign w:val="center"/>
            <w:hideMark/>
          </w:tcPr>
          <w:p w14:paraId="05A6CD00"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4.185</w:t>
            </w:r>
          </w:p>
        </w:tc>
        <w:tc>
          <w:tcPr>
            <w:tcW w:w="1137" w:type="dxa"/>
            <w:tcBorders>
              <w:top w:val="nil"/>
              <w:left w:val="nil"/>
              <w:bottom w:val="dotted" w:sz="4" w:space="0" w:color="auto"/>
              <w:right w:val="double" w:sz="6" w:space="0" w:color="auto"/>
            </w:tcBorders>
            <w:shd w:val="clear" w:color="auto" w:fill="auto"/>
            <w:noWrap/>
            <w:vAlign w:val="center"/>
            <w:hideMark/>
          </w:tcPr>
          <w:p w14:paraId="6B1324A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4.182</w:t>
            </w:r>
          </w:p>
        </w:tc>
      </w:tr>
      <w:tr w:rsidR="009B5DE5" w:rsidRPr="009B5DE5" w14:paraId="256C3CBE" w14:textId="77777777" w:rsidTr="00396800">
        <w:trPr>
          <w:trHeight w:val="390"/>
        </w:trPr>
        <w:tc>
          <w:tcPr>
            <w:tcW w:w="6858" w:type="dxa"/>
            <w:tcBorders>
              <w:top w:val="nil"/>
              <w:left w:val="double" w:sz="6" w:space="0" w:color="auto"/>
              <w:bottom w:val="dotted" w:sz="4" w:space="0" w:color="auto"/>
              <w:right w:val="nil"/>
            </w:tcBorders>
            <w:shd w:val="clear" w:color="000000" w:fill="FFFFFF"/>
            <w:hideMark/>
          </w:tcPr>
          <w:p w14:paraId="5423862F" w14:textId="77777777" w:rsidR="009B5DE5" w:rsidRPr="009B5DE5" w:rsidRDefault="009B5DE5" w:rsidP="009B5DE5">
            <w:pPr>
              <w:spacing w:after="0"/>
              <w:jc w:val="left"/>
              <w:rPr>
                <w:rFonts w:eastAsia="Times New Roman" w:cs="Times New Roman"/>
                <w:sz w:val="20"/>
                <w:szCs w:val="20"/>
              </w:rPr>
            </w:pPr>
            <w:bookmarkStart w:id="40" w:name="RANGE!B10"/>
            <w:r w:rsidRPr="009B5DE5">
              <w:rPr>
                <w:rFonts w:eastAsia="Times New Roman" w:cs="Times New Roman"/>
                <w:sz w:val="20"/>
                <w:szCs w:val="20"/>
              </w:rPr>
              <w:t>4. Стопа активности</w:t>
            </w:r>
            <w:bookmarkEnd w:id="40"/>
          </w:p>
        </w:tc>
        <w:tc>
          <w:tcPr>
            <w:tcW w:w="1136" w:type="dxa"/>
            <w:tcBorders>
              <w:top w:val="nil"/>
              <w:left w:val="single" w:sz="4" w:space="0" w:color="auto"/>
              <w:bottom w:val="dotted" w:sz="4" w:space="0" w:color="auto"/>
              <w:right w:val="single" w:sz="4" w:space="0" w:color="auto"/>
            </w:tcBorders>
            <w:shd w:val="clear" w:color="000000" w:fill="FFFFFF"/>
            <w:hideMark/>
          </w:tcPr>
          <w:p w14:paraId="71DF94A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37" w:type="dxa"/>
            <w:tcBorders>
              <w:top w:val="nil"/>
              <w:left w:val="nil"/>
              <w:bottom w:val="dotted" w:sz="4" w:space="0" w:color="auto"/>
              <w:right w:val="single" w:sz="4" w:space="0" w:color="auto"/>
            </w:tcBorders>
            <w:shd w:val="clear" w:color="000000" w:fill="FFFFFF"/>
            <w:hideMark/>
          </w:tcPr>
          <w:p w14:paraId="295609B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37" w:type="dxa"/>
            <w:tcBorders>
              <w:top w:val="nil"/>
              <w:left w:val="nil"/>
              <w:bottom w:val="dotted" w:sz="4" w:space="0" w:color="auto"/>
              <w:right w:val="dotted" w:sz="4" w:space="0" w:color="auto"/>
            </w:tcBorders>
            <w:shd w:val="clear" w:color="000000" w:fill="FFFFFF"/>
            <w:noWrap/>
            <w:vAlign w:val="center"/>
            <w:hideMark/>
          </w:tcPr>
          <w:p w14:paraId="64BF2C29"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71,7</w:t>
            </w:r>
          </w:p>
        </w:tc>
        <w:tc>
          <w:tcPr>
            <w:tcW w:w="1137" w:type="dxa"/>
            <w:tcBorders>
              <w:top w:val="nil"/>
              <w:left w:val="nil"/>
              <w:bottom w:val="dotted" w:sz="4" w:space="0" w:color="auto"/>
              <w:right w:val="dotted" w:sz="4" w:space="0" w:color="auto"/>
            </w:tcBorders>
            <w:shd w:val="clear" w:color="000000" w:fill="FFFFFF"/>
            <w:noWrap/>
            <w:vAlign w:val="center"/>
            <w:hideMark/>
          </w:tcPr>
          <w:p w14:paraId="150DFEB5"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71,7</w:t>
            </w:r>
          </w:p>
        </w:tc>
        <w:tc>
          <w:tcPr>
            <w:tcW w:w="1137" w:type="dxa"/>
            <w:tcBorders>
              <w:top w:val="nil"/>
              <w:left w:val="nil"/>
              <w:bottom w:val="dotted" w:sz="4" w:space="0" w:color="auto"/>
              <w:right w:val="dotted" w:sz="4" w:space="0" w:color="auto"/>
            </w:tcBorders>
            <w:shd w:val="clear" w:color="000000" w:fill="FFFFFF"/>
            <w:noWrap/>
            <w:vAlign w:val="center"/>
            <w:hideMark/>
          </w:tcPr>
          <w:p w14:paraId="54F1291D"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71,7</w:t>
            </w:r>
          </w:p>
        </w:tc>
        <w:tc>
          <w:tcPr>
            <w:tcW w:w="1137" w:type="dxa"/>
            <w:tcBorders>
              <w:top w:val="nil"/>
              <w:left w:val="nil"/>
              <w:bottom w:val="dotted" w:sz="4" w:space="0" w:color="auto"/>
              <w:right w:val="dotted" w:sz="4" w:space="0" w:color="auto"/>
            </w:tcBorders>
            <w:shd w:val="clear" w:color="000000" w:fill="FFFFFF"/>
            <w:noWrap/>
            <w:vAlign w:val="center"/>
            <w:hideMark/>
          </w:tcPr>
          <w:p w14:paraId="42C322B0"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71,7</w:t>
            </w:r>
          </w:p>
        </w:tc>
        <w:tc>
          <w:tcPr>
            <w:tcW w:w="1137" w:type="dxa"/>
            <w:tcBorders>
              <w:top w:val="nil"/>
              <w:left w:val="nil"/>
              <w:bottom w:val="dotted" w:sz="4" w:space="0" w:color="auto"/>
              <w:right w:val="double" w:sz="6" w:space="0" w:color="auto"/>
            </w:tcBorders>
            <w:shd w:val="clear" w:color="000000" w:fill="FFFFFF"/>
            <w:noWrap/>
            <w:vAlign w:val="center"/>
            <w:hideMark/>
          </w:tcPr>
          <w:p w14:paraId="53169C05"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71,7</w:t>
            </w:r>
          </w:p>
        </w:tc>
      </w:tr>
      <w:bookmarkStart w:id="41" w:name="RANGE!B11"/>
      <w:tr w:rsidR="009B5DE5" w:rsidRPr="009B5DE5" w14:paraId="39B05B56" w14:textId="77777777" w:rsidTr="00396800">
        <w:trPr>
          <w:trHeight w:val="390"/>
        </w:trPr>
        <w:tc>
          <w:tcPr>
            <w:tcW w:w="6858" w:type="dxa"/>
            <w:tcBorders>
              <w:top w:val="nil"/>
              <w:left w:val="double" w:sz="6" w:space="0" w:color="auto"/>
              <w:bottom w:val="dotted" w:sz="4" w:space="0" w:color="auto"/>
              <w:right w:val="nil"/>
            </w:tcBorders>
            <w:shd w:val="clear" w:color="000000" w:fill="FFFFFF"/>
            <w:hideMark/>
          </w:tcPr>
          <w:p w14:paraId="4462FF18"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fldChar w:fldCharType="begin"/>
            </w:r>
            <w:r w:rsidRPr="009B5DE5">
              <w:rPr>
                <w:rFonts w:eastAsia="Times New Roman" w:cs="Times New Roman"/>
                <w:sz w:val="20"/>
                <w:szCs w:val="20"/>
              </w:rPr>
              <w:instrText xml:space="preserve"> HYPERLINK "file:///C:\\Users\\ognjen.jancic\\Dropbox\\Dropbox\\Makro%20sektor\\7.2.%20ERP%202025-2027\\tabele\\табеле%20ворд\\2025_ERP_Annex_tables_RS_srpski%20za%20word.xlsx" \l "RANGE!B22" </w:instrText>
            </w:r>
            <w:r w:rsidRPr="009B5DE5">
              <w:rPr>
                <w:rFonts w:eastAsia="Times New Roman" w:cs="Times New Roman"/>
                <w:sz w:val="20"/>
                <w:szCs w:val="20"/>
              </w:rPr>
              <w:fldChar w:fldCharType="separate"/>
            </w:r>
            <w:r w:rsidRPr="009B5DE5">
              <w:rPr>
                <w:rFonts w:eastAsia="Times New Roman" w:cs="Times New Roman"/>
                <w:sz w:val="20"/>
                <w:szCs w:val="20"/>
              </w:rPr>
              <w:t>5. Запосленост, број лица [2]</w:t>
            </w:r>
            <w:r w:rsidRPr="009B5DE5">
              <w:rPr>
                <w:rFonts w:eastAsia="Times New Roman" w:cs="Times New Roman"/>
                <w:sz w:val="20"/>
                <w:szCs w:val="20"/>
              </w:rPr>
              <w:fldChar w:fldCharType="end"/>
            </w:r>
            <w:bookmarkEnd w:id="41"/>
          </w:p>
        </w:tc>
        <w:tc>
          <w:tcPr>
            <w:tcW w:w="1136" w:type="dxa"/>
            <w:tcBorders>
              <w:top w:val="nil"/>
              <w:left w:val="single" w:sz="4" w:space="0" w:color="auto"/>
              <w:bottom w:val="dotted" w:sz="4" w:space="0" w:color="auto"/>
              <w:right w:val="single" w:sz="4" w:space="0" w:color="auto"/>
            </w:tcBorders>
            <w:shd w:val="clear" w:color="000000" w:fill="FFFFFF"/>
            <w:hideMark/>
          </w:tcPr>
          <w:p w14:paraId="24E10CC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37" w:type="dxa"/>
            <w:tcBorders>
              <w:top w:val="nil"/>
              <w:left w:val="nil"/>
              <w:bottom w:val="dotted" w:sz="4" w:space="0" w:color="auto"/>
              <w:right w:val="single" w:sz="4" w:space="0" w:color="auto"/>
            </w:tcBorders>
            <w:shd w:val="clear" w:color="000000" w:fill="FFFFFF"/>
            <w:hideMark/>
          </w:tcPr>
          <w:p w14:paraId="68B48FC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37" w:type="dxa"/>
            <w:tcBorders>
              <w:top w:val="nil"/>
              <w:left w:val="nil"/>
              <w:bottom w:val="dotted" w:sz="4" w:space="0" w:color="auto"/>
              <w:right w:val="dotted" w:sz="4" w:space="0" w:color="auto"/>
            </w:tcBorders>
            <w:shd w:val="clear" w:color="000000" w:fill="FFFFFF"/>
            <w:noWrap/>
            <w:vAlign w:val="center"/>
            <w:hideMark/>
          </w:tcPr>
          <w:p w14:paraId="71FBA7F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2.711</w:t>
            </w:r>
          </w:p>
        </w:tc>
        <w:tc>
          <w:tcPr>
            <w:tcW w:w="1137" w:type="dxa"/>
            <w:tcBorders>
              <w:top w:val="nil"/>
              <w:left w:val="nil"/>
              <w:bottom w:val="dotted" w:sz="4" w:space="0" w:color="auto"/>
              <w:right w:val="dotted" w:sz="4" w:space="0" w:color="auto"/>
            </w:tcBorders>
            <w:shd w:val="clear" w:color="000000" w:fill="FFFFFF"/>
            <w:noWrap/>
            <w:vAlign w:val="center"/>
            <w:hideMark/>
          </w:tcPr>
          <w:p w14:paraId="5E66B7AB"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2.738</w:t>
            </w:r>
          </w:p>
        </w:tc>
        <w:tc>
          <w:tcPr>
            <w:tcW w:w="1137" w:type="dxa"/>
            <w:tcBorders>
              <w:top w:val="nil"/>
              <w:left w:val="nil"/>
              <w:bottom w:val="dotted" w:sz="4" w:space="0" w:color="auto"/>
              <w:right w:val="dotted" w:sz="4" w:space="0" w:color="auto"/>
            </w:tcBorders>
            <w:shd w:val="clear" w:color="000000" w:fill="FFFFFF"/>
            <w:noWrap/>
            <w:vAlign w:val="center"/>
            <w:hideMark/>
          </w:tcPr>
          <w:p w14:paraId="25A10359"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2.749</w:t>
            </w:r>
          </w:p>
        </w:tc>
        <w:tc>
          <w:tcPr>
            <w:tcW w:w="1137" w:type="dxa"/>
            <w:tcBorders>
              <w:top w:val="nil"/>
              <w:left w:val="nil"/>
              <w:bottom w:val="dotted" w:sz="4" w:space="0" w:color="auto"/>
              <w:right w:val="dotted" w:sz="4" w:space="0" w:color="auto"/>
            </w:tcBorders>
            <w:shd w:val="clear" w:color="000000" w:fill="FFFFFF"/>
            <w:noWrap/>
            <w:vAlign w:val="center"/>
            <w:hideMark/>
          </w:tcPr>
          <w:p w14:paraId="2D0A3A3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2.760</w:t>
            </w:r>
          </w:p>
        </w:tc>
        <w:tc>
          <w:tcPr>
            <w:tcW w:w="1137" w:type="dxa"/>
            <w:tcBorders>
              <w:top w:val="nil"/>
              <w:left w:val="nil"/>
              <w:bottom w:val="dotted" w:sz="4" w:space="0" w:color="auto"/>
              <w:right w:val="double" w:sz="6" w:space="0" w:color="auto"/>
            </w:tcBorders>
            <w:shd w:val="clear" w:color="000000" w:fill="FFFFFF"/>
            <w:noWrap/>
            <w:vAlign w:val="center"/>
            <w:hideMark/>
          </w:tcPr>
          <w:p w14:paraId="7C67EB07"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2.771</w:t>
            </w:r>
          </w:p>
        </w:tc>
      </w:tr>
      <w:tr w:rsidR="009B5DE5" w:rsidRPr="009B5DE5" w14:paraId="63A96CD2" w14:textId="77777777" w:rsidTr="00396800">
        <w:trPr>
          <w:trHeight w:val="390"/>
        </w:trPr>
        <w:tc>
          <w:tcPr>
            <w:tcW w:w="6858" w:type="dxa"/>
            <w:tcBorders>
              <w:top w:val="nil"/>
              <w:left w:val="double" w:sz="6" w:space="0" w:color="auto"/>
              <w:bottom w:val="dotted" w:sz="4" w:space="0" w:color="auto"/>
              <w:right w:val="nil"/>
            </w:tcBorders>
            <w:shd w:val="clear" w:color="000000" w:fill="FFFFFF"/>
            <w:hideMark/>
          </w:tcPr>
          <w:p w14:paraId="3DACCC62" w14:textId="77777777" w:rsidR="009B5DE5" w:rsidRPr="009B5DE5" w:rsidRDefault="00F03833" w:rsidP="009B5DE5">
            <w:pPr>
              <w:spacing w:after="0"/>
              <w:jc w:val="left"/>
              <w:rPr>
                <w:rFonts w:eastAsia="Times New Roman" w:cs="Times New Roman"/>
                <w:sz w:val="20"/>
                <w:szCs w:val="20"/>
              </w:rPr>
            </w:pPr>
            <w:hyperlink r:id="rId38" w:anchor="RANGE!B23" w:history="1">
              <w:r w:rsidR="009B5DE5" w:rsidRPr="009B5DE5">
                <w:rPr>
                  <w:rFonts w:eastAsia="Times New Roman" w:cs="Times New Roman"/>
                  <w:sz w:val="20"/>
                  <w:szCs w:val="20"/>
                </w:rPr>
                <w:t>6. Запосленост, часови рада [3]</w:t>
              </w:r>
            </w:hyperlink>
          </w:p>
        </w:tc>
        <w:tc>
          <w:tcPr>
            <w:tcW w:w="1136" w:type="dxa"/>
            <w:tcBorders>
              <w:top w:val="nil"/>
              <w:left w:val="single" w:sz="4" w:space="0" w:color="auto"/>
              <w:bottom w:val="dotted" w:sz="4" w:space="0" w:color="auto"/>
              <w:right w:val="single" w:sz="4" w:space="0" w:color="auto"/>
            </w:tcBorders>
            <w:shd w:val="clear" w:color="000000" w:fill="FFFFFF"/>
            <w:hideMark/>
          </w:tcPr>
          <w:p w14:paraId="292992C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37" w:type="dxa"/>
            <w:tcBorders>
              <w:top w:val="nil"/>
              <w:left w:val="nil"/>
              <w:bottom w:val="dotted" w:sz="4" w:space="0" w:color="auto"/>
              <w:right w:val="single" w:sz="4" w:space="0" w:color="auto"/>
            </w:tcBorders>
            <w:shd w:val="clear" w:color="000000" w:fill="FFFFFF"/>
            <w:hideMark/>
          </w:tcPr>
          <w:p w14:paraId="3AF0F1E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37" w:type="dxa"/>
            <w:tcBorders>
              <w:top w:val="nil"/>
              <w:left w:val="nil"/>
              <w:bottom w:val="dotted" w:sz="4" w:space="0" w:color="auto"/>
              <w:right w:val="dotted" w:sz="4" w:space="0" w:color="auto"/>
            </w:tcBorders>
            <w:shd w:val="clear" w:color="000000" w:fill="FFFFFF"/>
            <w:hideMark/>
          </w:tcPr>
          <w:p w14:paraId="487DE0D2"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137" w:type="dxa"/>
            <w:tcBorders>
              <w:top w:val="nil"/>
              <w:left w:val="nil"/>
              <w:bottom w:val="dotted" w:sz="4" w:space="0" w:color="auto"/>
              <w:right w:val="dotted" w:sz="4" w:space="0" w:color="auto"/>
            </w:tcBorders>
            <w:shd w:val="clear" w:color="000000" w:fill="FFFFFF"/>
            <w:hideMark/>
          </w:tcPr>
          <w:p w14:paraId="2026BC52"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137" w:type="dxa"/>
            <w:tcBorders>
              <w:top w:val="nil"/>
              <w:left w:val="nil"/>
              <w:bottom w:val="dotted" w:sz="4" w:space="0" w:color="auto"/>
              <w:right w:val="dotted" w:sz="4" w:space="0" w:color="auto"/>
            </w:tcBorders>
            <w:shd w:val="clear" w:color="000000" w:fill="FFFFFF"/>
            <w:hideMark/>
          </w:tcPr>
          <w:p w14:paraId="09135C1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137" w:type="dxa"/>
            <w:tcBorders>
              <w:top w:val="nil"/>
              <w:left w:val="nil"/>
              <w:bottom w:val="dotted" w:sz="4" w:space="0" w:color="auto"/>
              <w:right w:val="dotted" w:sz="4" w:space="0" w:color="auto"/>
            </w:tcBorders>
            <w:shd w:val="clear" w:color="000000" w:fill="FFFFFF"/>
            <w:hideMark/>
          </w:tcPr>
          <w:p w14:paraId="46C006EA"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137" w:type="dxa"/>
            <w:tcBorders>
              <w:top w:val="nil"/>
              <w:left w:val="nil"/>
              <w:bottom w:val="dotted" w:sz="4" w:space="0" w:color="auto"/>
              <w:right w:val="double" w:sz="6" w:space="0" w:color="auto"/>
            </w:tcBorders>
            <w:shd w:val="clear" w:color="000000" w:fill="FFFFFF"/>
            <w:hideMark/>
          </w:tcPr>
          <w:p w14:paraId="4FD619D2"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r>
      <w:tr w:rsidR="009B5DE5" w:rsidRPr="009B5DE5" w14:paraId="643E6905" w14:textId="77777777" w:rsidTr="00396800">
        <w:trPr>
          <w:trHeight w:val="390"/>
        </w:trPr>
        <w:tc>
          <w:tcPr>
            <w:tcW w:w="6858" w:type="dxa"/>
            <w:tcBorders>
              <w:top w:val="nil"/>
              <w:left w:val="double" w:sz="6" w:space="0" w:color="auto"/>
              <w:bottom w:val="dotted" w:sz="4" w:space="0" w:color="auto"/>
              <w:right w:val="nil"/>
            </w:tcBorders>
            <w:shd w:val="clear" w:color="000000" w:fill="FFFFFF"/>
            <w:hideMark/>
          </w:tcPr>
          <w:p w14:paraId="75C0A4D4"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7. Запосленост (стопа раста у %)</w:t>
            </w:r>
          </w:p>
        </w:tc>
        <w:tc>
          <w:tcPr>
            <w:tcW w:w="1136" w:type="dxa"/>
            <w:tcBorders>
              <w:top w:val="nil"/>
              <w:left w:val="single" w:sz="4" w:space="0" w:color="auto"/>
              <w:bottom w:val="dotted" w:sz="4" w:space="0" w:color="auto"/>
              <w:right w:val="single" w:sz="4" w:space="0" w:color="auto"/>
            </w:tcBorders>
            <w:shd w:val="clear" w:color="000000" w:fill="FFFFFF"/>
            <w:hideMark/>
          </w:tcPr>
          <w:p w14:paraId="7A80527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37" w:type="dxa"/>
            <w:tcBorders>
              <w:top w:val="nil"/>
              <w:left w:val="nil"/>
              <w:bottom w:val="dotted" w:sz="4" w:space="0" w:color="auto"/>
              <w:right w:val="single" w:sz="4" w:space="0" w:color="auto"/>
            </w:tcBorders>
            <w:shd w:val="clear" w:color="000000" w:fill="FFFFFF"/>
            <w:hideMark/>
          </w:tcPr>
          <w:p w14:paraId="27E8D6B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37" w:type="dxa"/>
            <w:tcBorders>
              <w:top w:val="nil"/>
              <w:left w:val="nil"/>
              <w:bottom w:val="dotted" w:sz="4" w:space="0" w:color="auto"/>
              <w:right w:val="dotted" w:sz="4" w:space="0" w:color="auto"/>
            </w:tcBorders>
            <w:shd w:val="clear" w:color="000000" w:fill="FFFFFF"/>
            <w:noWrap/>
            <w:vAlign w:val="center"/>
            <w:hideMark/>
          </w:tcPr>
          <w:p w14:paraId="2A8297A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0,2</w:t>
            </w:r>
          </w:p>
        </w:tc>
        <w:tc>
          <w:tcPr>
            <w:tcW w:w="1137" w:type="dxa"/>
            <w:tcBorders>
              <w:top w:val="nil"/>
              <w:left w:val="nil"/>
              <w:bottom w:val="dotted" w:sz="4" w:space="0" w:color="auto"/>
              <w:right w:val="dotted" w:sz="4" w:space="0" w:color="auto"/>
            </w:tcBorders>
            <w:shd w:val="clear" w:color="000000" w:fill="FFFFFF"/>
            <w:noWrap/>
            <w:vAlign w:val="center"/>
            <w:hideMark/>
          </w:tcPr>
          <w:p w14:paraId="6EFFD13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1,0</w:t>
            </w:r>
          </w:p>
        </w:tc>
        <w:tc>
          <w:tcPr>
            <w:tcW w:w="1137" w:type="dxa"/>
            <w:tcBorders>
              <w:top w:val="nil"/>
              <w:left w:val="nil"/>
              <w:bottom w:val="dotted" w:sz="4" w:space="0" w:color="auto"/>
              <w:right w:val="dotted" w:sz="4" w:space="0" w:color="auto"/>
            </w:tcBorders>
            <w:shd w:val="clear" w:color="000000" w:fill="FFFFFF"/>
            <w:noWrap/>
            <w:vAlign w:val="center"/>
            <w:hideMark/>
          </w:tcPr>
          <w:p w14:paraId="6709B04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0,4</w:t>
            </w:r>
          </w:p>
        </w:tc>
        <w:tc>
          <w:tcPr>
            <w:tcW w:w="1137" w:type="dxa"/>
            <w:tcBorders>
              <w:top w:val="nil"/>
              <w:left w:val="nil"/>
              <w:bottom w:val="dotted" w:sz="4" w:space="0" w:color="auto"/>
              <w:right w:val="dotted" w:sz="4" w:space="0" w:color="auto"/>
            </w:tcBorders>
            <w:shd w:val="clear" w:color="000000" w:fill="FFFFFF"/>
            <w:noWrap/>
            <w:vAlign w:val="center"/>
            <w:hideMark/>
          </w:tcPr>
          <w:p w14:paraId="79BD4FEA"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0,4</w:t>
            </w:r>
          </w:p>
        </w:tc>
        <w:tc>
          <w:tcPr>
            <w:tcW w:w="1137" w:type="dxa"/>
            <w:tcBorders>
              <w:top w:val="nil"/>
              <w:left w:val="nil"/>
              <w:bottom w:val="dotted" w:sz="4" w:space="0" w:color="auto"/>
              <w:right w:val="double" w:sz="6" w:space="0" w:color="auto"/>
            </w:tcBorders>
            <w:shd w:val="clear" w:color="000000" w:fill="FFFFFF"/>
            <w:noWrap/>
            <w:vAlign w:val="center"/>
            <w:hideMark/>
          </w:tcPr>
          <w:p w14:paraId="6EAFAAF5"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0,4</w:t>
            </w:r>
          </w:p>
        </w:tc>
      </w:tr>
      <w:tr w:rsidR="009B5DE5" w:rsidRPr="009B5DE5" w14:paraId="79865AA9" w14:textId="77777777" w:rsidTr="00396800">
        <w:trPr>
          <w:trHeight w:val="390"/>
        </w:trPr>
        <w:tc>
          <w:tcPr>
            <w:tcW w:w="6858" w:type="dxa"/>
            <w:tcBorders>
              <w:top w:val="nil"/>
              <w:left w:val="double" w:sz="6" w:space="0" w:color="auto"/>
              <w:bottom w:val="dotted" w:sz="4" w:space="0" w:color="auto"/>
              <w:right w:val="nil"/>
            </w:tcBorders>
            <w:shd w:val="clear" w:color="000000" w:fill="FFFFFF"/>
            <w:hideMark/>
          </w:tcPr>
          <w:p w14:paraId="494FD3EF"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8. Запосленост у јавном сектору (број лица)</w:t>
            </w:r>
          </w:p>
        </w:tc>
        <w:tc>
          <w:tcPr>
            <w:tcW w:w="1136" w:type="dxa"/>
            <w:tcBorders>
              <w:top w:val="nil"/>
              <w:left w:val="single" w:sz="4" w:space="0" w:color="auto"/>
              <w:bottom w:val="dotted" w:sz="4" w:space="0" w:color="auto"/>
              <w:right w:val="single" w:sz="4" w:space="0" w:color="auto"/>
            </w:tcBorders>
            <w:shd w:val="clear" w:color="000000" w:fill="FFFFFF"/>
            <w:hideMark/>
          </w:tcPr>
          <w:p w14:paraId="16825FF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37" w:type="dxa"/>
            <w:tcBorders>
              <w:top w:val="nil"/>
              <w:left w:val="nil"/>
              <w:bottom w:val="dotted" w:sz="4" w:space="0" w:color="auto"/>
              <w:right w:val="single" w:sz="4" w:space="0" w:color="auto"/>
            </w:tcBorders>
            <w:shd w:val="clear" w:color="000000" w:fill="FFFFFF"/>
            <w:hideMark/>
          </w:tcPr>
          <w:p w14:paraId="22A8BFB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37" w:type="dxa"/>
            <w:tcBorders>
              <w:top w:val="nil"/>
              <w:left w:val="nil"/>
              <w:bottom w:val="dotted" w:sz="4" w:space="0" w:color="auto"/>
              <w:right w:val="dotted" w:sz="4" w:space="0" w:color="auto"/>
            </w:tcBorders>
            <w:shd w:val="clear" w:color="000000" w:fill="FFFFFF"/>
            <w:hideMark/>
          </w:tcPr>
          <w:p w14:paraId="3ED02E7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137" w:type="dxa"/>
            <w:tcBorders>
              <w:top w:val="nil"/>
              <w:left w:val="nil"/>
              <w:bottom w:val="dotted" w:sz="4" w:space="0" w:color="auto"/>
              <w:right w:val="dotted" w:sz="4" w:space="0" w:color="auto"/>
            </w:tcBorders>
            <w:shd w:val="clear" w:color="000000" w:fill="FFFFFF"/>
            <w:hideMark/>
          </w:tcPr>
          <w:p w14:paraId="53937AA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137" w:type="dxa"/>
            <w:tcBorders>
              <w:top w:val="nil"/>
              <w:left w:val="nil"/>
              <w:bottom w:val="dotted" w:sz="4" w:space="0" w:color="auto"/>
              <w:right w:val="dotted" w:sz="4" w:space="0" w:color="auto"/>
            </w:tcBorders>
            <w:shd w:val="clear" w:color="000000" w:fill="FFFFFF"/>
            <w:hideMark/>
          </w:tcPr>
          <w:p w14:paraId="5BD50FF7"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137" w:type="dxa"/>
            <w:tcBorders>
              <w:top w:val="nil"/>
              <w:left w:val="nil"/>
              <w:bottom w:val="dotted" w:sz="4" w:space="0" w:color="auto"/>
              <w:right w:val="dotted" w:sz="4" w:space="0" w:color="auto"/>
            </w:tcBorders>
            <w:shd w:val="clear" w:color="000000" w:fill="FFFFFF"/>
            <w:hideMark/>
          </w:tcPr>
          <w:p w14:paraId="17D25285"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137" w:type="dxa"/>
            <w:tcBorders>
              <w:top w:val="nil"/>
              <w:left w:val="nil"/>
              <w:bottom w:val="dotted" w:sz="4" w:space="0" w:color="auto"/>
              <w:right w:val="double" w:sz="6" w:space="0" w:color="auto"/>
            </w:tcBorders>
            <w:shd w:val="clear" w:color="000000" w:fill="FFFFFF"/>
            <w:hideMark/>
          </w:tcPr>
          <w:p w14:paraId="7AB47F5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r>
      <w:tr w:rsidR="009B5DE5" w:rsidRPr="009B5DE5" w14:paraId="71E45AF0" w14:textId="77777777" w:rsidTr="00396800">
        <w:trPr>
          <w:trHeight w:val="390"/>
        </w:trPr>
        <w:tc>
          <w:tcPr>
            <w:tcW w:w="6858" w:type="dxa"/>
            <w:tcBorders>
              <w:top w:val="nil"/>
              <w:left w:val="double" w:sz="6" w:space="0" w:color="auto"/>
              <w:bottom w:val="dotted" w:sz="4" w:space="0" w:color="auto"/>
              <w:right w:val="nil"/>
            </w:tcBorders>
            <w:shd w:val="clear" w:color="000000" w:fill="FFFFFF"/>
            <w:hideMark/>
          </w:tcPr>
          <w:p w14:paraId="325103CD"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9. Запосленост у јавном сектору (раст у %)</w:t>
            </w:r>
          </w:p>
        </w:tc>
        <w:tc>
          <w:tcPr>
            <w:tcW w:w="1136" w:type="dxa"/>
            <w:tcBorders>
              <w:top w:val="nil"/>
              <w:left w:val="single" w:sz="4" w:space="0" w:color="auto"/>
              <w:bottom w:val="dotted" w:sz="4" w:space="0" w:color="auto"/>
              <w:right w:val="single" w:sz="4" w:space="0" w:color="auto"/>
            </w:tcBorders>
            <w:shd w:val="clear" w:color="000000" w:fill="FFFFFF"/>
            <w:hideMark/>
          </w:tcPr>
          <w:p w14:paraId="690B936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37" w:type="dxa"/>
            <w:tcBorders>
              <w:top w:val="nil"/>
              <w:left w:val="nil"/>
              <w:bottom w:val="dotted" w:sz="4" w:space="0" w:color="auto"/>
              <w:right w:val="single" w:sz="4" w:space="0" w:color="auto"/>
            </w:tcBorders>
            <w:shd w:val="clear" w:color="000000" w:fill="FFFFFF"/>
            <w:hideMark/>
          </w:tcPr>
          <w:p w14:paraId="7C23D97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37" w:type="dxa"/>
            <w:tcBorders>
              <w:top w:val="nil"/>
              <w:left w:val="nil"/>
              <w:bottom w:val="dotted" w:sz="4" w:space="0" w:color="auto"/>
              <w:right w:val="dotted" w:sz="4" w:space="0" w:color="auto"/>
            </w:tcBorders>
            <w:shd w:val="clear" w:color="000000" w:fill="FFFFFF"/>
            <w:noWrap/>
            <w:vAlign w:val="center"/>
            <w:hideMark/>
          </w:tcPr>
          <w:p w14:paraId="065BC49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137" w:type="dxa"/>
            <w:tcBorders>
              <w:top w:val="nil"/>
              <w:left w:val="nil"/>
              <w:bottom w:val="dotted" w:sz="4" w:space="0" w:color="auto"/>
              <w:right w:val="dotted" w:sz="4" w:space="0" w:color="auto"/>
            </w:tcBorders>
            <w:shd w:val="clear" w:color="000000" w:fill="FFFFFF"/>
            <w:noWrap/>
            <w:vAlign w:val="center"/>
            <w:hideMark/>
          </w:tcPr>
          <w:p w14:paraId="09928F09"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137" w:type="dxa"/>
            <w:tcBorders>
              <w:top w:val="nil"/>
              <w:left w:val="nil"/>
              <w:bottom w:val="dotted" w:sz="4" w:space="0" w:color="auto"/>
              <w:right w:val="dotted" w:sz="4" w:space="0" w:color="auto"/>
            </w:tcBorders>
            <w:shd w:val="clear" w:color="000000" w:fill="FFFFFF"/>
            <w:hideMark/>
          </w:tcPr>
          <w:p w14:paraId="5685F122"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137" w:type="dxa"/>
            <w:tcBorders>
              <w:top w:val="nil"/>
              <w:left w:val="nil"/>
              <w:bottom w:val="dotted" w:sz="4" w:space="0" w:color="auto"/>
              <w:right w:val="dotted" w:sz="4" w:space="0" w:color="auto"/>
            </w:tcBorders>
            <w:shd w:val="clear" w:color="000000" w:fill="FFFFFF"/>
            <w:hideMark/>
          </w:tcPr>
          <w:p w14:paraId="6B808D4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137" w:type="dxa"/>
            <w:tcBorders>
              <w:top w:val="nil"/>
              <w:left w:val="nil"/>
              <w:bottom w:val="dotted" w:sz="4" w:space="0" w:color="auto"/>
              <w:right w:val="double" w:sz="6" w:space="0" w:color="auto"/>
            </w:tcBorders>
            <w:shd w:val="clear" w:color="000000" w:fill="FFFFFF"/>
            <w:hideMark/>
          </w:tcPr>
          <w:p w14:paraId="3DB8B429"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r>
      <w:tr w:rsidR="009B5DE5" w:rsidRPr="009B5DE5" w14:paraId="344047C6" w14:textId="77777777" w:rsidTr="00396800">
        <w:trPr>
          <w:trHeight w:val="390"/>
        </w:trPr>
        <w:tc>
          <w:tcPr>
            <w:tcW w:w="6858" w:type="dxa"/>
            <w:tcBorders>
              <w:top w:val="nil"/>
              <w:left w:val="double" w:sz="6" w:space="0" w:color="auto"/>
              <w:bottom w:val="dotted" w:sz="4" w:space="0" w:color="auto"/>
              <w:right w:val="nil"/>
            </w:tcBorders>
            <w:shd w:val="clear" w:color="000000" w:fill="FFFFFF"/>
            <w:hideMark/>
          </w:tcPr>
          <w:p w14:paraId="6081A56B" w14:textId="77777777" w:rsidR="009B5DE5" w:rsidRPr="009B5DE5" w:rsidRDefault="00F03833" w:rsidP="009B5DE5">
            <w:pPr>
              <w:spacing w:after="0"/>
              <w:jc w:val="left"/>
              <w:rPr>
                <w:rFonts w:eastAsia="Times New Roman" w:cs="Times New Roman"/>
                <w:sz w:val="20"/>
                <w:szCs w:val="20"/>
              </w:rPr>
            </w:pPr>
            <w:hyperlink r:id="rId39" w:anchor="RANGE!B24" w:history="1">
              <w:r w:rsidR="009B5DE5" w:rsidRPr="009B5DE5">
                <w:rPr>
                  <w:rFonts w:eastAsia="Times New Roman" w:cs="Times New Roman"/>
                  <w:sz w:val="20"/>
                  <w:szCs w:val="20"/>
                </w:rPr>
                <w:t>10. Стопа незапослености [4]</w:t>
              </w:r>
            </w:hyperlink>
          </w:p>
        </w:tc>
        <w:tc>
          <w:tcPr>
            <w:tcW w:w="1136" w:type="dxa"/>
            <w:tcBorders>
              <w:top w:val="nil"/>
              <w:left w:val="single" w:sz="4" w:space="0" w:color="auto"/>
              <w:bottom w:val="dotted" w:sz="4" w:space="0" w:color="auto"/>
              <w:right w:val="single" w:sz="4" w:space="0" w:color="auto"/>
            </w:tcBorders>
            <w:shd w:val="clear" w:color="000000" w:fill="FFFFFF"/>
            <w:hideMark/>
          </w:tcPr>
          <w:p w14:paraId="68B3DA0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37" w:type="dxa"/>
            <w:tcBorders>
              <w:top w:val="nil"/>
              <w:left w:val="nil"/>
              <w:bottom w:val="dotted" w:sz="4" w:space="0" w:color="auto"/>
              <w:right w:val="single" w:sz="4" w:space="0" w:color="auto"/>
            </w:tcBorders>
            <w:shd w:val="clear" w:color="000000" w:fill="FFFFFF"/>
            <w:hideMark/>
          </w:tcPr>
          <w:p w14:paraId="56BF33E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37" w:type="dxa"/>
            <w:tcBorders>
              <w:top w:val="nil"/>
              <w:left w:val="nil"/>
              <w:bottom w:val="dotted" w:sz="4" w:space="0" w:color="auto"/>
              <w:right w:val="dotted" w:sz="4" w:space="0" w:color="auto"/>
            </w:tcBorders>
            <w:shd w:val="clear" w:color="000000" w:fill="FFFFFF"/>
            <w:noWrap/>
            <w:vAlign w:val="center"/>
            <w:hideMark/>
          </w:tcPr>
          <w:p w14:paraId="0037E39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9,7</w:t>
            </w:r>
          </w:p>
        </w:tc>
        <w:tc>
          <w:tcPr>
            <w:tcW w:w="1137" w:type="dxa"/>
            <w:tcBorders>
              <w:top w:val="nil"/>
              <w:left w:val="nil"/>
              <w:bottom w:val="dotted" w:sz="4" w:space="0" w:color="auto"/>
              <w:right w:val="dotted" w:sz="4" w:space="0" w:color="auto"/>
            </w:tcBorders>
            <w:shd w:val="clear" w:color="000000" w:fill="FFFFFF"/>
            <w:noWrap/>
            <w:vAlign w:val="center"/>
            <w:hideMark/>
          </w:tcPr>
          <w:p w14:paraId="7B22DF2F"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8,9</w:t>
            </w:r>
          </w:p>
        </w:tc>
        <w:tc>
          <w:tcPr>
            <w:tcW w:w="1137" w:type="dxa"/>
            <w:tcBorders>
              <w:top w:val="nil"/>
              <w:left w:val="nil"/>
              <w:bottom w:val="dotted" w:sz="4" w:space="0" w:color="auto"/>
              <w:right w:val="dotted" w:sz="4" w:space="0" w:color="auto"/>
            </w:tcBorders>
            <w:shd w:val="clear" w:color="000000" w:fill="FFFFFF"/>
            <w:noWrap/>
            <w:vAlign w:val="center"/>
            <w:hideMark/>
          </w:tcPr>
          <w:p w14:paraId="03D90B49"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8,6</w:t>
            </w:r>
          </w:p>
        </w:tc>
        <w:tc>
          <w:tcPr>
            <w:tcW w:w="1137" w:type="dxa"/>
            <w:tcBorders>
              <w:top w:val="nil"/>
              <w:left w:val="nil"/>
              <w:bottom w:val="dotted" w:sz="4" w:space="0" w:color="auto"/>
              <w:right w:val="dotted" w:sz="4" w:space="0" w:color="auto"/>
            </w:tcBorders>
            <w:shd w:val="clear" w:color="000000" w:fill="FFFFFF"/>
            <w:noWrap/>
            <w:vAlign w:val="center"/>
            <w:hideMark/>
          </w:tcPr>
          <w:p w14:paraId="38929F1A"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8,0</w:t>
            </w:r>
          </w:p>
        </w:tc>
        <w:tc>
          <w:tcPr>
            <w:tcW w:w="1137" w:type="dxa"/>
            <w:tcBorders>
              <w:top w:val="nil"/>
              <w:left w:val="nil"/>
              <w:bottom w:val="dotted" w:sz="4" w:space="0" w:color="auto"/>
              <w:right w:val="double" w:sz="6" w:space="0" w:color="auto"/>
            </w:tcBorders>
            <w:shd w:val="clear" w:color="000000" w:fill="FFFFFF"/>
            <w:noWrap/>
            <w:vAlign w:val="center"/>
            <w:hideMark/>
          </w:tcPr>
          <w:p w14:paraId="6BEE690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7,6</w:t>
            </w:r>
          </w:p>
        </w:tc>
      </w:tr>
      <w:tr w:rsidR="009B5DE5" w:rsidRPr="009B5DE5" w14:paraId="0F3EC082" w14:textId="77777777" w:rsidTr="00396800">
        <w:trPr>
          <w:trHeight w:val="390"/>
        </w:trPr>
        <w:tc>
          <w:tcPr>
            <w:tcW w:w="6858" w:type="dxa"/>
            <w:tcBorders>
              <w:top w:val="nil"/>
              <w:left w:val="double" w:sz="6" w:space="0" w:color="auto"/>
              <w:bottom w:val="dotted" w:sz="4" w:space="0" w:color="auto"/>
              <w:right w:val="nil"/>
            </w:tcBorders>
            <w:shd w:val="clear" w:color="000000" w:fill="FFFFFF"/>
            <w:hideMark/>
          </w:tcPr>
          <w:p w14:paraId="210E581D" w14:textId="77777777" w:rsidR="009B5DE5" w:rsidRPr="009B5DE5" w:rsidRDefault="00F03833" w:rsidP="009B5DE5">
            <w:pPr>
              <w:spacing w:after="0"/>
              <w:jc w:val="left"/>
              <w:rPr>
                <w:rFonts w:eastAsia="Times New Roman" w:cs="Times New Roman"/>
                <w:sz w:val="20"/>
                <w:szCs w:val="20"/>
              </w:rPr>
            </w:pPr>
            <w:hyperlink r:id="rId40" w:anchor="RANGE!B25" w:history="1">
              <w:r w:rsidR="009B5DE5" w:rsidRPr="009B5DE5">
                <w:rPr>
                  <w:rFonts w:eastAsia="Times New Roman" w:cs="Times New Roman"/>
                  <w:sz w:val="20"/>
                  <w:szCs w:val="20"/>
                </w:rPr>
                <w:t xml:space="preserve">11. Продуктивност рада, према броју запослених лица [5] </w:t>
              </w:r>
            </w:hyperlink>
          </w:p>
        </w:tc>
        <w:tc>
          <w:tcPr>
            <w:tcW w:w="1136" w:type="dxa"/>
            <w:tcBorders>
              <w:top w:val="nil"/>
              <w:left w:val="single" w:sz="4" w:space="0" w:color="auto"/>
              <w:bottom w:val="dotted" w:sz="4" w:space="0" w:color="auto"/>
              <w:right w:val="single" w:sz="4" w:space="0" w:color="auto"/>
            </w:tcBorders>
            <w:shd w:val="clear" w:color="000000" w:fill="FFFFFF"/>
            <w:hideMark/>
          </w:tcPr>
          <w:p w14:paraId="3E571A9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37" w:type="dxa"/>
            <w:tcBorders>
              <w:top w:val="nil"/>
              <w:left w:val="nil"/>
              <w:bottom w:val="dotted" w:sz="4" w:space="0" w:color="auto"/>
              <w:right w:val="single" w:sz="4" w:space="0" w:color="auto"/>
            </w:tcBorders>
            <w:shd w:val="clear" w:color="000000" w:fill="FFFFFF"/>
            <w:hideMark/>
          </w:tcPr>
          <w:p w14:paraId="2EA2F1D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2585,4</w:t>
            </w:r>
          </w:p>
        </w:tc>
        <w:tc>
          <w:tcPr>
            <w:tcW w:w="1137" w:type="dxa"/>
            <w:tcBorders>
              <w:top w:val="nil"/>
              <w:left w:val="nil"/>
              <w:bottom w:val="dotted" w:sz="4" w:space="0" w:color="auto"/>
              <w:right w:val="dotted" w:sz="4" w:space="0" w:color="auto"/>
            </w:tcBorders>
            <w:shd w:val="clear" w:color="000000" w:fill="FFFFFF"/>
            <w:noWrap/>
            <w:vAlign w:val="center"/>
            <w:hideMark/>
          </w:tcPr>
          <w:p w14:paraId="3C246B52"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3,7</w:t>
            </w:r>
          </w:p>
        </w:tc>
        <w:tc>
          <w:tcPr>
            <w:tcW w:w="1137" w:type="dxa"/>
            <w:tcBorders>
              <w:top w:val="nil"/>
              <w:left w:val="nil"/>
              <w:bottom w:val="dotted" w:sz="4" w:space="0" w:color="auto"/>
              <w:right w:val="dotted" w:sz="4" w:space="0" w:color="auto"/>
            </w:tcBorders>
            <w:shd w:val="clear" w:color="000000" w:fill="FFFFFF"/>
            <w:noWrap/>
            <w:vAlign w:val="center"/>
            <w:hideMark/>
          </w:tcPr>
          <w:p w14:paraId="5C35F4B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2,7</w:t>
            </w:r>
          </w:p>
        </w:tc>
        <w:tc>
          <w:tcPr>
            <w:tcW w:w="1137" w:type="dxa"/>
            <w:tcBorders>
              <w:top w:val="nil"/>
              <w:left w:val="nil"/>
              <w:bottom w:val="dotted" w:sz="4" w:space="0" w:color="auto"/>
              <w:right w:val="dotted" w:sz="4" w:space="0" w:color="auto"/>
            </w:tcBorders>
            <w:shd w:val="clear" w:color="000000" w:fill="FFFFFF"/>
            <w:noWrap/>
            <w:vAlign w:val="center"/>
            <w:hideMark/>
          </w:tcPr>
          <w:p w14:paraId="1CF9043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3,7</w:t>
            </w:r>
          </w:p>
        </w:tc>
        <w:tc>
          <w:tcPr>
            <w:tcW w:w="1137" w:type="dxa"/>
            <w:tcBorders>
              <w:top w:val="nil"/>
              <w:left w:val="nil"/>
              <w:bottom w:val="dotted" w:sz="4" w:space="0" w:color="auto"/>
              <w:right w:val="dotted" w:sz="4" w:space="0" w:color="auto"/>
            </w:tcBorders>
            <w:shd w:val="clear" w:color="000000" w:fill="FFFFFF"/>
            <w:noWrap/>
            <w:vAlign w:val="center"/>
            <w:hideMark/>
          </w:tcPr>
          <w:p w14:paraId="18238AA0"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3,6</w:t>
            </w:r>
          </w:p>
        </w:tc>
        <w:tc>
          <w:tcPr>
            <w:tcW w:w="1137" w:type="dxa"/>
            <w:tcBorders>
              <w:top w:val="nil"/>
              <w:left w:val="nil"/>
              <w:bottom w:val="dotted" w:sz="4" w:space="0" w:color="auto"/>
              <w:right w:val="double" w:sz="6" w:space="0" w:color="auto"/>
            </w:tcBorders>
            <w:shd w:val="clear" w:color="000000" w:fill="FFFFFF"/>
            <w:noWrap/>
            <w:vAlign w:val="center"/>
            <w:hideMark/>
          </w:tcPr>
          <w:p w14:paraId="2689CB0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4,6</w:t>
            </w:r>
          </w:p>
        </w:tc>
      </w:tr>
      <w:tr w:rsidR="009B5DE5" w:rsidRPr="009B5DE5" w14:paraId="788129ED" w14:textId="77777777" w:rsidTr="00396800">
        <w:trPr>
          <w:trHeight w:val="390"/>
        </w:trPr>
        <w:tc>
          <w:tcPr>
            <w:tcW w:w="6858" w:type="dxa"/>
            <w:tcBorders>
              <w:top w:val="nil"/>
              <w:left w:val="double" w:sz="6" w:space="0" w:color="auto"/>
              <w:bottom w:val="dotted" w:sz="4" w:space="0" w:color="auto"/>
              <w:right w:val="nil"/>
            </w:tcBorders>
            <w:shd w:val="clear" w:color="000000" w:fill="FFFFFF"/>
            <w:hideMark/>
          </w:tcPr>
          <w:p w14:paraId="756C0374" w14:textId="77777777" w:rsidR="009B5DE5" w:rsidRPr="009B5DE5" w:rsidRDefault="00F03833" w:rsidP="009B5DE5">
            <w:pPr>
              <w:spacing w:after="0"/>
              <w:jc w:val="left"/>
              <w:rPr>
                <w:rFonts w:eastAsia="Times New Roman" w:cs="Times New Roman"/>
                <w:sz w:val="20"/>
                <w:szCs w:val="20"/>
              </w:rPr>
            </w:pPr>
            <w:hyperlink r:id="rId41" w:anchor="RANGE!B26" w:history="1">
              <w:r w:rsidR="009B5DE5" w:rsidRPr="009B5DE5">
                <w:rPr>
                  <w:rFonts w:eastAsia="Times New Roman" w:cs="Times New Roman"/>
                  <w:sz w:val="20"/>
                  <w:szCs w:val="20"/>
                </w:rPr>
                <w:t>12. Продуктивност рада, према часовима рада [6]</w:t>
              </w:r>
            </w:hyperlink>
          </w:p>
        </w:tc>
        <w:tc>
          <w:tcPr>
            <w:tcW w:w="1136" w:type="dxa"/>
            <w:tcBorders>
              <w:top w:val="nil"/>
              <w:left w:val="single" w:sz="4" w:space="0" w:color="auto"/>
              <w:bottom w:val="dotted" w:sz="4" w:space="0" w:color="auto"/>
              <w:right w:val="single" w:sz="4" w:space="0" w:color="auto"/>
            </w:tcBorders>
            <w:shd w:val="clear" w:color="000000" w:fill="FFFFFF"/>
            <w:hideMark/>
          </w:tcPr>
          <w:p w14:paraId="4BCD7D3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37" w:type="dxa"/>
            <w:tcBorders>
              <w:top w:val="nil"/>
              <w:left w:val="nil"/>
              <w:bottom w:val="dotted" w:sz="4" w:space="0" w:color="auto"/>
              <w:right w:val="single" w:sz="4" w:space="0" w:color="auto"/>
            </w:tcBorders>
            <w:shd w:val="clear" w:color="000000" w:fill="FFFFFF"/>
            <w:hideMark/>
          </w:tcPr>
          <w:p w14:paraId="254A6FF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37" w:type="dxa"/>
            <w:tcBorders>
              <w:top w:val="nil"/>
              <w:left w:val="nil"/>
              <w:bottom w:val="dotted" w:sz="4" w:space="0" w:color="auto"/>
              <w:right w:val="dotted" w:sz="4" w:space="0" w:color="auto"/>
            </w:tcBorders>
            <w:shd w:val="clear" w:color="000000" w:fill="FFFFFF"/>
            <w:hideMark/>
          </w:tcPr>
          <w:p w14:paraId="33B72D27"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137" w:type="dxa"/>
            <w:tcBorders>
              <w:top w:val="nil"/>
              <w:left w:val="nil"/>
              <w:bottom w:val="dotted" w:sz="4" w:space="0" w:color="auto"/>
              <w:right w:val="dotted" w:sz="4" w:space="0" w:color="auto"/>
            </w:tcBorders>
            <w:shd w:val="clear" w:color="000000" w:fill="FFFFFF"/>
            <w:hideMark/>
          </w:tcPr>
          <w:p w14:paraId="154C0EC2"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137" w:type="dxa"/>
            <w:tcBorders>
              <w:top w:val="nil"/>
              <w:left w:val="nil"/>
              <w:bottom w:val="dotted" w:sz="4" w:space="0" w:color="auto"/>
              <w:right w:val="dotted" w:sz="4" w:space="0" w:color="auto"/>
            </w:tcBorders>
            <w:shd w:val="clear" w:color="000000" w:fill="FFFFFF"/>
            <w:hideMark/>
          </w:tcPr>
          <w:p w14:paraId="21DED6EF"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137" w:type="dxa"/>
            <w:tcBorders>
              <w:top w:val="nil"/>
              <w:left w:val="nil"/>
              <w:bottom w:val="dotted" w:sz="4" w:space="0" w:color="auto"/>
              <w:right w:val="dotted" w:sz="4" w:space="0" w:color="auto"/>
            </w:tcBorders>
            <w:shd w:val="clear" w:color="000000" w:fill="FFFFFF"/>
            <w:hideMark/>
          </w:tcPr>
          <w:p w14:paraId="7CE859F9"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137" w:type="dxa"/>
            <w:tcBorders>
              <w:top w:val="nil"/>
              <w:left w:val="nil"/>
              <w:bottom w:val="dotted" w:sz="4" w:space="0" w:color="auto"/>
              <w:right w:val="double" w:sz="6" w:space="0" w:color="auto"/>
            </w:tcBorders>
            <w:shd w:val="clear" w:color="000000" w:fill="FFFFFF"/>
            <w:hideMark/>
          </w:tcPr>
          <w:p w14:paraId="78D0ACC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r>
      <w:tr w:rsidR="009B5DE5" w:rsidRPr="009B5DE5" w14:paraId="560F42BA" w14:textId="77777777" w:rsidTr="00396800">
        <w:trPr>
          <w:trHeight w:val="390"/>
        </w:trPr>
        <w:tc>
          <w:tcPr>
            <w:tcW w:w="6858" w:type="dxa"/>
            <w:tcBorders>
              <w:top w:val="nil"/>
              <w:left w:val="double" w:sz="6" w:space="0" w:color="auto"/>
              <w:bottom w:val="double" w:sz="6" w:space="0" w:color="auto"/>
              <w:right w:val="nil"/>
            </w:tcBorders>
            <w:shd w:val="clear" w:color="000000" w:fill="FFFFFF"/>
            <w:hideMark/>
          </w:tcPr>
          <w:p w14:paraId="0E326EFF"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13. Зараде и накнаде запосленима</w:t>
            </w:r>
          </w:p>
        </w:tc>
        <w:tc>
          <w:tcPr>
            <w:tcW w:w="1136" w:type="dxa"/>
            <w:tcBorders>
              <w:top w:val="nil"/>
              <w:left w:val="single" w:sz="4" w:space="0" w:color="auto"/>
              <w:bottom w:val="double" w:sz="6" w:space="0" w:color="auto"/>
              <w:right w:val="single" w:sz="4" w:space="0" w:color="auto"/>
            </w:tcBorders>
            <w:shd w:val="clear" w:color="000000" w:fill="FFFFFF"/>
            <w:hideMark/>
          </w:tcPr>
          <w:p w14:paraId="3FD8F6E4" w14:textId="77777777" w:rsidR="009B5DE5" w:rsidRPr="009B5DE5" w:rsidRDefault="009B5DE5" w:rsidP="009B5DE5">
            <w:pPr>
              <w:spacing w:after="0"/>
              <w:jc w:val="center"/>
              <w:rPr>
                <w:rFonts w:eastAsia="Times New Roman" w:cs="Times New Roman"/>
                <w:sz w:val="18"/>
                <w:szCs w:val="18"/>
              </w:rPr>
            </w:pPr>
            <w:r w:rsidRPr="009B5DE5">
              <w:rPr>
                <w:rFonts w:eastAsia="Times New Roman" w:cs="Times New Roman"/>
                <w:sz w:val="18"/>
                <w:szCs w:val="18"/>
              </w:rPr>
              <w:t>D1</w:t>
            </w:r>
          </w:p>
        </w:tc>
        <w:tc>
          <w:tcPr>
            <w:tcW w:w="1137" w:type="dxa"/>
            <w:tcBorders>
              <w:top w:val="nil"/>
              <w:left w:val="nil"/>
              <w:bottom w:val="double" w:sz="6" w:space="0" w:color="auto"/>
              <w:right w:val="single" w:sz="4" w:space="0" w:color="auto"/>
            </w:tcBorders>
            <w:shd w:val="clear" w:color="000000" w:fill="FFFFFF"/>
            <w:noWrap/>
            <w:vAlign w:val="center"/>
            <w:hideMark/>
          </w:tcPr>
          <w:p w14:paraId="018462E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w:t>
            </w:r>
          </w:p>
        </w:tc>
        <w:tc>
          <w:tcPr>
            <w:tcW w:w="1137" w:type="dxa"/>
            <w:tcBorders>
              <w:top w:val="nil"/>
              <w:left w:val="nil"/>
              <w:bottom w:val="double" w:sz="6" w:space="0" w:color="auto"/>
              <w:right w:val="dotted" w:sz="4" w:space="0" w:color="auto"/>
            </w:tcBorders>
            <w:shd w:val="clear" w:color="000000" w:fill="FFFFFF"/>
            <w:noWrap/>
            <w:vAlign w:val="center"/>
            <w:hideMark/>
          </w:tcPr>
          <w:p w14:paraId="4ED2AB6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137" w:type="dxa"/>
            <w:tcBorders>
              <w:top w:val="nil"/>
              <w:left w:val="nil"/>
              <w:bottom w:val="double" w:sz="6" w:space="0" w:color="auto"/>
              <w:right w:val="dotted" w:sz="4" w:space="0" w:color="auto"/>
            </w:tcBorders>
            <w:shd w:val="clear" w:color="000000" w:fill="FFFFFF"/>
            <w:noWrap/>
            <w:vAlign w:val="center"/>
            <w:hideMark/>
          </w:tcPr>
          <w:p w14:paraId="030681D0"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137" w:type="dxa"/>
            <w:tcBorders>
              <w:top w:val="nil"/>
              <w:left w:val="nil"/>
              <w:bottom w:val="double" w:sz="6" w:space="0" w:color="auto"/>
              <w:right w:val="dotted" w:sz="4" w:space="0" w:color="auto"/>
            </w:tcBorders>
            <w:shd w:val="clear" w:color="000000" w:fill="FFFFFF"/>
            <w:noWrap/>
            <w:vAlign w:val="center"/>
            <w:hideMark/>
          </w:tcPr>
          <w:p w14:paraId="2BAEBD0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137" w:type="dxa"/>
            <w:tcBorders>
              <w:top w:val="nil"/>
              <w:left w:val="nil"/>
              <w:bottom w:val="double" w:sz="6" w:space="0" w:color="auto"/>
              <w:right w:val="dotted" w:sz="4" w:space="0" w:color="auto"/>
            </w:tcBorders>
            <w:shd w:val="clear" w:color="000000" w:fill="FFFFFF"/>
            <w:noWrap/>
            <w:vAlign w:val="center"/>
            <w:hideMark/>
          </w:tcPr>
          <w:p w14:paraId="6995FBA0"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137" w:type="dxa"/>
            <w:tcBorders>
              <w:top w:val="nil"/>
              <w:left w:val="nil"/>
              <w:bottom w:val="double" w:sz="6" w:space="0" w:color="auto"/>
              <w:right w:val="double" w:sz="6" w:space="0" w:color="auto"/>
            </w:tcBorders>
            <w:shd w:val="clear" w:color="000000" w:fill="FFFFFF"/>
            <w:noWrap/>
            <w:vAlign w:val="center"/>
            <w:hideMark/>
          </w:tcPr>
          <w:p w14:paraId="39E30A4F"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r>
    </w:tbl>
    <w:p w14:paraId="227FC518" w14:textId="77777777" w:rsidR="009B5DE5" w:rsidRPr="009B5DE5" w:rsidRDefault="009B5DE5" w:rsidP="009B5DE5">
      <w:pPr>
        <w:spacing w:after="0"/>
        <w:jc w:val="left"/>
        <w:rPr>
          <w:rFonts w:eastAsia="Times New Roman" w:cs="Times New Roman"/>
          <w:bCs/>
          <w:sz w:val="22"/>
        </w:rPr>
      </w:pPr>
    </w:p>
    <w:tbl>
      <w:tblPr>
        <w:tblW w:w="5800" w:type="dxa"/>
        <w:tblLook w:val="04A0" w:firstRow="1" w:lastRow="0" w:firstColumn="1" w:lastColumn="0" w:noHBand="0" w:noVBand="1"/>
      </w:tblPr>
      <w:tblGrid>
        <w:gridCol w:w="5800"/>
      </w:tblGrid>
      <w:tr w:rsidR="009B5DE5" w:rsidRPr="009B5DE5" w14:paraId="44CD8D83" w14:textId="77777777" w:rsidTr="009B5DE5">
        <w:trPr>
          <w:trHeight w:val="255"/>
        </w:trPr>
        <w:tc>
          <w:tcPr>
            <w:tcW w:w="5800" w:type="dxa"/>
            <w:tcBorders>
              <w:top w:val="nil"/>
              <w:left w:val="nil"/>
              <w:bottom w:val="nil"/>
              <w:right w:val="nil"/>
            </w:tcBorders>
            <w:shd w:val="clear" w:color="000000" w:fill="FFFFFF"/>
            <w:noWrap/>
            <w:vAlign w:val="bottom"/>
            <w:hideMark/>
          </w:tcPr>
          <w:p w14:paraId="1AB8F64C" w14:textId="77777777" w:rsidR="009B5DE5" w:rsidRPr="009B5DE5" w:rsidRDefault="009B5DE5" w:rsidP="009B5DE5">
            <w:pPr>
              <w:spacing w:after="0"/>
              <w:jc w:val="left"/>
              <w:rPr>
                <w:rFonts w:eastAsia="Times New Roman" w:cs="Times New Roman"/>
                <w:sz w:val="16"/>
                <w:szCs w:val="16"/>
              </w:rPr>
            </w:pPr>
            <w:bookmarkStart w:id="42" w:name="RANGE!B21"/>
            <w:r w:rsidRPr="009B5DE5">
              <w:rPr>
                <w:rFonts w:eastAsia="Times New Roman" w:cs="Times New Roman"/>
                <w:sz w:val="16"/>
                <w:szCs w:val="16"/>
              </w:rPr>
              <w:t>[1] Узрасна група 15-64 године</w:t>
            </w:r>
            <w:bookmarkEnd w:id="42"/>
          </w:p>
        </w:tc>
      </w:tr>
      <w:tr w:rsidR="009B5DE5" w:rsidRPr="009B5DE5" w14:paraId="41AB9181" w14:textId="77777777" w:rsidTr="009B5DE5">
        <w:trPr>
          <w:trHeight w:val="255"/>
        </w:trPr>
        <w:tc>
          <w:tcPr>
            <w:tcW w:w="5800" w:type="dxa"/>
            <w:tcBorders>
              <w:top w:val="nil"/>
              <w:left w:val="nil"/>
              <w:bottom w:val="nil"/>
              <w:right w:val="nil"/>
            </w:tcBorders>
            <w:shd w:val="clear" w:color="000000" w:fill="FFFFFF"/>
            <w:noWrap/>
            <w:vAlign w:val="bottom"/>
            <w:hideMark/>
          </w:tcPr>
          <w:p w14:paraId="1CBAB482" w14:textId="77777777" w:rsidR="009B5DE5" w:rsidRPr="009B5DE5" w:rsidRDefault="009B5DE5" w:rsidP="009B5DE5">
            <w:pPr>
              <w:spacing w:after="0"/>
              <w:jc w:val="left"/>
              <w:rPr>
                <w:rFonts w:eastAsia="Times New Roman" w:cs="Times New Roman"/>
                <w:sz w:val="16"/>
                <w:szCs w:val="16"/>
              </w:rPr>
            </w:pPr>
            <w:bookmarkStart w:id="43" w:name="RANGE!B22"/>
            <w:r w:rsidRPr="009B5DE5">
              <w:rPr>
                <w:rFonts w:eastAsia="Times New Roman" w:cs="Times New Roman"/>
                <w:sz w:val="16"/>
                <w:szCs w:val="16"/>
              </w:rPr>
              <w:t>[2] Запослено становништво, дефиниција према Анкети о радној снази</w:t>
            </w:r>
            <w:bookmarkEnd w:id="43"/>
          </w:p>
        </w:tc>
      </w:tr>
      <w:tr w:rsidR="009B5DE5" w:rsidRPr="009B5DE5" w14:paraId="24BF01F4" w14:textId="77777777" w:rsidTr="009B5DE5">
        <w:trPr>
          <w:trHeight w:val="255"/>
        </w:trPr>
        <w:tc>
          <w:tcPr>
            <w:tcW w:w="5800" w:type="dxa"/>
            <w:tcBorders>
              <w:top w:val="nil"/>
              <w:left w:val="nil"/>
              <w:bottom w:val="nil"/>
              <w:right w:val="nil"/>
            </w:tcBorders>
            <w:shd w:val="clear" w:color="000000" w:fill="FFFFFF"/>
            <w:noWrap/>
            <w:vAlign w:val="bottom"/>
            <w:hideMark/>
          </w:tcPr>
          <w:p w14:paraId="6DF9D721" w14:textId="77777777" w:rsidR="009B5DE5" w:rsidRPr="009B5DE5" w:rsidRDefault="009B5DE5" w:rsidP="009B5DE5">
            <w:pPr>
              <w:spacing w:after="0"/>
              <w:jc w:val="left"/>
              <w:rPr>
                <w:rFonts w:eastAsia="Times New Roman" w:cs="Times New Roman"/>
                <w:sz w:val="16"/>
                <w:szCs w:val="16"/>
              </w:rPr>
            </w:pPr>
            <w:bookmarkStart w:id="44" w:name="RANGE!B23"/>
            <w:r w:rsidRPr="009B5DE5">
              <w:rPr>
                <w:rFonts w:eastAsia="Times New Roman" w:cs="Times New Roman"/>
                <w:sz w:val="16"/>
                <w:szCs w:val="16"/>
              </w:rPr>
              <w:t>[3] Дефиниција према националним рачунима</w:t>
            </w:r>
            <w:bookmarkEnd w:id="44"/>
          </w:p>
        </w:tc>
      </w:tr>
      <w:tr w:rsidR="009B5DE5" w:rsidRPr="009B5DE5" w14:paraId="6BE2E99E" w14:textId="77777777" w:rsidTr="009B5DE5">
        <w:trPr>
          <w:trHeight w:val="255"/>
        </w:trPr>
        <w:tc>
          <w:tcPr>
            <w:tcW w:w="5800" w:type="dxa"/>
            <w:tcBorders>
              <w:top w:val="nil"/>
              <w:left w:val="nil"/>
              <w:bottom w:val="nil"/>
              <w:right w:val="nil"/>
            </w:tcBorders>
            <w:shd w:val="clear" w:color="000000" w:fill="FFFFFF"/>
            <w:noWrap/>
            <w:vAlign w:val="bottom"/>
            <w:hideMark/>
          </w:tcPr>
          <w:p w14:paraId="4EBAB5F2" w14:textId="77777777" w:rsidR="009B5DE5" w:rsidRPr="009B5DE5" w:rsidRDefault="009B5DE5" w:rsidP="009B5DE5">
            <w:pPr>
              <w:spacing w:after="0"/>
              <w:jc w:val="left"/>
              <w:rPr>
                <w:rFonts w:eastAsia="Times New Roman" w:cs="Times New Roman"/>
                <w:sz w:val="16"/>
                <w:szCs w:val="16"/>
              </w:rPr>
            </w:pPr>
            <w:bookmarkStart w:id="45" w:name="RANGE!B24"/>
            <w:r w:rsidRPr="009B5DE5">
              <w:rPr>
                <w:rFonts w:eastAsia="Times New Roman" w:cs="Times New Roman"/>
                <w:sz w:val="16"/>
                <w:szCs w:val="16"/>
              </w:rPr>
              <w:t>[4] Хармонизована дефиниција, Евростат; нивои</w:t>
            </w:r>
            <w:bookmarkEnd w:id="45"/>
          </w:p>
        </w:tc>
      </w:tr>
      <w:tr w:rsidR="009B5DE5" w:rsidRPr="009B5DE5" w14:paraId="764AE9A1" w14:textId="77777777" w:rsidTr="009B5DE5">
        <w:trPr>
          <w:trHeight w:val="255"/>
        </w:trPr>
        <w:tc>
          <w:tcPr>
            <w:tcW w:w="5800" w:type="dxa"/>
            <w:tcBorders>
              <w:top w:val="nil"/>
              <w:left w:val="nil"/>
              <w:bottom w:val="nil"/>
              <w:right w:val="nil"/>
            </w:tcBorders>
            <w:shd w:val="clear" w:color="000000" w:fill="FFFFFF"/>
            <w:noWrap/>
            <w:vAlign w:val="bottom"/>
            <w:hideMark/>
          </w:tcPr>
          <w:p w14:paraId="7B293108" w14:textId="77777777" w:rsidR="009B5DE5" w:rsidRPr="009B5DE5" w:rsidRDefault="009B5DE5" w:rsidP="009B5DE5">
            <w:pPr>
              <w:spacing w:after="0"/>
              <w:jc w:val="left"/>
              <w:rPr>
                <w:rFonts w:eastAsia="Times New Roman" w:cs="Times New Roman"/>
                <w:sz w:val="16"/>
                <w:szCs w:val="16"/>
              </w:rPr>
            </w:pPr>
            <w:bookmarkStart w:id="46" w:name="RANGE!B25"/>
            <w:r w:rsidRPr="009B5DE5">
              <w:rPr>
                <w:rFonts w:eastAsia="Times New Roman" w:cs="Times New Roman"/>
                <w:sz w:val="16"/>
                <w:szCs w:val="16"/>
              </w:rPr>
              <w:t>[5] Реални БДП по запосленом лицу</w:t>
            </w:r>
            <w:bookmarkEnd w:id="46"/>
          </w:p>
        </w:tc>
      </w:tr>
      <w:tr w:rsidR="009B5DE5" w:rsidRPr="009B5DE5" w14:paraId="7C2F179A" w14:textId="77777777" w:rsidTr="009B5DE5">
        <w:trPr>
          <w:trHeight w:val="255"/>
        </w:trPr>
        <w:tc>
          <w:tcPr>
            <w:tcW w:w="5800" w:type="dxa"/>
            <w:tcBorders>
              <w:top w:val="nil"/>
              <w:left w:val="nil"/>
              <w:bottom w:val="nil"/>
              <w:right w:val="nil"/>
            </w:tcBorders>
            <w:shd w:val="clear" w:color="000000" w:fill="FFFFFF"/>
            <w:noWrap/>
            <w:vAlign w:val="bottom"/>
            <w:hideMark/>
          </w:tcPr>
          <w:p w14:paraId="32F1AAB8" w14:textId="77777777" w:rsidR="009B5DE5" w:rsidRPr="009B5DE5" w:rsidRDefault="009B5DE5" w:rsidP="009B5DE5">
            <w:pPr>
              <w:spacing w:after="0"/>
              <w:jc w:val="left"/>
              <w:rPr>
                <w:rFonts w:eastAsia="Times New Roman" w:cs="Times New Roman"/>
                <w:sz w:val="16"/>
                <w:szCs w:val="16"/>
              </w:rPr>
            </w:pPr>
            <w:bookmarkStart w:id="47" w:name="RANGE!B26"/>
            <w:r w:rsidRPr="009B5DE5">
              <w:rPr>
                <w:rFonts w:eastAsia="Times New Roman" w:cs="Times New Roman"/>
                <w:sz w:val="16"/>
                <w:szCs w:val="16"/>
              </w:rPr>
              <w:t>[6] Реални БДП по часу рада</w:t>
            </w:r>
            <w:bookmarkEnd w:id="47"/>
          </w:p>
        </w:tc>
      </w:tr>
    </w:tbl>
    <w:p w14:paraId="35A96914" w14:textId="77777777" w:rsidR="009B5DE5" w:rsidRPr="009B5DE5" w:rsidRDefault="009B5DE5" w:rsidP="009B5DE5">
      <w:pPr>
        <w:spacing w:after="0"/>
        <w:jc w:val="left"/>
        <w:rPr>
          <w:rFonts w:eastAsia="Times New Roman" w:cs="Times New Roman"/>
          <w:bCs/>
          <w:sz w:val="22"/>
        </w:rPr>
      </w:pPr>
    </w:p>
    <w:p w14:paraId="3F31011A" w14:textId="77777777" w:rsidR="009B5DE5" w:rsidRPr="009B5DE5" w:rsidRDefault="009B5DE5" w:rsidP="009B5DE5">
      <w:pPr>
        <w:spacing w:after="0"/>
        <w:jc w:val="left"/>
        <w:rPr>
          <w:rFonts w:eastAsia="Times New Roman" w:cs="Times New Roman"/>
          <w:bCs/>
          <w:sz w:val="22"/>
        </w:rPr>
      </w:pPr>
    </w:p>
    <w:p w14:paraId="56041E4E" w14:textId="77777777" w:rsidR="009B5DE5" w:rsidRPr="009B5DE5" w:rsidRDefault="009B5DE5" w:rsidP="009B5DE5">
      <w:pPr>
        <w:spacing w:after="0"/>
        <w:jc w:val="left"/>
        <w:rPr>
          <w:rFonts w:eastAsia="Times New Roman" w:cs="Times New Roman"/>
          <w:bCs/>
          <w:sz w:val="22"/>
        </w:rPr>
      </w:pPr>
    </w:p>
    <w:p w14:paraId="770B8AB2" w14:textId="77777777" w:rsidR="009B5DE5" w:rsidRPr="009B5DE5" w:rsidRDefault="009B5DE5" w:rsidP="009B5DE5">
      <w:pPr>
        <w:spacing w:after="0"/>
        <w:jc w:val="left"/>
        <w:rPr>
          <w:rFonts w:eastAsia="Times New Roman" w:cs="Times New Roman"/>
          <w:bCs/>
          <w:sz w:val="22"/>
        </w:rPr>
      </w:pPr>
    </w:p>
    <w:p w14:paraId="10D4D23E" w14:textId="77777777" w:rsidR="009B5DE5" w:rsidRPr="009B5DE5" w:rsidRDefault="009B5DE5" w:rsidP="009B5DE5">
      <w:pPr>
        <w:spacing w:after="0"/>
        <w:jc w:val="left"/>
        <w:rPr>
          <w:rFonts w:eastAsia="Times New Roman" w:cs="Times New Roman"/>
          <w:bCs/>
          <w:sz w:val="22"/>
        </w:rPr>
      </w:pPr>
    </w:p>
    <w:p w14:paraId="4F924680" w14:textId="77777777" w:rsidR="009B5DE5" w:rsidRPr="009B5DE5" w:rsidRDefault="009B5DE5" w:rsidP="009B5DE5">
      <w:pPr>
        <w:spacing w:after="0"/>
        <w:jc w:val="left"/>
        <w:rPr>
          <w:rFonts w:eastAsia="Times New Roman" w:cs="Times New Roman"/>
          <w:bCs/>
          <w:sz w:val="22"/>
        </w:rPr>
      </w:pPr>
      <w:r w:rsidRPr="009B5DE5">
        <w:rPr>
          <w:rFonts w:eastAsia="Times New Roman" w:cs="Times New Roman"/>
          <w:bCs/>
          <w:sz w:val="22"/>
        </w:rPr>
        <w:t xml:space="preserve">Табела 1d:  Секторски биланси </w:t>
      </w:r>
    </w:p>
    <w:p w14:paraId="39A77C42" w14:textId="77777777" w:rsidR="009B5DE5" w:rsidRPr="009B5DE5" w:rsidRDefault="009B5DE5" w:rsidP="009B5DE5">
      <w:pPr>
        <w:spacing w:after="0"/>
        <w:jc w:val="left"/>
        <w:rPr>
          <w:rFonts w:eastAsia="Times New Roman" w:cs="Times New Roman"/>
          <w:bCs/>
          <w:sz w:val="22"/>
        </w:rPr>
      </w:pPr>
    </w:p>
    <w:tbl>
      <w:tblPr>
        <w:tblW w:w="14765" w:type="dxa"/>
        <w:tblLook w:val="04A0" w:firstRow="1" w:lastRow="0" w:firstColumn="1" w:lastColumn="0" w:noHBand="0" w:noVBand="1"/>
      </w:tblPr>
      <w:tblGrid>
        <w:gridCol w:w="7368"/>
        <w:gridCol w:w="1232"/>
        <w:gridCol w:w="1233"/>
        <w:gridCol w:w="1233"/>
        <w:gridCol w:w="1233"/>
        <w:gridCol w:w="1233"/>
        <w:gridCol w:w="1233"/>
      </w:tblGrid>
      <w:tr w:rsidR="009B5DE5" w:rsidRPr="009B5DE5" w14:paraId="34B82393" w14:textId="77777777" w:rsidTr="00396800">
        <w:trPr>
          <w:trHeight w:val="362"/>
        </w:trPr>
        <w:tc>
          <w:tcPr>
            <w:tcW w:w="7368" w:type="dxa"/>
            <w:vMerge w:val="restart"/>
            <w:tcBorders>
              <w:top w:val="double" w:sz="6" w:space="0" w:color="auto"/>
              <w:left w:val="double" w:sz="6" w:space="0" w:color="auto"/>
              <w:bottom w:val="single" w:sz="8" w:space="0" w:color="000000"/>
              <w:right w:val="dotted" w:sz="4" w:space="0" w:color="auto"/>
            </w:tcBorders>
            <w:shd w:val="clear" w:color="000000" w:fill="FFFFFF"/>
            <w:vAlign w:val="center"/>
            <w:hideMark/>
          </w:tcPr>
          <w:p w14:paraId="6956CF0F"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 БДП</w:t>
            </w:r>
          </w:p>
        </w:tc>
        <w:tc>
          <w:tcPr>
            <w:tcW w:w="1232" w:type="dxa"/>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14:paraId="42525F8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ESA шифра</w:t>
            </w:r>
          </w:p>
        </w:tc>
        <w:tc>
          <w:tcPr>
            <w:tcW w:w="1233" w:type="dxa"/>
            <w:tcBorders>
              <w:top w:val="double" w:sz="6" w:space="0" w:color="auto"/>
              <w:left w:val="nil"/>
              <w:bottom w:val="nil"/>
              <w:right w:val="dotted" w:sz="4" w:space="0" w:color="auto"/>
            </w:tcBorders>
            <w:shd w:val="clear" w:color="000000" w:fill="FFFFFF"/>
            <w:vAlign w:val="center"/>
            <w:hideMark/>
          </w:tcPr>
          <w:p w14:paraId="6D28435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Година</w:t>
            </w:r>
          </w:p>
        </w:tc>
        <w:tc>
          <w:tcPr>
            <w:tcW w:w="1233" w:type="dxa"/>
            <w:tcBorders>
              <w:top w:val="double" w:sz="6" w:space="0" w:color="auto"/>
              <w:left w:val="nil"/>
              <w:bottom w:val="nil"/>
              <w:right w:val="dotted" w:sz="4" w:space="0" w:color="auto"/>
            </w:tcBorders>
            <w:shd w:val="clear" w:color="000000" w:fill="FFFFFF"/>
            <w:vAlign w:val="center"/>
            <w:hideMark/>
          </w:tcPr>
          <w:p w14:paraId="3CAB62E0"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Година</w:t>
            </w:r>
          </w:p>
        </w:tc>
        <w:tc>
          <w:tcPr>
            <w:tcW w:w="1233" w:type="dxa"/>
            <w:tcBorders>
              <w:top w:val="double" w:sz="6" w:space="0" w:color="auto"/>
              <w:left w:val="nil"/>
              <w:bottom w:val="nil"/>
              <w:right w:val="dotted" w:sz="4" w:space="0" w:color="auto"/>
            </w:tcBorders>
            <w:shd w:val="clear" w:color="000000" w:fill="FFFFFF"/>
            <w:vAlign w:val="center"/>
            <w:hideMark/>
          </w:tcPr>
          <w:p w14:paraId="15FD0D4F"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Година</w:t>
            </w:r>
          </w:p>
        </w:tc>
        <w:tc>
          <w:tcPr>
            <w:tcW w:w="1233" w:type="dxa"/>
            <w:tcBorders>
              <w:top w:val="double" w:sz="6" w:space="0" w:color="auto"/>
              <w:left w:val="nil"/>
              <w:bottom w:val="nil"/>
              <w:right w:val="dotted" w:sz="4" w:space="0" w:color="auto"/>
            </w:tcBorders>
            <w:shd w:val="clear" w:color="000000" w:fill="FFFFFF"/>
            <w:vAlign w:val="center"/>
            <w:hideMark/>
          </w:tcPr>
          <w:p w14:paraId="27F452B0"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Година</w:t>
            </w:r>
          </w:p>
        </w:tc>
        <w:tc>
          <w:tcPr>
            <w:tcW w:w="1233" w:type="dxa"/>
            <w:tcBorders>
              <w:top w:val="double" w:sz="6" w:space="0" w:color="auto"/>
              <w:left w:val="nil"/>
              <w:bottom w:val="nil"/>
              <w:right w:val="double" w:sz="6" w:space="0" w:color="auto"/>
            </w:tcBorders>
            <w:shd w:val="clear" w:color="000000" w:fill="FFFFFF"/>
            <w:vAlign w:val="center"/>
            <w:hideMark/>
          </w:tcPr>
          <w:p w14:paraId="6314EC3F"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Година</w:t>
            </w:r>
          </w:p>
        </w:tc>
      </w:tr>
      <w:tr w:rsidR="009B5DE5" w:rsidRPr="009B5DE5" w14:paraId="5BD9474E" w14:textId="77777777" w:rsidTr="00396800">
        <w:trPr>
          <w:trHeight w:val="229"/>
        </w:trPr>
        <w:tc>
          <w:tcPr>
            <w:tcW w:w="7368" w:type="dxa"/>
            <w:vMerge/>
            <w:tcBorders>
              <w:top w:val="double" w:sz="6" w:space="0" w:color="auto"/>
              <w:left w:val="double" w:sz="6" w:space="0" w:color="auto"/>
              <w:bottom w:val="single" w:sz="8" w:space="0" w:color="000000"/>
              <w:right w:val="dotted" w:sz="4" w:space="0" w:color="auto"/>
            </w:tcBorders>
            <w:vAlign w:val="center"/>
            <w:hideMark/>
          </w:tcPr>
          <w:p w14:paraId="17398D74" w14:textId="77777777" w:rsidR="009B5DE5" w:rsidRPr="009B5DE5" w:rsidRDefault="009B5DE5" w:rsidP="009B5DE5">
            <w:pPr>
              <w:spacing w:after="0"/>
              <w:jc w:val="left"/>
              <w:rPr>
                <w:rFonts w:eastAsia="Times New Roman" w:cs="Times New Roman"/>
                <w:szCs w:val="24"/>
              </w:rPr>
            </w:pPr>
          </w:p>
        </w:tc>
        <w:tc>
          <w:tcPr>
            <w:tcW w:w="1232" w:type="dxa"/>
            <w:vMerge/>
            <w:tcBorders>
              <w:top w:val="double" w:sz="6" w:space="0" w:color="auto"/>
              <w:left w:val="dotted" w:sz="4" w:space="0" w:color="auto"/>
              <w:bottom w:val="single" w:sz="8" w:space="0" w:color="000000"/>
              <w:right w:val="single" w:sz="8" w:space="0" w:color="auto"/>
            </w:tcBorders>
            <w:vAlign w:val="center"/>
            <w:hideMark/>
          </w:tcPr>
          <w:p w14:paraId="15F466D2" w14:textId="77777777" w:rsidR="009B5DE5" w:rsidRPr="009B5DE5" w:rsidRDefault="009B5DE5" w:rsidP="009B5DE5">
            <w:pPr>
              <w:spacing w:after="0"/>
              <w:jc w:val="left"/>
              <w:rPr>
                <w:rFonts w:eastAsia="Times New Roman" w:cs="Times New Roman"/>
                <w:szCs w:val="24"/>
              </w:rPr>
            </w:pPr>
          </w:p>
        </w:tc>
        <w:tc>
          <w:tcPr>
            <w:tcW w:w="1233" w:type="dxa"/>
            <w:tcBorders>
              <w:top w:val="nil"/>
              <w:left w:val="nil"/>
              <w:bottom w:val="single" w:sz="8" w:space="0" w:color="auto"/>
              <w:right w:val="dotted" w:sz="4" w:space="0" w:color="auto"/>
            </w:tcBorders>
            <w:shd w:val="clear" w:color="000000" w:fill="FFFFFF"/>
            <w:vAlign w:val="center"/>
            <w:hideMark/>
          </w:tcPr>
          <w:p w14:paraId="5C194B4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2023</w:t>
            </w:r>
          </w:p>
        </w:tc>
        <w:tc>
          <w:tcPr>
            <w:tcW w:w="1233" w:type="dxa"/>
            <w:tcBorders>
              <w:top w:val="nil"/>
              <w:left w:val="nil"/>
              <w:bottom w:val="single" w:sz="8" w:space="0" w:color="auto"/>
              <w:right w:val="dotted" w:sz="4" w:space="0" w:color="auto"/>
            </w:tcBorders>
            <w:shd w:val="clear" w:color="000000" w:fill="FFFFFF"/>
            <w:vAlign w:val="center"/>
            <w:hideMark/>
          </w:tcPr>
          <w:p w14:paraId="516A879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2024</w:t>
            </w:r>
          </w:p>
        </w:tc>
        <w:tc>
          <w:tcPr>
            <w:tcW w:w="1233" w:type="dxa"/>
            <w:tcBorders>
              <w:top w:val="nil"/>
              <w:left w:val="nil"/>
              <w:bottom w:val="single" w:sz="8" w:space="0" w:color="auto"/>
              <w:right w:val="dotted" w:sz="4" w:space="0" w:color="auto"/>
            </w:tcBorders>
            <w:shd w:val="clear" w:color="000000" w:fill="FFFFFF"/>
            <w:vAlign w:val="center"/>
            <w:hideMark/>
          </w:tcPr>
          <w:p w14:paraId="7EE1662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2025</w:t>
            </w:r>
          </w:p>
        </w:tc>
        <w:tc>
          <w:tcPr>
            <w:tcW w:w="1233" w:type="dxa"/>
            <w:tcBorders>
              <w:top w:val="nil"/>
              <w:left w:val="nil"/>
              <w:bottom w:val="single" w:sz="8" w:space="0" w:color="auto"/>
              <w:right w:val="dotted" w:sz="4" w:space="0" w:color="auto"/>
            </w:tcBorders>
            <w:shd w:val="clear" w:color="000000" w:fill="FFFFFF"/>
            <w:vAlign w:val="center"/>
            <w:hideMark/>
          </w:tcPr>
          <w:p w14:paraId="2819CBE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2026</w:t>
            </w:r>
          </w:p>
        </w:tc>
        <w:tc>
          <w:tcPr>
            <w:tcW w:w="1233" w:type="dxa"/>
            <w:tcBorders>
              <w:top w:val="nil"/>
              <w:left w:val="nil"/>
              <w:bottom w:val="single" w:sz="8" w:space="0" w:color="auto"/>
              <w:right w:val="double" w:sz="6" w:space="0" w:color="auto"/>
            </w:tcBorders>
            <w:shd w:val="clear" w:color="000000" w:fill="FFFFFF"/>
            <w:vAlign w:val="center"/>
            <w:hideMark/>
          </w:tcPr>
          <w:p w14:paraId="00AF303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2027</w:t>
            </w:r>
          </w:p>
        </w:tc>
      </w:tr>
      <w:tr w:rsidR="009B5DE5" w:rsidRPr="009B5DE5" w14:paraId="016A5733" w14:textId="77777777" w:rsidTr="00396800">
        <w:trPr>
          <w:trHeight w:val="593"/>
        </w:trPr>
        <w:tc>
          <w:tcPr>
            <w:tcW w:w="7368" w:type="dxa"/>
            <w:tcBorders>
              <w:top w:val="nil"/>
              <w:left w:val="double" w:sz="6" w:space="0" w:color="auto"/>
              <w:bottom w:val="nil"/>
              <w:right w:val="dotted" w:sz="4" w:space="0" w:color="auto"/>
            </w:tcBorders>
            <w:shd w:val="clear" w:color="000000" w:fill="FFFFFF"/>
            <w:vAlign w:val="center"/>
            <w:hideMark/>
          </w:tcPr>
          <w:p w14:paraId="39916450"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1. Нето дате/узете позајмице у односу на остатак света</w:t>
            </w:r>
          </w:p>
        </w:tc>
        <w:tc>
          <w:tcPr>
            <w:tcW w:w="1232" w:type="dxa"/>
            <w:tcBorders>
              <w:top w:val="nil"/>
              <w:left w:val="nil"/>
              <w:bottom w:val="nil"/>
              <w:right w:val="single" w:sz="8" w:space="0" w:color="auto"/>
            </w:tcBorders>
            <w:shd w:val="clear" w:color="000000" w:fill="FFFFFF"/>
            <w:vAlign w:val="center"/>
            <w:hideMark/>
          </w:tcPr>
          <w:p w14:paraId="19C2225D" w14:textId="77777777" w:rsidR="009B5DE5" w:rsidRPr="009B5DE5" w:rsidRDefault="009B5DE5" w:rsidP="001B3328">
            <w:pPr>
              <w:spacing w:after="0"/>
              <w:jc w:val="center"/>
              <w:rPr>
                <w:rFonts w:eastAsia="Times New Roman" w:cs="Times New Roman"/>
                <w:szCs w:val="24"/>
              </w:rPr>
            </w:pPr>
            <w:r w:rsidRPr="009B5DE5">
              <w:rPr>
                <w:rFonts w:eastAsia="Times New Roman" w:cs="Times New Roman"/>
                <w:szCs w:val="24"/>
              </w:rPr>
              <w:t>B.9</w:t>
            </w:r>
          </w:p>
        </w:tc>
        <w:tc>
          <w:tcPr>
            <w:tcW w:w="1233" w:type="dxa"/>
            <w:tcBorders>
              <w:top w:val="nil"/>
              <w:left w:val="nil"/>
              <w:bottom w:val="nil"/>
              <w:right w:val="dotted" w:sz="4" w:space="0" w:color="auto"/>
            </w:tcBorders>
            <w:shd w:val="clear" w:color="000000" w:fill="FFFFFF"/>
            <w:vAlign w:val="center"/>
            <w:hideMark/>
          </w:tcPr>
          <w:p w14:paraId="47AD0055"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-2,4</w:t>
            </w:r>
          </w:p>
        </w:tc>
        <w:tc>
          <w:tcPr>
            <w:tcW w:w="1233" w:type="dxa"/>
            <w:tcBorders>
              <w:top w:val="nil"/>
              <w:left w:val="nil"/>
              <w:bottom w:val="single" w:sz="4" w:space="0" w:color="auto"/>
              <w:right w:val="dotted" w:sz="4" w:space="0" w:color="auto"/>
            </w:tcBorders>
            <w:shd w:val="clear" w:color="000000" w:fill="FFFFFF"/>
            <w:vAlign w:val="center"/>
            <w:hideMark/>
          </w:tcPr>
          <w:p w14:paraId="52F29FB5"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-4,7</w:t>
            </w:r>
          </w:p>
        </w:tc>
        <w:tc>
          <w:tcPr>
            <w:tcW w:w="1233" w:type="dxa"/>
            <w:tcBorders>
              <w:top w:val="nil"/>
              <w:left w:val="nil"/>
              <w:bottom w:val="single" w:sz="4" w:space="0" w:color="auto"/>
              <w:right w:val="dotted" w:sz="4" w:space="0" w:color="auto"/>
            </w:tcBorders>
            <w:shd w:val="clear" w:color="000000" w:fill="FFFFFF"/>
            <w:vAlign w:val="center"/>
            <w:hideMark/>
          </w:tcPr>
          <w:p w14:paraId="40E5D2FF"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-4,9</w:t>
            </w:r>
          </w:p>
        </w:tc>
        <w:tc>
          <w:tcPr>
            <w:tcW w:w="1233" w:type="dxa"/>
            <w:tcBorders>
              <w:top w:val="nil"/>
              <w:left w:val="nil"/>
              <w:bottom w:val="single" w:sz="4" w:space="0" w:color="auto"/>
              <w:right w:val="dotted" w:sz="4" w:space="0" w:color="auto"/>
            </w:tcBorders>
            <w:shd w:val="clear" w:color="000000" w:fill="FFFFFF"/>
            <w:vAlign w:val="center"/>
            <w:hideMark/>
          </w:tcPr>
          <w:p w14:paraId="4BDC5E39"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-5,3</w:t>
            </w:r>
          </w:p>
        </w:tc>
        <w:tc>
          <w:tcPr>
            <w:tcW w:w="1233" w:type="dxa"/>
            <w:tcBorders>
              <w:top w:val="nil"/>
              <w:left w:val="nil"/>
              <w:bottom w:val="single" w:sz="4" w:space="0" w:color="auto"/>
              <w:right w:val="double" w:sz="6" w:space="0" w:color="auto"/>
            </w:tcBorders>
            <w:shd w:val="clear" w:color="000000" w:fill="FFFFFF"/>
            <w:vAlign w:val="center"/>
            <w:hideMark/>
          </w:tcPr>
          <w:p w14:paraId="60178586"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-4,1</w:t>
            </w:r>
          </w:p>
        </w:tc>
      </w:tr>
      <w:tr w:rsidR="009B5DE5" w:rsidRPr="009B5DE5" w14:paraId="061F4B30" w14:textId="77777777" w:rsidTr="00396800">
        <w:trPr>
          <w:trHeight w:val="362"/>
        </w:trPr>
        <w:tc>
          <w:tcPr>
            <w:tcW w:w="7368" w:type="dxa"/>
            <w:tcBorders>
              <w:top w:val="single" w:sz="4" w:space="0" w:color="auto"/>
              <w:left w:val="double" w:sz="6" w:space="0" w:color="auto"/>
              <w:bottom w:val="dotted" w:sz="4" w:space="0" w:color="auto"/>
              <w:right w:val="dotted" w:sz="4" w:space="0" w:color="auto"/>
            </w:tcBorders>
            <w:shd w:val="clear" w:color="000000" w:fill="FFFFFF"/>
            <w:vAlign w:val="center"/>
            <w:hideMark/>
          </w:tcPr>
          <w:p w14:paraId="679FFA1F" w14:textId="77777777" w:rsidR="009B5DE5" w:rsidRPr="009B5DE5" w:rsidRDefault="009B5DE5" w:rsidP="009B5DE5">
            <w:pPr>
              <w:spacing w:after="0"/>
              <w:jc w:val="left"/>
              <w:rPr>
                <w:rFonts w:eastAsia="Times New Roman" w:cs="Times New Roman"/>
                <w:i/>
                <w:iCs/>
                <w:szCs w:val="24"/>
              </w:rPr>
            </w:pPr>
            <w:bookmarkStart w:id="48" w:name="RANGE!C7"/>
            <w:r w:rsidRPr="009B5DE5">
              <w:rPr>
                <w:rFonts w:eastAsia="Times New Roman" w:cs="Times New Roman"/>
                <w:i/>
                <w:iCs/>
                <w:szCs w:val="24"/>
              </w:rPr>
              <w:t>од чега:</w:t>
            </w:r>
            <w:bookmarkEnd w:id="48"/>
          </w:p>
        </w:tc>
        <w:tc>
          <w:tcPr>
            <w:tcW w:w="1232" w:type="dxa"/>
            <w:tcBorders>
              <w:top w:val="single" w:sz="4" w:space="0" w:color="auto"/>
              <w:left w:val="nil"/>
              <w:bottom w:val="dotted" w:sz="4" w:space="0" w:color="auto"/>
              <w:right w:val="single" w:sz="8" w:space="0" w:color="auto"/>
            </w:tcBorders>
            <w:shd w:val="clear" w:color="000000" w:fill="FFFFFF"/>
            <w:vAlign w:val="center"/>
            <w:hideMark/>
          </w:tcPr>
          <w:p w14:paraId="7F4B52BF"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 </w:t>
            </w:r>
          </w:p>
        </w:tc>
        <w:tc>
          <w:tcPr>
            <w:tcW w:w="1233" w:type="dxa"/>
            <w:tcBorders>
              <w:top w:val="single" w:sz="4" w:space="0" w:color="auto"/>
              <w:left w:val="nil"/>
              <w:bottom w:val="dotted" w:sz="4" w:space="0" w:color="auto"/>
              <w:right w:val="dotted" w:sz="4" w:space="0" w:color="auto"/>
            </w:tcBorders>
            <w:shd w:val="clear" w:color="000000" w:fill="FFFFFF"/>
            <w:vAlign w:val="center"/>
            <w:hideMark/>
          </w:tcPr>
          <w:p w14:paraId="07B26CBD"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 </w:t>
            </w:r>
          </w:p>
        </w:tc>
        <w:tc>
          <w:tcPr>
            <w:tcW w:w="1233" w:type="dxa"/>
            <w:tcBorders>
              <w:top w:val="nil"/>
              <w:left w:val="nil"/>
              <w:bottom w:val="dotted" w:sz="4" w:space="0" w:color="auto"/>
              <w:right w:val="dotted" w:sz="4" w:space="0" w:color="auto"/>
            </w:tcBorders>
            <w:shd w:val="clear" w:color="auto" w:fill="auto"/>
            <w:noWrap/>
            <w:vAlign w:val="center"/>
            <w:hideMark/>
          </w:tcPr>
          <w:p w14:paraId="6302522B" w14:textId="77777777" w:rsidR="009B5DE5" w:rsidRPr="009B5DE5" w:rsidRDefault="009B5DE5" w:rsidP="009B5DE5">
            <w:pPr>
              <w:spacing w:after="0"/>
              <w:jc w:val="left"/>
              <w:rPr>
                <w:rFonts w:ascii="Arial" w:eastAsia="Times New Roman" w:hAnsi="Arial" w:cs="Arial"/>
                <w:szCs w:val="24"/>
              </w:rPr>
            </w:pPr>
            <w:r w:rsidRPr="009B5DE5">
              <w:rPr>
                <w:rFonts w:ascii="Arial" w:eastAsia="Times New Roman" w:hAnsi="Arial" w:cs="Arial"/>
                <w:szCs w:val="24"/>
              </w:rPr>
              <w:t> </w:t>
            </w:r>
          </w:p>
        </w:tc>
        <w:tc>
          <w:tcPr>
            <w:tcW w:w="1233" w:type="dxa"/>
            <w:tcBorders>
              <w:top w:val="nil"/>
              <w:left w:val="nil"/>
              <w:bottom w:val="dotted" w:sz="4" w:space="0" w:color="auto"/>
              <w:right w:val="dotted" w:sz="4" w:space="0" w:color="auto"/>
            </w:tcBorders>
            <w:shd w:val="clear" w:color="auto" w:fill="auto"/>
            <w:noWrap/>
            <w:vAlign w:val="center"/>
            <w:hideMark/>
          </w:tcPr>
          <w:p w14:paraId="6B172EB5" w14:textId="77777777" w:rsidR="009B5DE5" w:rsidRPr="009B5DE5" w:rsidRDefault="009B5DE5" w:rsidP="009B5DE5">
            <w:pPr>
              <w:spacing w:after="0"/>
              <w:jc w:val="left"/>
              <w:rPr>
                <w:rFonts w:ascii="Arial" w:eastAsia="Times New Roman" w:hAnsi="Arial" w:cs="Arial"/>
                <w:szCs w:val="24"/>
              </w:rPr>
            </w:pPr>
            <w:r w:rsidRPr="009B5DE5">
              <w:rPr>
                <w:rFonts w:ascii="Arial" w:eastAsia="Times New Roman" w:hAnsi="Arial" w:cs="Arial"/>
                <w:szCs w:val="24"/>
              </w:rPr>
              <w:t> </w:t>
            </w:r>
          </w:p>
        </w:tc>
        <w:tc>
          <w:tcPr>
            <w:tcW w:w="1233" w:type="dxa"/>
            <w:tcBorders>
              <w:top w:val="nil"/>
              <w:left w:val="nil"/>
              <w:bottom w:val="dotted" w:sz="4" w:space="0" w:color="auto"/>
              <w:right w:val="dotted" w:sz="4" w:space="0" w:color="auto"/>
            </w:tcBorders>
            <w:shd w:val="clear" w:color="auto" w:fill="auto"/>
            <w:noWrap/>
            <w:vAlign w:val="center"/>
            <w:hideMark/>
          </w:tcPr>
          <w:p w14:paraId="7367D5F4" w14:textId="77777777" w:rsidR="009B5DE5" w:rsidRPr="009B5DE5" w:rsidRDefault="009B5DE5" w:rsidP="009B5DE5">
            <w:pPr>
              <w:spacing w:after="0"/>
              <w:jc w:val="left"/>
              <w:rPr>
                <w:rFonts w:ascii="Arial" w:eastAsia="Times New Roman" w:hAnsi="Arial" w:cs="Arial"/>
                <w:szCs w:val="24"/>
              </w:rPr>
            </w:pPr>
            <w:r w:rsidRPr="009B5DE5">
              <w:rPr>
                <w:rFonts w:ascii="Arial" w:eastAsia="Times New Roman" w:hAnsi="Arial" w:cs="Arial"/>
                <w:szCs w:val="24"/>
              </w:rPr>
              <w:t> </w:t>
            </w:r>
          </w:p>
        </w:tc>
        <w:tc>
          <w:tcPr>
            <w:tcW w:w="1233" w:type="dxa"/>
            <w:tcBorders>
              <w:top w:val="nil"/>
              <w:left w:val="nil"/>
              <w:bottom w:val="dotted" w:sz="4" w:space="0" w:color="auto"/>
              <w:right w:val="double" w:sz="6" w:space="0" w:color="auto"/>
            </w:tcBorders>
            <w:shd w:val="clear" w:color="000000" w:fill="FFFFFF"/>
            <w:vAlign w:val="center"/>
            <w:hideMark/>
          </w:tcPr>
          <w:p w14:paraId="7187E9BF"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 </w:t>
            </w:r>
          </w:p>
        </w:tc>
      </w:tr>
      <w:tr w:rsidR="009B5DE5" w:rsidRPr="009B5DE5" w14:paraId="06DE8056" w14:textId="77777777" w:rsidTr="00396800">
        <w:trPr>
          <w:trHeight w:val="396"/>
        </w:trPr>
        <w:tc>
          <w:tcPr>
            <w:tcW w:w="7368" w:type="dxa"/>
            <w:tcBorders>
              <w:top w:val="nil"/>
              <w:left w:val="double" w:sz="6" w:space="0" w:color="auto"/>
              <w:bottom w:val="dotted" w:sz="4" w:space="0" w:color="auto"/>
              <w:right w:val="dotted" w:sz="4" w:space="0" w:color="auto"/>
            </w:tcBorders>
            <w:shd w:val="clear" w:color="000000" w:fill="FFFFFF"/>
            <w:vAlign w:val="center"/>
            <w:hideMark/>
          </w:tcPr>
          <w:p w14:paraId="79941B38" w14:textId="77777777" w:rsidR="009B5DE5" w:rsidRPr="009B5DE5" w:rsidRDefault="009B5DE5" w:rsidP="009B5DE5">
            <w:pPr>
              <w:spacing w:after="0"/>
              <w:jc w:val="left"/>
              <w:rPr>
                <w:rFonts w:eastAsia="Times New Roman" w:cs="Times New Roman"/>
                <w:i/>
                <w:iCs/>
                <w:szCs w:val="24"/>
              </w:rPr>
            </w:pPr>
            <w:bookmarkStart w:id="49" w:name="RANGE!C8"/>
            <w:r w:rsidRPr="009B5DE5">
              <w:rPr>
                <w:rFonts w:eastAsia="Times New Roman" w:cs="Times New Roman"/>
                <w:i/>
                <w:iCs/>
                <w:szCs w:val="24"/>
              </w:rPr>
              <w:t>- Биланс робе и услуга</w:t>
            </w:r>
            <w:bookmarkEnd w:id="49"/>
          </w:p>
        </w:tc>
        <w:tc>
          <w:tcPr>
            <w:tcW w:w="1232" w:type="dxa"/>
            <w:tcBorders>
              <w:top w:val="nil"/>
              <w:left w:val="nil"/>
              <w:bottom w:val="dotted" w:sz="4" w:space="0" w:color="auto"/>
              <w:right w:val="single" w:sz="8" w:space="0" w:color="auto"/>
            </w:tcBorders>
            <w:shd w:val="clear" w:color="000000" w:fill="FFFFFF"/>
            <w:vAlign w:val="center"/>
            <w:hideMark/>
          </w:tcPr>
          <w:p w14:paraId="41E528AF" w14:textId="77777777" w:rsidR="009B5DE5" w:rsidRPr="009B5DE5" w:rsidRDefault="009B5DE5" w:rsidP="009B5DE5">
            <w:pPr>
              <w:spacing w:after="0"/>
              <w:jc w:val="center"/>
              <w:rPr>
                <w:rFonts w:eastAsia="Times New Roman" w:cs="Times New Roman"/>
                <w:i/>
                <w:iCs/>
                <w:szCs w:val="24"/>
              </w:rPr>
            </w:pPr>
            <w:r w:rsidRPr="009B5DE5">
              <w:rPr>
                <w:rFonts w:eastAsia="Times New Roman" w:cs="Times New Roman"/>
                <w:i/>
                <w:iCs/>
                <w:szCs w:val="24"/>
              </w:rPr>
              <w:t> </w:t>
            </w:r>
          </w:p>
        </w:tc>
        <w:tc>
          <w:tcPr>
            <w:tcW w:w="1233" w:type="dxa"/>
            <w:tcBorders>
              <w:top w:val="nil"/>
              <w:left w:val="nil"/>
              <w:bottom w:val="dotted" w:sz="4" w:space="0" w:color="auto"/>
              <w:right w:val="dotted" w:sz="4" w:space="0" w:color="auto"/>
            </w:tcBorders>
            <w:shd w:val="clear" w:color="000000" w:fill="FFFFFF"/>
            <w:vAlign w:val="center"/>
            <w:hideMark/>
          </w:tcPr>
          <w:p w14:paraId="0F568670"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-4,7</w:t>
            </w:r>
          </w:p>
        </w:tc>
        <w:tc>
          <w:tcPr>
            <w:tcW w:w="1233" w:type="dxa"/>
            <w:tcBorders>
              <w:top w:val="nil"/>
              <w:left w:val="nil"/>
              <w:bottom w:val="dotted" w:sz="4" w:space="0" w:color="auto"/>
              <w:right w:val="dotted" w:sz="4" w:space="0" w:color="auto"/>
            </w:tcBorders>
            <w:shd w:val="clear" w:color="000000" w:fill="FFFFFF"/>
            <w:vAlign w:val="center"/>
            <w:hideMark/>
          </w:tcPr>
          <w:p w14:paraId="05702765"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-5,9</w:t>
            </w:r>
          </w:p>
        </w:tc>
        <w:tc>
          <w:tcPr>
            <w:tcW w:w="1233" w:type="dxa"/>
            <w:tcBorders>
              <w:top w:val="nil"/>
              <w:left w:val="nil"/>
              <w:bottom w:val="dotted" w:sz="4" w:space="0" w:color="auto"/>
              <w:right w:val="dotted" w:sz="4" w:space="0" w:color="auto"/>
            </w:tcBorders>
            <w:shd w:val="clear" w:color="000000" w:fill="FFFFFF"/>
            <w:vAlign w:val="center"/>
            <w:hideMark/>
          </w:tcPr>
          <w:p w14:paraId="3AA403B7"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-6,3</w:t>
            </w:r>
          </w:p>
        </w:tc>
        <w:tc>
          <w:tcPr>
            <w:tcW w:w="1233" w:type="dxa"/>
            <w:tcBorders>
              <w:top w:val="nil"/>
              <w:left w:val="nil"/>
              <w:bottom w:val="dotted" w:sz="4" w:space="0" w:color="auto"/>
              <w:right w:val="dotted" w:sz="4" w:space="0" w:color="auto"/>
            </w:tcBorders>
            <w:shd w:val="clear" w:color="000000" w:fill="FFFFFF"/>
            <w:vAlign w:val="center"/>
            <w:hideMark/>
          </w:tcPr>
          <w:p w14:paraId="412F5BE5"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-6,5</w:t>
            </w:r>
          </w:p>
        </w:tc>
        <w:tc>
          <w:tcPr>
            <w:tcW w:w="1233" w:type="dxa"/>
            <w:tcBorders>
              <w:top w:val="nil"/>
              <w:left w:val="nil"/>
              <w:bottom w:val="dotted" w:sz="4" w:space="0" w:color="auto"/>
              <w:right w:val="double" w:sz="6" w:space="0" w:color="auto"/>
            </w:tcBorders>
            <w:shd w:val="clear" w:color="000000" w:fill="FFFFFF"/>
            <w:vAlign w:val="center"/>
            <w:hideMark/>
          </w:tcPr>
          <w:p w14:paraId="50E546EB"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-5,0</w:t>
            </w:r>
          </w:p>
        </w:tc>
      </w:tr>
      <w:tr w:rsidR="009B5DE5" w:rsidRPr="009B5DE5" w14:paraId="3326A3B9" w14:textId="77777777" w:rsidTr="00396800">
        <w:trPr>
          <w:trHeight w:val="463"/>
        </w:trPr>
        <w:tc>
          <w:tcPr>
            <w:tcW w:w="7368" w:type="dxa"/>
            <w:tcBorders>
              <w:top w:val="nil"/>
              <w:left w:val="double" w:sz="6" w:space="0" w:color="auto"/>
              <w:bottom w:val="dotted" w:sz="4" w:space="0" w:color="auto"/>
              <w:right w:val="dotted" w:sz="4" w:space="0" w:color="auto"/>
            </w:tcBorders>
            <w:shd w:val="clear" w:color="000000" w:fill="FFFFFF"/>
            <w:vAlign w:val="center"/>
            <w:hideMark/>
          </w:tcPr>
          <w:p w14:paraId="20EE2A5A" w14:textId="77777777" w:rsidR="009B5DE5" w:rsidRPr="009B5DE5" w:rsidRDefault="009B5DE5" w:rsidP="009B5DE5">
            <w:pPr>
              <w:spacing w:after="0"/>
              <w:jc w:val="left"/>
              <w:rPr>
                <w:rFonts w:eastAsia="Times New Roman" w:cs="Times New Roman"/>
                <w:i/>
                <w:iCs/>
                <w:szCs w:val="24"/>
              </w:rPr>
            </w:pPr>
            <w:bookmarkStart w:id="50" w:name="RANGE!C9"/>
            <w:r w:rsidRPr="009B5DE5">
              <w:rPr>
                <w:rFonts w:eastAsia="Times New Roman" w:cs="Times New Roman"/>
                <w:i/>
                <w:iCs/>
                <w:szCs w:val="24"/>
              </w:rPr>
              <w:t>- Биланс примарног дохотка и трансфера</w:t>
            </w:r>
            <w:bookmarkEnd w:id="50"/>
          </w:p>
        </w:tc>
        <w:tc>
          <w:tcPr>
            <w:tcW w:w="1232" w:type="dxa"/>
            <w:tcBorders>
              <w:top w:val="nil"/>
              <w:left w:val="nil"/>
              <w:bottom w:val="dotted" w:sz="4" w:space="0" w:color="auto"/>
              <w:right w:val="single" w:sz="8" w:space="0" w:color="auto"/>
            </w:tcBorders>
            <w:shd w:val="clear" w:color="000000" w:fill="FFFFFF"/>
            <w:vAlign w:val="center"/>
            <w:hideMark/>
          </w:tcPr>
          <w:p w14:paraId="6BDB80A1" w14:textId="77777777" w:rsidR="009B5DE5" w:rsidRPr="009B5DE5" w:rsidRDefault="009B5DE5" w:rsidP="009B5DE5">
            <w:pPr>
              <w:spacing w:after="0"/>
              <w:jc w:val="center"/>
              <w:rPr>
                <w:rFonts w:eastAsia="Times New Roman" w:cs="Times New Roman"/>
                <w:i/>
                <w:iCs/>
                <w:szCs w:val="24"/>
              </w:rPr>
            </w:pPr>
            <w:r w:rsidRPr="009B5DE5">
              <w:rPr>
                <w:rFonts w:eastAsia="Times New Roman" w:cs="Times New Roman"/>
                <w:i/>
                <w:iCs/>
                <w:szCs w:val="24"/>
              </w:rPr>
              <w:t> </w:t>
            </w:r>
          </w:p>
        </w:tc>
        <w:tc>
          <w:tcPr>
            <w:tcW w:w="1233" w:type="dxa"/>
            <w:tcBorders>
              <w:top w:val="nil"/>
              <w:left w:val="nil"/>
              <w:bottom w:val="dotted" w:sz="4" w:space="0" w:color="auto"/>
              <w:right w:val="dotted" w:sz="4" w:space="0" w:color="auto"/>
            </w:tcBorders>
            <w:shd w:val="clear" w:color="000000" w:fill="FFFFFF"/>
            <w:vAlign w:val="center"/>
            <w:hideMark/>
          </w:tcPr>
          <w:p w14:paraId="5EE29AB2"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2,3</w:t>
            </w:r>
          </w:p>
        </w:tc>
        <w:tc>
          <w:tcPr>
            <w:tcW w:w="1233" w:type="dxa"/>
            <w:tcBorders>
              <w:top w:val="nil"/>
              <w:left w:val="nil"/>
              <w:bottom w:val="dotted" w:sz="4" w:space="0" w:color="auto"/>
              <w:right w:val="dotted" w:sz="4" w:space="0" w:color="auto"/>
            </w:tcBorders>
            <w:shd w:val="clear" w:color="000000" w:fill="FFFFFF"/>
            <w:vAlign w:val="center"/>
            <w:hideMark/>
          </w:tcPr>
          <w:p w14:paraId="36558265"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1,2</w:t>
            </w:r>
          </w:p>
        </w:tc>
        <w:tc>
          <w:tcPr>
            <w:tcW w:w="1233" w:type="dxa"/>
            <w:tcBorders>
              <w:top w:val="nil"/>
              <w:left w:val="nil"/>
              <w:bottom w:val="dotted" w:sz="4" w:space="0" w:color="auto"/>
              <w:right w:val="dotted" w:sz="4" w:space="0" w:color="auto"/>
            </w:tcBorders>
            <w:shd w:val="clear" w:color="000000" w:fill="FFFFFF"/>
            <w:vAlign w:val="center"/>
            <w:hideMark/>
          </w:tcPr>
          <w:p w14:paraId="09782D78"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1,4</w:t>
            </w:r>
          </w:p>
        </w:tc>
        <w:tc>
          <w:tcPr>
            <w:tcW w:w="1233" w:type="dxa"/>
            <w:tcBorders>
              <w:top w:val="nil"/>
              <w:left w:val="nil"/>
              <w:bottom w:val="dotted" w:sz="4" w:space="0" w:color="auto"/>
              <w:right w:val="dotted" w:sz="4" w:space="0" w:color="auto"/>
            </w:tcBorders>
            <w:shd w:val="clear" w:color="000000" w:fill="FFFFFF"/>
            <w:vAlign w:val="center"/>
            <w:hideMark/>
          </w:tcPr>
          <w:p w14:paraId="627500BA"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1,2</w:t>
            </w:r>
          </w:p>
        </w:tc>
        <w:tc>
          <w:tcPr>
            <w:tcW w:w="1233" w:type="dxa"/>
            <w:tcBorders>
              <w:top w:val="nil"/>
              <w:left w:val="nil"/>
              <w:bottom w:val="dotted" w:sz="4" w:space="0" w:color="auto"/>
              <w:right w:val="double" w:sz="6" w:space="0" w:color="auto"/>
            </w:tcBorders>
            <w:shd w:val="clear" w:color="000000" w:fill="FFFFFF"/>
            <w:vAlign w:val="center"/>
            <w:hideMark/>
          </w:tcPr>
          <w:p w14:paraId="3DA9B8E3"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0,9</w:t>
            </w:r>
          </w:p>
        </w:tc>
      </w:tr>
      <w:tr w:rsidR="009B5DE5" w:rsidRPr="009B5DE5" w14:paraId="44BAE086" w14:textId="77777777" w:rsidTr="00396800">
        <w:trPr>
          <w:trHeight w:val="361"/>
        </w:trPr>
        <w:tc>
          <w:tcPr>
            <w:tcW w:w="7368" w:type="dxa"/>
            <w:tcBorders>
              <w:top w:val="nil"/>
              <w:left w:val="double" w:sz="6" w:space="0" w:color="auto"/>
              <w:bottom w:val="nil"/>
              <w:right w:val="dotted" w:sz="4" w:space="0" w:color="auto"/>
            </w:tcBorders>
            <w:shd w:val="clear" w:color="000000" w:fill="FFFFFF"/>
            <w:vAlign w:val="center"/>
            <w:hideMark/>
          </w:tcPr>
          <w:p w14:paraId="6C63C014" w14:textId="77777777" w:rsidR="009B5DE5" w:rsidRPr="009B5DE5" w:rsidRDefault="009B5DE5" w:rsidP="009B5DE5">
            <w:pPr>
              <w:spacing w:after="0"/>
              <w:jc w:val="left"/>
              <w:rPr>
                <w:rFonts w:eastAsia="Times New Roman" w:cs="Times New Roman"/>
                <w:i/>
                <w:iCs/>
                <w:szCs w:val="24"/>
              </w:rPr>
            </w:pPr>
            <w:bookmarkStart w:id="51" w:name="RANGE!C10"/>
            <w:r w:rsidRPr="009B5DE5">
              <w:rPr>
                <w:rFonts w:eastAsia="Times New Roman" w:cs="Times New Roman"/>
                <w:i/>
                <w:iCs/>
                <w:szCs w:val="24"/>
              </w:rPr>
              <w:t>- Биланс капиталних трансакција</w:t>
            </w:r>
            <w:bookmarkEnd w:id="51"/>
          </w:p>
        </w:tc>
        <w:tc>
          <w:tcPr>
            <w:tcW w:w="1232" w:type="dxa"/>
            <w:tcBorders>
              <w:top w:val="nil"/>
              <w:left w:val="nil"/>
              <w:bottom w:val="nil"/>
              <w:right w:val="single" w:sz="8" w:space="0" w:color="auto"/>
            </w:tcBorders>
            <w:shd w:val="clear" w:color="000000" w:fill="FFFFFF"/>
            <w:vAlign w:val="center"/>
            <w:hideMark/>
          </w:tcPr>
          <w:p w14:paraId="49CCB13B" w14:textId="77777777" w:rsidR="009B5DE5" w:rsidRPr="009B5DE5" w:rsidRDefault="009B5DE5" w:rsidP="009B5DE5">
            <w:pPr>
              <w:spacing w:after="0"/>
              <w:jc w:val="center"/>
              <w:rPr>
                <w:rFonts w:eastAsia="Times New Roman" w:cs="Times New Roman"/>
                <w:i/>
                <w:iCs/>
                <w:szCs w:val="24"/>
              </w:rPr>
            </w:pPr>
            <w:r w:rsidRPr="009B5DE5">
              <w:rPr>
                <w:rFonts w:eastAsia="Times New Roman" w:cs="Times New Roman"/>
                <w:i/>
                <w:iCs/>
                <w:szCs w:val="24"/>
              </w:rPr>
              <w:t> </w:t>
            </w:r>
          </w:p>
        </w:tc>
        <w:tc>
          <w:tcPr>
            <w:tcW w:w="1233" w:type="dxa"/>
            <w:tcBorders>
              <w:top w:val="nil"/>
              <w:left w:val="nil"/>
              <w:bottom w:val="single" w:sz="4" w:space="0" w:color="auto"/>
              <w:right w:val="dotted" w:sz="4" w:space="0" w:color="auto"/>
            </w:tcBorders>
            <w:shd w:val="clear" w:color="000000" w:fill="FFFFFF"/>
            <w:vAlign w:val="center"/>
            <w:hideMark/>
          </w:tcPr>
          <w:p w14:paraId="4CB808E9"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0,0</w:t>
            </w:r>
          </w:p>
        </w:tc>
        <w:tc>
          <w:tcPr>
            <w:tcW w:w="1233" w:type="dxa"/>
            <w:tcBorders>
              <w:top w:val="nil"/>
              <w:left w:val="nil"/>
              <w:bottom w:val="single" w:sz="4" w:space="0" w:color="auto"/>
              <w:right w:val="dotted" w:sz="4" w:space="0" w:color="auto"/>
            </w:tcBorders>
            <w:shd w:val="clear" w:color="000000" w:fill="FFFFFF"/>
            <w:vAlign w:val="center"/>
            <w:hideMark/>
          </w:tcPr>
          <w:p w14:paraId="4B3AC2BD"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0,0</w:t>
            </w:r>
          </w:p>
        </w:tc>
        <w:tc>
          <w:tcPr>
            <w:tcW w:w="1233" w:type="dxa"/>
            <w:tcBorders>
              <w:top w:val="nil"/>
              <w:left w:val="nil"/>
              <w:bottom w:val="single" w:sz="4" w:space="0" w:color="auto"/>
              <w:right w:val="dotted" w:sz="4" w:space="0" w:color="auto"/>
            </w:tcBorders>
            <w:shd w:val="clear" w:color="000000" w:fill="FFFFFF"/>
            <w:vAlign w:val="center"/>
            <w:hideMark/>
          </w:tcPr>
          <w:p w14:paraId="284D9C50"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0,0</w:t>
            </w:r>
          </w:p>
        </w:tc>
        <w:tc>
          <w:tcPr>
            <w:tcW w:w="1233" w:type="dxa"/>
            <w:tcBorders>
              <w:top w:val="nil"/>
              <w:left w:val="nil"/>
              <w:bottom w:val="single" w:sz="4" w:space="0" w:color="auto"/>
              <w:right w:val="dotted" w:sz="4" w:space="0" w:color="auto"/>
            </w:tcBorders>
            <w:shd w:val="clear" w:color="000000" w:fill="FFFFFF"/>
            <w:vAlign w:val="center"/>
            <w:hideMark/>
          </w:tcPr>
          <w:p w14:paraId="44725FC3"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0,0</w:t>
            </w:r>
          </w:p>
        </w:tc>
        <w:tc>
          <w:tcPr>
            <w:tcW w:w="1233" w:type="dxa"/>
            <w:tcBorders>
              <w:top w:val="nil"/>
              <w:left w:val="nil"/>
              <w:bottom w:val="single" w:sz="4" w:space="0" w:color="auto"/>
              <w:right w:val="double" w:sz="6" w:space="0" w:color="auto"/>
            </w:tcBorders>
            <w:shd w:val="clear" w:color="000000" w:fill="FFFFFF"/>
            <w:vAlign w:val="center"/>
            <w:hideMark/>
          </w:tcPr>
          <w:p w14:paraId="72D0863E"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0,0</w:t>
            </w:r>
          </w:p>
        </w:tc>
      </w:tr>
      <w:tr w:rsidR="009B5DE5" w:rsidRPr="009B5DE5" w14:paraId="19389ABF" w14:textId="77777777" w:rsidTr="00396800">
        <w:trPr>
          <w:trHeight w:val="791"/>
        </w:trPr>
        <w:tc>
          <w:tcPr>
            <w:tcW w:w="7368" w:type="dxa"/>
            <w:tcBorders>
              <w:top w:val="single" w:sz="4" w:space="0" w:color="auto"/>
              <w:left w:val="double" w:sz="6" w:space="0" w:color="auto"/>
              <w:bottom w:val="dotted" w:sz="4" w:space="0" w:color="auto"/>
              <w:right w:val="dotted" w:sz="4" w:space="0" w:color="auto"/>
            </w:tcBorders>
            <w:shd w:val="clear" w:color="000000" w:fill="FFFFFF"/>
            <w:vAlign w:val="center"/>
            <w:hideMark/>
          </w:tcPr>
          <w:p w14:paraId="50445304" w14:textId="77777777" w:rsidR="009B5DE5" w:rsidRPr="009B5DE5" w:rsidRDefault="009B5DE5" w:rsidP="009B5DE5">
            <w:pPr>
              <w:spacing w:after="0"/>
              <w:jc w:val="left"/>
              <w:rPr>
                <w:rFonts w:eastAsia="Times New Roman" w:cs="Times New Roman"/>
                <w:szCs w:val="24"/>
              </w:rPr>
            </w:pPr>
            <w:bookmarkStart w:id="52" w:name="RANGE!C11"/>
            <w:r w:rsidRPr="009B5DE5">
              <w:rPr>
                <w:rFonts w:eastAsia="Times New Roman" w:cs="Times New Roman"/>
                <w:szCs w:val="24"/>
              </w:rPr>
              <w:t xml:space="preserve">2. Нето дате/узете позајмице приватног сектора </w:t>
            </w:r>
            <w:bookmarkEnd w:id="52"/>
          </w:p>
        </w:tc>
        <w:tc>
          <w:tcPr>
            <w:tcW w:w="1232" w:type="dxa"/>
            <w:tcBorders>
              <w:top w:val="single" w:sz="4" w:space="0" w:color="auto"/>
              <w:left w:val="nil"/>
              <w:bottom w:val="dotted" w:sz="4" w:space="0" w:color="auto"/>
              <w:right w:val="single" w:sz="8" w:space="0" w:color="auto"/>
            </w:tcBorders>
            <w:shd w:val="clear" w:color="000000" w:fill="FFFFFF"/>
            <w:vAlign w:val="center"/>
            <w:hideMark/>
          </w:tcPr>
          <w:p w14:paraId="68318E3A"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B.9/ EDP B.9</w:t>
            </w:r>
          </w:p>
        </w:tc>
        <w:tc>
          <w:tcPr>
            <w:tcW w:w="1233" w:type="dxa"/>
            <w:tcBorders>
              <w:top w:val="nil"/>
              <w:left w:val="nil"/>
              <w:bottom w:val="dotted" w:sz="4" w:space="0" w:color="auto"/>
              <w:right w:val="dotted" w:sz="4" w:space="0" w:color="auto"/>
            </w:tcBorders>
            <w:shd w:val="clear" w:color="000000" w:fill="FFFFFF"/>
            <w:vAlign w:val="center"/>
            <w:hideMark/>
          </w:tcPr>
          <w:p w14:paraId="502A35BD"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-0,3</w:t>
            </w:r>
          </w:p>
        </w:tc>
        <w:tc>
          <w:tcPr>
            <w:tcW w:w="1233" w:type="dxa"/>
            <w:tcBorders>
              <w:top w:val="nil"/>
              <w:left w:val="nil"/>
              <w:bottom w:val="dotted" w:sz="4" w:space="0" w:color="auto"/>
              <w:right w:val="dotted" w:sz="4" w:space="0" w:color="auto"/>
            </w:tcBorders>
            <w:shd w:val="clear" w:color="000000" w:fill="FFFFFF"/>
            <w:vAlign w:val="center"/>
            <w:hideMark/>
          </w:tcPr>
          <w:p w14:paraId="7E5C785C"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-2,0</w:t>
            </w:r>
          </w:p>
        </w:tc>
        <w:tc>
          <w:tcPr>
            <w:tcW w:w="1233" w:type="dxa"/>
            <w:tcBorders>
              <w:top w:val="nil"/>
              <w:left w:val="nil"/>
              <w:bottom w:val="dotted" w:sz="4" w:space="0" w:color="auto"/>
              <w:right w:val="dotted" w:sz="4" w:space="0" w:color="auto"/>
            </w:tcBorders>
            <w:shd w:val="clear" w:color="000000" w:fill="FFFFFF"/>
            <w:vAlign w:val="center"/>
            <w:hideMark/>
          </w:tcPr>
          <w:p w14:paraId="3C82666C"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-1,9</w:t>
            </w:r>
          </w:p>
        </w:tc>
        <w:tc>
          <w:tcPr>
            <w:tcW w:w="1233" w:type="dxa"/>
            <w:tcBorders>
              <w:top w:val="nil"/>
              <w:left w:val="nil"/>
              <w:bottom w:val="dotted" w:sz="4" w:space="0" w:color="auto"/>
              <w:right w:val="dotted" w:sz="4" w:space="0" w:color="auto"/>
            </w:tcBorders>
            <w:shd w:val="clear" w:color="000000" w:fill="FFFFFF"/>
            <w:vAlign w:val="center"/>
            <w:hideMark/>
          </w:tcPr>
          <w:p w14:paraId="71A00098"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-2,3</w:t>
            </w:r>
          </w:p>
        </w:tc>
        <w:tc>
          <w:tcPr>
            <w:tcW w:w="1233" w:type="dxa"/>
            <w:tcBorders>
              <w:top w:val="nil"/>
              <w:left w:val="nil"/>
              <w:bottom w:val="dotted" w:sz="4" w:space="0" w:color="auto"/>
              <w:right w:val="double" w:sz="6" w:space="0" w:color="auto"/>
            </w:tcBorders>
            <w:shd w:val="clear" w:color="000000" w:fill="FFFFFF"/>
            <w:vAlign w:val="center"/>
            <w:hideMark/>
          </w:tcPr>
          <w:p w14:paraId="2243AC60"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-1,1</w:t>
            </w:r>
          </w:p>
        </w:tc>
      </w:tr>
      <w:tr w:rsidR="009B5DE5" w:rsidRPr="009B5DE5" w14:paraId="76094861" w14:textId="77777777" w:rsidTr="00396800">
        <w:trPr>
          <w:trHeight w:val="398"/>
        </w:trPr>
        <w:tc>
          <w:tcPr>
            <w:tcW w:w="7368" w:type="dxa"/>
            <w:tcBorders>
              <w:top w:val="nil"/>
              <w:left w:val="double" w:sz="6" w:space="0" w:color="auto"/>
              <w:bottom w:val="nil"/>
              <w:right w:val="dotted" w:sz="4" w:space="0" w:color="auto"/>
            </w:tcBorders>
            <w:shd w:val="clear" w:color="000000" w:fill="FFFFFF"/>
            <w:vAlign w:val="center"/>
            <w:hideMark/>
          </w:tcPr>
          <w:p w14:paraId="2B9549E2"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 xml:space="preserve">3. Нето дате/узете позајмице сектора државе </w:t>
            </w:r>
          </w:p>
        </w:tc>
        <w:tc>
          <w:tcPr>
            <w:tcW w:w="1232" w:type="dxa"/>
            <w:tcBorders>
              <w:top w:val="nil"/>
              <w:left w:val="nil"/>
              <w:bottom w:val="nil"/>
              <w:right w:val="single" w:sz="8" w:space="0" w:color="auto"/>
            </w:tcBorders>
            <w:shd w:val="clear" w:color="000000" w:fill="FFFFFF"/>
            <w:vAlign w:val="center"/>
            <w:hideMark/>
          </w:tcPr>
          <w:p w14:paraId="19403B4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 </w:t>
            </w:r>
          </w:p>
        </w:tc>
        <w:tc>
          <w:tcPr>
            <w:tcW w:w="1233" w:type="dxa"/>
            <w:tcBorders>
              <w:top w:val="nil"/>
              <w:left w:val="nil"/>
              <w:bottom w:val="single" w:sz="4" w:space="0" w:color="auto"/>
              <w:right w:val="dotted" w:sz="4" w:space="0" w:color="auto"/>
            </w:tcBorders>
            <w:shd w:val="clear" w:color="000000" w:fill="FFFFFF"/>
            <w:vAlign w:val="center"/>
            <w:hideMark/>
          </w:tcPr>
          <w:p w14:paraId="502F7E11"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-2,1</w:t>
            </w:r>
          </w:p>
        </w:tc>
        <w:tc>
          <w:tcPr>
            <w:tcW w:w="1233" w:type="dxa"/>
            <w:tcBorders>
              <w:top w:val="nil"/>
              <w:left w:val="nil"/>
              <w:bottom w:val="single" w:sz="4" w:space="0" w:color="auto"/>
              <w:right w:val="dotted" w:sz="4" w:space="0" w:color="auto"/>
            </w:tcBorders>
            <w:shd w:val="clear" w:color="000000" w:fill="FFFFFF"/>
            <w:vAlign w:val="center"/>
            <w:hideMark/>
          </w:tcPr>
          <w:p w14:paraId="49043980"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-2,7</w:t>
            </w:r>
          </w:p>
        </w:tc>
        <w:tc>
          <w:tcPr>
            <w:tcW w:w="1233" w:type="dxa"/>
            <w:tcBorders>
              <w:top w:val="nil"/>
              <w:left w:val="nil"/>
              <w:bottom w:val="single" w:sz="4" w:space="0" w:color="auto"/>
              <w:right w:val="dotted" w:sz="4" w:space="0" w:color="auto"/>
            </w:tcBorders>
            <w:shd w:val="clear" w:color="000000" w:fill="FFFFFF"/>
            <w:vAlign w:val="center"/>
            <w:hideMark/>
          </w:tcPr>
          <w:p w14:paraId="421ECFD9"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-3,0</w:t>
            </w:r>
          </w:p>
        </w:tc>
        <w:tc>
          <w:tcPr>
            <w:tcW w:w="1233" w:type="dxa"/>
            <w:tcBorders>
              <w:top w:val="nil"/>
              <w:left w:val="nil"/>
              <w:bottom w:val="single" w:sz="4" w:space="0" w:color="auto"/>
              <w:right w:val="dotted" w:sz="4" w:space="0" w:color="auto"/>
            </w:tcBorders>
            <w:shd w:val="clear" w:color="000000" w:fill="FFFFFF"/>
            <w:vAlign w:val="center"/>
            <w:hideMark/>
          </w:tcPr>
          <w:p w14:paraId="33188456"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-3,0</w:t>
            </w:r>
          </w:p>
        </w:tc>
        <w:tc>
          <w:tcPr>
            <w:tcW w:w="1233" w:type="dxa"/>
            <w:tcBorders>
              <w:top w:val="nil"/>
              <w:left w:val="nil"/>
              <w:bottom w:val="single" w:sz="4" w:space="0" w:color="auto"/>
              <w:right w:val="double" w:sz="6" w:space="0" w:color="auto"/>
            </w:tcBorders>
            <w:shd w:val="clear" w:color="000000" w:fill="FFFFFF"/>
            <w:vAlign w:val="center"/>
            <w:hideMark/>
          </w:tcPr>
          <w:p w14:paraId="4E999C2D"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-3,0</w:t>
            </w:r>
          </w:p>
        </w:tc>
      </w:tr>
      <w:tr w:rsidR="009B5DE5" w:rsidRPr="009B5DE5" w14:paraId="4A92EB99" w14:textId="77777777" w:rsidTr="00396800">
        <w:trPr>
          <w:trHeight w:val="408"/>
        </w:trPr>
        <w:tc>
          <w:tcPr>
            <w:tcW w:w="7368" w:type="dxa"/>
            <w:tcBorders>
              <w:top w:val="single" w:sz="4" w:space="0" w:color="auto"/>
              <w:left w:val="double" w:sz="6" w:space="0" w:color="auto"/>
              <w:bottom w:val="double" w:sz="6" w:space="0" w:color="auto"/>
              <w:right w:val="dotted" w:sz="4" w:space="0" w:color="auto"/>
            </w:tcBorders>
            <w:shd w:val="clear" w:color="000000" w:fill="FFFFFF"/>
            <w:vAlign w:val="center"/>
            <w:hideMark/>
          </w:tcPr>
          <w:p w14:paraId="5D2AAFDE"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4. Статистичкo одступање</w:t>
            </w:r>
          </w:p>
        </w:tc>
        <w:tc>
          <w:tcPr>
            <w:tcW w:w="1232" w:type="dxa"/>
            <w:tcBorders>
              <w:top w:val="single" w:sz="4" w:space="0" w:color="auto"/>
              <w:left w:val="nil"/>
              <w:bottom w:val="double" w:sz="6" w:space="0" w:color="auto"/>
              <w:right w:val="single" w:sz="8" w:space="0" w:color="auto"/>
            </w:tcBorders>
            <w:shd w:val="clear" w:color="000000" w:fill="FFFFFF"/>
            <w:vAlign w:val="center"/>
            <w:hideMark/>
          </w:tcPr>
          <w:p w14:paraId="49A9B09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 </w:t>
            </w:r>
          </w:p>
        </w:tc>
        <w:tc>
          <w:tcPr>
            <w:tcW w:w="1233" w:type="dxa"/>
            <w:tcBorders>
              <w:top w:val="nil"/>
              <w:left w:val="nil"/>
              <w:bottom w:val="double" w:sz="6" w:space="0" w:color="auto"/>
              <w:right w:val="dotted" w:sz="4" w:space="0" w:color="auto"/>
            </w:tcBorders>
            <w:shd w:val="clear" w:color="000000" w:fill="FFFFFF"/>
            <w:vAlign w:val="center"/>
            <w:hideMark/>
          </w:tcPr>
          <w:p w14:paraId="0DE85BA3"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0,0</w:t>
            </w:r>
          </w:p>
        </w:tc>
        <w:tc>
          <w:tcPr>
            <w:tcW w:w="1233" w:type="dxa"/>
            <w:tcBorders>
              <w:top w:val="nil"/>
              <w:left w:val="nil"/>
              <w:bottom w:val="double" w:sz="6" w:space="0" w:color="auto"/>
              <w:right w:val="dotted" w:sz="4" w:space="0" w:color="auto"/>
            </w:tcBorders>
            <w:shd w:val="clear" w:color="000000" w:fill="FFFFFF"/>
            <w:vAlign w:val="center"/>
            <w:hideMark/>
          </w:tcPr>
          <w:p w14:paraId="26103A55"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0,0</w:t>
            </w:r>
          </w:p>
        </w:tc>
        <w:tc>
          <w:tcPr>
            <w:tcW w:w="1233" w:type="dxa"/>
            <w:tcBorders>
              <w:top w:val="nil"/>
              <w:left w:val="nil"/>
              <w:bottom w:val="double" w:sz="6" w:space="0" w:color="auto"/>
              <w:right w:val="dotted" w:sz="4" w:space="0" w:color="auto"/>
            </w:tcBorders>
            <w:shd w:val="clear" w:color="000000" w:fill="FFFFFF"/>
            <w:vAlign w:val="center"/>
            <w:hideMark/>
          </w:tcPr>
          <w:p w14:paraId="579A989B"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0,0</w:t>
            </w:r>
          </w:p>
        </w:tc>
        <w:tc>
          <w:tcPr>
            <w:tcW w:w="1233" w:type="dxa"/>
            <w:tcBorders>
              <w:top w:val="nil"/>
              <w:left w:val="nil"/>
              <w:bottom w:val="double" w:sz="6" w:space="0" w:color="auto"/>
              <w:right w:val="dotted" w:sz="4" w:space="0" w:color="auto"/>
            </w:tcBorders>
            <w:shd w:val="clear" w:color="000000" w:fill="FFFFFF"/>
            <w:vAlign w:val="center"/>
            <w:hideMark/>
          </w:tcPr>
          <w:p w14:paraId="60DD6852"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0,0</w:t>
            </w:r>
          </w:p>
        </w:tc>
        <w:tc>
          <w:tcPr>
            <w:tcW w:w="1233" w:type="dxa"/>
            <w:tcBorders>
              <w:top w:val="nil"/>
              <w:left w:val="nil"/>
              <w:bottom w:val="double" w:sz="6" w:space="0" w:color="auto"/>
              <w:right w:val="double" w:sz="6" w:space="0" w:color="auto"/>
            </w:tcBorders>
            <w:shd w:val="clear" w:color="000000" w:fill="FFFFFF"/>
            <w:vAlign w:val="center"/>
            <w:hideMark/>
          </w:tcPr>
          <w:p w14:paraId="28F7EEDA" w14:textId="77777777" w:rsidR="009B5DE5" w:rsidRPr="009B5DE5" w:rsidRDefault="009B5DE5" w:rsidP="009B5DE5">
            <w:pPr>
              <w:spacing w:after="0"/>
              <w:jc w:val="right"/>
              <w:rPr>
                <w:rFonts w:eastAsia="Times New Roman" w:cs="Times New Roman"/>
                <w:szCs w:val="24"/>
              </w:rPr>
            </w:pPr>
            <w:r w:rsidRPr="009B5DE5">
              <w:rPr>
                <w:rFonts w:eastAsia="Times New Roman" w:cs="Times New Roman"/>
                <w:szCs w:val="24"/>
              </w:rPr>
              <w:t>0,0</w:t>
            </w:r>
          </w:p>
        </w:tc>
      </w:tr>
    </w:tbl>
    <w:p w14:paraId="01653496" w14:textId="77777777" w:rsidR="009B5DE5" w:rsidRPr="009B5DE5" w:rsidRDefault="009B5DE5" w:rsidP="009B5DE5">
      <w:pPr>
        <w:spacing w:after="0"/>
        <w:jc w:val="left"/>
        <w:rPr>
          <w:rFonts w:eastAsia="Times New Roman" w:cs="Times New Roman"/>
          <w:bCs/>
          <w:sz w:val="22"/>
        </w:rPr>
      </w:pPr>
    </w:p>
    <w:p w14:paraId="229F1677" w14:textId="77777777" w:rsidR="009B5DE5" w:rsidRPr="009B5DE5" w:rsidRDefault="009B5DE5" w:rsidP="009B5DE5">
      <w:pPr>
        <w:spacing w:after="0"/>
        <w:jc w:val="left"/>
        <w:rPr>
          <w:rFonts w:eastAsia="Times New Roman" w:cs="Times New Roman"/>
          <w:bCs/>
          <w:sz w:val="22"/>
        </w:rPr>
      </w:pPr>
      <w:r w:rsidRPr="009B5DE5">
        <w:rPr>
          <w:rFonts w:eastAsia="Times New Roman" w:cs="Times New Roman"/>
          <w:bCs/>
          <w:sz w:val="22"/>
        </w:rPr>
        <w:t>Табела 1e:  БДП, инвестиције и бруто додата вредност</w:t>
      </w:r>
    </w:p>
    <w:p w14:paraId="4C2DA102" w14:textId="77777777" w:rsidR="009B5DE5" w:rsidRPr="009B5DE5" w:rsidRDefault="009B5DE5" w:rsidP="009B5DE5">
      <w:pPr>
        <w:spacing w:after="0"/>
        <w:jc w:val="left"/>
        <w:rPr>
          <w:rFonts w:eastAsia="Times New Roman" w:cs="Times New Roman"/>
          <w:bCs/>
          <w:sz w:val="22"/>
        </w:rPr>
      </w:pPr>
    </w:p>
    <w:tbl>
      <w:tblPr>
        <w:tblW w:w="14837" w:type="dxa"/>
        <w:tblLook w:val="04A0" w:firstRow="1" w:lastRow="0" w:firstColumn="1" w:lastColumn="0" w:noHBand="0" w:noVBand="1"/>
      </w:tblPr>
      <w:tblGrid>
        <w:gridCol w:w="7060"/>
        <w:gridCol w:w="1274"/>
        <w:gridCol w:w="1405"/>
        <w:gridCol w:w="1274"/>
        <w:gridCol w:w="1274"/>
        <w:gridCol w:w="1274"/>
        <w:gridCol w:w="1276"/>
      </w:tblGrid>
      <w:tr w:rsidR="009B5DE5" w:rsidRPr="009B5DE5" w14:paraId="668A0C44" w14:textId="77777777" w:rsidTr="00396800">
        <w:trPr>
          <w:trHeight w:val="581"/>
        </w:trPr>
        <w:tc>
          <w:tcPr>
            <w:tcW w:w="7060" w:type="dxa"/>
            <w:tcBorders>
              <w:top w:val="double" w:sz="6" w:space="0" w:color="auto"/>
              <w:left w:val="double" w:sz="6" w:space="0" w:color="auto"/>
              <w:bottom w:val="nil"/>
              <w:right w:val="dotted" w:sz="4" w:space="0" w:color="auto"/>
            </w:tcBorders>
            <w:shd w:val="clear" w:color="000000" w:fill="FFFFFF"/>
            <w:vAlign w:val="bottom"/>
            <w:hideMark/>
          </w:tcPr>
          <w:p w14:paraId="0D869D8A"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274" w:type="dxa"/>
            <w:tcBorders>
              <w:top w:val="double" w:sz="6" w:space="0" w:color="auto"/>
              <w:left w:val="nil"/>
              <w:bottom w:val="nil"/>
              <w:right w:val="double" w:sz="6" w:space="0" w:color="auto"/>
            </w:tcBorders>
            <w:shd w:val="clear" w:color="000000" w:fill="FFFFFF"/>
            <w:vAlign w:val="bottom"/>
            <w:hideMark/>
          </w:tcPr>
          <w:p w14:paraId="00565DC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ESA шифра</w:t>
            </w:r>
          </w:p>
        </w:tc>
        <w:tc>
          <w:tcPr>
            <w:tcW w:w="1405" w:type="dxa"/>
            <w:tcBorders>
              <w:top w:val="double" w:sz="6" w:space="0" w:color="auto"/>
              <w:left w:val="nil"/>
              <w:bottom w:val="nil"/>
              <w:right w:val="dotted" w:sz="4" w:space="0" w:color="auto"/>
            </w:tcBorders>
            <w:shd w:val="clear" w:color="000000" w:fill="FFFFFF"/>
            <w:hideMark/>
          </w:tcPr>
          <w:p w14:paraId="0C592A7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Година</w:t>
            </w:r>
          </w:p>
        </w:tc>
        <w:tc>
          <w:tcPr>
            <w:tcW w:w="1274" w:type="dxa"/>
            <w:tcBorders>
              <w:top w:val="double" w:sz="6" w:space="0" w:color="auto"/>
              <w:left w:val="nil"/>
              <w:bottom w:val="nil"/>
              <w:right w:val="dotted" w:sz="4" w:space="0" w:color="auto"/>
            </w:tcBorders>
            <w:shd w:val="clear" w:color="000000" w:fill="FFFFFF"/>
            <w:hideMark/>
          </w:tcPr>
          <w:p w14:paraId="53BEB20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Година</w:t>
            </w:r>
          </w:p>
        </w:tc>
        <w:tc>
          <w:tcPr>
            <w:tcW w:w="1274" w:type="dxa"/>
            <w:tcBorders>
              <w:top w:val="double" w:sz="6" w:space="0" w:color="auto"/>
              <w:left w:val="nil"/>
              <w:bottom w:val="nil"/>
              <w:right w:val="dotted" w:sz="4" w:space="0" w:color="auto"/>
            </w:tcBorders>
            <w:shd w:val="clear" w:color="000000" w:fill="FFFFFF"/>
            <w:hideMark/>
          </w:tcPr>
          <w:p w14:paraId="55C1AC5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Година</w:t>
            </w:r>
          </w:p>
        </w:tc>
        <w:tc>
          <w:tcPr>
            <w:tcW w:w="1274" w:type="dxa"/>
            <w:tcBorders>
              <w:top w:val="double" w:sz="6" w:space="0" w:color="auto"/>
              <w:left w:val="nil"/>
              <w:bottom w:val="nil"/>
              <w:right w:val="dotted" w:sz="4" w:space="0" w:color="auto"/>
            </w:tcBorders>
            <w:shd w:val="clear" w:color="000000" w:fill="FFFFFF"/>
            <w:hideMark/>
          </w:tcPr>
          <w:p w14:paraId="01FDCB1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Година</w:t>
            </w:r>
          </w:p>
        </w:tc>
        <w:tc>
          <w:tcPr>
            <w:tcW w:w="1275" w:type="dxa"/>
            <w:tcBorders>
              <w:top w:val="double" w:sz="6" w:space="0" w:color="auto"/>
              <w:left w:val="nil"/>
              <w:bottom w:val="nil"/>
              <w:right w:val="double" w:sz="6" w:space="0" w:color="auto"/>
            </w:tcBorders>
            <w:shd w:val="clear" w:color="000000" w:fill="FFFFFF"/>
            <w:hideMark/>
          </w:tcPr>
          <w:p w14:paraId="0066104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Година</w:t>
            </w:r>
          </w:p>
        </w:tc>
      </w:tr>
      <w:tr w:rsidR="009B5DE5" w:rsidRPr="009B5DE5" w14:paraId="580EDD1A" w14:textId="77777777" w:rsidTr="00396800">
        <w:trPr>
          <w:trHeight w:val="87"/>
        </w:trPr>
        <w:tc>
          <w:tcPr>
            <w:tcW w:w="7060" w:type="dxa"/>
            <w:tcBorders>
              <w:top w:val="nil"/>
              <w:left w:val="double" w:sz="6" w:space="0" w:color="auto"/>
              <w:bottom w:val="nil"/>
              <w:right w:val="dotted" w:sz="4" w:space="0" w:color="auto"/>
            </w:tcBorders>
            <w:shd w:val="clear" w:color="000000" w:fill="FFFFFF"/>
            <w:vAlign w:val="bottom"/>
            <w:hideMark/>
          </w:tcPr>
          <w:p w14:paraId="59057333"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274" w:type="dxa"/>
            <w:tcBorders>
              <w:top w:val="nil"/>
              <w:left w:val="nil"/>
              <w:bottom w:val="nil"/>
              <w:right w:val="double" w:sz="6" w:space="0" w:color="auto"/>
            </w:tcBorders>
            <w:shd w:val="clear" w:color="000000" w:fill="FFFFFF"/>
            <w:vAlign w:val="bottom"/>
            <w:hideMark/>
          </w:tcPr>
          <w:p w14:paraId="412147B0"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405" w:type="dxa"/>
            <w:tcBorders>
              <w:top w:val="nil"/>
              <w:left w:val="nil"/>
              <w:bottom w:val="nil"/>
              <w:right w:val="dotted" w:sz="4" w:space="0" w:color="auto"/>
            </w:tcBorders>
            <w:shd w:val="clear" w:color="000000" w:fill="FFFFFF"/>
            <w:hideMark/>
          </w:tcPr>
          <w:p w14:paraId="34C814D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2023</w:t>
            </w:r>
          </w:p>
        </w:tc>
        <w:tc>
          <w:tcPr>
            <w:tcW w:w="1274" w:type="dxa"/>
            <w:tcBorders>
              <w:top w:val="nil"/>
              <w:left w:val="nil"/>
              <w:bottom w:val="nil"/>
              <w:right w:val="dotted" w:sz="4" w:space="0" w:color="auto"/>
            </w:tcBorders>
            <w:shd w:val="clear" w:color="000000" w:fill="FFFFFF"/>
            <w:hideMark/>
          </w:tcPr>
          <w:p w14:paraId="7AD33C4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2024</w:t>
            </w:r>
          </w:p>
        </w:tc>
        <w:tc>
          <w:tcPr>
            <w:tcW w:w="1274" w:type="dxa"/>
            <w:tcBorders>
              <w:top w:val="nil"/>
              <w:left w:val="nil"/>
              <w:bottom w:val="nil"/>
              <w:right w:val="dotted" w:sz="4" w:space="0" w:color="auto"/>
            </w:tcBorders>
            <w:shd w:val="clear" w:color="000000" w:fill="FFFFFF"/>
            <w:hideMark/>
          </w:tcPr>
          <w:p w14:paraId="14BCBCB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2025</w:t>
            </w:r>
          </w:p>
        </w:tc>
        <w:tc>
          <w:tcPr>
            <w:tcW w:w="1274" w:type="dxa"/>
            <w:tcBorders>
              <w:top w:val="nil"/>
              <w:left w:val="nil"/>
              <w:bottom w:val="nil"/>
              <w:right w:val="dotted" w:sz="4" w:space="0" w:color="auto"/>
            </w:tcBorders>
            <w:shd w:val="clear" w:color="000000" w:fill="FFFFFF"/>
            <w:hideMark/>
          </w:tcPr>
          <w:p w14:paraId="27A0D6F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2026</w:t>
            </w:r>
          </w:p>
        </w:tc>
        <w:tc>
          <w:tcPr>
            <w:tcW w:w="1275" w:type="dxa"/>
            <w:tcBorders>
              <w:top w:val="nil"/>
              <w:left w:val="nil"/>
              <w:bottom w:val="nil"/>
              <w:right w:val="double" w:sz="6" w:space="0" w:color="auto"/>
            </w:tcBorders>
            <w:shd w:val="clear" w:color="000000" w:fill="FFFFFF"/>
            <w:hideMark/>
          </w:tcPr>
          <w:p w14:paraId="60632EF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2027</w:t>
            </w:r>
          </w:p>
        </w:tc>
      </w:tr>
      <w:tr w:rsidR="009B5DE5" w:rsidRPr="009B5DE5" w14:paraId="700D5FA4" w14:textId="77777777" w:rsidTr="00396800">
        <w:trPr>
          <w:trHeight w:val="282"/>
        </w:trPr>
        <w:tc>
          <w:tcPr>
            <w:tcW w:w="14837" w:type="dxa"/>
            <w:gridSpan w:val="7"/>
            <w:tcBorders>
              <w:top w:val="single" w:sz="4" w:space="0" w:color="auto"/>
              <w:left w:val="double" w:sz="6" w:space="0" w:color="auto"/>
              <w:bottom w:val="single" w:sz="4" w:space="0" w:color="auto"/>
              <w:right w:val="double" w:sz="6" w:space="0" w:color="000000"/>
            </w:tcBorders>
            <w:shd w:val="clear" w:color="000000" w:fill="FFFFFF"/>
            <w:vAlign w:val="bottom"/>
            <w:hideMark/>
          </w:tcPr>
          <w:p w14:paraId="4D4520EF" w14:textId="77777777" w:rsidR="009B5DE5" w:rsidRPr="009B5DE5" w:rsidRDefault="009B5DE5" w:rsidP="009B5DE5">
            <w:pPr>
              <w:spacing w:after="0"/>
              <w:jc w:val="center"/>
              <w:rPr>
                <w:rFonts w:eastAsia="Times New Roman" w:cs="Times New Roman"/>
                <w:b/>
                <w:bCs/>
                <w:sz w:val="20"/>
                <w:szCs w:val="20"/>
              </w:rPr>
            </w:pPr>
            <w:r w:rsidRPr="009B5DE5">
              <w:rPr>
                <w:rFonts w:eastAsia="Times New Roman" w:cs="Times New Roman"/>
                <w:b/>
                <w:bCs/>
                <w:sz w:val="20"/>
                <w:szCs w:val="20"/>
              </w:rPr>
              <w:t>БДП и инвестиције</w:t>
            </w:r>
          </w:p>
        </w:tc>
      </w:tr>
      <w:tr w:rsidR="009B5DE5" w:rsidRPr="009B5DE5" w14:paraId="4447E0E9" w14:textId="77777777" w:rsidTr="00396800">
        <w:trPr>
          <w:trHeight w:val="331"/>
        </w:trPr>
        <w:tc>
          <w:tcPr>
            <w:tcW w:w="7060" w:type="dxa"/>
            <w:tcBorders>
              <w:top w:val="nil"/>
              <w:left w:val="double" w:sz="6" w:space="0" w:color="auto"/>
              <w:bottom w:val="dotted" w:sz="4" w:space="0" w:color="auto"/>
              <w:right w:val="dotted" w:sz="4" w:space="0" w:color="auto"/>
            </w:tcBorders>
            <w:shd w:val="clear" w:color="000000" w:fill="FFFFFF"/>
            <w:vAlign w:val="bottom"/>
            <w:hideMark/>
          </w:tcPr>
          <w:p w14:paraId="4C1B0938"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Висина БДП-а по текућим тржишним ценама (млрд РСД)</w:t>
            </w:r>
          </w:p>
        </w:tc>
        <w:tc>
          <w:tcPr>
            <w:tcW w:w="1274" w:type="dxa"/>
            <w:tcBorders>
              <w:top w:val="nil"/>
              <w:left w:val="nil"/>
              <w:bottom w:val="dotted" w:sz="4" w:space="0" w:color="auto"/>
              <w:right w:val="nil"/>
            </w:tcBorders>
            <w:shd w:val="clear" w:color="000000" w:fill="FFFFFF"/>
            <w:vAlign w:val="bottom"/>
            <w:hideMark/>
          </w:tcPr>
          <w:p w14:paraId="443D7FE3"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B1g</w:t>
            </w:r>
          </w:p>
        </w:tc>
        <w:tc>
          <w:tcPr>
            <w:tcW w:w="1405" w:type="dxa"/>
            <w:tcBorders>
              <w:top w:val="nil"/>
              <w:left w:val="double" w:sz="6" w:space="0" w:color="auto"/>
              <w:bottom w:val="dotted" w:sz="4" w:space="0" w:color="auto"/>
              <w:right w:val="dotted" w:sz="4" w:space="0" w:color="auto"/>
            </w:tcBorders>
            <w:shd w:val="clear" w:color="000000" w:fill="FFFFFF"/>
            <w:vAlign w:val="bottom"/>
            <w:hideMark/>
          </w:tcPr>
          <w:p w14:paraId="065FF97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8.817,8</w:t>
            </w:r>
          </w:p>
        </w:tc>
        <w:tc>
          <w:tcPr>
            <w:tcW w:w="1274" w:type="dxa"/>
            <w:tcBorders>
              <w:top w:val="nil"/>
              <w:left w:val="nil"/>
              <w:bottom w:val="dotted" w:sz="4" w:space="0" w:color="auto"/>
              <w:right w:val="dotted" w:sz="4" w:space="0" w:color="auto"/>
            </w:tcBorders>
            <w:shd w:val="clear" w:color="000000" w:fill="FFFFFF"/>
            <w:vAlign w:val="bottom"/>
            <w:hideMark/>
          </w:tcPr>
          <w:p w14:paraId="2AF10C9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9.604,8</w:t>
            </w:r>
          </w:p>
        </w:tc>
        <w:tc>
          <w:tcPr>
            <w:tcW w:w="1274" w:type="dxa"/>
            <w:tcBorders>
              <w:top w:val="nil"/>
              <w:left w:val="nil"/>
              <w:bottom w:val="dotted" w:sz="4" w:space="0" w:color="auto"/>
              <w:right w:val="dotted" w:sz="4" w:space="0" w:color="auto"/>
            </w:tcBorders>
            <w:shd w:val="clear" w:color="000000" w:fill="FFFFFF"/>
            <w:vAlign w:val="bottom"/>
            <w:hideMark/>
          </w:tcPr>
          <w:p w14:paraId="7C7CBA9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10.328,9</w:t>
            </w:r>
          </w:p>
        </w:tc>
        <w:tc>
          <w:tcPr>
            <w:tcW w:w="1274" w:type="dxa"/>
            <w:tcBorders>
              <w:top w:val="nil"/>
              <w:left w:val="nil"/>
              <w:bottom w:val="dotted" w:sz="4" w:space="0" w:color="auto"/>
              <w:right w:val="dotted" w:sz="4" w:space="0" w:color="auto"/>
            </w:tcBorders>
            <w:shd w:val="clear" w:color="000000" w:fill="FFFFFF"/>
            <w:vAlign w:val="bottom"/>
            <w:hideMark/>
          </w:tcPr>
          <w:p w14:paraId="580F4CD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11.087,6</w:t>
            </w:r>
          </w:p>
        </w:tc>
        <w:tc>
          <w:tcPr>
            <w:tcW w:w="1275" w:type="dxa"/>
            <w:tcBorders>
              <w:top w:val="nil"/>
              <w:left w:val="nil"/>
              <w:bottom w:val="dotted" w:sz="4" w:space="0" w:color="auto"/>
              <w:right w:val="double" w:sz="6" w:space="0" w:color="auto"/>
            </w:tcBorders>
            <w:shd w:val="clear" w:color="000000" w:fill="FFFFFF"/>
            <w:vAlign w:val="bottom"/>
            <w:hideMark/>
          </w:tcPr>
          <w:p w14:paraId="5E036BB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11.993,1</w:t>
            </w:r>
          </w:p>
        </w:tc>
      </w:tr>
      <w:tr w:rsidR="009B5DE5" w:rsidRPr="009B5DE5" w14:paraId="4319DF94" w14:textId="77777777" w:rsidTr="00396800">
        <w:trPr>
          <w:trHeight w:val="331"/>
        </w:trPr>
        <w:tc>
          <w:tcPr>
            <w:tcW w:w="7060" w:type="dxa"/>
            <w:tcBorders>
              <w:top w:val="nil"/>
              <w:left w:val="double" w:sz="6" w:space="0" w:color="auto"/>
              <w:bottom w:val="nil"/>
              <w:right w:val="dotted" w:sz="4" w:space="0" w:color="auto"/>
            </w:tcBorders>
            <w:shd w:val="clear" w:color="000000" w:fill="FFFFFF"/>
            <w:vAlign w:val="bottom"/>
            <w:hideMark/>
          </w:tcPr>
          <w:p w14:paraId="148C228A"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Учешће инвестиција (% БДП-а)</w:t>
            </w:r>
          </w:p>
        </w:tc>
        <w:tc>
          <w:tcPr>
            <w:tcW w:w="1274" w:type="dxa"/>
            <w:tcBorders>
              <w:top w:val="nil"/>
              <w:left w:val="nil"/>
              <w:bottom w:val="nil"/>
              <w:right w:val="nil"/>
            </w:tcBorders>
            <w:shd w:val="clear" w:color="000000" w:fill="FFFFFF"/>
            <w:vAlign w:val="bottom"/>
            <w:hideMark/>
          </w:tcPr>
          <w:p w14:paraId="5F15BE1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405" w:type="dxa"/>
            <w:tcBorders>
              <w:top w:val="nil"/>
              <w:left w:val="double" w:sz="6" w:space="0" w:color="auto"/>
              <w:bottom w:val="nil"/>
              <w:right w:val="dotted" w:sz="4" w:space="0" w:color="auto"/>
            </w:tcBorders>
            <w:shd w:val="clear" w:color="000000" w:fill="FFFFFF"/>
            <w:vAlign w:val="bottom"/>
            <w:hideMark/>
          </w:tcPr>
          <w:p w14:paraId="6029FD13"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23,4</w:t>
            </w:r>
          </w:p>
        </w:tc>
        <w:tc>
          <w:tcPr>
            <w:tcW w:w="1274" w:type="dxa"/>
            <w:tcBorders>
              <w:top w:val="nil"/>
              <w:left w:val="nil"/>
              <w:bottom w:val="nil"/>
              <w:right w:val="dotted" w:sz="4" w:space="0" w:color="auto"/>
            </w:tcBorders>
            <w:shd w:val="clear" w:color="000000" w:fill="FFFFFF"/>
            <w:vAlign w:val="bottom"/>
            <w:hideMark/>
          </w:tcPr>
          <w:p w14:paraId="45DEACC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24,5</w:t>
            </w:r>
          </w:p>
        </w:tc>
        <w:tc>
          <w:tcPr>
            <w:tcW w:w="1274" w:type="dxa"/>
            <w:tcBorders>
              <w:top w:val="nil"/>
              <w:left w:val="nil"/>
              <w:bottom w:val="nil"/>
              <w:right w:val="dotted" w:sz="4" w:space="0" w:color="auto"/>
            </w:tcBorders>
            <w:shd w:val="clear" w:color="000000" w:fill="FFFFFF"/>
            <w:vAlign w:val="bottom"/>
            <w:hideMark/>
          </w:tcPr>
          <w:p w14:paraId="0A961C5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25,4</w:t>
            </w:r>
          </w:p>
        </w:tc>
        <w:tc>
          <w:tcPr>
            <w:tcW w:w="1274" w:type="dxa"/>
            <w:tcBorders>
              <w:top w:val="nil"/>
              <w:left w:val="nil"/>
              <w:bottom w:val="nil"/>
              <w:right w:val="dotted" w:sz="4" w:space="0" w:color="auto"/>
            </w:tcBorders>
            <w:shd w:val="clear" w:color="000000" w:fill="FFFFFF"/>
            <w:vAlign w:val="bottom"/>
            <w:hideMark/>
          </w:tcPr>
          <w:p w14:paraId="3BCA003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26,1</w:t>
            </w:r>
          </w:p>
        </w:tc>
        <w:tc>
          <w:tcPr>
            <w:tcW w:w="1275" w:type="dxa"/>
            <w:tcBorders>
              <w:top w:val="nil"/>
              <w:left w:val="nil"/>
              <w:bottom w:val="nil"/>
              <w:right w:val="double" w:sz="6" w:space="0" w:color="auto"/>
            </w:tcBorders>
            <w:shd w:val="clear" w:color="000000" w:fill="FFFFFF"/>
            <w:vAlign w:val="bottom"/>
            <w:hideMark/>
          </w:tcPr>
          <w:p w14:paraId="4F77D45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26,5</w:t>
            </w:r>
          </w:p>
        </w:tc>
      </w:tr>
      <w:tr w:rsidR="009B5DE5" w:rsidRPr="009B5DE5" w14:paraId="523700DC" w14:textId="77777777" w:rsidTr="00396800">
        <w:trPr>
          <w:trHeight w:val="331"/>
        </w:trPr>
        <w:tc>
          <w:tcPr>
            <w:tcW w:w="14837" w:type="dxa"/>
            <w:gridSpan w:val="7"/>
            <w:tcBorders>
              <w:top w:val="single" w:sz="4" w:space="0" w:color="auto"/>
              <w:left w:val="double" w:sz="6" w:space="0" w:color="auto"/>
              <w:bottom w:val="single" w:sz="4" w:space="0" w:color="auto"/>
              <w:right w:val="double" w:sz="6" w:space="0" w:color="000000"/>
            </w:tcBorders>
            <w:shd w:val="clear" w:color="000000" w:fill="FFFFFF"/>
            <w:vAlign w:val="bottom"/>
            <w:hideMark/>
          </w:tcPr>
          <w:p w14:paraId="52A2FFAA" w14:textId="77777777" w:rsidR="009B5DE5" w:rsidRPr="009B5DE5" w:rsidRDefault="009B5DE5" w:rsidP="009B5DE5">
            <w:pPr>
              <w:spacing w:after="0"/>
              <w:jc w:val="center"/>
              <w:rPr>
                <w:rFonts w:eastAsia="Times New Roman" w:cs="Times New Roman"/>
                <w:b/>
                <w:bCs/>
                <w:sz w:val="20"/>
                <w:szCs w:val="20"/>
              </w:rPr>
            </w:pPr>
            <w:r w:rsidRPr="009B5DE5">
              <w:rPr>
                <w:rFonts w:eastAsia="Times New Roman" w:cs="Times New Roman"/>
                <w:b/>
                <w:bCs/>
                <w:sz w:val="20"/>
                <w:szCs w:val="20"/>
              </w:rPr>
              <w:t>Раст бруто додате вредности, процентуалне промене у сталним ценама</w:t>
            </w:r>
          </w:p>
        </w:tc>
      </w:tr>
      <w:tr w:rsidR="009B5DE5" w:rsidRPr="009B5DE5" w14:paraId="5535C451" w14:textId="77777777" w:rsidTr="00396800">
        <w:trPr>
          <w:trHeight w:val="331"/>
        </w:trPr>
        <w:tc>
          <w:tcPr>
            <w:tcW w:w="7060" w:type="dxa"/>
            <w:tcBorders>
              <w:top w:val="nil"/>
              <w:left w:val="double" w:sz="6" w:space="0" w:color="auto"/>
              <w:bottom w:val="dotted" w:sz="4" w:space="0" w:color="auto"/>
              <w:right w:val="dotted" w:sz="4" w:space="0" w:color="auto"/>
            </w:tcBorders>
            <w:shd w:val="clear" w:color="000000" w:fill="FFFFFF"/>
            <w:vAlign w:val="bottom"/>
            <w:hideMark/>
          </w:tcPr>
          <w:p w14:paraId="2328EB8A"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1. Пољопривреда</w:t>
            </w:r>
          </w:p>
        </w:tc>
        <w:tc>
          <w:tcPr>
            <w:tcW w:w="1274" w:type="dxa"/>
            <w:tcBorders>
              <w:top w:val="nil"/>
              <w:left w:val="nil"/>
              <w:bottom w:val="dotted" w:sz="4" w:space="0" w:color="auto"/>
              <w:right w:val="nil"/>
            </w:tcBorders>
            <w:shd w:val="clear" w:color="000000" w:fill="FFFFFF"/>
            <w:vAlign w:val="bottom"/>
            <w:hideMark/>
          </w:tcPr>
          <w:p w14:paraId="73E0CB0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405" w:type="dxa"/>
            <w:tcBorders>
              <w:top w:val="nil"/>
              <w:left w:val="double" w:sz="6" w:space="0" w:color="auto"/>
              <w:bottom w:val="dotted" w:sz="4" w:space="0" w:color="auto"/>
              <w:right w:val="dotted" w:sz="4" w:space="0" w:color="auto"/>
            </w:tcBorders>
            <w:shd w:val="clear" w:color="000000" w:fill="FFFFFF"/>
            <w:vAlign w:val="bottom"/>
            <w:hideMark/>
          </w:tcPr>
          <w:p w14:paraId="11D9805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7,4</w:t>
            </w:r>
          </w:p>
        </w:tc>
        <w:tc>
          <w:tcPr>
            <w:tcW w:w="1274" w:type="dxa"/>
            <w:tcBorders>
              <w:top w:val="nil"/>
              <w:left w:val="nil"/>
              <w:bottom w:val="dotted" w:sz="4" w:space="0" w:color="auto"/>
              <w:right w:val="dotted" w:sz="4" w:space="0" w:color="auto"/>
            </w:tcBorders>
            <w:shd w:val="clear" w:color="000000" w:fill="FFFFFF"/>
            <w:vAlign w:val="bottom"/>
            <w:hideMark/>
          </w:tcPr>
          <w:p w14:paraId="601E723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-4,2</w:t>
            </w:r>
          </w:p>
        </w:tc>
        <w:tc>
          <w:tcPr>
            <w:tcW w:w="1274" w:type="dxa"/>
            <w:tcBorders>
              <w:top w:val="nil"/>
              <w:left w:val="nil"/>
              <w:bottom w:val="dotted" w:sz="4" w:space="0" w:color="auto"/>
              <w:right w:val="dotted" w:sz="4" w:space="0" w:color="auto"/>
            </w:tcBorders>
            <w:shd w:val="clear" w:color="000000" w:fill="FFFFFF"/>
            <w:vAlign w:val="bottom"/>
            <w:hideMark/>
          </w:tcPr>
          <w:p w14:paraId="0B114AB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4,2</w:t>
            </w:r>
          </w:p>
        </w:tc>
        <w:tc>
          <w:tcPr>
            <w:tcW w:w="1274" w:type="dxa"/>
            <w:tcBorders>
              <w:top w:val="nil"/>
              <w:left w:val="nil"/>
              <w:bottom w:val="dotted" w:sz="4" w:space="0" w:color="auto"/>
              <w:right w:val="dotted" w:sz="4" w:space="0" w:color="auto"/>
            </w:tcBorders>
            <w:shd w:val="clear" w:color="000000" w:fill="FFFFFF"/>
            <w:vAlign w:val="bottom"/>
            <w:hideMark/>
          </w:tcPr>
          <w:p w14:paraId="316BAC3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0,0</w:t>
            </w:r>
          </w:p>
        </w:tc>
        <w:tc>
          <w:tcPr>
            <w:tcW w:w="1275" w:type="dxa"/>
            <w:tcBorders>
              <w:top w:val="nil"/>
              <w:left w:val="nil"/>
              <w:bottom w:val="dotted" w:sz="4" w:space="0" w:color="auto"/>
              <w:right w:val="double" w:sz="6" w:space="0" w:color="auto"/>
            </w:tcBorders>
            <w:shd w:val="clear" w:color="000000" w:fill="FFFFFF"/>
            <w:vAlign w:val="bottom"/>
            <w:hideMark/>
          </w:tcPr>
          <w:p w14:paraId="0ABB79A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0,0</w:t>
            </w:r>
          </w:p>
        </w:tc>
      </w:tr>
      <w:tr w:rsidR="009B5DE5" w:rsidRPr="009B5DE5" w14:paraId="3448E19F" w14:textId="77777777" w:rsidTr="00396800">
        <w:trPr>
          <w:trHeight w:val="331"/>
        </w:trPr>
        <w:tc>
          <w:tcPr>
            <w:tcW w:w="7060" w:type="dxa"/>
            <w:tcBorders>
              <w:top w:val="nil"/>
              <w:left w:val="double" w:sz="6" w:space="0" w:color="auto"/>
              <w:bottom w:val="dotted" w:sz="4" w:space="0" w:color="auto"/>
              <w:right w:val="dotted" w:sz="4" w:space="0" w:color="auto"/>
            </w:tcBorders>
            <w:shd w:val="clear" w:color="000000" w:fill="FFFFFF"/>
            <w:vAlign w:val="bottom"/>
            <w:hideMark/>
          </w:tcPr>
          <w:p w14:paraId="0AB9456D"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2. Индустрија (осим грађевинарства)</w:t>
            </w:r>
          </w:p>
        </w:tc>
        <w:tc>
          <w:tcPr>
            <w:tcW w:w="1274" w:type="dxa"/>
            <w:tcBorders>
              <w:top w:val="nil"/>
              <w:left w:val="nil"/>
              <w:bottom w:val="dotted" w:sz="4" w:space="0" w:color="auto"/>
              <w:right w:val="nil"/>
            </w:tcBorders>
            <w:shd w:val="clear" w:color="000000" w:fill="FFFFFF"/>
            <w:vAlign w:val="bottom"/>
            <w:hideMark/>
          </w:tcPr>
          <w:p w14:paraId="00A90C9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405" w:type="dxa"/>
            <w:tcBorders>
              <w:top w:val="nil"/>
              <w:left w:val="double" w:sz="6" w:space="0" w:color="auto"/>
              <w:bottom w:val="dotted" w:sz="4" w:space="0" w:color="auto"/>
              <w:right w:val="dotted" w:sz="4" w:space="0" w:color="auto"/>
            </w:tcBorders>
            <w:shd w:val="clear" w:color="000000" w:fill="FFFFFF"/>
            <w:vAlign w:val="bottom"/>
            <w:hideMark/>
          </w:tcPr>
          <w:p w14:paraId="7054B3D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2,1</w:t>
            </w:r>
          </w:p>
        </w:tc>
        <w:tc>
          <w:tcPr>
            <w:tcW w:w="1274" w:type="dxa"/>
            <w:tcBorders>
              <w:top w:val="nil"/>
              <w:left w:val="nil"/>
              <w:bottom w:val="dotted" w:sz="4" w:space="0" w:color="auto"/>
              <w:right w:val="dotted" w:sz="4" w:space="0" w:color="auto"/>
            </w:tcBorders>
            <w:shd w:val="clear" w:color="000000" w:fill="FFFFFF"/>
            <w:vAlign w:val="bottom"/>
            <w:hideMark/>
          </w:tcPr>
          <w:p w14:paraId="7C84987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2,8</w:t>
            </w:r>
          </w:p>
        </w:tc>
        <w:tc>
          <w:tcPr>
            <w:tcW w:w="1274" w:type="dxa"/>
            <w:tcBorders>
              <w:top w:val="nil"/>
              <w:left w:val="nil"/>
              <w:bottom w:val="dotted" w:sz="4" w:space="0" w:color="auto"/>
              <w:right w:val="dotted" w:sz="4" w:space="0" w:color="auto"/>
            </w:tcBorders>
            <w:shd w:val="clear" w:color="000000" w:fill="FFFFFF"/>
            <w:vAlign w:val="bottom"/>
            <w:hideMark/>
          </w:tcPr>
          <w:p w14:paraId="05DA3D1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4,0</w:t>
            </w:r>
          </w:p>
        </w:tc>
        <w:tc>
          <w:tcPr>
            <w:tcW w:w="1274" w:type="dxa"/>
            <w:tcBorders>
              <w:top w:val="nil"/>
              <w:left w:val="nil"/>
              <w:bottom w:val="dotted" w:sz="4" w:space="0" w:color="auto"/>
              <w:right w:val="dotted" w:sz="4" w:space="0" w:color="auto"/>
            </w:tcBorders>
            <w:shd w:val="clear" w:color="000000" w:fill="FFFFFF"/>
            <w:vAlign w:val="bottom"/>
            <w:hideMark/>
          </w:tcPr>
          <w:p w14:paraId="20665AD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4,3</w:t>
            </w:r>
          </w:p>
        </w:tc>
        <w:tc>
          <w:tcPr>
            <w:tcW w:w="1275" w:type="dxa"/>
            <w:tcBorders>
              <w:top w:val="nil"/>
              <w:left w:val="nil"/>
              <w:bottom w:val="dotted" w:sz="4" w:space="0" w:color="auto"/>
              <w:right w:val="double" w:sz="6" w:space="0" w:color="auto"/>
            </w:tcBorders>
            <w:shd w:val="clear" w:color="000000" w:fill="FFFFFF"/>
            <w:vAlign w:val="bottom"/>
            <w:hideMark/>
          </w:tcPr>
          <w:p w14:paraId="11B6FE5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4,8</w:t>
            </w:r>
          </w:p>
        </w:tc>
      </w:tr>
      <w:tr w:rsidR="009B5DE5" w:rsidRPr="009B5DE5" w14:paraId="1D63B317" w14:textId="77777777" w:rsidTr="00396800">
        <w:trPr>
          <w:trHeight w:val="331"/>
        </w:trPr>
        <w:tc>
          <w:tcPr>
            <w:tcW w:w="7060" w:type="dxa"/>
            <w:tcBorders>
              <w:top w:val="nil"/>
              <w:left w:val="double" w:sz="6" w:space="0" w:color="auto"/>
              <w:bottom w:val="dotted" w:sz="4" w:space="0" w:color="auto"/>
              <w:right w:val="dotted" w:sz="4" w:space="0" w:color="auto"/>
            </w:tcBorders>
            <w:shd w:val="clear" w:color="000000" w:fill="FFFFFF"/>
            <w:vAlign w:val="bottom"/>
            <w:hideMark/>
          </w:tcPr>
          <w:p w14:paraId="6B044E33"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3. Грађевинарство</w:t>
            </w:r>
          </w:p>
        </w:tc>
        <w:tc>
          <w:tcPr>
            <w:tcW w:w="1274" w:type="dxa"/>
            <w:tcBorders>
              <w:top w:val="nil"/>
              <w:left w:val="nil"/>
              <w:bottom w:val="dotted" w:sz="4" w:space="0" w:color="auto"/>
              <w:right w:val="nil"/>
            </w:tcBorders>
            <w:shd w:val="clear" w:color="000000" w:fill="FFFFFF"/>
            <w:vAlign w:val="bottom"/>
            <w:hideMark/>
          </w:tcPr>
          <w:p w14:paraId="1F38F8A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405" w:type="dxa"/>
            <w:tcBorders>
              <w:top w:val="nil"/>
              <w:left w:val="double" w:sz="6" w:space="0" w:color="auto"/>
              <w:bottom w:val="dotted" w:sz="4" w:space="0" w:color="auto"/>
              <w:right w:val="dotted" w:sz="4" w:space="0" w:color="auto"/>
            </w:tcBorders>
            <w:shd w:val="clear" w:color="000000" w:fill="FFFFFF"/>
            <w:vAlign w:val="bottom"/>
            <w:hideMark/>
          </w:tcPr>
          <w:p w14:paraId="67A72D4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10,5</w:t>
            </w:r>
          </w:p>
        </w:tc>
        <w:tc>
          <w:tcPr>
            <w:tcW w:w="1274" w:type="dxa"/>
            <w:tcBorders>
              <w:top w:val="nil"/>
              <w:left w:val="nil"/>
              <w:bottom w:val="dotted" w:sz="4" w:space="0" w:color="auto"/>
              <w:right w:val="dotted" w:sz="4" w:space="0" w:color="auto"/>
            </w:tcBorders>
            <w:shd w:val="clear" w:color="000000" w:fill="FFFFFF"/>
            <w:vAlign w:val="bottom"/>
            <w:hideMark/>
          </w:tcPr>
          <w:p w14:paraId="1381C3A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9,1</w:t>
            </w:r>
          </w:p>
        </w:tc>
        <w:tc>
          <w:tcPr>
            <w:tcW w:w="1274" w:type="dxa"/>
            <w:tcBorders>
              <w:top w:val="nil"/>
              <w:left w:val="nil"/>
              <w:bottom w:val="dotted" w:sz="4" w:space="0" w:color="auto"/>
              <w:right w:val="dotted" w:sz="4" w:space="0" w:color="auto"/>
            </w:tcBorders>
            <w:shd w:val="clear" w:color="000000" w:fill="FFFFFF"/>
            <w:vAlign w:val="bottom"/>
            <w:hideMark/>
          </w:tcPr>
          <w:p w14:paraId="743ADD7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8,4</w:t>
            </w:r>
          </w:p>
        </w:tc>
        <w:tc>
          <w:tcPr>
            <w:tcW w:w="1274" w:type="dxa"/>
            <w:tcBorders>
              <w:top w:val="nil"/>
              <w:left w:val="nil"/>
              <w:bottom w:val="dotted" w:sz="4" w:space="0" w:color="auto"/>
              <w:right w:val="dotted" w:sz="4" w:space="0" w:color="auto"/>
            </w:tcBorders>
            <w:shd w:val="clear" w:color="000000" w:fill="FFFFFF"/>
            <w:vAlign w:val="bottom"/>
            <w:hideMark/>
          </w:tcPr>
          <w:p w14:paraId="114F003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7,3</w:t>
            </w:r>
          </w:p>
        </w:tc>
        <w:tc>
          <w:tcPr>
            <w:tcW w:w="1275" w:type="dxa"/>
            <w:tcBorders>
              <w:top w:val="nil"/>
              <w:left w:val="nil"/>
              <w:bottom w:val="dotted" w:sz="4" w:space="0" w:color="auto"/>
              <w:right w:val="double" w:sz="6" w:space="0" w:color="auto"/>
            </w:tcBorders>
            <w:shd w:val="clear" w:color="000000" w:fill="FFFFFF"/>
            <w:vAlign w:val="bottom"/>
            <w:hideMark/>
          </w:tcPr>
          <w:p w14:paraId="1EC8EE1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7,2</w:t>
            </w:r>
          </w:p>
        </w:tc>
      </w:tr>
      <w:tr w:rsidR="009B5DE5" w:rsidRPr="009B5DE5" w14:paraId="450D05E4" w14:textId="77777777" w:rsidTr="00396800">
        <w:trPr>
          <w:trHeight w:val="331"/>
        </w:trPr>
        <w:tc>
          <w:tcPr>
            <w:tcW w:w="7060" w:type="dxa"/>
            <w:tcBorders>
              <w:top w:val="nil"/>
              <w:left w:val="double" w:sz="6" w:space="0" w:color="auto"/>
              <w:bottom w:val="double" w:sz="6" w:space="0" w:color="auto"/>
              <w:right w:val="dotted" w:sz="4" w:space="0" w:color="auto"/>
            </w:tcBorders>
            <w:shd w:val="clear" w:color="000000" w:fill="FFFFFF"/>
            <w:vAlign w:val="bottom"/>
            <w:hideMark/>
          </w:tcPr>
          <w:p w14:paraId="14DA4A0E"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4. Услуге</w:t>
            </w:r>
          </w:p>
        </w:tc>
        <w:tc>
          <w:tcPr>
            <w:tcW w:w="1274" w:type="dxa"/>
            <w:tcBorders>
              <w:top w:val="nil"/>
              <w:left w:val="nil"/>
              <w:bottom w:val="double" w:sz="6" w:space="0" w:color="auto"/>
              <w:right w:val="nil"/>
            </w:tcBorders>
            <w:shd w:val="clear" w:color="000000" w:fill="FFFFFF"/>
            <w:vAlign w:val="bottom"/>
            <w:hideMark/>
          </w:tcPr>
          <w:p w14:paraId="1557C69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405" w:type="dxa"/>
            <w:tcBorders>
              <w:top w:val="nil"/>
              <w:left w:val="double" w:sz="6" w:space="0" w:color="auto"/>
              <w:bottom w:val="double" w:sz="6" w:space="0" w:color="auto"/>
              <w:right w:val="dotted" w:sz="4" w:space="0" w:color="auto"/>
            </w:tcBorders>
            <w:shd w:val="clear" w:color="000000" w:fill="FFFFFF"/>
            <w:vAlign w:val="bottom"/>
            <w:hideMark/>
          </w:tcPr>
          <w:p w14:paraId="636B527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5,1</w:t>
            </w:r>
          </w:p>
        </w:tc>
        <w:tc>
          <w:tcPr>
            <w:tcW w:w="1274" w:type="dxa"/>
            <w:tcBorders>
              <w:top w:val="nil"/>
              <w:left w:val="nil"/>
              <w:bottom w:val="double" w:sz="6" w:space="0" w:color="auto"/>
              <w:right w:val="dotted" w:sz="4" w:space="0" w:color="auto"/>
            </w:tcBorders>
            <w:shd w:val="clear" w:color="000000" w:fill="FFFFFF"/>
            <w:vAlign w:val="bottom"/>
            <w:hideMark/>
          </w:tcPr>
          <w:p w14:paraId="2747B2D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4,3</w:t>
            </w:r>
          </w:p>
        </w:tc>
        <w:tc>
          <w:tcPr>
            <w:tcW w:w="1274" w:type="dxa"/>
            <w:tcBorders>
              <w:top w:val="nil"/>
              <w:left w:val="nil"/>
              <w:bottom w:val="double" w:sz="6" w:space="0" w:color="auto"/>
              <w:right w:val="dotted" w:sz="4" w:space="0" w:color="auto"/>
            </w:tcBorders>
            <w:shd w:val="clear" w:color="000000" w:fill="FFFFFF"/>
            <w:vAlign w:val="bottom"/>
            <w:hideMark/>
          </w:tcPr>
          <w:p w14:paraId="04A4B58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4,0</w:t>
            </w:r>
          </w:p>
        </w:tc>
        <w:tc>
          <w:tcPr>
            <w:tcW w:w="1274" w:type="dxa"/>
            <w:tcBorders>
              <w:top w:val="nil"/>
              <w:left w:val="nil"/>
              <w:bottom w:val="double" w:sz="6" w:space="0" w:color="auto"/>
              <w:right w:val="dotted" w:sz="4" w:space="0" w:color="auto"/>
            </w:tcBorders>
            <w:shd w:val="clear" w:color="000000" w:fill="FFFFFF"/>
            <w:vAlign w:val="bottom"/>
            <w:hideMark/>
          </w:tcPr>
          <w:p w14:paraId="3DD3CFB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4,1</w:t>
            </w:r>
          </w:p>
        </w:tc>
        <w:tc>
          <w:tcPr>
            <w:tcW w:w="1275" w:type="dxa"/>
            <w:tcBorders>
              <w:top w:val="nil"/>
              <w:left w:val="nil"/>
              <w:bottom w:val="double" w:sz="6" w:space="0" w:color="auto"/>
              <w:right w:val="double" w:sz="6" w:space="0" w:color="auto"/>
            </w:tcBorders>
            <w:shd w:val="clear" w:color="000000" w:fill="FFFFFF"/>
            <w:vAlign w:val="bottom"/>
            <w:hideMark/>
          </w:tcPr>
          <w:p w14:paraId="01D4354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5,4</w:t>
            </w:r>
          </w:p>
        </w:tc>
      </w:tr>
    </w:tbl>
    <w:p w14:paraId="1FA7C38A" w14:textId="77777777" w:rsidR="009B5DE5" w:rsidRPr="009B5DE5" w:rsidRDefault="009B5DE5" w:rsidP="009B5DE5">
      <w:pPr>
        <w:spacing w:after="0"/>
        <w:jc w:val="left"/>
        <w:rPr>
          <w:rFonts w:eastAsia="Times New Roman" w:cs="Times New Roman"/>
          <w:bCs/>
          <w:sz w:val="22"/>
        </w:rPr>
      </w:pPr>
    </w:p>
    <w:p w14:paraId="02054919" w14:textId="77777777" w:rsidR="009B5DE5" w:rsidRPr="009B5DE5" w:rsidRDefault="009B5DE5" w:rsidP="009B5DE5">
      <w:pPr>
        <w:spacing w:after="0"/>
        <w:jc w:val="left"/>
        <w:rPr>
          <w:rFonts w:eastAsia="Times New Roman" w:cs="Times New Roman"/>
          <w:bCs/>
          <w:sz w:val="22"/>
        </w:rPr>
      </w:pPr>
      <w:r w:rsidRPr="009B5DE5">
        <w:rPr>
          <w:rFonts w:eastAsia="Times New Roman" w:cs="Times New Roman"/>
          <w:bCs/>
          <w:sz w:val="22"/>
        </w:rPr>
        <w:lastRenderedPageBreak/>
        <w:t>Табела 1f:  Кретања у екстерном сектору</w:t>
      </w:r>
    </w:p>
    <w:p w14:paraId="1FD1EDE5" w14:textId="77777777" w:rsidR="009B5DE5" w:rsidRPr="009B5DE5" w:rsidRDefault="009B5DE5" w:rsidP="009B5DE5">
      <w:pPr>
        <w:spacing w:after="0"/>
        <w:jc w:val="left"/>
        <w:rPr>
          <w:rFonts w:eastAsia="Times New Roman" w:cs="Times New Roman"/>
          <w:bCs/>
          <w:sz w:val="22"/>
        </w:rPr>
      </w:pPr>
    </w:p>
    <w:tbl>
      <w:tblPr>
        <w:tblW w:w="14763" w:type="dxa"/>
        <w:tblLook w:val="04A0" w:firstRow="1" w:lastRow="0" w:firstColumn="1" w:lastColumn="0" w:noHBand="0" w:noVBand="1"/>
      </w:tblPr>
      <w:tblGrid>
        <w:gridCol w:w="6778"/>
        <w:gridCol w:w="1738"/>
        <w:gridCol w:w="1411"/>
        <w:gridCol w:w="1209"/>
        <w:gridCol w:w="1209"/>
        <w:gridCol w:w="1209"/>
        <w:gridCol w:w="1209"/>
      </w:tblGrid>
      <w:tr w:rsidR="009B5DE5" w:rsidRPr="009B5DE5" w14:paraId="4EC1C0DB" w14:textId="77777777" w:rsidTr="00396800">
        <w:trPr>
          <w:trHeight w:val="314"/>
          <w:tblHeader/>
        </w:trPr>
        <w:tc>
          <w:tcPr>
            <w:tcW w:w="6778" w:type="dxa"/>
            <w:tcBorders>
              <w:top w:val="double" w:sz="6" w:space="0" w:color="auto"/>
              <w:left w:val="double" w:sz="6" w:space="0" w:color="auto"/>
              <w:bottom w:val="nil"/>
              <w:right w:val="single" w:sz="8" w:space="0" w:color="auto"/>
            </w:tcBorders>
            <w:shd w:val="clear" w:color="000000" w:fill="FFFFFF"/>
            <w:vAlign w:val="bottom"/>
            <w:hideMark/>
          </w:tcPr>
          <w:p w14:paraId="53A02B4E"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У милијардама евра, уколико није другачије наведено</w:t>
            </w:r>
          </w:p>
        </w:tc>
        <w:tc>
          <w:tcPr>
            <w:tcW w:w="1738" w:type="dxa"/>
            <w:tcBorders>
              <w:top w:val="double" w:sz="6" w:space="0" w:color="auto"/>
              <w:left w:val="nil"/>
              <w:bottom w:val="nil"/>
              <w:right w:val="single" w:sz="8" w:space="0" w:color="auto"/>
            </w:tcBorders>
            <w:shd w:val="clear" w:color="000000" w:fill="FFFFFF"/>
            <w:vAlign w:val="bottom"/>
            <w:hideMark/>
          </w:tcPr>
          <w:p w14:paraId="42AA3A42"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411" w:type="dxa"/>
            <w:tcBorders>
              <w:top w:val="double" w:sz="6" w:space="0" w:color="auto"/>
              <w:left w:val="nil"/>
              <w:bottom w:val="nil"/>
              <w:right w:val="dotted" w:sz="4" w:space="0" w:color="auto"/>
            </w:tcBorders>
            <w:shd w:val="clear" w:color="000000" w:fill="FFFFFF"/>
            <w:hideMark/>
          </w:tcPr>
          <w:p w14:paraId="1789D78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Година</w:t>
            </w:r>
          </w:p>
        </w:tc>
        <w:tc>
          <w:tcPr>
            <w:tcW w:w="1209" w:type="dxa"/>
            <w:tcBorders>
              <w:top w:val="double" w:sz="6" w:space="0" w:color="auto"/>
              <w:left w:val="nil"/>
              <w:bottom w:val="nil"/>
              <w:right w:val="dotted" w:sz="4" w:space="0" w:color="auto"/>
            </w:tcBorders>
            <w:shd w:val="clear" w:color="000000" w:fill="FFFFFF"/>
            <w:hideMark/>
          </w:tcPr>
          <w:p w14:paraId="1E1E694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Година</w:t>
            </w:r>
          </w:p>
        </w:tc>
        <w:tc>
          <w:tcPr>
            <w:tcW w:w="1209" w:type="dxa"/>
            <w:tcBorders>
              <w:top w:val="double" w:sz="6" w:space="0" w:color="auto"/>
              <w:left w:val="nil"/>
              <w:bottom w:val="nil"/>
              <w:right w:val="dotted" w:sz="4" w:space="0" w:color="auto"/>
            </w:tcBorders>
            <w:shd w:val="clear" w:color="000000" w:fill="FFFFFF"/>
            <w:hideMark/>
          </w:tcPr>
          <w:p w14:paraId="0FB99FB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Година</w:t>
            </w:r>
          </w:p>
        </w:tc>
        <w:tc>
          <w:tcPr>
            <w:tcW w:w="1209" w:type="dxa"/>
            <w:tcBorders>
              <w:top w:val="double" w:sz="6" w:space="0" w:color="auto"/>
              <w:left w:val="nil"/>
              <w:bottom w:val="nil"/>
              <w:right w:val="dotted" w:sz="4" w:space="0" w:color="auto"/>
            </w:tcBorders>
            <w:shd w:val="clear" w:color="000000" w:fill="FFFFFF"/>
            <w:hideMark/>
          </w:tcPr>
          <w:p w14:paraId="5F30D79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Година</w:t>
            </w:r>
          </w:p>
        </w:tc>
        <w:tc>
          <w:tcPr>
            <w:tcW w:w="1209" w:type="dxa"/>
            <w:tcBorders>
              <w:top w:val="double" w:sz="6" w:space="0" w:color="auto"/>
              <w:left w:val="nil"/>
              <w:bottom w:val="nil"/>
              <w:right w:val="double" w:sz="6" w:space="0" w:color="auto"/>
            </w:tcBorders>
            <w:shd w:val="clear" w:color="000000" w:fill="FFFFFF"/>
            <w:hideMark/>
          </w:tcPr>
          <w:p w14:paraId="6FCAB65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Година</w:t>
            </w:r>
          </w:p>
        </w:tc>
      </w:tr>
      <w:tr w:rsidR="009B5DE5" w:rsidRPr="009B5DE5" w14:paraId="3829C464" w14:textId="77777777" w:rsidTr="00396800">
        <w:trPr>
          <w:trHeight w:val="257"/>
          <w:tblHeader/>
        </w:trPr>
        <w:tc>
          <w:tcPr>
            <w:tcW w:w="6778" w:type="dxa"/>
            <w:tcBorders>
              <w:top w:val="nil"/>
              <w:left w:val="double" w:sz="6" w:space="0" w:color="auto"/>
              <w:bottom w:val="double" w:sz="6" w:space="0" w:color="auto"/>
              <w:right w:val="single" w:sz="8" w:space="0" w:color="auto"/>
            </w:tcBorders>
            <w:shd w:val="clear" w:color="000000" w:fill="FFFFFF"/>
            <w:vAlign w:val="bottom"/>
            <w:hideMark/>
          </w:tcPr>
          <w:p w14:paraId="7A1073A3"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738" w:type="dxa"/>
            <w:tcBorders>
              <w:top w:val="nil"/>
              <w:left w:val="nil"/>
              <w:bottom w:val="double" w:sz="6" w:space="0" w:color="auto"/>
              <w:right w:val="single" w:sz="8" w:space="0" w:color="auto"/>
            </w:tcBorders>
            <w:shd w:val="clear" w:color="000000" w:fill="FFFFFF"/>
            <w:vAlign w:val="bottom"/>
            <w:hideMark/>
          </w:tcPr>
          <w:p w14:paraId="64312B80"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411" w:type="dxa"/>
            <w:tcBorders>
              <w:top w:val="nil"/>
              <w:left w:val="nil"/>
              <w:bottom w:val="double" w:sz="6" w:space="0" w:color="auto"/>
              <w:right w:val="dotted" w:sz="4" w:space="0" w:color="auto"/>
            </w:tcBorders>
            <w:shd w:val="clear" w:color="000000" w:fill="FFFFFF"/>
            <w:hideMark/>
          </w:tcPr>
          <w:p w14:paraId="4D5EADE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2023</w:t>
            </w:r>
          </w:p>
        </w:tc>
        <w:tc>
          <w:tcPr>
            <w:tcW w:w="1209" w:type="dxa"/>
            <w:tcBorders>
              <w:top w:val="nil"/>
              <w:left w:val="nil"/>
              <w:bottom w:val="double" w:sz="6" w:space="0" w:color="auto"/>
              <w:right w:val="dotted" w:sz="4" w:space="0" w:color="auto"/>
            </w:tcBorders>
            <w:shd w:val="clear" w:color="000000" w:fill="FFFFFF"/>
            <w:hideMark/>
          </w:tcPr>
          <w:p w14:paraId="44437AE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2024</w:t>
            </w:r>
          </w:p>
        </w:tc>
        <w:tc>
          <w:tcPr>
            <w:tcW w:w="1209" w:type="dxa"/>
            <w:tcBorders>
              <w:top w:val="nil"/>
              <w:left w:val="nil"/>
              <w:bottom w:val="double" w:sz="6" w:space="0" w:color="auto"/>
              <w:right w:val="dotted" w:sz="4" w:space="0" w:color="auto"/>
            </w:tcBorders>
            <w:shd w:val="clear" w:color="000000" w:fill="FFFFFF"/>
            <w:hideMark/>
          </w:tcPr>
          <w:p w14:paraId="6BCE918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2025</w:t>
            </w:r>
          </w:p>
        </w:tc>
        <w:tc>
          <w:tcPr>
            <w:tcW w:w="1209" w:type="dxa"/>
            <w:tcBorders>
              <w:top w:val="nil"/>
              <w:left w:val="nil"/>
              <w:bottom w:val="double" w:sz="6" w:space="0" w:color="auto"/>
              <w:right w:val="dotted" w:sz="4" w:space="0" w:color="auto"/>
            </w:tcBorders>
            <w:shd w:val="clear" w:color="000000" w:fill="FFFFFF"/>
            <w:hideMark/>
          </w:tcPr>
          <w:p w14:paraId="6EB30A2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2026</w:t>
            </w:r>
          </w:p>
        </w:tc>
        <w:tc>
          <w:tcPr>
            <w:tcW w:w="1209" w:type="dxa"/>
            <w:tcBorders>
              <w:top w:val="nil"/>
              <w:left w:val="nil"/>
              <w:bottom w:val="double" w:sz="6" w:space="0" w:color="auto"/>
              <w:right w:val="double" w:sz="6" w:space="0" w:color="auto"/>
            </w:tcBorders>
            <w:shd w:val="clear" w:color="000000" w:fill="FFFFFF"/>
            <w:hideMark/>
          </w:tcPr>
          <w:p w14:paraId="6598F63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2027</w:t>
            </w:r>
          </w:p>
        </w:tc>
      </w:tr>
      <w:tr w:rsidR="009B5DE5" w:rsidRPr="009B5DE5" w14:paraId="1CDC6C3D" w14:textId="77777777" w:rsidTr="00396800">
        <w:trPr>
          <w:trHeight w:val="285"/>
        </w:trPr>
        <w:tc>
          <w:tcPr>
            <w:tcW w:w="6778" w:type="dxa"/>
            <w:tcBorders>
              <w:top w:val="nil"/>
              <w:left w:val="double" w:sz="6" w:space="0" w:color="auto"/>
              <w:bottom w:val="dotted" w:sz="4" w:space="0" w:color="auto"/>
              <w:right w:val="single" w:sz="8" w:space="0" w:color="auto"/>
            </w:tcBorders>
            <w:shd w:val="clear" w:color="000000" w:fill="FFFFFF"/>
            <w:hideMark/>
          </w:tcPr>
          <w:p w14:paraId="355FFD35"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1. Биланс текућих трансакција (% БДП-а)</w:t>
            </w:r>
          </w:p>
        </w:tc>
        <w:tc>
          <w:tcPr>
            <w:tcW w:w="1738" w:type="dxa"/>
            <w:tcBorders>
              <w:top w:val="nil"/>
              <w:left w:val="nil"/>
              <w:bottom w:val="dotted" w:sz="4" w:space="0" w:color="auto"/>
              <w:right w:val="single" w:sz="8" w:space="0" w:color="auto"/>
            </w:tcBorders>
            <w:shd w:val="clear" w:color="000000" w:fill="FFFFFF"/>
            <w:hideMark/>
          </w:tcPr>
          <w:p w14:paraId="3E819BAB" w14:textId="77777777" w:rsidR="009B5DE5" w:rsidRPr="009B5DE5" w:rsidRDefault="009B5DE5" w:rsidP="009B5DE5">
            <w:pPr>
              <w:spacing w:after="0"/>
              <w:jc w:val="center"/>
              <w:rPr>
                <w:rFonts w:eastAsia="Times New Roman" w:cs="Times New Roman"/>
                <w:sz w:val="16"/>
                <w:szCs w:val="16"/>
              </w:rPr>
            </w:pPr>
            <w:r w:rsidRPr="009B5DE5">
              <w:rPr>
                <w:rFonts w:eastAsia="Times New Roman" w:cs="Times New Roman"/>
                <w:sz w:val="16"/>
                <w:szCs w:val="16"/>
              </w:rPr>
              <w:t>% БДП</w:t>
            </w:r>
          </w:p>
        </w:tc>
        <w:tc>
          <w:tcPr>
            <w:tcW w:w="1411" w:type="dxa"/>
            <w:tcBorders>
              <w:top w:val="nil"/>
              <w:left w:val="nil"/>
              <w:bottom w:val="dotted" w:sz="4" w:space="0" w:color="auto"/>
              <w:right w:val="dotted" w:sz="4" w:space="0" w:color="auto"/>
            </w:tcBorders>
            <w:shd w:val="clear" w:color="000000" w:fill="FFFFFF"/>
            <w:hideMark/>
          </w:tcPr>
          <w:p w14:paraId="0D3DB88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-2,4</w:t>
            </w:r>
          </w:p>
        </w:tc>
        <w:tc>
          <w:tcPr>
            <w:tcW w:w="1209" w:type="dxa"/>
            <w:tcBorders>
              <w:top w:val="nil"/>
              <w:left w:val="nil"/>
              <w:bottom w:val="dotted" w:sz="4" w:space="0" w:color="auto"/>
              <w:right w:val="dotted" w:sz="4" w:space="0" w:color="auto"/>
            </w:tcBorders>
            <w:shd w:val="clear" w:color="000000" w:fill="FFFFFF"/>
            <w:hideMark/>
          </w:tcPr>
          <w:p w14:paraId="13DDD35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-4,7</w:t>
            </w:r>
          </w:p>
        </w:tc>
        <w:tc>
          <w:tcPr>
            <w:tcW w:w="1209" w:type="dxa"/>
            <w:tcBorders>
              <w:top w:val="nil"/>
              <w:left w:val="nil"/>
              <w:bottom w:val="dotted" w:sz="4" w:space="0" w:color="auto"/>
              <w:right w:val="dotted" w:sz="4" w:space="0" w:color="auto"/>
            </w:tcBorders>
            <w:shd w:val="clear" w:color="000000" w:fill="FFFFFF"/>
            <w:hideMark/>
          </w:tcPr>
          <w:p w14:paraId="40025DF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-4,9</w:t>
            </w:r>
          </w:p>
        </w:tc>
        <w:tc>
          <w:tcPr>
            <w:tcW w:w="1209" w:type="dxa"/>
            <w:tcBorders>
              <w:top w:val="nil"/>
              <w:left w:val="nil"/>
              <w:bottom w:val="dotted" w:sz="4" w:space="0" w:color="auto"/>
              <w:right w:val="dotted" w:sz="4" w:space="0" w:color="auto"/>
            </w:tcBorders>
            <w:shd w:val="clear" w:color="000000" w:fill="FFFFFF"/>
            <w:hideMark/>
          </w:tcPr>
          <w:p w14:paraId="35DBBC0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-5,3</w:t>
            </w:r>
          </w:p>
        </w:tc>
        <w:tc>
          <w:tcPr>
            <w:tcW w:w="1209" w:type="dxa"/>
            <w:tcBorders>
              <w:top w:val="nil"/>
              <w:left w:val="nil"/>
              <w:bottom w:val="dotted" w:sz="4" w:space="0" w:color="auto"/>
              <w:right w:val="double" w:sz="6" w:space="0" w:color="auto"/>
            </w:tcBorders>
            <w:shd w:val="clear" w:color="000000" w:fill="FFFFFF"/>
            <w:hideMark/>
          </w:tcPr>
          <w:p w14:paraId="49C81BB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-4,1</w:t>
            </w:r>
          </w:p>
        </w:tc>
      </w:tr>
      <w:tr w:rsidR="009B5DE5" w:rsidRPr="009B5DE5" w14:paraId="02E4A27B" w14:textId="77777777" w:rsidTr="00396800">
        <w:trPr>
          <w:trHeight w:val="285"/>
        </w:trPr>
        <w:tc>
          <w:tcPr>
            <w:tcW w:w="6778" w:type="dxa"/>
            <w:tcBorders>
              <w:top w:val="nil"/>
              <w:left w:val="double" w:sz="6" w:space="0" w:color="auto"/>
              <w:bottom w:val="dotted" w:sz="4" w:space="0" w:color="auto"/>
              <w:right w:val="single" w:sz="8" w:space="0" w:color="auto"/>
            </w:tcBorders>
            <w:shd w:val="clear" w:color="000000" w:fill="FFFFFF"/>
            <w:hideMark/>
          </w:tcPr>
          <w:p w14:paraId="4F312671"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2. Извоз робе</w:t>
            </w:r>
          </w:p>
        </w:tc>
        <w:tc>
          <w:tcPr>
            <w:tcW w:w="1738" w:type="dxa"/>
            <w:tcBorders>
              <w:top w:val="nil"/>
              <w:left w:val="nil"/>
              <w:bottom w:val="dotted" w:sz="4" w:space="0" w:color="auto"/>
              <w:right w:val="single" w:sz="8" w:space="0" w:color="auto"/>
            </w:tcBorders>
            <w:shd w:val="clear" w:color="000000" w:fill="FFFFFF"/>
            <w:hideMark/>
          </w:tcPr>
          <w:p w14:paraId="2B9CA56D" w14:textId="77777777" w:rsidR="009B5DE5" w:rsidRPr="009B5DE5" w:rsidRDefault="009B5DE5" w:rsidP="009B5DE5">
            <w:pPr>
              <w:spacing w:after="0"/>
              <w:jc w:val="center"/>
              <w:rPr>
                <w:rFonts w:eastAsia="Times New Roman" w:cs="Times New Roman"/>
                <w:sz w:val="16"/>
                <w:szCs w:val="16"/>
              </w:rPr>
            </w:pPr>
            <w:r w:rsidRPr="009B5DE5">
              <w:rPr>
                <w:rFonts w:eastAsia="Times New Roman" w:cs="Times New Roman"/>
                <w:sz w:val="16"/>
                <w:szCs w:val="16"/>
              </w:rPr>
              <w:t>млрд ЕУР</w:t>
            </w:r>
          </w:p>
        </w:tc>
        <w:tc>
          <w:tcPr>
            <w:tcW w:w="1411" w:type="dxa"/>
            <w:tcBorders>
              <w:top w:val="nil"/>
              <w:left w:val="nil"/>
              <w:bottom w:val="dotted" w:sz="4" w:space="0" w:color="auto"/>
              <w:right w:val="dotted" w:sz="4" w:space="0" w:color="auto"/>
            </w:tcBorders>
            <w:shd w:val="clear" w:color="000000" w:fill="FFFFFF"/>
            <w:hideMark/>
          </w:tcPr>
          <w:p w14:paraId="3383216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27,9</w:t>
            </w:r>
          </w:p>
        </w:tc>
        <w:tc>
          <w:tcPr>
            <w:tcW w:w="1209" w:type="dxa"/>
            <w:tcBorders>
              <w:top w:val="nil"/>
              <w:left w:val="nil"/>
              <w:bottom w:val="dotted" w:sz="4" w:space="0" w:color="auto"/>
              <w:right w:val="dotted" w:sz="4" w:space="0" w:color="auto"/>
            </w:tcBorders>
            <w:shd w:val="clear" w:color="000000" w:fill="FFFFFF"/>
            <w:hideMark/>
          </w:tcPr>
          <w:p w14:paraId="48A598A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29,0</w:t>
            </w:r>
          </w:p>
        </w:tc>
        <w:tc>
          <w:tcPr>
            <w:tcW w:w="1209" w:type="dxa"/>
            <w:tcBorders>
              <w:top w:val="nil"/>
              <w:left w:val="nil"/>
              <w:bottom w:val="dotted" w:sz="4" w:space="0" w:color="auto"/>
              <w:right w:val="dotted" w:sz="4" w:space="0" w:color="auto"/>
            </w:tcBorders>
            <w:shd w:val="clear" w:color="000000" w:fill="FFFFFF"/>
            <w:hideMark/>
          </w:tcPr>
          <w:p w14:paraId="13DF156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31,1</w:t>
            </w:r>
          </w:p>
        </w:tc>
        <w:tc>
          <w:tcPr>
            <w:tcW w:w="1209" w:type="dxa"/>
            <w:tcBorders>
              <w:top w:val="nil"/>
              <w:left w:val="nil"/>
              <w:bottom w:val="dotted" w:sz="4" w:space="0" w:color="auto"/>
              <w:right w:val="dotted" w:sz="4" w:space="0" w:color="auto"/>
            </w:tcBorders>
            <w:shd w:val="clear" w:color="000000" w:fill="FFFFFF"/>
            <w:hideMark/>
          </w:tcPr>
          <w:p w14:paraId="7044706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32,6</w:t>
            </w:r>
          </w:p>
        </w:tc>
        <w:tc>
          <w:tcPr>
            <w:tcW w:w="1209" w:type="dxa"/>
            <w:tcBorders>
              <w:top w:val="nil"/>
              <w:left w:val="nil"/>
              <w:bottom w:val="dotted" w:sz="4" w:space="0" w:color="auto"/>
              <w:right w:val="double" w:sz="6" w:space="0" w:color="auto"/>
            </w:tcBorders>
            <w:shd w:val="clear" w:color="000000" w:fill="FFFFFF"/>
            <w:hideMark/>
          </w:tcPr>
          <w:p w14:paraId="0C99C9F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34,9</w:t>
            </w:r>
          </w:p>
        </w:tc>
      </w:tr>
      <w:tr w:rsidR="009B5DE5" w:rsidRPr="009B5DE5" w14:paraId="20D65FB3" w14:textId="77777777" w:rsidTr="00396800">
        <w:trPr>
          <w:trHeight w:val="285"/>
        </w:trPr>
        <w:tc>
          <w:tcPr>
            <w:tcW w:w="6778" w:type="dxa"/>
            <w:tcBorders>
              <w:top w:val="nil"/>
              <w:left w:val="double" w:sz="6" w:space="0" w:color="auto"/>
              <w:bottom w:val="dotted" w:sz="4" w:space="0" w:color="auto"/>
              <w:right w:val="single" w:sz="8" w:space="0" w:color="auto"/>
            </w:tcBorders>
            <w:shd w:val="clear" w:color="000000" w:fill="FFFFFF"/>
            <w:hideMark/>
          </w:tcPr>
          <w:p w14:paraId="1839F532"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3. Увоз робе</w:t>
            </w:r>
          </w:p>
        </w:tc>
        <w:tc>
          <w:tcPr>
            <w:tcW w:w="1738" w:type="dxa"/>
            <w:tcBorders>
              <w:top w:val="nil"/>
              <w:left w:val="nil"/>
              <w:bottom w:val="dotted" w:sz="4" w:space="0" w:color="auto"/>
              <w:right w:val="single" w:sz="8" w:space="0" w:color="auto"/>
            </w:tcBorders>
            <w:shd w:val="clear" w:color="000000" w:fill="FFFFFF"/>
            <w:hideMark/>
          </w:tcPr>
          <w:p w14:paraId="02802E9A" w14:textId="77777777" w:rsidR="009B5DE5" w:rsidRPr="009B5DE5" w:rsidRDefault="009B5DE5" w:rsidP="009B5DE5">
            <w:pPr>
              <w:spacing w:after="0"/>
              <w:jc w:val="center"/>
              <w:rPr>
                <w:rFonts w:eastAsia="Times New Roman" w:cs="Times New Roman"/>
                <w:sz w:val="16"/>
                <w:szCs w:val="16"/>
              </w:rPr>
            </w:pPr>
            <w:r w:rsidRPr="009B5DE5">
              <w:rPr>
                <w:rFonts w:eastAsia="Times New Roman" w:cs="Times New Roman"/>
                <w:sz w:val="16"/>
                <w:szCs w:val="16"/>
              </w:rPr>
              <w:t>млрд ЕУР</w:t>
            </w:r>
          </w:p>
        </w:tc>
        <w:tc>
          <w:tcPr>
            <w:tcW w:w="1411" w:type="dxa"/>
            <w:tcBorders>
              <w:top w:val="nil"/>
              <w:left w:val="nil"/>
              <w:bottom w:val="dotted" w:sz="4" w:space="0" w:color="auto"/>
              <w:right w:val="dotted" w:sz="4" w:space="0" w:color="auto"/>
            </w:tcBorders>
            <w:shd w:val="clear" w:color="000000" w:fill="FFFFFF"/>
            <w:hideMark/>
          </w:tcPr>
          <w:p w14:paraId="0A886D3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34,6</w:t>
            </w:r>
          </w:p>
        </w:tc>
        <w:tc>
          <w:tcPr>
            <w:tcW w:w="1209" w:type="dxa"/>
            <w:tcBorders>
              <w:top w:val="nil"/>
              <w:left w:val="nil"/>
              <w:bottom w:val="dotted" w:sz="4" w:space="0" w:color="auto"/>
              <w:right w:val="dotted" w:sz="4" w:space="0" w:color="auto"/>
            </w:tcBorders>
            <w:shd w:val="clear" w:color="000000" w:fill="FFFFFF"/>
            <w:hideMark/>
          </w:tcPr>
          <w:p w14:paraId="2ED385D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36,5</w:t>
            </w:r>
          </w:p>
        </w:tc>
        <w:tc>
          <w:tcPr>
            <w:tcW w:w="1209" w:type="dxa"/>
            <w:tcBorders>
              <w:top w:val="nil"/>
              <w:left w:val="nil"/>
              <w:bottom w:val="dotted" w:sz="4" w:space="0" w:color="auto"/>
              <w:right w:val="dotted" w:sz="4" w:space="0" w:color="auto"/>
            </w:tcBorders>
            <w:shd w:val="clear" w:color="000000" w:fill="FFFFFF"/>
            <w:hideMark/>
          </w:tcPr>
          <w:p w14:paraId="03C2814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39,4</w:t>
            </w:r>
          </w:p>
        </w:tc>
        <w:tc>
          <w:tcPr>
            <w:tcW w:w="1209" w:type="dxa"/>
            <w:tcBorders>
              <w:top w:val="nil"/>
              <w:left w:val="nil"/>
              <w:bottom w:val="dotted" w:sz="4" w:space="0" w:color="auto"/>
              <w:right w:val="dotted" w:sz="4" w:space="0" w:color="auto"/>
            </w:tcBorders>
            <w:shd w:val="clear" w:color="000000" w:fill="FFFFFF"/>
            <w:hideMark/>
          </w:tcPr>
          <w:p w14:paraId="57E67F3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41,6</w:t>
            </w:r>
          </w:p>
        </w:tc>
        <w:tc>
          <w:tcPr>
            <w:tcW w:w="1209" w:type="dxa"/>
            <w:tcBorders>
              <w:top w:val="nil"/>
              <w:left w:val="nil"/>
              <w:bottom w:val="dotted" w:sz="4" w:space="0" w:color="auto"/>
              <w:right w:val="double" w:sz="6" w:space="0" w:color="auto"/>
            </w:tcBorders>
            <w:shd w:val="clear" w:color="000000" w:fill="FFFFFF"/>
            <w:hideMark/>
          </w:tcPr>
          <w:p w14:paraId="40ABFB5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44,0</w:t>
            </w:r>
          </w:p>
        </w:tc>
      </w:tr>
      <w:tr w:rsidR="009B5DE5" w:rsidRPr="009B5DE5" w14:paraId="78467192" w14:textId="77777777" w:rsidTr="00396800">
        <w:trPr>
          <w:trHeight w:val="285"/>
        </w:trPr>
        <w:tc>
          <w:tcPr>
            <w:tcW w:w="6778" w:type="dxa"/>
            <w:tcBorders>
              <w:top w:val="nil"/>
              <w:left w:val="double" w:sz="6" w:space="0" w:color="auto"/>
              <w:bottom w:val="dotted" w:sz="4" w:space="0" w:color="auto"/>
              <w:right w:val="single" w:sz="8" w:space="0" w:color="auto"/>
            </w:tcBorders>
            <w:shd w:val="clear" w:color="000000" w:fill="FFFFFF"/>
            <w:hideMark/>
          </w:tcPr>
          <w:p w14:paraId="5B220BC0"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4. Спољнотрговински биланс</w:t>
            </w:r>
          </w:p>
        </w:tc>
        <w:tc>
          <w:tcPr>
            <w:tcW w:w="1738" w:type="dxa"/>
            <w:tcBorders>
              <w:top w:val="nil"/>
              <w:left w:val="nil"/>
              <w:bottom w:val="dotted" w:sz="4" w:space="0" w:color="auto"/>
              <w:right w:val="single" w:sz="8" w:space="0" w:color="auto"/>
            </w:tcBorders>
            <w:shd w:val="clear" w:color="000000" w:fill="FFFFFF"/>
            <w:hideMark/>
          </w:tcPr>
          <w:p w14:paraId="4429A7A8" w14:textId="77777777" w:rsidR="009B5DE5" w:rsidRPr="009B5DE5" w:rsidRDefault="009B5DE5" w:rsidP="009B5DE5">
            <w:pPr>
              <w:spacing w:after="0"/>
              <w:jc w:val="center"/>
              <w:rPr>
                <w:rFonts w:eastAsia="Times New Roman" w:cs="Times New Roman"/>
                <w:sz w:val="16"/>
                <w:szCs w:val="16"/>
              </w:rPr>
            </w:pPr>
            <w:r w:rsidRPr="009B5DE5">
              <w:rPr>
                <w:rFonts w:eastAsia="Times New Roman" w:cs="Times New Roman"/>
                <w:sz w:val="16"/>
                <w:szCs w:val="16"/>
              </w:rPr>
              <w:t>млрд ЕУР</w:t>
            </w:r>
          </w:p>
        </w:tc>
        <w:tc>
          <w:tcPr>
            <w:tcW w:w="1411" w:type="dxa"/>
            <w:tcBorders>
              <w:top w:val="nil"/>
              <w:left w:val="nil"/>
              <w:bottom w:val="dotted" w:sz="4" w:space="0" w:color="auto"/>
              <w:right w:val="dotted" w:sz="4" w:space="0" w:color="auto"/>
            </w:tcBorders>
            <w:shd w:val="clear" w:color="000000" w:fill="FFFFFF"/>
            <w:hideMark/>
          </w:tcPr>
          <w:p w14:paraId="0D11A8E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-6,6</w:t>
            </w:r>
          </w:p>
        </w:tc>
        <w:tc>
          <w:tcPr>
            <w:tcW w:w="1209" w:type="dxa"/>
            <w:tcBorders>
              <w:top w:val="nil"/>
              <w:left w:val="nil"/>
              <w:bottom w:val="dotted" w:sz="4" w:space="0" w:color="auto"/>
              <w:right w:val="dotted" w:sz="4" w:space="0" w:color="auto"/>
            </w:tcBorders>
            <w:shd w:val="clear" w:color="000000" w:fill="FFFFFF"/>
            <w:hideMark/>
          </w:tcPr>
          <w:p w14:paraId="79889933"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-7,5</w:t>
            </w:r>
          </w:p>
        </w:tc>
        <w:tc>
          <w:tcPr>
            <w:tcW w:w="1209" w:type="dxa"/>
            <w:tcBorders>
              <w:top w:val="nil"/>
              <w:left w:val="nil"/>
              <w:bottom w:val="dotted" w:sz="4" w:space="0" w:color="auto"/>
              <w:right w:val="dotted" w:sz="4" w:space="0" w:color="auto"/>
            </w:tcBorders>
            <w:shd w:val="clear" w:color="000000" w:fill="FFFFFF"/>
            <w:hideMark/>
          </w:tcPr>
          <w:p w14:paraId="086A351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-8,3</w:t>
            </w:r>
          </w:p>
        </w:tc>
        <w:tc>
          <w:tcPr>
            <w:tcW w:w="1209" w:type="dxa"/>
            <w:tcBorders>
              <w:top w:val="nil"/>
              <w:left w:val="nil"/>
              <w:bottom w:val="dotted" w:sz="4" w:space="0" w:color="auto"/>
              <w:right w:val="dotted" w:sz="4" w:space="0" w:color="auto"/>
            </w:tcBorders>
            <w:shd w:val="clear" w:color="000000" w:fill="FFFFFF"/>
            <w:hideMark/>
          </w:tcPr>
          <w:p w14:paraId="6D8354B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-9,0</w:t>
            </w:r>
          </w:p>
        </w:tc>
        <w:tc>
          <w:tcPr>
            <w:tcW w:w="1209" w:type="dxa"/>
            <w:tcBorders>
              <w:top w:val="nil"/>
              <w:left w:val="nil"/>
              <w:bottom w:val="dotted" w:sz="4" w:space="0" w:color="auto"/>
              <w:right w:val="double" w:sz="6" w:space="0" w:color="auto"/>
            </w:tcBorders>
            <w:shd w:val="clear" w:color="000000" w:fill="FFFFFF"/>
            <w:hideMark/>
          </w:tcPr>
          <w:p w14:paraId="62552A5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-9,1</w:t>
            </w:r>
          </w:p>
        </w:tc>
      </w:tr>
      <w:tr w:rsidR="009B5DE5" w:rsidRPr="009B5DE5" w14:paraId="3B3EE3E5" w14:textId="77777777" w:rsidTr="00396800">
        <w:trPr>
          <w:trHeight w:val="285"/>
        </w:trPr>
        <w:tc>
          <w:tcPr>
            <w:tcW w:w="6778" w:type="dxa"/>
            <w:tcBorders>
              <w:top w:val="nil"/>
              <w:left w:val="double" w:sz="6" w:space="0" w:color="auto"/>
              <w:bottom w:val="dotted" w:sz="4" w:space="0" w:color="auto"/>
              <w:right w:val="single" w:sz="8" w:space="0" w:color="auto"/>
            </w:tcBorders>
            <w:shd w:val="clear" w:color="000000" w:fill="FFFFFF"/>
            <w:hideMark/>
          </w:tcPr>
          <w:p w14:paraId="417FD4B1"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5. Извоз услуга</w:t>
            </w:r>
          </w:p>
        </w:tc>
        <w:tc>
          <w:tcPr>
            <w:tcW w:w="1738" w:type="dxa"/>
            <w:tcBorders>
              <w:top w:val="nil"/>
              <w:left w:val="nil"/>
              <w:bottom w:val="dotted" w:sz="4" w:space="0" w:color="auto"/>
              <w:right w:val="single" w:sz="8" w:space="0" w:color="auto"/>
            </w:tcBorders>
            <w:shd w:val="clear" w:color="000000" w:fill="FFFFFF"/>
            <w:hideMark/>
          </w:tcPr>
          <w:p w14:paraId="600F5E72" w14:textId="77777777" w:rsidR="009B5DE5" w:rsidRPr="009B5DE5" w:rsidRDefault="009B5DE5" w:rsidP="009B5DE5">
            <w:pPr>
              <w:spacing w:after="0"/>
              <w:jc w:val="center"/>
              <w:rPr>
                <w:rFonts w:eastAsia="Times New Roman" w:cs="Times New Roman"/>
                <w:sz w:val="16"/>
                <w:szCs w:val="16"/>
              </w:rPr>
            </w:pPr>
            <w:r w:rsidRPr="009B5DE5">
              <w:rPr>
                <w:rFonts w:eastAsia="Times New Roman" w:cs="Times New Roman"/>
                <w:sz w:val="16"/>
                <w:szCs w:val="16"/>
              </w:rPr>
              <w:t>млрд ЕУР</w:t>
            </w:r>
          </w:p>
        </w:tc>
        <w:tc>
          <w:tcPr>
            <w:tcW w:w="1411" w:type="dxa"/>
            <w:tcBorders>
              <w:top w:val="nil"/>
              <w:left w:val="nil"/>
              <w:bottom w:val="dotted" w:sz="4" w:space="0" w:color="auto"/>
              <w:right w:val="dotted" w:sz="4" w:space="0" w:color="auto"/>
            </w:tcBorders>
            <w:shd w:val="clear" w:color="000000" w:fill="FFFFFF"/>
            <w:hideMark/>
          </w:tcPr>
          <w:p w14:paraId="48A7149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13,1</w:t>
            </w:r>
          </w:p>
        </w:tc>
        <w:tc>
          <w:tcPr>
            <w:tcW w:w="1209" w:type="dxa"/>
            <w:tcBorders>
              <w:top w:val="nil"/>
              <w:left w:val="nil"/>
              <w:bottom w:val="dotted" w:sz="4" w:space="0" w:color="auto"/>
              <w:right w:val="dotted" w:sz="4" w:space="0" w:color="auto"/>
            </w:tcBorders>
            <w:shd w:val="clear" w:color="000000" w:fill="FFFFFF"/>
            <w:hideMark/>
          </w:tcPr>
          <w:p w14:paraId="4CCD5173"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14,4</w:t>
            </w:r>
          </w:p>
        </w:tc>
        <w:tc>
          <w:tcPr>
            <w:tcW w:w="1209" w:type="dxa"/>
            <w:tcBorders>
              <w:top w:val="nil"/>
              <w:left w:val="nil"/>
              <w:bottom w:val="dotted" w:sz="4" w:space="0" w:color="auto"/>
              <w:right w:val="dotted" w:sz="4" w:space="0" w:color="auto"/>
            </w:tcBorders>
            <w:shd w:val="clear" w:color="000000" w:fill="FFFFFF"/>
            <w:hideMark/>
          </w:tcPr>
          <w:p w14:paraId="7BBA80E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16,0</w:t>
            </w:r>
          </w:p>
        </w:tc>
        <w:tc>
          <w:tcPr>
            <w:tcW w:w="1209" w:type="dxa"/>
            <w:tcBorders>
              <w:top w:val="nil"/>
              <w:left w:val="nil"/>
              <w:bottom w:val="dotted" w:sz="4" w:space="0" w:color="auto"/>
              <w:right w:val="dotted" w:sz="4" w:space="0" w:color="auto"/>
            </w:tcBorders>
            <w:shd w:val="clear" w:color="000000" w:fill="FFFFFF"/>
            <w:hideMark/>
          </w:tcPr>
          <w:p w14:paraId="3CEF9C0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17,8</w:t>
            </w:r>
          </w:p>
        </w:tc>
        <w:tc>
          <w:tcPr>
            <w:tcW w:w="1209" w:type="dxa"/>
            <w:tcBorders>
              <w:top w:val="nil"/>
              <w:left w:val="nil"/>
              <w:bottom w:val="dotted" w:sz="4" w:space="0" w:color="auto"/>
              <w:right w:val="double" w:sz="6" w:space="0" w:color="auto"/>
            </w:tcBorders>
            <w:shd w:val="clear" w:color="000000" w:fill="FFFFFF"/>
            <w:hideMark/>
          </w:tcPr>
          <w:p w14:paraId="4F423D8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20,8</w:t>
            </w:r>
          </w:p>
        </w:tc>
      </w:tr>
      <w:tr w:rsidR="009B5DE5" w:rsidRPr="009B5DE5" w14:paraId="22C74C5E" w14:textId="77777777" w:rsidTr="00396800">
        <w:trPr>
          <w:trHeight w:val="285"/>
        </w:trPr>
        <w:tc>
          <w:tcPr>
            <w:tcW w:w="6778" w:type="dxa"/>
            <w:tcBorders>
              <w:top w:val="nil"/>
              <w:left w:val="double" w:sz="6" w:space="0" w:color="auto"/>
              <w:bottom w:val="dotted" w:sz="4" w:space="0" w:color="auto"/>
              <w:right w:val="single" w:sz="8" w:space="0" w:color="auto"/>
            </w:tcBorders>
            <w:shd w:val="clear" w:color="000000" w:fill="FFFFFF"/>
            <w:hideMark/>
          </w:tcPr>
          <w:p w14:paraId="76B99417"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6. Увоз услуга</w:t>
            </w:r>
          </w:p>
        </w:tc>
        <w:tc>
          <w:tcPr>
            <w:tcW w:w="1738" w:type="dxa"/>
            <w:tcBorders>
              <w:top w:val="nil"/>
              <w:left w:val="nil"/>
              <w:bottom w:val="dotted" w:sz="4" w:space="0" w:color="auto"/>
              <w:right w:val="single" w:sz="8" w:space="0" w:color="auto"/>
            </w:tcBorders>
            <w:shd w:val="clear" w:color="000000" w:fill="FFFFFF"/>
            <w:hideMark/>
          </w:tcPr>
          <w:p w14:paraId="487336A2" w14:textId="77777777" w:rsidR="009B5DE5" w:rsidRPr="009B5DE5" w:rsidRDefault="009B5DE5" w:rsidP="009B5DE5">
            <w:pPr>
              <w:spacing w:after="0"/>
              <w:jc w:val="center"/>
              <w:rPr>
                <w:rFonts w:eastAsia="Times New Roman" w:cs="Times New Roman"/>
                <w:sz w:val="16"/>
                <w:szCs w:val="16"/>
              </w:rPr>
            </w:pPr>
            <w:r w:rsidRPr="009B5DE5">
              <w:rPr>
                <w:rFonts w:eastAsia="Times New Roman" w:cs="Times New Roman"/>
                <w:sz w:val="16"/>
                <w:szCs w:val="16"/>
              </w:rPr>
              <w:t>млрд ЕУР</w:t>
            </w:r>
          </w:p>
        </w:tc>
        <w:tc>
          <w:tcPr>
            <w:tcW w:w="1411" w:type="dxa"/>
            <w:tcBorders>
              <w:top w:val="nil"/>
              <w:left w:val="nil"/>
              <w:bottom w:val="dotted" w:sz="4" w:space="0" w:color="auto"/>
              <w:right w:val="dotted" w:sz="4" w:space="0" w:color="auto"/>
            </w:tcBorders>
            <w:shd w:val="clear" w:color="000000" w:fill="FFFFFF"/>
            <w:hideMark/>
          </w:tcPr>
          <w:p w14:paraId="0703BD7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10,0</w:t>
            </w:r>
          </w:p>
        </w:tc>
        <w:tc>
          <w:tcPr>
            <w:tcW w:w="1209" w:type="dxa"/>
            <w:tcBorders>
              <w:top w:val="nil"/>
              <w:left w:val="nil"/>
              <w:bottom w:val="dotted" w:sz="4" w:space="0" w:color="auto"/>
              <w:right w:val="dotted" w:sz="4" w:space="0" w:color="auto"/>
            </w:tcBorders>
            <w:shd w:val="clear" w:color="000000" w:fill="FFFFFF"/>
            <w:hideMark/>
          </w:tcPr>
          <w:p w14:paraId="3589600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11,7</w:t>
            </w:r>
          </w:p>
        </w:tc>
        <w:tc>
          <w:tcPr>
            <w:tcW w:w="1209" w:type="dxa"/>
            <w:tcBorders>
              <w:top w:val="nil"/>
              <w:left w:val="nil"/>
              <w:bottom w:val="dotted" w:sz="4" w:space="0" w:color="auto"/>
              <w:right w:val="dotted" w:sz="4" w:space="0" w:color="auto"/>
            </w:tcBorders>
            <w:shd w:val="clear" w:color="000000" w:fill="FFFFFF"/>
            <w:hideMark/>
          </w:tcPr>
          <w:p w14:paraId="7236549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13,3</w:t>
            </w:r>
          </w:p>
        </w:tc>
        <w:tc>
          <w:tcPr>
            <w:tcW w:w="1209" w:type="dxa"/>
            <w:tcBorders>
              <w:top w:val="nil"/>
              <w:left w:val="nil"/>
              <w:bottom w:val="dotted" w:sz="4" w:space="0" w:color="auto"/>
              <w:right w:val="dotted" w:sz="4" w:space="0" w:color="auto"/>
            </w:tcBorders>
            <w:shd w:val="clear" w:color="000000" w:fill="FFFFFF"/>
            <w:hideMark/>
          </w:tcPr>
          <w:p w14:paraId="295839D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15,0</w:t>
            </w:r>
          </w:p>
        </w:tc>
        <w:tc>
          <w:tcPr>
            <w:tcW w:w="1209" w:type="dxa"/>
            <w:tcBorders>
              <w:top w:val="nil"/>
              <w:left w:val="nil"/>
              <w:bottom w:val="dotted" w:sz="4" w:space="0" w:color="auto"/>
              <w:right w:val="double" w:sz="6" w:space="0" w:color="auto"/>
            </w:tcBorders>
            <w:shd w:val="clear" w:color="000000" w:fill="FFFFFF"/>
            <w:hideMark/>
          </w:tcPr>
          <w:p w14:paraId="38AEBE4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16,8</w:t>
            </w:r>
          </w:p>
        </w:tc>
      </w:tr>
      <w:tr w:rsidR="009B5DE5" w:rsidRPr="009B5DE5" w14:paraId="216F09B1" w14:textId="77777777" w:rsidTr="00396800">
        <w:trPr>
          <w:trHeight w:val="285"/>
        </w:trPr>
        <w:tc>
          <w:tcPr>
            <w:tcW w:w="6778" w:type="dxa"/>
            <w:tcBorders>
              <w:top w:val="nil"/>
              <w:left w:val="double" w:sz="6" w:space="0" w:color="auto"/>
              <w:bottom w:val="dotted" w:sz="4" w:space="0" w:color="auto"/>
              <w:right w:val="single" w:sz="8" w:space="0" w:color="auto"/>
            </w:tcBorders>
            <w:shd w:val="clear" w:color="000000" w:fill="FFFFFF"/>
            <w:hideMark/>
          </w:tcPr>
          <w:p w14:paraId="52C9750F"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7. Биланс услуга</w:t>
            </w:r>
          </w:p>
        </w:tc>
        <w:tc>
          <w:tcPr>
            <w:tcW w:w="1738" w:type="dxa"/>
            <w:tcBorders>
              <w:top w:val="nil"/>
              <w:left w:val="nil"/>
              <w:bottom w:val="dotted" w:sz="4" w:space="0" w:color="auto"/>
              <w:right w:val="single" w:sz="8" w:space="0" w:color="auto"/>
            </w:tcBorders>
            <w:shd w:val="clear" w:color="000000" w:fill="FFFFFF"/>
            <w:hideMark/>
          </w:tcPr>
          <w:p w14:paraId="159CA229" w14:textId="77777777" w:rsidR="009B5DE5" w:rsidRPr="009B5DE5" w:rsidRDefault="009B5DE5" w:rsidP="009B5DE5">
            <w:pPr>
              <w:spacing w:after="0"/>
              <w:jc w:val="center"/>
              <w:rPr>
                <w:rFonts w:eastAsia="Times New Roman" w:cs="Times New Roman"/>
                <w:sz w:val="16"/>
                <w:szCs w:val="16"/>
              </w:rPr>
            </w:pPr>
            <w:r w:rsidRPr="009B5DE5">
              <w:rPr>
                <w:rFonts w:eastAsia="Times New Roman" w:cs="Times New Roman"/>
                <w:sz w:val="16"/>
                <w:szCs w:val="16"/>
              </w:rPr>
              <w:t>млрд ЕУР</w:t>
            </w:r>
          </w:p>
        </w:tc>
        <w:tc>
          <w:tcPr>
            <w:tcW w:w="1411" w:type="dxa"/>
            <w:tcBorders>
              <w:top w:val="nil"/>
              <w:left w:val="nil"/>
              <w:bottom w:val="dotted" w:sz="4" w:space="0" w:color="auto"/>
              <w:right w:val="dotted" w:sz="4" w:space="0" w:color="auto"/>
            </w:tcBorders>
            <w:shd w:val="clear" w:color="000000" w:fill="FFFFFF"/>
            <w:hideMark/>
          </w:tcPr>
          <w:p w14:paraId="3505ACF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3,1</w:t>
            </w:r>
          </w:p>
        </w:tc>
        <w:tc>
          <w:tcPr>
            <w:tcW w:w="1209" w:type="dxa"/>
            <w:tcBorders>
              <w:top w:val="nil"/>
              <w:left w:val="nil"/>
              <w:bottom w:val="dotted" w:sz="4" w:space="0" w:color="auto"/>
              <w:right w:val="dotted" w:sz="4" w:space="0" w:color="auto"/>
            </w:tcBorders>
            <w:shd w:val="clear" w:color="000000" w:fill="FFFFFF"/>
            <w:hideMark/>
          </w:tcPr>
          <w:p w14:paraId="35C9C17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2,7</w:t>
            </w:r>
          </w:p>
        </w:tc>
        <w:tc>
          <w:tcPr>
            <w:tcW w:w="1209" w:type="dxa"/>
            <w:tcBorders>
              <w:top w:val="nil"/>
              <w:left w:val="nil"/>
              <w:bottom w:val="dotted" w:sz="4" w:space="0" w:color="auto"/>
              <w:right w:val="dotted" w:sz="4" w:space="0" w:color="auto"/>
            </w:tcBorders>
            <w:shd w:val="clear" w:color="000000" w:fill="FFFFFF"/>
            <w:hideMark/>
          </w:tcPr>
          <w:p w14:paraId="1810F45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2,7</w:t>
            </w:r>
          </w:p>
        </w:tc>
        <w:tc>
          <w:tcPr>
            <w:tcW w:w="1209" w:type="dxa"/>
            <w:tcBorders>
              <w:top w:val="nil"/>
              <w:left w:val="nil"/>
              <w:bottom w:val="dotted" w:sz="4" w:space="0" w:color="auto"/>
              <w:right w:val="dotted" w:sz="4" w:space="0" w:color="auto"/>
            </w:tcBorders>
            <w:shd w:val="clear" w:color="000000" w:fill="FFFFFF"/>
            <w:hideMark/>
          </w:tcPr>
          <w:p w14:paraId="5D7A60D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2,8</w:t>
            </w:r>
          </w:p>
        </w:tc>
        <w:tc>
          <w:tcPr>
            <w:tcW w:w="1209" w:type="dxa"/>
            <w:tcBorders>
              <w:top w:val="nil"/>
              <w:left w:val="nil"/>
              <w:bottom w:val="dotted" w:sz="4" w:space="0" w:color="auto"/>
              <w:right w:val="double" w:sz="6" w:space="0" w:color="auto"/>
            </w:tcBorders>
            <w:shd w:val="clear" w:color="000000" w:fill="FFFFFF"/>
            <w:hideMark/>
          </w:tcPr>
          <w:p w14:paraId="3AE294B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4,0</w:t>
            </w:r>
          </w:p>
        </w:tc>
      </w:tr>
      <w:tr w:rsidR="009B5DE5" w:rsidRPr="009B5DE5" w14:paraId="7E206A52" w14:textId="77777777" w:rsidTr="00396800">
        <w:trPr>
          <w:trHeight w:val="285"/>
        </w:trPr>
        <w:tc>
          <w:tcPr>
            <w:tcW w:w="6778" w:type="dxa"/>
            <w:tcBorders>
              <w:top w:val="nil"/>
              <w:left w:val="double" w:sz="6" w:space="0" w:color="auto"/>
              <w:bottom w:val="dotted" w:sz="4" w:space="0" w:color="auto"/>
              <w:right w:val="single" w:sz="8" w:space="0" w:color="auto"/>
            </w:tcBorders>
            <w:shd w:val="clear" w:color="000000" w:fill="FFFFFF"/>
            <w:hideMark/>
          </w:tcPr>
          <w:p w14:paraId="3BD39867"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8. Нето примљене камате из иностранства</w:t>
            </w:r>
          </w:p>
        </w:tc>
        <w:tc>
          <w:tcPr>
            <w:tcW w:w="1738" w:type="dxa"/>
            <w:tcBorders>
              <w:top w:val="nil"/>
              <w:left w:val="nil"/>
              <w:bottom w:val="dotted" w:sz="4" w:space="0" w:color="auto"/>
              <w:right w:val="single" w:sz="8" w:space="0" w:color="auto"/>
            </w:tcBorders>
            <w:shd w:val="clear" w:color="000000" w:fill="FFFFFF"/>
            <w:hideMark/>
          </w:tcPr>
          <w:p w14:paraId="3F8A7DBC" w14:textId="77777777" w:rsidR="009B5DE5" w:rsidRPr="009B5DE5" w:rsidRDefault="009B5DE5" w:rsidP="009B5DE5">
            <w:pPr>
              <w:spacing w:after="0"/>
              <w:jc w:val="center"/>
              <w:rPr>
                <w:rFonts w:eastAsia="Times New Roman" w:cs="Times New Roman"/>
                <w:sz w:val="16"/>
                <w:szCs w:val="16"/>
              </w:rPr>
            </w:pPr>
            <w:r w:rsidRPr="009B5DE5">
              <w:rPr>
                <w:rFonts w:eastAsia="Times New Roman" w:cs="Times New Roman"/>
                <w:sz w:val="16"/>
                <w:szCs w:val="16"/>
              </w:rPr>
              <w:t>млрд ЕУР</w:t>
            </w:r>
          </w:p>
        </w:tc>
        <w:tc>
          <w:tcPr>
            <w:tcW w:w="1411" w:type="dxa"/>
            <w:tcBorders>
              <w:top w:val="nil"/>
              <w:left w:val="nil"/>
              <w:bottom w:val="dotted" w:sz="4" w:space="0" w:color="auto"/>
              <w:right w:val="dotted" w:sz="4" w:space="0" w:color="auto"/>
            </w:tcBorders>
            <w:shd w:val="clear" w:color="000000" w:fill="FFFFFF"/>
            <w:hideMark/>
          </w:tcPr>
          <w:p w14:paraId="3F0678B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-1,3</w:t>
            </w:r>
          </w:p>
        </w:tc>
        <w:tc>
          <w:tcPr>
            <w:tcW w:w="1209" w:type="dxa"/>
            <w:tcBorders>
              <w:top w:val="nil"/>
              <w:left w:val="nil"/>
              <w:bottom w:val="dotted" w:sz="4" w:space="0" w:color="auto"/>
              <w:right w:val="dotted" w:sz="4" w:space="0" w:color="auto"/>
            </w:tcBorders>
            <w:shd w:val="clear" w:color="000000" w:fill="FFFFFF"/>
            <w:hideMark/>
          </w:tcPr>
          <w:p w14:paraId="765252D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-1,6</w:t>
            </w:r>
          </w:p>
        </w:tc>
        <w:tc>
          <w:tcPr>
            <w:tcW w:w="1209" w:type="dxa"/>
            <w:tcBorders>
              <w:top w:val="nil"/>
              <w:left w:val="nil"/>
              <w:bottom w:val="dotted" w:sz="4" w:space="0" w:color="auto"/>
              <w:right w:val="dotted" w:sz="4" w:space="0" w:color="auto"/>
            </w:tcBorders>
            <w:shd w:val="clear" w:color="000000" w:fill="FFFFFF"/>
            <w:hideMark/>
          </w:tcPr>
          <w:p w14:paraId="4F40985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-1,6</w:t>
            </w:r>
          </w:p>
        </w:tc>
        <w:tc>
          <w:tcPr>
            <w:tcW w:w="1209" w:type="dxa"/>
            <w:tcBorders>
              <w:top w:val="nil"/>
              <w:left w:val="nil"/>
              <w:bottom w:val="dotted" w:sz="4" w:space="0" w:color="auto"/>
              <w:right w:val="dotted" w:sz="4" w:space="0" w:color="auto"/>
            </w:tcBorders>
            <w:shd w:val="clear" w:color="000000" w:fill="FFFFFF"/>
            <w:hideMark/>
          </w:tcPr>
          <w:p w14:paraId="7C21D94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-1,3</w:t>
            </w:r>
          </w:p>
        </w:tc>
        <w:tc>
          <w:tcPr>
            <w:tcW w:w="1209" w:type="dxa"/>
            <w:tcBorders>
              <w:top w:val="nil"/>
              <w:left w:val="nil"/>
              <w:bottom w:val="dotted" w:sz="4" w:space="0" w:color="auto"/>
              <w:right w:val="double" w:sz="6" w:space="0" w:color="auto"/>
            </w:tcBorders>
            <w:shd w:val="clear" w:color="000000" w:fill="FFFFFF"/>
            <w:hideMark/>
          </w:tcPr>
          <w:p w14:paraId="399AAE6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-1,1</w:t>
            </w:r>
          </w:p>
        </w:tc>
      </w:tr>
      <w:tr w:rsidR="009B5DE5" w:rsidRPr="009B5DE5" w14:paraId="7961489D" w14:textId="77777777" w:rsidTr="00396800">
        <w:trPr>
          <w:trHeight w:val="285"/>
        </w:trPr>
        <w:tc>
          <w:tcPr>
            <w:tcW w:w="6778" w:type="dxa"/>
            <w:tcBorders>
              <w:top w:val="nil"/>
              <w:left w:val="double" w:sz="6" w:space="0" w:color="auto"/>
              <w:bottom w:val="dotted" w:sz="4" w:space="0" w:color="auto"/>
              <w:right w:val="single" w:sz="8" w:space="0" w:color="auto"/>
            </w:tcBorders>
            <w:shd w:val="clear" w:color="000000" w:fill="FFFFFF"/>
            <w:hideMark/>
          </w:tcPr>
          <w:p w14:paraId="3C9BB6A3"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xml:space="preserve">9. Остали нето факторски приход из иностранства </w:t>
            </w:r>
          </w:p>
        </w:tc>
        <w:tc>
          <w:tcPr>
            <w:tcW w:w="1738" w:type="dxa"/>
            <w:tcBorders>
              <w:top w:val="nil"/>
              <w:left w:val="nil"/>
              <w:bottom w:val="dotted" w:sz="4" w:space="0" w:color="auto"/>
              <w:right w:val="single" w:sz="8" w:space="0" w:color="auto"/>
            </w:tcBorders>
            <w:shd w:val="clear" w:color="000000" w:fill="FFFFFF"/>
            <w:hideMark/>
          </w:tcPr>
          <w:p w14:paraId="3CBA65F4" w14:textId="77777777" w:rsidR="009B5DE5" w:rsidRPr="009B5DE5" w:rsidRDefault="009B5DE5" w:rsidP="009B5DE5">
            <w:pPr>
              <w:spacing w:after="0"/>
              <w:jc w:val="center"/>
              <w:rPr>
                <w:rFonts w:eastAsia="Times New Roman" w:cs="Times New Roman"/>
                <w:sz w:val="16"/>
                <w:szCs w:val="16"/>
              </w:rPr>
            </w:pPr>
            <w:r w:rsidRPr="009B5DE5">
              <w:rPr>
                <w:rFonts w:eastAsia="Times New Roman" w:cs="Times New Roman"/>
                <w:sz w:val="16"/>
                <w:szCs w:val="16"/>
              </w:rPr>
              <w:t>млрд ЕУР</w:t>
            </w:r>
          </w:p>
        </w:tc>
        <w:tc>
          <w:tcPr>
            <w:tcW w:w="1411" w:type="dxa"/>
            <w:tcBorders>
              <w:top w:val="nil"/>
              <w:left w:val="nil"/>
              <w:bottom w:val="dotted" w:sz="4" w:space="0" w:color="auto"/>
              <w:right w:val="dotted" w:sz="4" w:space="0" w:color="auto"/>
            </w:tcBorders>
            <w:shd w:val="clear" w:color="000000" w:fill="FFFFFF"/>
            <w:hideMark/>
          </w:tcPr>
          <w:p w14:paraId="55E61A3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-2,6</w:t>
            </w:r>
          </w:p>
        </w:tc>
        <w:tc>
          <w:tcPr>
            <w:tcW w:w="1209" w:type="dxa"/>
            <w:tcBorders>
              <w:top w:val="nil"/>
              <w:left w:val="nil"/>
              <w:bottom w:val="dotted" w:sz="4" w:space="0" w:color="auto"/>
              <w:right w:val="dotted" w:sz="4" w:space="0" w:color="auto"/>
            </w:tcBorders>
            <w:shd w:val="clear" w:color="000000" w:fill="FFFFFF"/>
            <w:hideMark/>
          </w:tcPr>
          <w:p w14:paraId="7788318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-3,1</w:t>
            </w:r>
          </w:p>
        </w:tc>
        <w:tc>
          <w:tcPr>
            <w:tcW w:w="1209" w:type="dxa"/>
            <w:tcBorders>
              <w:top w:val="nil"/>
              <w:left w:val="nil"/>
              <w:bottom w:val="dotted" w:sz="4" w:space="0" w:color="auto"/>
              <w:right w:val="dotted" w:sz="4" w:space="0" w:color="auto"/>
            </w:tcBorders>
            <w:shd w:val="clear" w:color="000000" w:fill="FFFFFF"/>
            <w:hideMark/>
          </w:tcPr>
          <w:p w14:paraId="3EE1E74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-2,7</w:t>
            </w:r>
          </w:p>
        </w:tc>
        <w:tc>
          <w:tcPr>
            <w:tcW w:w="1209" w:type="dxa"/>
            <w:tcBorders>
              <w:top w:val="nil"/>
              <w:left w:val="nil"/>
              <w:bottom w:val="dotted" w:sz="4" w:space="0" w:color="auto"/>
              <w:right w:val="dotted" w:sz="4" w:space="0" w:color="auto"/>
            </w:tcBorders>
            <w:shd w:val="clear" w:color="000000" w:fill="FFFFFF"/>
            <w:hideMark/>
          </w:tcPr>
          <w:p w14:paraId="7B73898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-3,1</w:t>
            </w:r>
          </w:p>
        </w:tc>
        <w:tc>
          <w:tcPr>
            <w:tcW w:w="1209" w:type="dxa"/>
            <w:tcBorders>
              <w:top w:val="nil"/>
              <w:left w:val="nil"/>
              <w:bottom w:val="dotted" w:sz="4" w:space="0" w:color="auto"/>
              <w:right w:val="double" w:sz="6" w:space="0" w:color="auto"/>
            </w:tcBorders>
            <w:shd w:val="clear" w:color="000000" w:fill="FFFFFF"/>
            <w:hideMark/>
          </w:tcPr>
          <w:p w14:paraId="1A70EDD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-3,6</w:t>
            </w:r>
          </w:p>
        </w:tc>
      </w:tr>
      <w:tr w:rsidR="009B5DE5" w:rsidRPr="009B5DE5" w14:paraId="13F4A8F7" w14:textId="77777777" w:rsidTr="00396800">
        <w:trPr>
          <w:trHeight w:val="285"/>
        </w:trPr>
        <w:tc>
          <w:tcPr>
            <w:tcW w:w="6778" w:type="dxa"/>
            <w:tcBorders>
              <w:top w:val="nil"/>
              <w:left w:val="double" w:sz="6" w:space="0" w:color="auto"/>
              <w:bottom w:val="dotted" w:sz="4" w:space="0" w:color="auto"/>
              <w:right w:val="single" w:sz="8" w:space="0" w:color="auto"/>
            </w:tcBorders>
            <w:shd w:val="clear" w:color="000000" w:fill="FFFFFF"/>
            <w:hideMark/>
          </w:tcPr>
          <w:p w14:paraId="242BA460"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10. Текући трансфери</w:t>
            </w:r>
          </w:p>
        </w:tc>
        <w:tc>
          <w:tcPr>
            <w:tcW w:w="1738" w:type="dxa"/>
            <w:tcBorders>
              <w:top w:val="nil"/>
              <w:left w:val="nil"/>
              <w:bottom w:val="dotted" w:sz="4" w:space="0" w:color="auto"/>
              <w:right w:val="single" w:sz="8" w:space="0" w:color="auto"/>
            </w:tcBorders>
            <w:shd w:val="clear" w:color="000000" w:fill="FFFFFF"/>
            <w:hideMark/>
          </w:tcPr>
          <w:p w14:paraId="394DBBBC" w14:textId="77777777" w:rsidR="009B5DE5" w:rsidRPr="009B5DE5" w:rsidRDefault="009B5DE5" w:rsidP="009B5DE5">
            <w:pPr>
              <w:spacing w:after="0"/>
              <w:jc w:val="center"/>
              <w:rPr>
                <w:rFonts w:eastAsia="Times New Roman" w:cs="Times New Roman"/>
                <w:sz w:val="16"/>
                <w:szCs w:val="16"/>
              </w:rPr>
            </w:pPr>
            <w:r w:rsidRPr="009B5DE5">
              <w:rPr>
                <w:rFonts w:eastAsia="Times New Roman" w:cs="Times New Roman"/>
                <w:sz w:val="16"/>
                <w:szCs w:val="16"/>
              </w:rPr>
              <w:t>млрд ЕУР</w:t>
            </w:r>
          </w:p>
        </w:tc>
        <w:tc>
          <w:tcPr>
            <w:tcW w:w="1411" w:type="dxa"/>
            <w:tcBorders>
              <w:top w:val="nil"/>
              <w:left w:val="nil"/>
              <w:bottom w:val="dotted" w:sz="4" w:space="0" w:color="auto"/>
              <w:right w:val="dotted" w:sz="4" w:space="0" w:color="auto"/>
            </w:tcBorders>
            <w:shd w:val="clear" w:color="000000" w:fill="FFFFFF"/>
            <w:hideMark/>
          </w:tcPr>
          <w:p w14:paraId="7627F25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5,6</w:t>
            </w:r>
          </w:p>
        </w:tc>
        <w:tc>
          <w:tcPr>
            <w:tcW w:w="1209" w:type="dxa"/>
            <w:tcBorders>
              <w:top w:val="nil"/>
              <w:left w:val="nil"/>
              <w:bottom w:val="dotted" w:sz="4" w:space="0" w:color="auto"/>
              <w:right w:val="dotted" w:sz="4" w:space="0" w:color="auto"/>
            </w:tcBorders>
            <w:shd w:val="clear" w:color="000000" w:fill="FFFFFF"/>
            <w:hideMark/>
          </w:tcPr>
          <w:p w14:paraId="7589B62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5,6</w:t>
            </w:r>
          </w:p>
        </w:tc>
        <w:tc>
          <w:tcPr>
            <w:tcW w:w="1209" w:type="dxa"/>
            <w:tcBorders>
              <w:top w:val="nil"/>
              <w:left w:val="nil"/>
              <w:bottom w:val="dotted" w:sz="4" w:space="0" w:color="auto"/>
              <w:right w:val="dotted" w:sz="4" w:space="0" w:color="auto"/>
            </w:tcBorders>
            <w:shd w:val="clear" w:color="000000" w:fill="FFFFFF"/>
            <w:hideMark/>
          </w:tcPr>
          <w:p w14:paraId="3F1E8E7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5,6</w:t>
            </w:r>
          </w:p>
        </w:tc>
        <w:tc>
          <w:tcPr>
            <w:tcW w:w="1209" w:type="dxa"/>
            <w:tcBorders>
              <w:top w:val="nil"/>
              <w:left w:val="nil"/>
              <w:bottom w:val="dotted" w:sz="4" w:space="0" w:color="auto"/>
              <w:right w:val="dotted" w:sz="4" w:space="0" w:color="auto"/>
            </w:tcBorders>
            <w:shd w:val="clear" w:color="000000" w:fill="FFFFFF"/>
            <w:hideMark/>
          </w:tcPr>
          <w:p w14:paraId="124CA5B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5,6</w:t>
            </w:r>
          </w:p>
        </w:tc>
        <w:tc>
          <w:tcPr>
            <w:tcW w:w="1209" w:type="dxa"/>
            <w:tcBorders>
              <w:top w:val="nil"/>
              <w:left w:val="nil"/>
              <w:bottom w:val="dotted" w:sz="4" w:space="0" w:color="auto"/>
              <w:right w:val="double" w:sz="6" w:space="0" w:color="auto"/>
            </w:tcBorders>
            <w:shd w:val="clear" w:color="000000" w:fill="FFFFFF"/>
            <w:hideMark/>
          </w:tcPr>
          <w:p w14:paraId="217EAE6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5,6</w:t>
            </w:r>
          </w:p>
        </w:tc>
      </w:tr>
      <w:tr w:rsidR="009B5DE5" w:rsidRPr="009B5DE5" w14:paraId="216E6565" w14:textId="77777777" w:rsidTr="00396800">
        <w:trPr>
          <w:trHeight w:val="285"/>
        </w:trPr>
        <w:tc>
          <w:tcPr>
            <w:tcW w:w="6778" w:type="dxa"/>
            <w:tcBorders>
              <w:top w:val="nil"/>
              <w:left w:val="double" w:sz="6" w:space="0" w:color="auto"/>
              <w:bottom w:val="dotted" w:sz="4" w:space="0" w:color="auto"/>
              <w:right w:val="single" w:sz="8" w:space="0" w:color="auto"/>
            </w:tcBorders>
            <w:shd w:val="clear" w:color="000000" w:fill="FFFFFF"/>
            <w:hideMark/>
          </w:tcPr>
          <w:p w14:paraId="2C02CA86" w14:textId="77777777" w:rsidR="009B5DE5" w:rsidRPr="009B5DE5" w:rsidRDefault="009B5DE5" w:rsidP="009B5DE5">
            <w:pPr>
              <w:spacing w:after="0"/>
              <w:jc w:val="left"/>
              <w:rPr>
                <w:rFonts w:eastAsia="Times New Roman" w:cs="Times New Roman"/>
                <w:i/>
                <w:iCs/>
                <w:sz w:val="20"/>
                <w:szCs w:val="20"/>
              </w:rPr>
            </w:pPr>
            <w:r w:rsidRPr="009B5DE5">
              <w:rPr>
                <w:rFonts w:eastAsia="Times New Roman" w:cs="Times New Roman"/>
                <w:i/>
                <w:iCs/>
                <w:sz w:val="20"/>
                <w:szCs w:val="20"/>
              </w:rPr>
              <w:t xml:space="preserve">11. Од чега </w:t>
            </w:r>
            <w:r w:rsidRPr="009B5DE5">
              <w:rPr>
                <w:rFonts w:eastAsia="Times New Roman" w:cs="Times New Roman"/>
                <w:sz w:val="20"/>
                <w:szCs w:val="20"/>
              </w:rPr>
              <w:t>из ЕУ</w:t>
            </w:r>
          </w:p>
        </w:tc>
        <w:tc>
          <w:tcPr>
            <w:tcW w:w="1738" w:type="dxa"/>
            <w:tcBorders>
              <w:top w:val="nil"/>
              <w:left w:val="nil"/>
              <w:bottom w:val="dotted" w:sz="4" w:space="0" w:color="auto"/>
              <w:right w:val="single" w:sz="8" w:space="0" w:color="auto"/>
            </w:tcBorders>
            <w:shd w:val="clear" w:color="000000" w:fill="FFFFFF"/>
            <w:hideMark/>
          </w:tcPr>
          <w:p w14:paraId="02203267" w14:textId="77777777" w:rsidR="009B5DE5" w:rsidRPr="009B5DE5" w:rsidRDefault="009B5DE5" w:rsidP="009B5DE5">
            <w:pPr>
              <w:spacing w:after="0"/>
              <w:jc w:val="center"/>
              <w:rPr>
                <w:rFonts w:eastAsia="Times New Roman" w:cs="Times New Roman"/>
                <w:sz w:val="16"/>
                <w:szCs w:val="16"/>
              </w:rPr>
            </w:pPr>
            <w:r w:rsidRPr="009B5DE5">
              <w:rPr>
                <w:rFonts w:eastAsia="Times New Roman" w:cs="Times New Roman"/>
                <w:sz w:val="16"/>
                <w:szCs w:val="16"/>
              </w:rPr>
              <w:t>млрд ЕУР</w:t>
            </w:r>
          </w:p>
        </w:tc>
        <w:tc>
          <w:tcPr>
            <w:tcW w:w="1411" w:type="dxa"/>
            <w:tcBorders>
              <w:top w:val="nil"/>
              <w:left w:val="nil"/>
              <w:bottom w:val="dotted" w:sz="4" w:space="0" w:color="auto"/>
              <w:right w:val="dotted" w:sz="4" w:space="0" w:color="auto"/>
            </w:tcBorders>
            <w:shd w:val="clear" w:color="000000" w:fill="FFFFFF"/>
            <w:hideMark/>
          </w:tcPr>
          <w:p w14:paraId="283A43F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3,5</w:t>
            </w:r>
          </w:p>
        </w:tc>
        <w:tc>
          <w:tcPr>
            <w:tcW w:w="1209" w:type="dxa"/>
            <w:tcBorders>
              <w:top w:val="nil"/>
              <w:left w:val="nil"/>
              <w:bottom w:val="dotted" w:sz="4" w:space="0" w:color="auto"/>
              <w:right w:val="dotted" w:sz="4" w:space="0" w:color="auto"/>
            </w:tcBorders>
            <w:shd w:val="clear" w:color="000000" w:fill="FFFFFF"/>
            <w:hideMark/>
          </w:tcPr>
          <w:p w14:paraId="5E4EAE4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3,7</w:t>
            </w:r>
          </w:p>
        </w:tc>
        <w:tc>
          <w:tcPr>
            <w:tcW w:w="1209" w:type="dxa"/>
            <w:tcBorders>
              <w:top w:val="nil"/>
              <w:left w:val="nil"/>
              <w:bottom w:val="dotted" w:sz="4" w:space="0" w:color="auto"/>
              <w:right w:val="dotted" w:sz="4" w:space="0" w:color="auto"/>
            </w:tcBorders>
            <w:shd w:val="clear" w:color="000000" w:fill="FFFFFF"/>
            <w:hideMark/>
          </w:tcPr>
          <w:p w14:paraId="0B7FDBB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3,8</w:t>
            </w:r>
          </w:p>
        </w:tc>
        <w:tc>
          <w:tcPr>
            <w:tcW w:w="1209" w:type="dxa"/>
            <w:tcBorders>
              <w:top w:val="nil"/>
              <w:left w:val="nil"/>
              <w:bottom w:val="dotted" w:sz="4" w:space="0" w:color="auto"/>
              <w:right w:val="dotted" w:sz="4" w:space="0" w:color="auto"/>
            </w:tcBorders>
            <w:shd w:val="clear" w:color="000000" w:fill="FFFFFF"/>
            <w:hideMark/>
          </w:tcPr>
          <w:p w14:paraId="431BD43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3,9</w:t>
            </w:r>
          </w:p>
        </w:tc>
        <w:tc>
          <w:tcPr>
            <w:tcW w:w="1209" w:type="dxa"/>
            <w:tcBorders>
              <w:top w:val="nil"/>
              <w:left w:val="nil"/>
              <w:bottom w:val="dotted" w:sz="4" w:space="0" w:color="auto"/>
              <w:right w:val="double" w:sz="6" w:space="0" w:color="auto"/>
            </w:tcBorders>
            <w:shd w:val="clear" w:color="000000" w:fill="FFFFFF"/>
            <w:hideMark/>
          </w:tcPr>
          <w:p w14:paraId="1DAA182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3,9</w:t>
            </w:r>
          </w:p>
        </w:tc>
      </w:tr>
      <w:tr w:rsidR="009B5DE5" w:rsidRPr="009B5DE5" w14:paraId="2775BB66" w14:textId="77777777" w:rsidTr="00396800">
        <w:trPr>
          <w:trHeight w:val="285"/>
        </w:trPr>
        <w:tc>
          <w:tcPr>
            <w:tcW w:w="6778" w:type="dxa"/>
            <w:tcBorders>
              <w:top w:val="nil"/>
              <w:left w:val="double" w:sz="6" w:space="0" w:color="auto"/>
              <w:bottom w:val="dotted" w:sz="4" w:space="0" w:color="auto"/>
              <w:right w:val="single" w:sz="8" w:space="0" w:color="auto"/>
            </w:tcBorders>
            <w:shd w:val="clear" w:color="000000" w:fill="FFFFFF"/>
            <w:hideMark/>
          </w:tcPr>
          <w:p w14:paraId="23348E83"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12. Биланс текућих трансакција</w:t>
            </w:r>
          </w:p>
        </w:tc>
        <w:tc>
          <w:tcPr>
            <w:tcW w:w="1738" w:type="dxa"/>
            <w:tcBorders>
              <w:top w:val="nil"/>
              <w:left w:val="nil"/>
              <w:bottom w:val="dotted" w:sz="4" w:space="0" w:color="auto"/>
              <w:right w:val="single" w:sz="8" w:space="0" w:color="auto"/>
            </w:tcBorders>
            <w:shd w:val="clear" w:color="000000" w:fill="FFFFFF"/>
            <w:hideMark/>
          </w:tcPr>
          <w:p w14:paraId="324C019F" w14:textId="77777777" w:rsidR="009B5DE5" w:rsidRPr="009B5DE5" w:rsidRDefault="009B5DE5" w:rsidP="009B5DE5">
            <w:pPr>
              <w:spacing w:after="0"/>
              <w:jc w:val="center"/>
              <w:rPr>
                <w:rFonts w:eastAsia="Times New Roman" w:cs="Times New Roman"/>
                <w:sz w:val="16"/>
                <w:szCs w:val="16"/>
              </w:rPr>
            </w:pPr>
            <w:r w:rsidRPr="009B5DE5">
              <w:rPr>
                <w:rFonts w:eastAsia="Times New Roman" w:cs="Times New Roman"/>
                <w:sz w:val="16"/>
                <w:szCs w:val="16"/>
              </w:rPr>
              <w:t>млрд ЕУР</w:t>
            </w:r>
          </w:p>
        </w:tc>
        <w:tc>
          <w:tcPr>
            <w:tcW w:w="1411" w:type="dxa"/>
            <w:tcBorders>
              <w:top w:val="nil"/>
              <w:left w:val="nil"/>
              <w:bottom w:val="dotted" w:sz="4" w:space="0" w:color="auto"/>
              <w:right w:val="dotted" w:sz="4" w:space="0" w:color="auto"/>
            </w:tcBorders>
            <w:shd w:val="clear" w:color="000000" w:fill="FFFFFF"/>
            <w:hideMark/>
          </w:tcPr>
          <w:p w14:paraId="28E6F5E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-1,8</w:t>
            </w:r>
          </w:p>
        </w:tc>
        <w:tc>
          <w:tcPr>
            <w:tcW w:w="1209" w:type="dxa"/>
            <w:tcBorders>
              <w:top w:val="nil"/>
              <w:left w:val="nil"/>
              <w:bottom w:val="dotted" w:sz="4" w:space="0" w:color="auto"/>
              <w:right w:val="dotted" w:sz="4" w:space="0" w:color="auto"/>
            </w:tcBorders>
            <w:shd w:val="clear" w:color="000000" w:fill="FFFFFF"/>
            <w:hideMark/>
          </w:tcPr>
          <w:p w14:paraId="3F752B5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-3,9</w:t>
            </w:r>
          </w:p>
        </w:tc>
        <w:tc>
          <w:tcPr>
            <w:tcW w:w="1209" w:type="dxa"/>
            <w:tcBorders>
              <w:top w:val="nil"/>
              <w:left w:val="nil"/>
              <w:bottom w:val="dotted" w:sz="4" w:space="0" w:color="auto"/>
              <w:right w:val="dotted" w:sz="4" w:space="0" w:color="auto"/>
            </w:tcBorders>
            <w:shd w:val="clear" w:color="000000" w:fill="FFFFFF"/>
            <w:hideMark/>
          </w:tcPr>
          <w:p w14:paraId="0D0B67F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-4,3</w:t>
            </w:r>
          </w:p>
        </w:tc>
        <w:tc>
          <w:tcPr>
            <w:tcW w:w="1209" w:type="dxa"/>
            <w:tcBorders>
              <w:top w:val="nil"/>
              <w:left w:val="nil"/>
              <w:bottom w:val="dotted" w:sz="4" w:space="0" w:color="auto"/>
              <w:right w:val="dotted" w:sz="4" w:space="0" w:color="auto"/>
            </w:tcBorders>
            <w:shd w:val="clear" w:color="000000" w:fill="FFFFFF"/>
            <w:hideMark/>
          </w:tcPr>
          <w:p w14:paraId="09A048A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-5,0</w:t>
            </w:r>
          </w:p>
        </w:tc>
        <w:tc>
          <w:tcPr>
            <w:tcW w:w="1209" w:type="dxa"/>
            <w:tcBorders>
              <w:top w:val="nil"/>
              <w:left w:val="nil"/>
              <w:bottom w:val="dotted" w:sz="4" w:space="0" w:color="auto"/>
              <w:right w:val="double" w:sz="6" w:space="0" w:color="auto"/>
            </w:tcBorders>
            <w:shd w:val="clear" w:color="000000" w:fill="FFFFFF"/>
            <w:hideMark/>
          </w:tcPr>
          <w:p w14:paraId="650FBA9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-4,2</w:t>
            </w:r>
          </w:p>
        </w:tc>
      </w:tr>
      <w:tr w:rsidR="009B5DE5" w:rsidRPr="009B5DE5" w14:paraId="1026FDBB" w14:textId="77777777" w:rsidTr="00396800">
        <w:trPr>
          <w:trHeight w:val="285"/>
        </w:trPr>
        <w:tc>
          <w:tcPr>
            <w:tcW w:w="6778" w:type="dxa"/>
            <w:tcBorders>
              <w:top w:val="nil"/>
              <w:left w:val="double" w:sz="6" w:space="0" w:color="auto"/>
              <w:bottom w:val="dotted" w:sz="4" w:space="0" w:color="auto"/>
              <w:right w:val="single" w:sz="8" w:space="0" w:color="auto"/>
            </w:tcBorders>
            <w:shd w:val="clear" w:color="000000" w:fill="FFFFFF"/>
            <w:hideMark/>
          </w:tcPr>
          <w:p w14:paraId="6AA306A7"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13. Капитални и финансијски рачун</w:t>
            </w:r>
          </w:p>
        </w:tc>
        <w:tc>
          <w:tcPr>
            <w:tcW w:w="1738" w:type="dxa"/>
            <w:tcBorders>
              <w:top w:val="nil"/>
              <w:left w:val="nil"/>
              <w:bottom w:val="dotted" w:sz="4" w:space="0" w:color="auto"/>
              <w:right w:val="single" w:sz="8" w:space="0" w:color="auto"/>
            </w:tcBorders>
            <w:shd w:val="clear" w:color="000000" w:fill="FFFFFF"/>
            <w:hideMark/>
          </w:tcPr>
          <w:p w14:paraId="0B432344" w14:textId="77777777" w:rsidR="009B5DE5" w:rsidRPr="009B5DE5" w:rsidRDefault="009B5DE5" w:rsidP="009B5DE5">
            <w:pPr>
              <w:spacing w:after="0"/>
              <w:jc w:val="center"/>
              <w:rPr>
                <w:rFonts w:eastAsia="Times New Roman" w:cs="Times New Roman"/>
                <w:sz w:val="16"/>
                <w:szCs w:val="16"/>
              </w:rPr>
            </w:pPr>
            <w:r w:rsidRPr="009B5DE5">
              <w:rPr>
                <w:rFonts w:eastAsia="Times New Roman" w:cs="Times New Roman"/>
                <w:sz w:val="16"/>
                <w:szCs w:val="16"/>
              </w:rPr>
              <w:t>млрд ЕУР</w:t>
            </w:r>
          </w:p>
        </w:tc>
        <w:tc>
          <w:tcPr>
            <w:tcW w:w="1411" w:type="dxa"/>
            <w:tcBorders>
              <w:top w:val="nil"/>
              <w:left w:val="nil"/>
              <w:bottom w:val="dotted" w:sz="4" w:space="0" w:color="auto"/>
              <w:right w:val="dotted" w:sz="4" w:space="0" w:color="auto"/>
            </w:tcBorders>
            <w:shd w:val="clear" w:color="000000" w:fill="FFFFFF"/>
            <w:hideMark/>
          </w:tcPr>
          <w:p w14:paraId="29AC9F1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1,6</w:t>
            </w:r>
          </w:p>
        </w:tc>
        <w:tc>
          <w:tcPr>
            <w:tcW w:w="1209" w:type="dxa"/>
            <w:tcBorders>
              <w:top w:val="nil"/>
              <w:left w:val="nil"/>
              <w:bottom w:val="dotted" w:sz="4" w:space="0" w:color="auto"/>
              <w:right w:val="dotted" w:sz="4" w:space="0" w:color="auto"/>
            </w:tcBorders>
            <w:shd w:val="clear" w:color="000000" w:fill="FFFFFF"/>
            <w:hideMark/>
          </w:tcPr>
          <w:p w14:paraId="5E5F7EA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4,6</w:t>
            </w:r>
          </w:p>
        </w:tc>
        <w:tc>
          <w:tcPr>
            <w:tcW w:w="1209" w:type="dxa"/>
            <w:tcBorders>
              <w:top w:val="nil"/>
              <w:left w:val="nil"/>
              <w:bottom w:val="dotted" w:sz="4" w:space="0" w:color="auto"/>
              <w:right w:val="dotted" w:sz="4" w:space="0" w:color="auto"/>
            </w:tcBorders>
            <w:shd w:val="clear" w:color="000000" w:fill="FFFFFF"/>
            <w:hideMark/>
          </w:tcPr>
          <w:p w14:paraId="108ADC4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4,3</w:t>
            </w:r>
          </w:p>
        </w:tc>
        <w:tc>
          <w:tcPr>
            <w:tcW w:w="1209" w:type="dxa"/>
            <w:tcBorders>
              <w:top w:val="nil"/>
              <w:left w:val="nil"/>
              <w:bottom w:val="dotted" w:sz="4" w:space="0" w:color="auto"/>
              <w:right w:val="dotted" w:sz="4" w:space="0" w:color="auto"/>
            </w:tcBorders>
            <w:shd w:val="clear" w:color="000000" w:fill="FFFFFF"/>
            <w:hideMark/>
          </w:tcPr>
          <w:p w14:paraId="3A327E0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5,0</w:t>
            </w:r>
          </w:p>
        </w:tc>
        <w:tc>
          <w:tcPr>
            <w:tcW w:w="1209" w:type="dxa"/>
            <w:tcBorders>
              <w:top w:val="nil"/>
              <w:left w:val="nil"/>
              <w:bottom w:val="dotted" w:sz="4" w:space="0" w:color="auto"/>
              <w:right w:val="double" w:sz="6" w:space="0" w:color="auto"/>
            </w:tcBorders>
            <w:shd w:val="clear" w:color="000000" w:fill="FFFFFF"/>
            <w:hideMark/>
          </w:tcPr>
          <w:p w14:paraId="3E1A407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4,2</w:t>
            </w:r>
          </w:p>
        </w:tc>
      </w:tr>
      <w:tr w:rsidR="009B5DE5" w:rsidRPr="009B5DE5" w14:paraId="0B49FBF1" w14:textId="77777777" w:rsidTr="00396800">
        <w:trPr>
          <w:trHeight w:val="285"/>
        </w:trPr>
        <w:tc>
          <w:tcPr>
            <w:tcW w:w="6778" w:type="dxa"/>
            <w:tcBorders>
              <w:top w:val="nil"/>
              <w:left w:val="double" w:sz="6" w:space="0" w:color="auto"/>
              <w:bottom w:val="dotted" w:sz="4" w:space="0" w:color="auto"/>
              <w:right w:val="single" w:sz="8" w:space="0" w:color="auto"/>
            </w:tcBorders>
            <w:shd w:val="clear" w:color="000000" w:fill="FFFFFF"/>
            <w:hideMark/>
          </w:tcPr>
          <w:p w14:paraId="42E097C5"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14. Нето стране директне инвестиције</w:t>
            </w:r>
          </w:p>
        </w:tc>
        <w:tc>
          <w:tcPr>
            <w:tcW w:w="1738" w:type="dxa"/>
            <w:tcBorders>
              <w:top w:val="nil"/>
              <w:left w:val="nil"/>
              <w:bottom w:val="dotted" w:sz="4" w:space="0" w:color="auto"/>
              <w:right w:val="single" w:sz="8" w:space="0" w:color="auto"/>
            </w:tcBorders>
            <w:shd w:val="clear" w:color="000000" w:fill="FFFFFF"/>
            <w:hideMark/>
          </w:tcPr>
          <w:p w14:paraId="3D2B3A2E" w14:textId="77777777" w:rsidR="009B5DE5" w:rsidRPr="009B5DE5" w:rsidRDefault="009B5DE5" w:rsidP="009B5DE5">
            <w:pPr>
              <w:spacing w:after="0"/>
              <w:jc w:val="center"/>
              <w:rPr>
                <w:rFonts w:eastAsia="Times New Roman" w:cs="Times New Roman"/>
                <w:sz w:val="16"/>
                <w:szCs w:val="16"/>
              </w:rPr>
            </w:pPr>
            <w:r w:rsidRPr="009B5DE5">
              <w:rPr>
                <w:rFonts w:eastAsia="Times New Roman" w:cs="Times New Roman"/>
                <w:sz w:val="16"/>
                <w:szCs w:val="16"/>
              </w:rPr>
              <w:t>млрд ЕУР</w:t>
            </w:r>
          </w:p>
        </w:tc>
        <w:tc>
          <w:tcPr>
            <w:tcW w:w="1411" w:type="dxa"/>
            <w:tcBorders>
              <w:top w:val="nil"/>
              <w:left w:val="nil"/>
              <w:bottom w:val="dotted" w:sz="4" w:space="0" w:color="auto"/>
              <w:right w:val="dotted" w:sz="4" w:space="0" w:color="auto"/>
            </w:tcBorders>
            <w:shd w:val="clear" w:color="000000" w:fill="FFFFFF"/>
            <w:hideMark/>
          </w:tcPr>
          <w:p w14:paraId="3E63D9D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4,3</w:t>
            </w:r>
          </w:p>
        </w:tc>
        <w:tc>
          <w:tcPr>
            <w:tcW w:w="1209" w:type="dxa"/>
            <w:tcBorders>
              <w:top w:val="nil"/>
              <w:left w:val="nil"/>
              <w:bottom w:val="dotted" w:sz="4" w:space="0" w:color="auto"/>
              <w:right w:val="dotted" w:sz="4" w:space="0" w:color="auto"/>
            </w:tcBorders>
            <w:shd w:val="clear" w:color="000000" w:fill="FFFFFF"/>
            <w:hideMark/>
          </w:tcPr>
          <w:p w14:paraId="17A8F2D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4,3</w:t>
            </w:r>
          </w:p>
        </w:tc>
        <w:tc>
          <w:tcPr>
            <w:tcW w:w="1209" w:type="dxa"/>
            <w:tcBorders>
              <w:top w:val="nil"/>
              <w:left w:val="nil"/>
              <w:bottom w:val="dotted" w:sz="4" w:space="0" w:color="auto"/>
              <w:right w:val="dotted" w:sz="4" w:space="0" w:color="auto"/>
            </w:tcBorders>
            <w:shd w:val="clear" w:color="000000" w:fill="FFFFFF"/>
            <w:hideMark/>
          </w:tcPr>
          <w:p w14:paraId="4779AF0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4,5</w:t>
            </w:r>
          </w:p>
        </w:tc>
        <w:tc>
          <w:tcPr>
            <w:tcW w:w="1209" w:type="dxa"/>
            <w:tcBorders>
              <w:top w:val="nil"/>
              <w:left w:val="nil"/>
              <w:bottom w:val="dotted" w:sz="4" w:space="0" w:color="auto"/>
              <w:right w:val="dotted" w:sz="4" w:space="0" w:color="auto"/>
            </w:tcBorders>
            <w:shd w:val="clear" w:color="000000" w:fill="FFFFFF"/>
            <w:hideMark/>
          </w:tcPr>
          <w:p w14:paraId="223C4F8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4,4</w:t>
            </w:r>
          </w:p>
        </w:tc>
        <w:tc>
          <w:tcPr>
            <w:tcW w:w="1209" w:type="dxa"/>
            <w:tcBorders>
              <w:top w:val="nil"/>
              <w:left w:val="nil"/>
              <w:bottom w:val="dotted" w:sz="4" w:space="0" w:color="auto"/>
              <w:right w:val="double" w:sz="6" w:space="0" w:color="auto"/>
            </w:tcBorders>
            <w:shd w:val="clear" w:color="000000" w:fill="FFFFFF"/>
            <w:hideMark/>
          </w:tcPr>
          <w:p w14:paraId="7EC29E9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4,4</w:t>
            </w:r>
          </w:p>
        </w:tc>
      </w:tr>
      <w:tr w:rsidR="009B5DE5" w:rsidRPr="009B5DE5" w14:paraId="7279F0D0" w14:textId="77777777" w:rsidTr="00396800">
        <w:trPr>
          <w:trHeight w:val="285"/>
        </w:trPr>
        <w:tc>
          <w:tcPr>
            <w:tcW w:w="6778" w:type="dxa"/>
            <w:tcBorders>
              <w:top w:val="nil"/>
              <w:left w:val="double" w:sz="6" w:space="0" w:color="auto"/>
              <w:bottom w:val="dotted" w:sz="4" w:space="0" w:color="auto"/>
              <w:right w:val="single" w:sz="8" w:space="0" w:color="auto"/>
            </w:tcBorders>
            <w:shd w:val="clear" w:color="000000" w:fill="FFFFFF"/>
            <w:hideMark/>
          </w:tcPr>
          <w:p w14:paraId="30530952"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15. Девизне резерве</w:t>
            </w:r>
          </w:p>
        </w:tc>
        <w:tc>
          <w:tcPr>
            <w:tcW w:w="1738" w:type="dxa"/>
            <w:tcBorders>
              <w:top w:val="nil"/>
              <w:left w:val="nil"/>
              <w:bottom w:val="dotted" w:sz="4" w:space="0" w:color="auto"/>
              <w:right w:val="single" w:sz="8" w:space="0" w:color="auto"/>
            </w:tcBorders>
            <w:shd w:val="clear" w:color="000000" w:fill="FFFFFF"/>
            <w:hideMark/>
          </w:tcPr>
          <w:p w14:paraId="7C994E2D" w14:textId="77777777" w:rsidR="009B5DE5" w:rsidRPr="009B5DE5" w:rsidRDefault="009B5DE5" w:rsidP="009B5DE5">
            <w:pPr>
              <w:spacing w:after="0"/>
              <w:jc w:val="center"/>
              <w:rPr>
                <w:rFonts w:eastAsia="Times New Roman" w:cs="Times New Roman"/>
                <w:sz w:val="16"/>
                <w:szCs w:val="16"/>
              </w:rPr>
            </w:pPr>
            <w:r w:rsidRPr="009B5DE5">
              <w:rPr>
                <w:rFonts w:eastAsia="Times New Roman" w:cs="Times New Roman"/>
                <w:sz w:val="16"/>
                <w:szCs w:val="16"/>
              </w:rPr>
              <w:t>млрд ЕУР</w:t>
            </w:r>
          </w:p>
        </w:tc>
        <w:tc>
          <w:tcPr>
            <w:tcW w:w="1411" w:type="dxa"/>
            <w:tcBorders>
              <w:top w:val="nil"/>
              <w:left w:val="nil"/>
              <w:bottom w:val="dotted" w:sz="4" w:space="0" w:color="auto"/>
              <w:right w:val="dotted" w:sz="4" w:space="0" w:color="auto"/>
            </w:tcBorders>
            <w:shd w:val="clear" w:color="000000" w:fill="FFFFFF"/>
            <w:hideMark/>
          </w:tcPr>
          <w:p w14:paraId="205907D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24,9</w:t>
            </w:r>
          </w:p>
        </w:tc>
        <w:tc>
          <w:tcPr>
            <w:tcW w:w="1209" w:type="dxa"/>
            <w:tcBorders>
              <w:top w:val="nil"/>
              <w:left w:val="nil"/>
              <w:bottom w:val="dotted" w:sz="4" w:space="0" w:color="auto"/>
              <w:right w:val="dotted" w:sz="4" w:space="0" w:color="auto"/>
            </w:tcBorders>
            <w:shd w:val="clear" w:color="000000" w:fill="FFFFFF"/>
            <w:hideMark/>
          </w:tcPr>
          <w:p w14:paraId="128D8CF5" w14:textId="181866D6"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w:t>
            </w:r>
            <w:r w:rsidR="00B4270C">
              <w:rPr>
                <w:rFonts w:eastAsia="Times New Roman" w:cs="Times New Roman"/>
                <w:sz w:val="20"/>
                <w:szCs w:val="20"/>
                <w:lang w:val="sr-Cyrl-RS"/>
              </w:rPr>
              <w:t>9</w:t>
            </w:r>
            <w:r w:rsidRPr="009B5DE5">
              <w:rPr>
                <w:rFonts w:eastAsia="Times New Roman" w:cs="Times New Roman"/>
                <w:sz w:val="20"/>
                <w:szCs w:val="20"/>
              </w:rPr>
              <w:t>,</w:t>
            </w:r>
            <w:r w:rsidR="00B4270C">
              <w:rPr>
                <w:rFonts w:eastAsia="Times New Roman" w:cs="Times New Roman"/>
                <w:sz w:val="20"/>
                <w:szCs w:val="20"/>
                <w:lang w:val="sr-Cyrl-RS"/>
              </w:rPr>
              <w:t>0</w:t>
            </w:r>
          </w:p>
        </w:tc>
        <w:tc>
          <w:tcPr>
            <w:tcW w:w="1209" w:type="dxa"/>
            <w:tcBorders>
              <w:top w:val="nil"/>
              <w:left w:val="nil"/>
              <w:bottom w:val="dotted" w:sz="4" w:space="0" w:color="auto"/>
              <w:right w:val="dotted" w:sz="4" w:space="0" w:color="auto"/>
            </w:tcBorders>
            <w:shd w:val="clear" w:color="000000" w:fill="FFFFFF"/>
            <w:hideMark/>
          </w:tcPr>
          <w:p w14:paraId="5B65570A" w14:textId="29A22AC8"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w:t>
            </w:r>
            <w:r w:rsidR="00B4270C">
              <w:rPr>
                <w:rFonts w:eastAsia="Times New Roman" w:cs="Times New Roman"/>
                <w:sz w:val="20"/>
                <w:szCs w:val="20"/>
                <w:lang w:val="sr-Cyrl-RS"/>
              </w:rPr>
              <w:t>1</w:t>
            </w:r>
            <w:r w:rsidRPr="009B5DE5">
              <w:rPr>
                <w:rFonts w:eastAsia="Times New Roman" w:cs="Times New Roman"/>
                <w:sz w:val="20"/>
                <w:szCs w:val="20"/>
              </w:rPr>
              <w:t>,</w:t>
            </w:r>
            <w:r w:rsidR="00B4270C">
              <w:rPr>
                <w:rFonts w:eastAsia="Times New Roman" w:cs="Times New Roman"/>
                <w:sz w:val="20"/>
                <w:szCs w:val="20"/>
                <w:lang w:val="sr-Cyrl-RS"/>
              </w:rPr>
              <w:t>8</w:t>
            </w:r>
          </w:p>
        </w:tc>
        <w:tc>
          <w:tcPr>
            <w:tcW w:w="1209" w:type="dxa"/>
            <w:tcBorders>
              <w:top w:val="nil"/>
              <w:left w:val="nil"/>
              <w:bottom w:val="dotted" w:sz="4" w:space="0" w:color="auto"/>
              <w:right w:val="dotted" w:sz="4" w:space="0" w:color="auto"/>
            </w:tcBorders>
            <w:shd w:val="clear" w:color="000000" w:fill="FFFFFF"/>
            <w:hideMark/>
          </w:tcPr>
          <w:p w14:paraId="59C8F1C6" w14:textId="13492828"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w:t>
            </w:r>
            <w:r w:rsidR="00B4270C">
              <w:rPr>
                <w:rFonts w:eastAsia="Times New Roman" w:cs="Times New Roman"/>
                <w:sz w:val="20"/>
                <w:szCs w:val="20"/>
                <w:lang w:val="sr-Cyrl-RS"/>
              </w:rPr>
              <w:t>3</w:t>
            </w:r>
            <w:r w:rsidRPr="009B5DE5">
              <w:rPr>
                <w:rFonts w:eastAsia="Times New Roman" w:cs="Times New Roman"/>
                <w:sz w:val="20"/>
                <w:szCs w:val="20"/>
              </w:rPr>
              <w:t>,</w:t>
            </w:r>
            <w:r w:rsidR="00B4270C">
              <w:rPr>
                <w:rFonts w:eastAsia="Times New Roman" w:cs="Times New Roman"/>
                <w:sz w:val="20"/>
                <w:szCs w:val="20"/>
                <w:lang w:val="sr-Cyrl-RS"/>
              </w:rPr>
              <w:t>9</w:t>
            </w:r>
          </w:p>
        </w:tc>
        <w:tc>
          <w:tcPr>
            <w:tcW w:w="1209" w:type="dxa"/>
            <w:tcBorders>
              <w:top w:val="nil"/>
              <w:left w:val="nil"/>
              <w:bottom w:val="dotted" w:sz="4" w:space="0" w:color="auto"/>
              <w:right w:val="double" w:sz="6" w:space="0" w:color="auto"/>
            </w:tcBorders>
            <w:shd w:val="clear" w:color="000000" w:fill="FFFFFF"/>
            <w:hideMark/>
          </w:tcPr>
          <w:p w14:paraId="0CF01C4A" w14:textId="3994C9DC"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w:t>
            </w:r>
            <w:r w:rsidR="00B4270C">
              <w:rPr>
                <w:rFonts w:eastAsia="Times New Roman" w:cs="Times New Roman"/>
                <w:sz w:val="20"/>
                <w:szCs w:val="20"/>
                <w:lang w:val="sr-Cyrl-RS"/>
              </w:rPr>
              <w:t>5</w:t>
            </w:r>
            <w:r w:rsidRPr="009B5DE5">
              <w:rPr>
                <w:rFonts w:eastAsia="Times New Roman" w:cs="Times New Roman"/>
                <w:sz w:val="20"/>
                <w:szCs w:val="20"/>
              </w:rPr>
              <w:t>,</w:t>
            </w:r>
            <w:r w:rsidR="00B4270C">
              <w:rPr>
                <w:rFonts w:eastAsia="Times New Roman" w:cs="Times New Roman"/>
                <w:sz w:val="20"/>
                <w:szCs w:val="20"/>
                <w:lang w:val="sr-Cyrl-RS"/>
              </w:rPr>
              <w:t>2</w:t>
            </w:r>
          </w:p>
        </w:tc>
      </w:tr>
      <w:tr w:rsidR="009B5DE5" w:rsidRPr="009B5DE5" w14:paraId="20FF95FC" w14:textId="77777777" w:rsidTr="00396800">
        <w:trPr>
          <w:trHeight w:val="285"/>
        </w:trPr>
        <w:tc>
          <w:tcPr>
            <w:tcW w:w="6778" w:type="dxa"/>
            <w:tcBorders>
              <w:top w:val="nil"/>
              <w:left w:val="double" w:sz="6" w:space="0" w:color="auto"/>
              <w:bottom w:val="dotted" w:sz="4" w:space="0" w:color="auto"/>
              <w:right w:val="single" w:sz="8" w:space="0" w:color="auto"/>
            </w:tcBorders>
            <w:shd w:val="clear" w:color="000000" w:fill="FFFFFF"/>
            <w:hideMark/>
          </w:tcPr>
          <w:p w14:paraId="4B1842AA"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16. Нето спољни дуг</w:t>
            </w:r>
          </w:p>
        </w:tc>
        <w:tc>
          <w:tcPr>
            <w:tcW w:w="1738" w:type="dxa"/>
            <w:tcBorders>
              <w:top w:val="nil"/>
              <w:left w:val="nil"/>
              <w:bottom w:val="dotted" w:sz="4" w:space="0" w:color="auto"/>
              <w:right w:val="single" w:sz="8" w:space="0" w:color="auto"/>
            </w:tcBorders>
            <w:shd w:val="clear" w:color="000000" w:fill="FFFFFF"/>
            <w:hideMark/>
          </w:tcPr>
          <w:p w14:paraId="7CC24B32" w14:textId="77777777" w:rsidR="009B5DE5" w:rsidRPr="009B5DE5" w:rsidRDefault="009B5DE5" w:rsidP="009B5DE5">
            <w:pPr>
              <w:spacing w:after="0"/>
              <w:jc w:val="center"/>
              <w:rPr>
                <w:rFonts w:eastAsia="Times New Roman" w:cs="Times New Roman"/>
                <w:sz w:val="16"/>
                <w:szCs w:val="16"/>
              </w:rPr>
            </w:pPr>
            <w:r w:rsidRPr="009B5DE5">
              <w:rPr>
                <w:rFonts w:eastAsia="Times New Roman" w:cs="Times New Roman"/>
                <w:sz w:val="16"/>
                <w:szCs w:val="16"/>
              </w:rPr>
              <w:t>млрд ЕУР</w:t>
            </w:r>
          </w:p>
        </w:tc>
        <w:tc>
          <w:tcPr>
            <w:tcW w:w="1411" w:type="dxa"/>
            <w:tcBorders>
              <w:top w:val="nil"/>
              <w:left w:val="nil"/>
              <w:bottom w:val="dotted" w:sz="4" w:space="0" w:color="auto"/>
              <w:right w:val="dotted" w:sz="4" w:space="0" w:color="auto"/>
            </w:tcBorders>
            <w:shd w:val="clear" w:color="000000" w:fill="FFFFFF"/>
            <w:hideMark/>
          </w:tcPr>
          <w:p w14:paraId="44CBBC6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17,5</w:t>
            </w:r>
          </w:p>
        </w:tc>
        <w:tc>
          <w:tcPr>
            <w:tcW w:w="1209" w:type="dxa"/>
            <w:tcBorders>
              <w:top w:val="nil"/>
              <w:left w:val="nil"/>
              <w:bottom w:val="dotted" w:sz="4" w:space="0" w:color="auto"/>
              <w:right w:val="dotted" w:sz="4" w:space="0" w:color="auto"/>
            </w:tcBorders>
            <w:shd w:val="clear" w:color="000000" w:fill="FFFFFF"/>
            <w:hideMark/>
          </w:tcPr>
          <w:p w14:paraId="570732A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18,1</w:t>
            </w:r>
          </w:p>
        </w:tc>
        <w:tc>
          <w:tcPr>
            <w:tcW w:w="1209" w:type="dxa"/>
            <w:tcBorders>
              <w:top w:val="nil"/>
              <w:left w:val="nil"/>
              <w:bottom w:val="dotted" w:sz="4" w:space="0" w:color="auto"/>
              <w:right w:val="dotted" w:sz="4" w:space="0" w:color="auto"/>
            </w:tcBorders>
            <w:shd w:val="clear" w:color="000000" w:fill="FFFFFF"/>
            <w:hideMark/>
          </w:tcPr>
          <w:p w14:paraId="4A2F00D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19,2</w:t>
            </w:r>
          </w:p>
        </w:tc>
        <w:tc>
          <w:tcPr>
            <w:tcW w:w="1209" w:type="dxa"/>
            <w:tcBorders>
              <w:top w:val="nil"/>
              <w:left w:val="nil"/>
              <w:bottom w:val="dotted" w:sz="4" w:space="0" w:color="auto"/>
              <w:right w:val="dotted" w:sz="4" w:space="0" w:color="auto"/>
            </w:tcBorders>
            <w:shd w:val="clear" w:color="000000" w:fill="FFFFFF"/>
            <w:hideMark/>
          </w:tcPr>
          <w:p w14:paraId="08401F9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20,9</w:t>
            </w:r>
          </w:p>
        </w:tc>
        <w:tc>
          <w:tcPr>
            <w:tcW w:w="1209" w:type="dxa"/>
            <w:tcBorders>
              <w:top w:val="nil"/>
              <w:left w:val="nil"/>
              <w:bottom w:val="dotted" w:sz="4" w:space="0" w:color="auto"/>
              <w:right w:val="double" w:sz="6" w:space="0" w:color="auto"/>
            </w:tcBorders>
            <w:shd w:val="clear" w:color="000000" w:fill="FFFFFF"/>
            <w:hideMark/>
          </w:tcPr>
          <w:p w14:paraId="1F086B0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21,5</w:t>
            </w:r>
          </w:p>
        </w:tc>
      </w:tr>
      <w:tr w:rsidR="009B5DE5" w:rsidRPr="009B5DE5" w14:paraId="1424A437" w14:textId="77777777" w:rsidTr="00396800">
        <w:trPr>
          <w:trHeight w:val="285"/>
        </w:trPr>
        <w:tc>
          <w:tcPr>
            <w:tcW w:w="6778" w:type="dxa"/>
            <w:tcBorders>
              <w:top w:val="nil"/>
              <w:left w:val="double" w:sz="6" w:space="0" w:color="auto"/>
              <w:bottom w:val="dotted" w:sz="4" w:space="0" w:color="auto"/>
              <w:right w:val="single" w:sz="8" w:space="0" w:color="auto"/>
            </w:tcBorders>
            <w:shd w:val="clear" w:color="000000" w:fill="FFFFFF"/>
            <w:hideMark/>
          </w:tcPr>
          <w:p w14:paraId="0829AA3C" w14:textId="77777777" w:rsidR="009B5DE5" w:rsidRPr="009B5DE5" w:rsidRDefault="009B5DE5" w:rsidP="009B5DE5">
            <w:pPr>
              <w:spacing w:after="0"/>
              <w:jc w:val="left"/>
              <w:rPr>
                <w:rFonts w:eastAsia="Times New Roman" w:cs="Times New Roman"/>
                <w:i/>
                <w:iCs/>
                <w:sz w:val="20"/>
                <w:szCs w:val="20"/>
              </w:rPr>
            </w:pPr>
            <w:r w:rsidRPr="009B5DE5">
              <w:rPr>
                <w:rFonts w:eastAsia="Times New Roman" w:cs="Times New Roman"/>
                <w:i/>
                <w:iCs/>
                <w:sz w:val="20"/>
                <w:szCs w:val="20"/>
              </w:rPr>
              <w:t>17.Од чега:</w:t>
            </w:r>
            <w:r w:rsidRPr="009B5DE5">
              <w:rPr>
                <w:rFonts w:eastAsia="Times New Roman" w:cs="Times New Roman"/>
                <w:sz w:val="20"/>
                <w:szCs w:val="20"/>
              </w:rPr>
              <w:t xml:space="preserve"> јавни</w:t>
            </w:r>
          </w:p>
        </w:tc>
        <w:tc>
          <w:tcPr>
            <w:tcW w:w="1738" w:type="dxa"/>
            <w:tcBorders>
              <w:top w:val="nil"/>
              <w:left w:val="nil"/>
              <w:bottom w:val="dotted" w:sz="4" w:space="0" w:color="auto"/>
              <w:right w:val="single" w:sz="8" w:space="0" w:color="auto"/>
            </w:tcBorders>
            <w:shd w:val="clear" w:color="000000" w:fill="FFFFFF"/>
            <w:hideMark/>
          </w:tcPr>
          <w:p w14:paraId="4174706D" w14:textId="77777777" w:rsidR="009B5DE5" w:rsidRPr="009B5DE5" w:rsidRDefault="009B5DE5" w:rsidP="009B5DE5">
            <w:pPr>
              <w:spacing w:after="0"/>
              <w:jc w:val="center"/>
              <w:rPr>
                <w:rFonts w:eastAsia="Times New Roman" w:cs="Times New Roman"/>
                <w:sz w:val="16"/>
                <w:szCs w:val="16"/>
              </w:rPr>
            </w:pPr>
            <w:r w:rsidRPr="009B5DE5">
              <w:rPr>
                <w:rFonts w:eastAsia="Times New Roman" w:cs="Times New Roman"/>
                <w:sz w:val="16"/>
                <w:szCs w:val="16"/>
              </w:rPr>
              <w:t>млрд ЕУР</w:t>
            </w:r>
          </w:p>
        </w:tc>
        <w:tc>
          <w:tcPr>
            <w:tcW w:w="1411" w:type="dxa"/>
            <w:tcBorders>
              <w:top w:val="nil"/>
              <w:left w:val="nil"/>
              <w:bottom w:val="dotted" w:sz="4" w:space="0" w:color="auto"/>
              <w:right w:val="dotted" w:sz="4" w:space="0" w:color="auto"/>
            </w:tcBorders>
            <w:shd w:val="clear" w:color="000000" w:fill="FFFFFF"/>
            <w:hideMark/>
          </w:tcPr>
          <w:p w14:paraId="2B09DB0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3,5</w:t>
            </w:r>
          </w:p>
        </w:tc>
        <w:tc>
          <w:tcPr>
            <w:tcW w:w="1209" w:type="dxa"/>
            <w:tcBorders>
              <w:top w:val="nil"/>
              <w:left w:val="nil"/>
              <w:bottom w:val="dotted" w:sz="4" w:space="0" w:color="auto"/>
              <w:right w:val="dotted" w:sz="4" w:space="0" w:color="auto"/>
            </w:tcBorders>
            <w:shd w:val="clear" w:color="000000" w:fill="FFFFFF"/>
            <w:hideMark/>
          </w:tcPr>
          <w:p w14:paraId="342404F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3,0</w:t>
            </w:r>
          </w:p>
        </w:tc>
        <w:tc>
          <w:tcPr>
            <w:tcW w:w="1209" w:type="dxa"/>
            <w:tcBorders>
              <w:top w:val="nil"/>
              <w:left w:val="nil"/>
              <w:bottom w:val="dotted" w:sz="4" w:space="0" w:color="auto"/>
              <w:right w:val="dotted" w:sz="4" w:space="0" w:color="auto"/>
            </w:tcBorders>
            <w:shd w:val="clear" w:color="000000" w:fill="FFFFFF"/>
            <w:hideMark/>
          </w:tcPr>
          <w:p w14:paraId="64E04443"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2,7</w:t>
            </w:r>
          </w:p>
        </w:tc>
        <w:tc>
          <w:tcPr>
            <w:tcW w:w="1209" w:type="dxa"/>
            <w:tcBorders>
              <w:top w:val="nil"/>
              <w:left w:val="nil"/>
              <w:bottom w:val="dotted" w:sz="4" w:space="0" w:color="auto"/>
              <w:right w:val="dotted" w:sz="4" w:space="0" w:color="auto"/>
            </w:tcBorders>
            <w:shd w:val="clear" w:color="000000" w:fill="FFFFFF"/>
            <w:hideMark/>
          </w:tcPr>
          <w:p w14:paraId="0AA79CD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2,9</w:t>
            </w:r>
          </w:p>
        </w:tc>
        <w:tc>
          <w:tcPr>
            <w:tcW w:w="1209" w:type="dxa"/>
            <w:tcBorders>
              <w:top w:val="nil"/>
              <w:left w:val="nil"/>
              <w:bottom w:val="dotted" w:sz="4" w:space="0" w:color="auto"/>
              <w:right w:val="double" w:sz="6" w:space="0" w:color="auto"/>
            </w:tcBorders>
            <w:shd w:val="clear" w:color="000000" w:fill="FFFFFF"/>
            <w:hideMark/>
          </w:tcPr>
          <w:p w14:paraId="5B38265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2,2</w:t>
            </w:r>
          </w:p>
        </w:tc>
      </w:tr>
      <w:tr w:rsidR="009B5DE5" w:rsidRPr="009B5DE5" w14:paraId="0FE03E4A" w14:textId="77777777" w:rsidTr="00396800">
        <w:trPr>
          <w:trHeight w:val="285"/>
        </w:trPr>
        <w:tc>
          <w:tcPr>
            <w:tcW w:w="6778" w:type="dxa"/>
            <w:tcBorders>
              <w:top w:val="nil"/>
              <w:left w:val="double" w:sz="6" w:space="0" w:color="auto"/>
              <w:bottom w:val="dotted" w:sz="4" w:space="0" w:color="auto"/>
              <w:right w:val="single" w:sz="8" w:space="0" w:color="auto"/>
            </w:tcBorders>
            <w:shd w:val="clear" w:color="000000" w:fill="FFFFFF"/>
            <w:hideMark/>
          </w:tcPr>
          <w:p w14:paraId="5CBC9112" w14:textId="77777777" w:rsidR="009B5DE5" w:rsidRPr="009B5DE5" w:rsidRDefault="009B5DE5" w:rsidP="009B5DE5">
            <w:pPr>
              <w:spacing w:after="0"/>
              <w:jc w:val="left"/>
              <w:rPr>
                <w:rFonts w:eastAsia="Times New Roman" w:cs="Times New Roman"/>
                <w:i/>
                <w:iCs/>
                <w:sz w:val="20"/>
                <w:szCs w:val="20"/>
              </w:rPr>
            </w:pPr>
            <w:r w:rsidRPr="009B5DE5">
              <w:rPr>
                <w:rFonts w:eastAsia="Times New Roman" w:cs="Times New Roman"/>
                <w:i/>
                <w:iCs/>
                <w:sz w:val="20"/>
                <w:szCs w:val="20"/>
              </w:rPr>
              <w:t xml:space="preserve">18. Од чега: </w:t>
            </w:r>
            <w:r w:rsidRPr="009B5DE5">
              <w:rPr>
                <w:rFonts w:eastAsia="Times New Roman" w:cs="Times New Roman"/>
                <w:sz w:val="20"/>
                <w:szCs w:val="20"/>
              </w:rPr>
              <w:t>деноминовано у страним валутама</w:t>
            </w:r>
          </w:p>
        </w:tc>
        <w:tc>
          <w:tcPr>
            <w:tcW w:w="1738" w:type="dxa"/>
            <w:tcBorders>
              <w:top w:val="nil"/>
              <w:left w:val="nil"/>
              <w:bottom w:val="dotted" w:sz="4" w:space="0" w:color="auto"/>
              <w:right w:val="single" w:sz="8" w:space="0" w:color="auto"/>
            </w:tcBorders>
            <w:shd w:val="clear" w:color="000000" w:fill="FFFFFF"/>
            <w:hideMark/>
          </w:tcPr>
          <w:p w14:paraId="49163721" w14:textId="77777777" w:rsidR="009B5DE5" w:rsidRPr="009B5DE5" w:rsidRDefault="009B5DE5" w:rsidP="009B5DE5">
            <w:pPr>
              <w:spacing w:after="0"/>
              <w:jc w:val="center"/>
              <w:rPr>
                <w:rFonts w:eastAsia="Times New Roman" w:cs="Times New Roman"/>
                <w:sz w:val="16"/>
                <w:szCs w:val="16"/>
              </w:rPr>
            </w:pPr>
            <w:r w:rsidRPr="009B5DE5">
              <w:rPr>
                <w:rFonts w:eastAsia="Times New Roman" w:cs="Times New Roman"/>
                <w:sz w:val="16"/>
                <w:szCs w:val="16"/>
              </w:rPr>
              <w:t>млрд ЕУР</w:t>
            </w:r>
          </w:p>
        </w:tc>
        <w:tc>
          <w:tcPr>
            <w:tcW w:w="1411" w:type="dxa"/>
            <w:tcBorders>
              <w:top w:val="nil"/>
              <w:left w:val="nil"/>
              <w:bottom w:val="dotted" w:sz="4" w:space="0" w:color="auto"/>
              <w:right w:val="dotted" w:sz="4" w:space="0" w:color="auto"/>
            </w:tcBorders>
            <w:shd w:val="clear" w:color="000000" w:fill="FFFFFF"/>
            <w:hideMark/>
          </w:tcPr>
          <w:p w14:paraId="744DD3C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16,1</w:t>
            </w:r>
          </w:p>
        </w:tc>
        <w:tc>
          <w:tcPr>
            <w:tcW w:w="1209" w:type="dxa"/>
            <w:tcBorders>
              <w:top w:val="nil"/>
              <w:left w:val="nil"/>
              <w:bottom w:val="dotted" w:sz="4" w:space="0" w:color="auto"/>
              <w:right w:val="dotted" w:sz="4" w:space="0" w:color="auto"/>
            </w:tcBorders>
            <w:shd w:val="clear" w:color="000000" w:fill="FFFFFF"/>
            <w:hideMark/>
          </w:tcPr>
          <w:p w14:paraId="68C2CE5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16,7</w:t>
            </w:r>
          </w:p>
        </w:tc>
        <w:tc>
          <w:tcPr>
            <w:tcW w:w="1209" w:type="dxa"/>
            <w:tcBorders>
              <w:top w:val="nil"/>
              <w:left w:val="nil"/>
              <w:bottom w:val="dotted" w:sz="4" w:space="0" w:color="auto"/>
              <w:right w:val="dotted" w:sz="4" w:space="0" w:color="auto"/>
            </w:tcBorders>
            <w:shd w:val="clear" w:color="000000" w:fill="FFFFFF"/>
            <w:hideMark/>
          </w:tcPr>
          <w:p w14:paraId="1471BC7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17,6</w:t>
            </w:r>
          </w:p>
        </w:tc>
        <w:tc>
          <w:tcPr>
            <w:tcW w:w="1209" w:type="dxa"/>
            <w:tcBorders>
              <w:top w:val="nil"/>
              <w:left w:val="nil"/>
              <w:bottom w:val="dotted" w:sz="4" w:space="0" w:color="auto"/>
              <w:right w:val="dotted" w:sz="4" w:space="0" w:color="auto"/>
            </w:tcBorders>
            <w:shd w:val="clear" w:color="000000" w:fill="FFFFFF"/>
            <w:hideMark/>
          </w:tcPr>
          <w:p w14:paraId="6A58D0B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19,2</w:t>
            </w:r>
          </w:p>
        </w:tc>
        <w:tc>
          <w:tcPr>
            <w:tcW w:w="1209" w:type="dxa"/>
            <w:tcBorders>
              <w:top w:val="nil"/>
              <w:left w:val="nil"/>
              <w:bottom w:val="dotted" w:sz="4" w:space="0" w:color="auto"/>
              <w:right w:val="double" w:sz="6" w:space="0" w:color="auto"/>
            </w:tcBorders>
            <w:shd w:val="clear" w:color="000000" w:fill="FFFFFF"/>
            <w:hideMark/>
          </w:tcPr>
          <w:p w14:paraId="6C4AE28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19,8</w:t>
            </w:r>
          </w:p>
        </w:tc>
      </w:tr>
      <w:tr w:rsidR="009B5DE5" w:rsidRPr="009B5DE5" w14:paraId="7F9397BA" w14:textId="77777777" w:rsidTr="00396800">
        <w:trPr>
          <w:trHeight w:val="285"/>
        </w:trPr>
        <w:tc>
          <w:tcPr>
            <w:tcW w:w="6778" w:type="dxa"/>
            <w:tcBorders>
              <w:top w:val="nil"/>
              <w:left w:val="double" w:sz="6" w:space="0" w:color="auto"/>
              <w:bottom w:val="single" w:sz="4" w:space="0" w:color="auto"/>
              <w:right w:val="single" w:sz="8" w:space="0" w:color="auto"/>
            </w:tcBorders>
            <w:shd w:val="clear" w:color="000000" w:fill="FFFFFF"/>
            <w:hideMark/>
          </w:tcPr>
          <w:p w14:paraId="28C2650A" w14:textId="77777777" w:rsidR="009B5DE5" w:rsidRPr="009B5DE5" w:rsidRDefault="009B5DE5" w:rsidP="009B5DE5">
            <w:pPr>
              <w:spacing w:after="0"/>
              <w:jc w:val="left"/>
              <w:rPr>
                <w:rFonts w:eastAsia="Times New Roman" w:cs="Times New Roman"/>
                <w:i/>
                <w:iCs/>
                <w:sz w:val="20"/>
                <w:szCs w:val="20"/>
              </w:rPr>
            </w:pPr>
            <w:r w:rsidRPr="009B5DE5">
              <w:rPr>
                <w:rFonts w:eastAsia="Times New Roman" w:cs="Times New Roman"/>
                <w:i/>
                <w:iCs/>
                <w:sz w:val="20"/>
                <w:szCs w:val="20"/>
              </w:rPr>
              <w:t xml:space="preserve">19. Од чега: </w:t>
            </w:r>
            <w:r w:rsidRPr="009B5DE5">
              <w:rPr>
                <w:rFonts w:eastAsia="Times New Roman" w:cs="Times New Roman"/>
                <w:sz w:val="20"/>
                <w:szCs w:val="20"/>
              </w:rPr>
              <w:t>доспело за отплату</w:t>
            </w:r>
          </w:p>
        </w:tc>
        <w:tc>
          <w:tcPr>
            <w:tcW w:w="1738" w:type="dxa"/>
            <w:tcBorders>
              <w:top w:val="nil"/>
              <w:left w:val="nil"/>
              <w:bottom w:val="single" w:sz="4" w:space="0" w:color="auto"/>
              <w:right w:val="single" w:sz="8" w:space="0" w:color="auto"/>
            </w:tcBorders>
            <w:shd w:val="clear" w:color="000000" w:fill="FFFFFF"/>
            <w:hideMark/>
          </w:tcPr>
          <w:p w14:paraId="44AB0766" w14:textId="77777777" w:rsidR="009B5DE5" w:rsidRPr="009B5DE5" w:rsidRDefault="009B5DE5" w:rsidP="009B5DE5">
            <w:pPr>
              <w:spacing w:after="0"/>
              <w:jc w:val="center"/>
              <w:rPr>
                <w:rFonts w:eastAsia="Times New Roman" w:cs="Times New Roman"/>
                <w:sz w:val="16"/>
                <w:szCs w:val="16"/>
              </w:rPr>
            </w:pPr>
            <w:r w:rsidRPr="009B5DE5">
              <w:rPr>
                <w:rFonts w:eastAsia="Times New Roman" w:cs="Times New Roman"/>
                <w:sz w:val="16"/>
                <w:szCs w:val="16"/>
              </w:rPr>
              <w:t>млрд ЕУР</w:t>
            </w:r>
          </w:p>
        </w:tc>
        <w:tc>
          <w:tcPr>
            <w:tcW w:w="1411" w:type="dxa"/>
            <w:tcBorders>
              <w:top w:val="nil"/>
              <w:left w:val="nil"/>
              <w:bottom w:val="single" w:sz="4" w:space="0" w:color="auto"/>
              <w:right w:val="dotted" w:sz="4" w:space="0" w:color="auto"/>
            </w:tcBorders>
            <w:shd w:val="clear" w:color="000000" w:fill="FFFFFF"/>
            <w:hideMark/>
          </w:tcPr>
          <w:p w14:paraId="7047BAE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5,2</w:t>
            </w:r>
          </w:p>
        </w:tc>
        <w:tc>
          <w:tcPr>
            <w:tcW w:w="1209" w:type="dxa"/>
            <w:tcBorders>
              <w:top w:val="nil"/>
              <w:left w:val="nil"/>
              <w:bottom w:val="single" w:sz="4" w:space="0" w:color="auto"/>
              <w:right w:val="dotted" w:sz="4" w:space="0" w:color="auto"/>
            </w:tcBorders>
            <w:shd w:val="clear" w:color="000000" w:fill="FFFFFF"/>
            <w:hideMark/>
          </w:tcPr>
          <w:p w14:paraId="0ADB255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7,8</w:t>
            </w:r>
          </w:p>
        </w:tc>
        <w:tc>
          <w:tcPr>
            <w:tcW w:w="1209" w:type="dxa"/>
            <w:tcBorders>
              <w:top w:val="nil"/>
              <w:left w:val="nil"/>
              <w:bottom w:val="single" w:sz="4" w:space="0" w:color="auto"/>
              <w:right w:val="dotted" w:sz="4" w:space="0" w:color="auto"/>
            </w:tcBorders>
            <w:shd w:val="clear" w:color="000000" w:fill="FFFFFF"/>
            <w:hideMark/>
          </w:tcPr>
          <w:p w14:paraId="14351FA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5,8</w:t>
            </w:r>
          </w:p>
        </w:tc>
        <w:tc>
          <w:tcPr>
            <w:tcW w:w="1209" w:type="dxa"/>
            <w:tcBorders>
              <w:top w:val="nil"/>
              <w:left w:val="nil"/>
              <w:bottom w:val="single" w:sz="4" w:space="0" w:color="auto"/>
              <w:right w:val="dotted" w:sz="4" w:space="0" w:color="auto"/>
            </w:tcBorders>
            <w:shd w:val="clear" w:color="000000" w:fill="FFFFFF"/>
            <w:hideMark/>
          </w:tcPr>
          <w:p w14:paraId="550C0C5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5,5</w:t>
            </w:r>
          </w:p>
        </w:tc>
        <w:tc>
          <w:tcPr>
            <w:tcW w:w="1209" w:type="dxa"/>
            <w:tcBorders>
              <w:top w:val="nil"/>
              <w:left w:val="nil"/>
              <w:bottom w:val="single" w:sz="4" w:space="0" w:color="auto"/>
              <w:right w:val="double" w:sz="6" w:space="0" w:color="auto"/>
            </w:tcBorders>
            <w:shd w:val="clear" w:color="000000" w:fill="FFFFFF"/>
            <w:hideMark/>
          </w:tcPr>
          <w:p w14:paraId="4A42CBD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6,2</w:t>
            </w:r>
          </w:p>
        </w:tc>
      </w:tr>
      <w:tr w:rsidR="009B5DE5" w:rsidRPr="009B5DE5" w14:paraId="719C9269" w14:textId="77777777" w:rsidTr="00396800">
        <w:trPr>
          <w:trHeight w:val="285"/>
        </w:trPr>
        <w:tc>
          <w:tcPr>
            <w:tcW w:w="6778" w:type="dxa"/>
            <w:tcBorders>
              <w:top w:val="nil"/>
              <w:left w:val="double" w:sz="6" w:space="0" w:color="auto"/>
              <w:bottom w:val="dotted" w:sz="4" w:space="0" w:color="auto"/>
              <w:right w:val="single" w:sz="8" w:space="0" w:color="auto"/>
            </w:tcBorders>
            <w:shd w:val="clear" w:color="000000" w:fill="FFFFFF"/>
            <w:hideMark/>
          </w:tcPr>
          <w:p w14:paraId="5C30AE7C"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21. Девизни курс у односу на ЕУР (годишњи просек) [1]</w:t>
            </w:r>
          </w:p>
        </w:tc>
        <w:tc>
          <w:tcPr>
            <w:tcW w:w="1738" w:type="dxa"/>
            <w:tcBorders>
              <w:top w:val="nil"/>
              <w:left w:val="nil"/>
              <w:bottom w:val="dotted" w:sz="4" w:space="0" w:color="auto"/>
              <w:right w:val="single" w:sz="8" w:space="0" w:color="auto"/>
            </w:tcBorders>
            <w:shd w:val="clear" w:color="000000" w:fill="FFFFFF"/>
            <w:hideMark/>
          </w:tcPr>
          <w:p w14:paraId="52A2A4E3" w14:textId="77777777" w:rsidR="009B5DE5" w:rsidRPr="009B5DE5" w:rsidRDefault="009B5DE5" w:rsidP="009B5DE5">
            <w:pPr>
              <w:spacing w:after="0"/>
              <w:jc w:val="center"/>
              <w:rPr>
                <w:rFonts w:eastAsia="Times New Roman" w:cs="Times New Roman"/>
                <w:sz w:val="16"/>
                <w:szCs w:val="16"/>
              </w:rPr>
            </w:pPr>
            <w:r w:rsidRPr="009B5DE5">
              <w:rPr>
                <w:rFonts w:eastAsia="Times New Roman" w:cs="Times New Roman"/>
                <w:sz w:val="16"/>
                <w:szCs w:val="16"/>
              </w:rPr>
              <w:t>РСД/ЕУР</w:t>
            </w:r>
          </w:p>
        </w:tc>
        <w:tc>
          <w:tcPr>
            <w:tcW w:w="1411" w:type="dxa"/>
            <w:tcBorders>
              <w:top w:val="nil"/>
              <w:left w:val="nil"/>
              <w:bottom w:val="dotted" w:sz="4" w:space="0" w:color="auto"/>
              <w:right w:val="dotted" w:sz="4" w:space="0" w:color="auto"/>
            </w:tcBorders>
            <w:shd w:val="clear" w:color="000000" w:fill="FFFFFF"/>
            <w:hideMark/>
          </w:tcPr>
          <w:p w14:paraId="449C6A23"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117,3</w:t>
            </w:r>
          </w:p>
        </w:tc>
        <w:tc>
          <w:tcPr>
            <w:tcW w:w="1209" w:type="dxa"/>
            <w:tcBorders>
              <w:top w:val="nil"/>
              <w:left w:val="nil"/>
              <w:bottom w:val="dotted" w:sz="4" w:space="0" w:color="auto"/>
              <w:right w:val="dotted" w:sz="4" w:space="0" w:color="auto"/>
            </w:tcBorders>
            <w:shd w:val="clear" w:color="000000" w:fill="FFFFFF"/>
            <w:hideMark/>
          </w:tcPr>
          <w:p w14:paraId="3FA09A1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117,1</w:t>
            </w:r>
          </w:p>
        </w:tc>
        <w:tc>
          <w:tcPr>
            <w:tcW w:w="1209" w:type="dxa"/>
            <w:tcBorders>
              <w:top w:val="nil"/>
              <w:left w:val="nil"/>
              <w:bottom w:val="dotted" w:sz="4" w:space="0" w:color="auto"/>
              <w:right w:val="dotted" w:sz="4" w:space="0" w:color="auto"/>
            </w:tcBorders>
            <w:shd w:val="clear" w:color="000000" w:fill="FFFFFF"/>
            <w:hideMark/>
          </w:tcPr>
          <w:p w14:paraId="0F44CC0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w:t>
            </w:r>
          </w:p>
        </w:tc>
        <w:tc>
          <w:tcPr>
            <w:tcW w:w="1209" w:type="dxa"/>
            <w:tcBorders>
              <w:top w:val="nil"/>
              <w:left w:val="nil"/>
              <w:bottom w:val="dotted" w:sz="4" w:space="0" w:color="auto"/>
              <w:right w:val="dotted" w:sz="4" w:space="0" w:color="auto"/>
            </w:tcBorders>
            <w:shd w:val="clear" w:color="000000" w:fill="FFFFFF"/>
            <w:hideMark/>
          </w:tcPr>
          <w:p w14:paraId="5D54410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w:t>
            </w:r>
          </w:p>
        </w:tc>
        <w:tc>
          <w:tcPr>
            <w:tcW w:w="1209" w:type="dxa"/>
            <w:tcBorders>
              <w:top w:val="nil"/>
              <w:left w:val="nil"/>
              <w:bottom w:val="dotted" w:sz="4" w:space="0" w:color="auto"/>
              <w:right w:val="double" w:sz="6" w:space="0" w:color="auto"/>
            </w:tcBorders>
            <w:shd w:val="clear" w:color="000000" w:fill="FFFFFF"/>
            <w:hideMark/>
          </w:tcPr>
          <w:p w14:paraId="044F4F2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w:t>
            </w:r>
          </w:p>
        </w:tc>
      </w:tr>
      <w:tr w:rsidR="009B5DE5" w:rsidRPr="009B5DE5" w14:paraId="6B7E82C6" w14:textId="77777777" w:rsidTr="00396800">
        <w:trPr>
          <w:trHeight w:val="285"/>
        </w:trPr>
        <w:tc>
          <w:tcPr>
            <w:tcW w:w="6778" w:type="dxa"/>
            <w:tcBorders>
              <w:top w:val="nil"/>
              <w:left w:val="double" w:sz="6" w:space="0" w:color="auto"/>
              <w:bottom w:val="dotted" w:sz="4" w:space="0" w:color="auto"/>
              <w:right w:val="single" w:sz="8" w:space="0" w:color="auto"/>
            </w:tcBorders>
            <w:shd w:val="clear" w:color="000000" w:fill="FFFFFF"/>
            <w:hideMark/>
          </w:tcPr>
          <w:p w14:paraId="1EA9C107" w14:textId="77777777" w:rsidR="009B5DE5" w:rsidRPr="009B5DE5" w:rsidRDefault="009B5DE5" w:rsidP="009B5DE5">
            <w:pPr>
              <w:spacing w:after="0"/>
              <w:jc w:val="left"/>
              <w:rPr>
                <w:rFonts w:eastAsia="Times New Roman" w:cs="Times New Roman"/>
                <w:i/>
                <w:iCs/>
                <w:sz w:val="20"/>
                <w:szCs w:val="20"/>
              </w:rPr>
            </w:pPr>
            <w:r w:rsidRPr="009B5DE5">
              <w:rPr>
                <w:rFonts w:eastAsia="Times New Roman" w:cs="Times New Roman"/>
                <w:i/>
                <w:iCs/>
                <w:sz w:val="20"/>
                <w:szCs w:val="20"/>
              </w:rPr>
              <w:t xml:space="preserve">      Девизни курс у односу на ЕУР (годишњи просек)</w:t>
            </w:r>
          </w:p>
        </w:tc>
        <w:tc>
          <w:tcPr>
            <w:tcW w:w="1738" w:type="dxa"/>
            <w:tcBorders>
              <w:top w:val="nil"/>
              <w:left w:val="nil"/>
              <w:bottom w:val="dotted" w:sz="4" w:space="0" w:color="auto"/>
              <w:right w:val="single" w:sz="8" w:space="0" w:color="auto"/>
            </w:tcBorders>
            <w:shd w:val="clear" w:color="000000" w:fill="FFFFFF"/>
            <w:hideMark/>
          </w:tcPr>
          <w:p w14:paraId="715EFF2F" w14:textId="77777777" w:rsidR="009B5DE5" w:rsidRPr="009B5DE5" w:rsidRDefault="009B5DE5" w:rsidP="009B5DE5">
            <w:pPr>
              <w:spacing w:after="0"/>
              <w:jc w:val="center"/>
              <w:rPr>
                <w:rFonts w:eastAsia="Times New Roman" w:cs="Times New Roman"/>
                <w:i/>
                <w:iCs/>
                <w:sz w:val="16"/>
                <w:szCs w:val="16"/>
              </w:rPr>
            </w:pPr>
            <w:r w:rsidRPr="009B5DE5">
              <w:rPr>
                <w:rFonts w:eastAsia="Times New Roman" w:cs="Times New Roman"/>
                <w:i/>
                <w:iCs/>
                <w:sz w:val="16"/>
                <w:szCs w:val="16"/>
              </w:rPr>
              <w:t>%, мг.</w:t>
            </w:r>
          </w:p>
        </w:tc>
        <w:tc>
          <w:tcPr>
            <w:tcW w:w="1411" w:type="dxa"/>
            <w:tcBorders>
              <w:top w:val="nil"/>
              <w:left w:val="nil"/>
              <w:bottom w:val="dotted" w:sz="4" w:space="0" w:color="auto"/>
              <w:right w:val="dotted" w:sz="4" w:space="0" w:color="auto"/>
            </w:tcBorders>
            <w:shd w:val="clear" w:color="000000" w:fill="FFFFFF"/>
            <w:hideMark/>
          </w:tcPr>
          <w:p w14:paraId="64709F84" w14:textId="77777777" w:rsidR="009B5DE5" w:rsidRPr="009B5DE5" w:rsidRDefault="009B5DE5" w:rsidP="009B5DE5">
            <w:pPr>
              <w:spacing w:after="0"/>
              <w:jc w:val="center"/>
              <w:rPr>
                <w:rFonts w:eastAsia="Times New Roman" w:cs="Times New Roman"/>
                <w:i/>
                <w:iCs/>
                <w:sz w:val="20"/>
                <w:szCs w:val="20"/>
              </w:rPr>
            </w:pPr>
            <w:r w:rsidRPr="009B5DE5">
              <w:rPr>
                <w:rFonts w:eastAsia="Times New Roman" w:cs="Times New Roman"/>
                <w:i/>
                <w:iCs/>
                <w:sz w:val="20"/>
                <w:szCs w:val="20"/>
              </w:rPr>
              <w:t>-0,2</w:t>
            </w:r>
          </w:p>
        </w:tc>
        <w:tc>
          <w:tcPr>
            <w:tcW w:w="1209" w:type="dxa"/>
            <w:tcBorders>
              <w:top w:val="nil"/>
              <w:left w:val="nil"/>
              <w:bottom w:val="dotted" w:sz="4" w:space="0" w:color="auto"/>
              <w:right w:val="dotted" w:sz="4" w:space="0" w:color="auto"/>
            </w:tcBorders>
            <w:shd w:val="clear" w:color="000000" w:fill="FFFFFF"/>
            <w:hideMark/>
          </w:tcPr>
          <w:p w14:paraId="4FA46517" w14:textId="77777777" w:rsidR="009B5DE5" w:rsidRPr="009B5DE5" w:rsidRDefault="009B5DE5" w:rsidP="009B5DE5">
            <w:pPr>
              <w:spacing w:after="0"/>
              <w:jc w:val="center"/>
              <w:rPr>
                <w:rFonts w:eastAsia="Times New Roman" w:cs="Times New Roman"/>
                <w:i/>
                <w:iCs/>
                <w:sz w:val="20"/>
                <w:szCs w:val="20"/>
              </w:rPr>
            </w:pPr>
            <w:r w:rsidRPr="009B5DE5">
              <w:rPr>
                <w:rFonts w:eastAsia="Times New Roman" w:cs="Times New Roman"/>
                <w:i/>
                <w:iCs/>
                <w:sz w:val="20"/>
                <w:szCs w:val="20"/>
              </w:rPr>
              <w:t>-0,1</w:t>
            </w:r>
          </w:p>
        </w:tc>
        <w:tc>
          <w:tcPr>
            <w:tcW w:w="1209" w:type="dxa"/>
            <w:tcBorders>
              <w:top w:val="nil"/>
              <w:left w:val="nil"/>
              <w:bottom w:val="dotted" w:sz="4" w:space="0" w:color="auto"/>
              <w:right w:val="dotted" w:sz="4" w:space="0" w:color="auto"/>
            </w:tcBorders>
            <w:shd w:val="clear" w:color="000000" w:fill="FFFFFF"/>
            <w:hideMark/>
          </w:tcPr>
          <w:p w14:paraId="70C710E6" w14:textId="77777777" w:rsidR="009B5DE5" w:rsidRPr="009B5DE5" w:rsidRDefault="009B5DE5" w:rsidP="009B5DE5">
            <w:pPr>
              <w:spacing w:after="0"/>
              <w:jc w:val="center"/>
              <w:rPr>
                <w:rFonts w:eastAsia="Times New Roman" w:cs="Times New Roman"/>
                <w:i/>
                <w:iCs/>
                <w:sz w:val="20"/>
                <w:szCs w:val="20"/>
              </w:rPr>
            </w:pPr>
            <w:r w:rsidRPr="009B5DE5">
              <w:rPr>
                <w:rFonts w:eastAsia="Times New Roman" w:cs="Times New Roman"/>
                <w:i/>
                <w:iCs/>
                <w:sz w:val="20"/>
                <w:szCs w:val="20"/>
              </w:rPr>
              <w:t>:</w:t>
            </w:r>
          </w:p>
        </w:tc>
        <w:tc>
          <w:tcPr>
            <w:tcW w:w="1209" w:type="dxa"/>
            <w:tcBorders>
              <w:top w:val="nil"/>
              <w:left w:val="nil"/>
              <w:bottom w:val="dotted" w:sz="4" w:space="0" w:color="auto"/>
              <w:right w:val="dotted" w:sz="4" w:space="0" w:color="auto"/>
            </w:tcBorders>
            <w:shd w:val="clear" w:color="000000" w:fill="FFFFFF"/>
            <w:hideMark/>
          </w:tcPr>
          <w:p w14:paraId="1FE036D3" w14:textId="77777777" w:rsidR="009B5DE5" w:rsidRPr="009B5DE5" w:rsidRDefault="009B5DE5" w:rsidP="009B5DE5">
            <w:pPr>
              <w:spacing w:after="0"/>
              <w:jc w:val="center"/>
              <w:rPr>
                <w:rFonts w:eastAsia="Times New Roman" w:cs="Times New Roman"/>
                <w:i/>
                <w:iCs/>
                <w:sz w:val="20"/>
                <w:szCs w:val="20"/>
              </w:rPr>
            </w:pPr>
            <w:r w:rsidRPr="009B5DE5">
              <w:rPr>
                <w:rFonts w:eastAsia="Times New Roman" w:cs="Times New Roman"/>
                <w:i/>
                <w:iCs/>
                <w:sz w:val="20"/>
                <w:szCs w:val="20"/>
              </w:rPr>
              <w:t>:</w:t>
            </w:r>
          </w:p>
        </w:tc>
        <w:tc>
          <w:tcPr>
            <w:tcW w:w="1209" w:type="dxa"/>
            <w:tcBorders>
              <w:top w:val="nil"/>
              <w:left w:val="nil"/>
              <w:bottom w:val="dotted" w:sz="4" w:space="0" w:color="auto"/>
              <w:right w:val="double" w:sz="6" w:space="0" w:color="auto"/>
            </w:tcBorders>
            <w:shd w:val="clear" w:color="000000" w:fill="FFFFFF"/>
            <w:hideMark/>
          </w:tcPr>
          <w:p w14:paraId="77A40C73" w14:textId="77777777" w:rsidR="009B5DE5" w:rsidRPr="009B5DE5" w:rsidRDefault="009B5DE5" w:rsidP="009B5DE5">
            <w:pPr>
              <w:spacing w:after="0"/>
              <w:jc w:val="center"/>
              <w:rPr>
                <w:rFonts w:eastAsia="Times New Roman" w:cs="Times New Roman"/>
                <w:i/>
                <w:iCs/>
                <w:sz w:val="20"/>
                <w:szCs w:val="20"/>
              </w:rPr>
            </w:pPr>
            <w:r w:rsidRPr="009B5DE5">
              <w:rPr>
                <w:rFonts w:eastAsia="Times New Roman" w:cs="Times New Roman"/>
                <w:i/>
                <w:iCs/>
                <w:sz w:val="20"/>
                <w:szCs w:val="20"/>
              </w:rPr>
              <w:t>:</w:t>
            </w:r>
          </w:p>
        </w:tc>
      </w:tr>
      <w:tr w:rsidR="009B5DE5" w:rsidRPr="009B5DE5" w14:paraId="57368572" w14:textId="77777777" w:rsidTr="00396800">
        <w:trPr>
          <w:trHeight w:val="285"/>
        </w:trPr>
        <w:tc>
          <w:tcPr>
            <w:tcW w:w="6778" w:type="dxa"/>
            <w:tcBorders>
              <w:top w:val="nil"/>
              <w:left w:val="double" w:sz="6" w:space="0" w:color="auto"/>
              <w:bottom w:val="dotted" w:sz="4" w:space="0" w:color="auto"/>
              <w:right w:val="single" w:sz="8" w:space="0" w:color="auto"/>
            </w:tcBorders>
            <w:shd w:val="clear" w:color="000000" w:fill="FFFFFF"/>
            <w:hideMark/>
          </w:tcPr>
          <w:p w14:paraId="6F6BCE74"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20. Девизни курс у односу на ЕУР (крај године) [2]</w:t>
            </w:r>
          </w:p>
        </w:tc>
        <w:tc>
          <w:tcPr>
            <w:tcW w:w="1738" w:type="dxa"/>
            <w:tcBorders>
              <w:top w:val="nil"/>
              <w:left w:val="nil"/>
              <w:bottom w:val="dotted" w:sz="4" w:space="0" w:color="auto"/>
              <w:right w:val="single" w:sz="8" w:space="0" w:color="auto"/>
            </w:tcBorders>
            <w:shd w:val="clear" w:color="000000" w:fill="FFFFFF"/>
            <w:hideMark/>
          </w:tcPr>
          <w:p w14:paraId="15DC20F8" w14:textId="77777777" w:rsidR="009B5DE5" w:rsidRPr="009B5DE5" w:rsidRDefault="009B5DE5" w:rsidP="009B5DE5">
            <w:pPr>
              <w:spacing w:after="0"/>
              <w:jc w:val="center"/>
              <w:rPr>
                <w:rFonts w:eastAsia="Times New Roman" w:cs="Times New Roman"/>
                <w:sz w:val="16"/>
                <w:szCs w:val="16"/>
              </w:rPr>
            </w:pPr>
            <w:r w:rsidRPr="009B5DE5">
              <w:rPr>
                <w:rFonts w:eastAsia="Times New Roman" w:cs="Times New Roman"/>
                <w:sz w:val="16"/>
                <w:szCs w:val="16"/>
              </w:rPr>
              <w:t>РСД/ЕУР</w:t>
            </w:r>
          </w:p>
        </w:tc>
        <w:tc>
          <w:tcPr>
            <w:tcW w:w="1411" w:type="dxa"/>
            <w:tcBorders>
              <w:top w:val="nil"/>
              <w:left w:val="nil"/>
              <w:bottom w:val="dotted" w:sz="4" w:space="0" w:color="auto"/>
              <w:right w:val="dotted" w:sz="4" w:space="0" w:color="auto"/>
            </w:tcBorders>
            <w:shd w:val="clear" w:color="000000" w:fill="FFFFFF"/>
            <w:hideMark/>
          </w:tcPr>
          <w:p w14:paraId="38E9821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117,2</w:t>
            </w:r>
          </w:p>
        </w:tc>
        <w:tc>
          <w:tcPr>
            <w:tcW w:w="1209" w:type="dxa"/>
            <w:tcBorders>
              <w:top w:val="nil"/>
              <w:left w:val="nil"/>
              <w:bottom w:val="dotted" w:sz="4" w:space="0" w:color="auto"/>
              <w:right w:val="dotted" w:sz="4" w:space="0" w:color="auto"/>
            </w:tcBorders>
            <w:shd w:val="clear" w:color="000000" w:fill="FFFFFF"/>
            <w:hideMark/>
          </w:tcPr>
          <w:p w14:paraId="712F93F3"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117,0</w:t>
            </w:r>
          </w:p>
        </w:tc>
        <w:tc>
          <w:tcPr>
            <w:tcW w:w="1209" w:type="dxa"/>
            <w:tcBorders>
              <w:top w:val="nil"/>
              <w:left w:val="nil"/>
              <w:bottom w:val="dotted" w:sz="4" w:space="0" w:color="auto"/>
              <w:right w:val="dotted" w:sz="4" w:space="0" w:color="auto"/>
            </w:tcBorders>
            <w:shd w:val="clear" w:color="000000" w:fill="FFFFFF"/>
            <w:hideMark/>
          </w:tcPr>
          <w:p w14:paraId="494BBFF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w:t>
            </w:r>
          </w:p>
        </w:tc>
        <w:tc>
          <w:tcPr>
            <w:tcW w:w="1209" w:type="dxa"/>
            <w:tcBorders>
              <w:top w:val="nil"/>
              <w:left w:val="nil"/>
              <w:bottom w:val="dotted" w:sz="4" w:space="0" w:color="auto"/>
              <w:right w:val="dotted" w:sz="4" w:space="0" w:color="auto"/>
            </w:tcBorders>
            <w:shd w:val="clear" w:color="000000" w:fill="FFFFFF"/>
            <w:hideMark/>
          </w:tcPr>
          <w:p w14:paraId="7A0F8BB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w:t>
            </w:r>
          </w:p>
        </w:tc>
        <w:tc>
          <w:tcPr>
            <w:tcW w:w="1209" w:type="dxa"/>
            <w:tcBorders>
              <w:top w:val="nil"/>
              <w:left w:val="nil"/>
              <w:bottom w:val="dotted" w:sz="4" w:space="0" w:color="auto"/>
              <w:right w:val="double" w:sz="6" w:space="0" w:color="auto"/>
            </w:tcBorders>
            <w:shd w:val="clear" w:color="000000" w:fill="FFFFFF"/>
            <w:hideMark/>
          </w:tcPr>
          <w:p w14:paraId="416EEAE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w:t>
            </w:r>
          </w:p>
        </w:tc>
      </w:tr>
      <w:tr w:rsidR="009B5DE5" w:rsidRPr="009B5DE5" w14:paraId="69170FE4" w14:textId="77777777" w:rsidTr="00396800">
        <w:trPr>
          <w:trHeight w:val="285"/>
        </w:trPr>
        <w:tc>
          <w:tcPr>
            <w:tcW w:w="6778" w:type="dxa"/>
            <w:tcBorders>
              <w:top w:val="nil"/>
              <w:left w:val="double" w:sz="6" w:space="0" w:color="auto"/>
              <w:bottom w:val="dotted" w:sz="4" w:space="0" w:color="auto"/>
              <w:right w:val="single" w:sz="8" w:space="0" w:color="auto"/>
            </w:tcBorders>
            <w:shd w:val="clear" w:color="000000" w:fill="FFFFFF"/>
            <w:hideMark/>
          </w:tcPr>
          <w:p w14:paraId="61AA44F9" w14:textId="77777777" w:rsidR="009B5DE5" w:rsidRPr="009B5DE5" w:rsidRDefault="009B5DE5" w:rsidP="009B5DE5">
            <w:pPr>
              <w:spacing w:after="0"/>
              <w:jc w:val="left"/>
              <w:rPr>
                <w:rFonts w:eastAsia="Times New Roman" w:cs="Times New Roman"/>
                <w:i/>
                <w:iCs/>
                <w:sz w:val="20"/>
                <w:szCs w:val="20"/>
              </w:rPr>
            </w:pPr>
            <w:r w:rsidRPr="009B5DE5">
              <w:rPr>
                <w:rFonts w:eastAsia="Times New Roman" w:cs="Times New Roman"/>
                <w:i/>
                <w:iCs/>
                <w:sz w:val="20"/>
                <w:szCs w:val="20"/>
              </w:rPr>
              <w:t xml:space="preserve">      Девизни курс у односу на ЕУР (крај године)</w:t>
            </w:r>
          </w:p>
        </w:tc>
        <w:tc>
          <w:tcPr>
            <w:tcW w:w="1738" w:type="dxa"/>
            <w:tcBorders>
              <w:top w:val="nil"/>
              <w:left w:val="nil"/>
              <w:bottom w:val="single" w:sz="4" w:space="0" w:color="auto"/>
              <w:right w:val="single" w:sz="8" w:space="0" w:color="auto"/>
            </w:tcBorders>
            <w:shd w:val="clear" w:color="000000" w:fill="FFFFFF"/>
            <w:hideMark/>
          </w:tcPr>
          <w:p w14:paraId="5C24E723" w14:textId="77777777" w:rsidR="009B5DE5" w:rsidRPr="009B5DE5" w:rsidRDefault="009B5DE5" w:rsidP="009B5DE5">
            <w:pPr>
              <w:spacing w:after="0"/>
              <w:jc w:val="center"/>
              <w:rPr>
                <w:rFonts w:eastAsia="Times New Roman" w:cs="Times New Roman"/>
                <w:i/>
                <w:iCs/>
                <w:sz w:val="16"/>
                <w:szCs w:val="16"/>
              </w:rPr>
            </w:pPr>
            <w:r w:rsidRPr="009B5DE5">
              <w:rPr>
                <w:rFonts w:eastAsia="Times New Roman" w:cs="Times New Roman"/>
                <w:i/>
                <w:iCs/>
                <w:sz w:val="16"/>
                <w:szCs w:val="16"/>
              </w:rPr>
              <w:t>%, мг.</w:t>
            </w:r>
          </w:p>
        </w:tc>
        <w:tc>
          <w:tcPr>
            <w:tcW w:w="1411" w:type="dxa"/>
            <w:tcBorders>
              <w:top w:val="nil"/>
              <w:left w:val="nil"/>
              <w:bottom w:val="dotted" w:sz="4" w:space="0" w:color="auto"/>
              <w:right w:val="dotted" w:sz="4" w:space="0" w:color="auto"/>
            </w:tcBorders>
            <w:shd w:val="clear" w:color="000000" w:fill="FFFFFF"/>
            <w:hideMark/>
          </w:tcPr>
          <w:p w14:paraId="0EC40C06" w14:textId="77777777" w:rsidR="009B5DE5" w:rsidRPr="009B5DE5" w:rsidRDefault="009B5DE5" w:rsidP="009B5DE5">
            <w:pPr>
              <w:spacing w:after="0"/>
              <w:jc w:val="center"/>
              <w:rPr>
                <w:rFonts w:eastAsia="Times New Roman" w:cs="Times New Roman"/>
                <w:i/>
                <w:iCs/>
                <w:sz w:val="20"/>
                <w:szCs w:val="20"/>
              </w:rPr>
            </w:pPr>
            <w:r w:rsidRPr="009B5DE5">
              <w:rPr>
                <w:rFonts w:eastAsia="Times New Roman" w:cs="Times New Roman"/>
                <w:i/>
                <w:iCs/>
                <w:sz w:val="20"/>
                <w:szCs w:val="20"/>
              </w:rPr>
              <w:t>-0,1</w:t>
            </w:r>
          </w:p>
        </w:tc>
        <w:tc>
          <w:tcPr>
            <w:tcW w:w="1209" w:type="dxa"/>
            <w:tcBorders>
              <w:top w:val="nil"/>
              <w:left w:val="nil"/>
              <w:bottom w:val="dotted" w:sz="4" w:space="0" w:color="auto"/>
              <w:right w:val="dotted" w:sz="4" w:space="0" w:color="auto"/>
            </w:tcBorders>
            <w:shd w:val="clear" w:color="000000" w:fill="FFFFFF"/>
            <w:hideMark/>
          </w:tcPr>
          <w:p w14:paraId="120E01A6" w14:textId="77777777" w:rsidR="009B5DE5" w:rsidRPr="009B5DE5" w:rsidRDefault="009B5DE5" w:rsidP="009B5DE5">
            <w:pPr>
              <w:spacing w:after="0"/>
              <w:jc w:val="center"/>
              <w:rPr>
                <w:rFonts w:eastAsia="Times New Roman" w:cs="Times New Roman"/>
                <w:i/>
                <w:iCs/>
                <w:sz w:val="20"/>
                <w:szCs w:val="20"/>
              </w:rPr>
            </w:pPr>
            <w:r w:rsidRPr="009B5DE5">
              <w:rPr>
                <w:rFonts w:eastAsia="Times New Roman" w:cs="Times New Roman"/>
                <w:i/>
                <w:iCs/>
                <w:sz w:val="20"/>
                <w:szCs w:val="20"/>
              </w:rPr>
              <w:t>-0,1</w:t>
            </w:r>
          </w:p>
        </w:tc>
        <w:tc>
          <w:tcPr>
            <w:tcW w:w="1209" w:type="dxa"/>
            <w:tcBorders>
              <w:top w:val="nil"/>
              <w:left w:val="nil"/>
              <w:bottom w:val="dotted" w:sz="4" w:space="0" w:color="auto"/>
              <w:right w:val="dotted" w:sz="4" w:space="0" w:color="auto"/>
            </w:tcBorders>
            <w:shd w:val="clear" w:color="000000" w:fill="FFFFFF"/>
            <w:hideMark/>
          </w:tcPr>
          <w:p w14:paraId="3E61EB03" w14:textId="77777777" w:rsidR="009B5DE5" w:rsidRPr="009B5DE5" w:rsidRDefault="009B5DE5" w:rsidP="009B5DE5">
            <w:pPr>
              <w:spacing w:after="0"/>
              <w:jc w:val="center"/>
              <w:rPr>
                <w:rFonts w:eastAsia="Times New Roman" w:cs="Times New Roman"/>
                <w:i/>
                <w:iCs/>
                <w:sz w:val="20"/>
                <w:szCs w:val="20"/>
              </w:rPr>
            </w:pPr>
            <w:r w:rsidRPr="009B5DE5">
              <w:rPr>
                <w:rFonts w:eastAsia="Times New Roman" w:cs="Times New Roman"/>
                <w:i/>
                <w:iCs/>
                <w:sz w:val="20"/>
                <w:szCs w:val="20"/>
              </w:rPr>
              <w:t>:</w:t>
            </w:r>
          </w:p>
        </w:tc>
        <w:tc>
          <w:tcPr>
            <w:tcW w:w="1209" w:type="dxa"/>
            <w:tcBorders>
              <w:top w:val="nil"/>
              <w:left w:val="nil"/>
              <w:bottom w:val="dotted" w:sz="4" w:space="0" w:color="auto"/>
              <w:right w:val="dotted" w:sz="4" w:space="0" w:color="auto"/>
            </w:tcBorders>
            <w:shd w:val="clear" w:color="000000" w:fill="FFFFFF"/>
            <w:hideMark/>
          </w:tcPr>
          <w:p w14:paraId="4D81A449" w14:textId="77777777" w:rsidR="009B5DE5" w:rsidRPr="009B5DE5" w:rsidRDefault="009B5DE5" w:rsidP="009B5DE5">
            <w:pPr>
              <w:spacing w:after="0"/>
              <w:jc w:val="center"/>
              <w:rPr>
                <w:rFonts w:eastAsia="Times New Roman" w:cs="Times New Roman"/>
                <w:i/>
                <w:iCs/>
                <w:sz w:val="20"/>
                <w:szCs w:val="20"/>
              </w:rPr>
            </w:pPr>
            <w:r w:rsidRPr="009B5DE5">
              <w:rPr>
                <w:rFonts w:eastAsia="Times New Roman" w:cs="Times New Roman"/>
                <w:i/>
                <w:iCs/>
                <w:sz w:val="20"/>
                <w:szCs w:val="20"/>
              </w:rPr>
              <w:t>:</w:t>
            </w:r>
          </w:p>
        </w:tc>
        <w:tc>
          <w:tcPr>
            <w:tcW w:w="1209" w:type="dxa"/>
            <w:tcBorders>
              <w:top w:val="nil"/>
              <w:left w:val="nil"/>
              <w:bottom w:val="dotted" w:sz="4" w:space="0" w:color="auto"/>
              <w:right w:val="double" w:sz="6" w:space="0" w:color="auto"/>
            </w:tcBorders>
            <w:shd w:val="clear" w:color="000000" w:fill="FFFFFF"/>
            <w:hideMark/>
          </w:tcPr>
          <w:p w14:paraId="01886854" w14:textId="77777777" w:rsidR="009B5DE5" w:rsidRPr="009B5DE5" w:rsidRDefault="009B5DE5" w:rsidP="009B5DE5">
            <w:pPr>
              <w:spacing w:after="0"/>
              <w:jc w:val="center"/>
              <w:rPr>
                <w:rFonts w:eastAsia="Times New Roman" w:cs="Times New Roman"/>
                <w:i/>
                <w:iCs/>
                <w:sz w:val="20"/>
                <w:szCs w:val="20"/>
              </w:rPr>
            </w:pPr>
            <w:r w:rsidRPr="009B5DE5">
              <w:rPr>
                <w:rFonts w:eastAsia="Times New Roman" w:cs="Times New Roman"/>
                <w:i/>
                <w:iCs/>
                <w:sz w:val="20"/>
                <w:szCs w:val="20"/>
              </w:rPr>
              <w:t>:</w:t>
            </w:r>
          </w:p>
        </w:tc>
      </w:tr>
      <w:tr w:rsidR="009B5DE5" w:rsidRPr="009B5DE5" w14:paraId="538D8480" w14:textId="77777777" w:rsidTr="00396800">
        <w:trPr>
          <w:trHeight w:val="285"/>
        </w:trPr>
        <w:tc>
          <w:tcPr>
            <w:tcW w:w="6778" w:type="dxa"/>
            <w:tcBorders>
              <w:top w:val="single" w:sz="4" w:space="0" w:color="auto"/>
              <w:left w:val="double" w:sz="6" w:space="0" w:color="auto"/>
              <w:bottom w:val="dotted" w:sz="4" w:space="0" w:color="auto"/>
              <w:right w:val="single" w:sz="8" w:space="0" w:color="auto"/>
            </w:tcBorders>
            <w:shd w:val="clear" w:color="000000" w:fill="FFFFFF"/>
            <w:hideMark/>
          </w:tcPr>
          <w:p w14:paraId="34C99292"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22. Нето страна штедња</w:t>
            </w:r>
          </w:p>
        </w:tc>
        <w:tc>
          <w:tcPr>
            <w:tcW w:w="1738" w:type="dxa"/>
            <w:tcBorders>
              <w:top w:val="nil"/>
              <w:left w:val="nil"/>
              <w:bottom w:val="nil"/>
              <w:right w:val="nil"/>
            </w:tcBorders>
            <w:shd w:val="clear" w:color="000000" w:fill="FFFFFF"/>
            <w:hideMark/>
          </w:tcPr>
          <w:p w14:paraId="3408A9D4" w14:textId="77777777" w:rsidR="009B5DE5" w:rsidRPr="009B5DE5" w:rsidRDefault="009B5DE5" w:rsidP="009B5DE5">
            <w:pPr>
              <w:spacing w:after="0"/>
              <w:jc w:val="center"/>
              <w:rPr>
                <w:rFonts w:eastAsia="Times New Roman" w:cs="Times New Roman"/>
                <w:sz w:val="16"/>
                <w:szCs w:val="16"/>
              </w:rPr>
            </w:pPr>
            <w:r w:rsidRPr="009B5DE5">
              <w:rPr>
                <w:rFonts w:eastAsia="Times New Roman" w:cs="Times New Roman"/>
                <w:sz w:val="16"/>
                <w:szCs w:val="16"/>
              </w:rPr>
              <w:t>% БДП</w:t>
            </w:r>
          </w:p>
        </w:tc>
        <w:tc>
          <w:tcPr>
            <w:tcW w:w="1411" w:type="dxa"/>
            <w:tcBorders>
              <w:top w:val="single" w:sz="4" w:space="0" w:color="auto"/>
              <w:left w:val="single" w:sz="8" w:space="0" w:color="auto"/>
              <w:bottom w:val="dotted" w:sz="4" w:space="0" w:color="auto"/>
              <w:right w:val="dotted" w:sz="4" w:space="0" w:color="auto"/>
            </w:tcBorders>
            <w:shd w:val="clear" w:color="000000" w:fill="FFFFFF"/>
            <w:hideMark/>
          </w:tcPr>
          <w:p w14:paraId="4B680C1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w:t>
            </w:r>
          </w:p>
        </w:tc>
        <w:tc>
          <w:tcPr>
            <w:tcW w:w="1209" w:type="dxa"/>
            <w:tcBorders>
              <w:top w:val="single" w:sz="4" w:space="0" w:color="auto"/>
              <w:left w:val="nil"/>
              <w:bottom w:val="dotted" w:sz="4" w:space="0" w:color="auto"/>
              <w:right w:val="dotted" w:sz="4" w:space="0" w:color="auto"/>
            </w:tcBorders>
            <w:shd w:val="clear" w:color="000000" w:fill="FFFFFF"/>
            <w:hideMark/>
          </w:tcPr>
          <w:p w14:paraId="71A4EC0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w:t>
            </w:r>
          </w:p>
        </w:tc>
        <w:tc>
          <w:tcPr>
            <w:tcW w:w="1209" w:type="dxa"/>
            <w:tcBorders>
              <w:top w:val="single" w:sz="4" w:space="0" w:color="auto"/>
              <w:left w:val="nil"/>
              <w:bottom w:val="dotted" w:sz="4" w:space="0" w:color="auto"/>
              <w:right w:val="dotted" w:sz="4" w:space="0" w:color="auto"/>
            </w:tcBorders>
            <w:shd w:val="clear" w:color="000000" w:fill="FFFFFF"/>
            <w:hideMark/>
          </w:tcPr>
          <w:p w14:paraId="5EFEC2C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w:t>
            </w:r>
          </w:p>
        </w:tc>
        <w:tc>
          <w:tcPr>
            <w:tcW w:w="1209" w:type="dxa"/>
            <w:tcBorders>
              <w:top w:val="single" w:sz="4" w:space="0" w:color="auto"/>
              <w:left w:val="nil"/>
              <w:bottom w:val="dotted" w:sz="4" w:space="0" w:color="auto"/>
              <w:right w:val="dotted" w:sz="4" w:space="0" w:color="auto"/>
            </w:tcBorders>
            <w:shd w:val="clear" w:color="000000" w:fill="FFFFFF"/>
            <w:hideMark/>
          </w:tcPr>
          <w:p w14:paraId="6E83DD4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w:t>
            </w:r>
          </w:p>
        </w:tc>
        <w:tc>
          <w:tcPr>
            <w:tcW w:w="1209" w:type="dxa"/>
            <w:tcBorders>
              <w:top w:val="single" w:sz="4" w:space="0" w:color="auto"/>
              <w:left w:val="nil"/>
              <w:bottom w:val="dotted" w:sz="4" w:space="0" w:color="auto"/>
              <w:right w:val="double" w:sz="6" w:space="0" w:color="auto"/>
            </w:tcBorders>
            <w:shd w:val="clear" w:color="000000" w:fill="FFFFFF"/>
            <w:hideMark/>
          </w:tcPr>
          <w:p w14:paraId="53CBFBF3"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w:t>
            </w:r>
          </w:p>
        </w:tc>
      </w:tr>
      <w:tr w:rsidR="009B5DE5" w:rsidRPr="009B5DE5" w14:paraId="572BBE09" w14:textId="77777777" w:rsidTr="00396800">
        <w:trPr>
          <w:trHeight w:val="285"/>
        </w:trPr>
        <w:tc>
          <w:tcPr>
            <w:tcW w:w="6778" w:type="dxa"/>
            <w:tcBorders>
              <w:top w:val="nil"/>
              <w:left w:val="double" w:sz="6" w:space="0" w:color="auto"/>
              <w:bottom w:val="dotted" w:sz="4" w:space="0" w:color="auto"/>
              <w:right w:val="single" w:sz="8" w:space="0" w:color="auto"/>
            </w:tcBorders>
            <w:shd w:val="clear" w:color="000000" w:fill="FFFFFF"/>
            <w:hideMark/>
          </w:tcPr>
          <w:p w14:paraId="7720F990"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23. Домаћа приватна штедња</w:t>
            </w:r>
          </w:p>
        </w:tc>
        <w:tc>
          <w:tcPr>
            <w:tcW w:w="1738" w:type="dxa"/>
            <w:tcBorders>
              <w:top w:val="dotted" w:sz="4" w:space="0" w:color="auto"/>
              <w:left w:val="nil"/>
              <w:bottom w:val="dotted" w:sz="4" w:space="0" w:color="auto"/>
              <w:right w:val="single" w:sz="8" w:space="0" w:color="auto"/>
            </w:tcBorders>
            <w:shd w:val="clear" w:color="000000" w:fill="FFFFFF"/>
            <w:hideMark/>
          </w:tcPr>
          <w:p w14:paraId="47130C10" w14:textId="77777777" w:rsidR="009B5DE5" w:rsidRPr="009B5DE5" w:rsidRDefault="009B5DE5" w:rsidP="009B5DE5">
            <w:pPr>
              <w:spacing w:after="0"/>
              <w:jc w:val="center"/>
              <w:rPr>
                <w:rFonts w:eastAsia="Times New Roman" w:cs="Times New Roman"/>
                <w:sz w:val="16"/>
                <w:szCs w:val="16"/>
              </w:rPr>
            </w:pPr>
            <w:r w:rsidRPr="009B5DE5">
              <w:rPr>
                <w:rFonts w:eastAsia="Times New Roman" w:cs="Times New Roman"/>
                <w:sz w:val="16"/>
                <w:szCs w:val="16"/>
              </w:rPr>
              <w:t>% БДП</w:t>
            </w:r>
          </w:p>
        </w:tc>
        <w:tc>
          <w:tcPr>
            <w:tcW w:w="1411" w:type="dxa"/>
            <w:tcBorders>
              <w:top w:val="nil"/>
              <w:left w:val="nil"/>
              <w:bottom w:val="dotted" w:sz="4" w:space="0" w:color="auto"/>
              <w:right w:val="dotted" w:sz="4" w:space="0" w:color="auto"/>
            </w:tcBorders>
            <w:shd w:val="clear" w:color="000000" w:fill="FFFFFF"/>
            <w:hideMark/>
          </w:tcPr>
          <w:p w14:paraId="40C29A4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w:t>
            </w:r>
          </w:p>
        </w:tc>
        <w:tc>
          <w:tcPr>
            <w:tcW w:w="1209" w:type="dxa"/>
            <w:tcBorders>
              <w:top w:val="nil"/>
              <w:left w:val="nil"/>
              <w:bottom w:val="dotted" w:sz="4" w:space="0" w:color="auto"/>
              <w:right w:val="dotted" w:sz="4" w:space="0" w:color="auto"/>
            </w:tcBorders>
            <w:shd w:val="clear" w:color="000000" w:fill="FFFFFF"/>
            <w:hideMark/>
          </w:tcPr>
          <w:p w14:paraId="04A669A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w:t>
            </w:r>
          </w:p>
        </w:tc>
        <w:tc>
          <w:tcPr>
            <w:tcW w:w="1209" w:type="dxa"/>
            <w:tcBorders>
              <w:top w:val="nil"/>
              <w:left w:val="nil"/>
              <w:bottom w:val="dotted" w:sz="4" w:space="0" w:color="auto"/>
              <w:right w:val="dotted" w:sz="4" w:space="0" w:color="auto"/>
            </w:tcBorders>
            <w:shd w:val="clear" w:color="000000" w:fill="FFFFFF"/>
            <w:hideMark/>
          </w:tcPr>
          <w:p w14:paraId="7F309BF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w:t>
            </w:r>
          </w:p>
        </w:tc>
        <w:tc>
          <w:tcPr>
            <w:tcW w:w="1209" w:type="dxa"/>
            <w:tcBorders>
              <w:top w:val="nil"/>
              <w:left w:val="nil"/>
              <w:bottom w:val="dotted" w:sz="4" w:space="0" w:color="auto"/>
              <w:right w:val="dotted" w:sz="4" w:space="0" w:color="auto"/>
            </w:tcBorders>
            <w:shd w:val="clear" w:color="000000" w:fill="FFFFFF"/>
            <w:hideMark/>
          </w:tcPr>
          <w:p w14:paraId="06DC1A3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w:t>
            </w:r>
          </w:p>
        </w:tc>
        <w:tc>
          <w:tcPr>
            <w:tcW w:w="1209" w:type="dxa"/>
            <w:tcBorders>
              <w:top w:val="nil"/>
              <w:left w:val="nil"/>
              <w:bottom w:val="dotted" w:sz="4" w:space="0" w:color="auto"/>
              <w:right w:val="double" w:sz="6" w:space="0" w:color="auto"/>
            </w:tcBorders>
            <w:shd w:val="clear" w:color="000000" w:fill="FFFFFF"/>
            <w:hideMark/>
          </w:tcPr>
          <w:p w14:paraId="44E66E8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w:t>
            </w:r>
          </w:p>
        </w:tc>
      </w:tr>
      <w:tr w:rsidR="009B5DE5" w:rsidRPr="009B5DE5" w14:paraId="453CCF6D" w14:textId="77777777" w:rsidTr="00396800">
        <w:trPr>
          <w:trHeight w:val="285"/>
        </w:trPr>
        <w:tc>
          <w:tcPr>
            <w:tcW w:w="6778" w:type="dxa"/>
            <w:tcBorders>
              <w:top w:val="nil"/>
              <w:left w:val="double" w:sz="6" w:space="0" w:color="auto"/>
              <w:bottom w:val="dotted" w:sz="4" w:space="0" w:color="auto"/>
              <w:right w:val="single" w:sz="8" w:space="0" w:color="auto"/>
            </w:tcBorders>
            <w:shd w:val="clear" w:color="000000" w:fill="FFFFFF"/>
            <w:hideMark/>
          </w:tcPr>
          <w:p w14:paraId="44263C8E"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24. Домаће приватне инвестиције</w:t>
            </w:r>
          </w:p>
        </w:tc>
        <w:tc>
          <w:tcPr>
            <w:tcW w:w="1738" w:type="dxa"/>
            <w:tcBorders>
              <w:top w:val="nil"/>
              <w:left w:val="nil"/>
              <w:bottom w:val="dotted" w:sz="4" w:space="0" w:color="auto"/>
              <w:right w:val="single" w:sz="8" w:space="0" w:color="auto"/>
            </w:tcBorders>
            <w:shd w:val="clear" w:color="000000" w:fill="FFFFFF"/>
            <w:hideMark/>
          </w:tcPr>
          <w:p w14:paraId="09EDF2E6" w14:textId="77777777" w:rsidR="009B5DE5" w:rsidRPr="009B5DE5" w:rsidRDefault="009B5DE5" w:rsidP="009B5DE5">
            <w:pPr>
              <w:spacing w:after="0"/>
              <w:jc w:val="center"/>
              <w:rPr>
                <w:rFonts w:eastAsia="Times New Roman" w:cs="Times New Roman"/>
                <w:sz w:val="16"/>
                <w:szCs w:val="16"/>
              </w:rPr>
            </w:pPr>
            <w:r w:rsidRPr="009B5DE5">
              <w:rPr>
                <w:rFonts w:eastAsia="Times New Roman" w:cs="Times New Roman"/>
                <w:sz w:val="16"/>
                <w:szCs w:val="16"/>
              </w:rPr>
              <w:t>% БДП</w:t>
            </w:r>
          </w:p>
        </w:tc>
        <w:tc>
          <w:tcPr>
            <w:tcW w:w="1411" w:type="dxa"/>
            <w:tcBorders>
              <w:top w:val="nil"/>
              <w:left w:val="nil"/>
              <w:bottom w:val="dotted" w:sz="4" w:space="0" w:color="auto"/>
              <w:right w:val="dotted" w:sz="4" w:space="0" w:color="auto"/>
            </w:tcBorders>
            <w:shd w:val="clear" w:color="000000" w:fill="FFFFFF"/>
            <w:hideMark/>
          </w:tcPr>
          <w:p w14:paraId="088C16D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w:t>
            </w:r>
          </w:p>
        </w:tc>
        <w:tc>
          <w:tcPr>
            <w:tcW w:w="1209" w:type="dxa"/>
            <w:tcBorders>
              <w:top w:val="nil"/>
              <w:left w:val="nil"/>
              <w:bottom w:val="dotted" w:sz="4" w:space="0" w:color="auto"/>
              <w:right w:val="dotted" w:sz="4" w:space="0" w:color="auto"/>
            </w:tcBorders>
            <w:shd w:val="clear" w:color="000000" w:fill="FFFFFF"/>
            <w:hideMark/>
          </w:tcPr>
          <w:p w14:paraId="0154A27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w:t>
            </w:r>
          </w:p>
        </w:tc>
        <w:tc>
          <w:tcPr>
            <w:tcW w:w="1209" w:type="dxa"/>
            <w:tcBorders>
              <w:top w:val="nil"/>
              <w:left w:val="nil"/>
              <w:bottom w:val="dotted" w:sz="4" w:space="0" w:color="auto"/>
              <w:right w:val="dotted" w:sz="4" w:space="0" w:color="auto"/>
            </w:tcBorders>
            <w:shd w:val="clear" w:color="000000" w:fill="FFFFFF"/>
            <w:hideMark/>
          </w:tcPr>
          <w:p w14:paraId="26E9E58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w:t>
            </w:r>
          </w:p>
        </w:tc>
        <w:tc>
          <w:tcPr>
            <w:tcW w:w="1209" w:type="dxa"/>
            <w:tcBorders>
              <w:top w:val="nil"/>
              <w:left w:val="nil"/>
              <w:bottom w:val="dotted" w:sz="4" w:space="0" w:color="auto"/>
              <w:right w:val="dotted" w:sz="4" w:space="0" w:color="auto"/>
            </w:tcBorders>
            <w:shd w:val="clear" w:color="000000" w:fill="FFFFFF"/>
            <w:hideMark/>
          </w:tcPr>
          <w:p w14:paraId="7617699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w:t>
            </w:r>
          </w:p>
        </w:tc>
        <w:tc>
          <w:tcPr>
            <w:tcW w:w="1209" w:type="dxa"/>
            <w:tcBorders>
              <w:top w:val="nil"/>
              <w:left w:val="nil"/>
              <w:bottom w:val="dotted" w:sz="4" w:space="0" w:color="auto"/>
              <w:right w:val="double" w:sz="6" w:space="0" w:color="auto"/>
            </w:tcBorders>
            <w:shd w:val="clear" w:color="000000" w:fill="FFFFFF"/>
            <w:hideMark/>
          </w:tcPr>
          <w:p w14:paraId="7B3BEE9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w:t>
            </w:r>
          </w:p>
        </w:tc>
      </w:tr>
      <w:tr w:rsidR="009B5DE5" w:rsidRPr="009B5DE5" w14:paraId="30EB2A4C" w14:textId="77777777" w:rsidTr="00396800">
        <w:trPr>
          <w:trHeight w:val="285"/>
        </w:trPr>
        <w:tc>
          <w:tcPr>
            <w:tcW w:w="6778" w:type="dxa"/>
            <w:tcBorders>
              <w:top w:val="nil"/>
              <w:left w:val="double" w:sz="6" w:space="0" w:color="auto"/>
              <w:bottom w:val="dotted" w:sz="4" w:space="0" w:color="auto"/>
              <w:right w:val="single" w:sz="8" w:space="0" w:color="auto"/>
            </w:tcBorders>
            <w:shd w:val="clear" w:color="000000" w:fill="FFFFFF"/>
            <w:hideMark/>
          </w:tcPr>
          <w:p w14:paraId="48EE67D5"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25. Домаћа јавна штедња</w:t>
            </w:r>
          </w:p>
        </w:tc>
        <w:tc>
          <w:tcPr>
            <w:tcW w:w="1738" w:type="dxa"/>
            <w:tcBorders>
              <w:top w:val="nil"/>
              <w:left w:val="nil"/>
              <w:bottom w:val="dotted" w:sz="4" w:space="0" w:color="auto"/>
              <w:right w:val="single" w:sz="8" w:space="0" w:color="auto"/>
            </w:tcBorders>
            <w:shd w:val="clear" w:color="000000" w:fill="FFFFFF"/>
            <w:hideMark/>
          </w:tcPr>
          <w:p w14:paraId="7D122B0B" w14:textId="77777777" w:rsidR="009B5DE5" w:rsidRPr="009B5DE5" w:rsidRDefault="009B5DE5" w:rsidP="009B5DE5">
            <w:pPr>
              <w:spacing w:after="0"/>
              <w:jc w:val="center"/>
              <w:rPr>
                <w:rFonts w:eastAsia="Times New Roman" w:cs="Times New Roman"/>
                <w:sz w:val="16"/>
                <w:szCs w:val="16"/>
              </w:rPr>
            </w:pPr>
            <w:r w:rsidRPr="009B5DE5">
              <w:rPr>
                <w:rFonts w:eastAsia="Times New Roman" w:cs="Times New Roman"/>
                <w:sz w:val="16"/>
                <w:szCs w:val="16"/>
              </w:rPr>
              <w:t>% БДП</w:t>
            </w:r>
          </w:p>
        </w:tc>
        <w:tc>
          <w:tcPr>
            <w:tcW w:w="1411" w:type="dxa"/>
            <w:tcBorders>
              <w:top w:val="nil"/>
              <w:left w:val="nil"/>
              <w:bottom w:val="dotted" w:sz="4" w:space="0" w:color="auto"/>
              <w:right w:val="dotted" w:sz="4" w:space="0" w:color="auto"/>
            </w:tcBorders>
            <w:shd w:val="clear" w:color="000000" w:fill="FFFFFF"/>
            <w:hideMark/>
          </w:tcPr>
          <w:p w14:paraId="3D0A4EF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w:t>
            </w:r>
          </w:p>
        </w:tc>
        <w:tc>
          <w:tcPr>
            <w:tcW w:w="1209" w:type="dxa"/>
            <w:tcBorders>
              <w:top w:val="nil"/>
              <w:left w:val="nil"/>
              <w:bottom w:val="dotted" w:sz="4" w:space="0" w:color="auto"/>
              <w:right w:val="dotted" w:sz="4" w:space="0" w:color="auto"/>
            </w:tcBorders>
            <w:shd w:val="clear" w:color="000000" w:fill="FFFFFF"/>
            <w:hideMark/>
          </w:tcPr>
          <w:p w14:paraId="4F83367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w:t>
            </w:r>
          </w:p>
        </w:tc>
        <w:tc>
          <w:tcPr>
            <w:tcW w:w="1209" w:type="dxa"/>
            <w:tcBorders>
              <w:top w:val="nil"/>
              <w:left w:val="nil"/>
              <w:bottom w:val="dotted" w:sz="4" w:space="0" w:color="auto"/>
              <w:right w:val="dotted" w:sz="4" w:space="0" w:color="auto"/>
            </w:tcBorders>
            <w:shd w:val="clear" w:color="000000" w:fill="FFFFFF"/>
            <w:hideMark/>
          </w:tcPr>
          <w:p w14:paraId="77CD2E9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w:t>
            </w:r>
          </w:p>
        </w:tc>
        <w:tc>
          <w:tcPr>
            <w:tcW w:w="1209" w:type="dxa"/>
            <w:tcBorders>
              <w:top w:val="nil"/>
              <w:left w:val="nil"/>
              <w:bottom w:val="dotted" w:sz="4" w:space="0" w:color="auto"/>
              <w:right w:val="dotted" w:sz="4" w:space="0" w:color="auto"/>
            </w:tcBorders>
            <w:shd w:val="clear" w:color="000000" w:fill="FFFFFF"/>
            <w:hideMark/>
          </w:tcPr>
          <w:p w14:paraId="158091D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w:t>
            </w:r>
          </w:p>
        </w:tc>
        <w:tc>
          <w:tcPr>
            <w:tcW w:w="1209" w:type="dxa"/>
            <w:tcBorders>
              <w:top w:val="nil"/>
              <w:left w:val="nil"/>
              <w:bottom w:val="dotted" w:sz="4" w:space="0" w:color="auto"/>
              <w:right w:val="double" w:sz="6" w:space="0" w:color="auto"/>
            </w:tcBorders>
            <w:shd w:val="clear" w:color="000000" w:fill="FFFFFF"/>
            <w:hideMark/>
          </w:tcPr>
          <w:p w14:paraId="0068009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w:t>
            </w:r>
          </w:p>
        </w:tc>
      </w:tr>
      <w:tr w:rsidR="009B5DE5" w:rsidRPr="009B5DE5" w14:paraId="49BC0F08" w14:textId="77777777" w:rsidTr="00396800">
        <w:trPr>
          <w:trHeight w:val="285"/>
        </w:trPr>
        <w:tc>
          <w:tcPr>
            <w:tcW w:w="6778" w:type="dxa"/>
            <w:tcBorders>
              <w:top w:val="nil"/>
              <w:left w:val="double" w:sz="6" w:space="0" w:color="auto"/>
              <w:bottom w:val="double" w:sz="6" w:space="0" w:color="auto"/>
              <w:right w:val="single" w:sz="8" w:space="0" w:color="auto"/>
            </w:tcBorders>
            <w:shd w:val="clear" w:color="000000" w:fill="FFFFFF"/>
            <w:hideMark/>
          </w:tcPr>
          <w:p w14:paraId="48C27B1B"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26. Домаће јавне инвестиције</w:t>
            </w:r>
          </w:p>
        </w:tc>
        <w:tc>
          <w:tcPr>
            <w:tcW w:w="1738" w:type="dxa"/>
            <w:tcBorders>
              <w:top w:val="nil"/>
              <w:left w:val="nil"/>
              <w:bottom w:val="double" w:sz="6" w:space="0" w:color="auto"/>
              <w:right w:val="single" w:sz="8" w:space="0" w:color="auto"/>
            </w:tcBorders>
            <w:shd w:val="clear" w:color="000000" w:fill="FFFFFF"/>
            <w:hideMark/>
          </w:tcPr>
          <w:p w14:paraId="67F98656" w14:textId="77777777" w:rsidR="009B5DE5" w:rsidRPr="009B5DE5" w:rsidRDefault="009B5DE5" w:rsidP="009B5DE5">
            <w:pPr>
              <w:spacing w:after="0"/>
              <w:jc w:val="center"/>
              <w:rPr>
                <w:rFonts w:eastAsia="Times New Roman" w:cs="Times New Roman"/>
                <w:sz w:val="16"/>
                <w:szCs w:val="16"/>
              </w:rPr>
            </w:pPr>
            <w:r w:rsidRPr="009B5DE5">
              <w:rPr>
                <w:rFonts w:eastAsia="Times New Roman" w:cs="Times New Roman"/>
                <w:sz w:val="16"/>
                <w:szCs w:val="16"/>
              </w:rPr>
              <w:t>% БДП</w:t>
            </w:r>
          </w:p>
        </w:tc>
        <w:tc>
          <w:tcPr>
            <w:tcW w:w="1411" w:type="dxa"/>
            <w:tcBorders>
              <w:top w:val="nil"/>
              <w:left w:val="nil"/>
              <w:bottom w:val="double" w:sz="6" w:space="0" w:color="auto"/>
              <w:right w:val="dotted" w:sz="4" w:space="0" w:color="auto"/>
            </w:tcBorders>
            <w:shd w:val="clear" w:color="000000" w:fill="FFFFFF"/>
            <w:hideMark/>
          </w:tcPr>
          <w:p w14:paraId="6AA36EA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w:t>
            </w:r>
          </w:p>
        </w:tc>
        <w:tc>
          <w:tcPr>
            <w:tcW w:w="1209" w:type="dxa"/>
            <w:tcBorders>
              <w:top w:val="nil"/>
              <w:left w:val="nil"/>
              <w:bottom w:val="double" w:sz="6" w:space="0" w:color="auto"/>
              <w:right w:val="dotted" w:sz="4" w:space="0" w:color="auto"/>
            </w:tcBorders>
            <w:shd w:val="clear" w:color="000000" w:fill="FFFFFF"/>
            <w:hideMark/>
          </w:tcPr>
          <w:p w14:paraId="1AD9D01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w:t>
            </w:r>
          </w:p>
        </w:tc>
        <w:tc>
          <w:tcPr>
            <w:tcW w:w="1209" w:type="dxa"/>
            <w:tcBorders>
              <w:top w:val="nil"/>
              <w:left w:val="nil"/>
              <w:bottom w:val="double" w:sz="6" w:space="0" w:color="auto"/>
              <w:right w:val="dotted" w:sz="4" w:space="0" w:color="auto"/>
            </w:tcBorders>
            <w:shd w:val="clear" w:color="000000" w:fill="FFFFFF"/>
            <w:hideMark/>
          </w:tcPr>
          <w:p w14:paraId="3110FC1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w:t>
            </w:r>
          </w:p>
        </w:tc>
        <w:tc>
          <w:tcPr>
            <w:tcW w:w="1209" w:type="dxa"/>
            <w:tcBorders>
              <w:top w:val="nil"/>
              <w:left w:val="nil"/>
              <w:bottom w:val="double" w:sz="6" w:space="0" w:color="auto"/>
              <w:right w:val="dotted" w:sz="4" w:space="0" w:color="auto"/>
            </w:tcBorders>
            <w:shd w:val="clear" w:color="000000" w:fill="FFFFFF"/>
            <w:hideMark/>
          </w:tcPr>
          <w:p w14:paraId="73A4C4B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w:t>
            </w:r>
          </w:p>
        </w:tc>
        <w:tc>
          <w:tcPr>
            <w:tcW w:w="1209" w:type="dxa"/>
            <w:tcBorders>
              <w:top w:val="nil"/>
              <w:left w:val="nil"/>
              <w:bottom w:val="double" w:sz="6" w:space="0" w:color="auto"/>
              <w:right w:val="double" w:sz="6" w:space="0" w:color="auto"/>
            </w:tcBorders>
            <w:shd w:val="clear" w:color="000000" w:fill="FFFFFF"/>
            <w:hideMark/>
          </w:tcPr>
          <w:p w14:paraId="131C8F8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w:t>
            </w:r>
          </w:p>
        </w:tc>
      </w:tr>
    </w:tbl>
    <w:p w14:paraId="4E997495" w14:textId="77777777" w:rsidR="009B5DE5" w:rsidRPr="009B5DE5" w:rsidRDefault="009B5DE5" w:rsidP="009B5DE5">
      <w:pPr>
        <w:spacing w:after="0"/>
        <w:jc w:val="left"/>
        <w:rPr>
          <w:rFonts w:eastAsia="Times New Roman" w:cs="Times New Roman"/>
          <w:bCs/>
          <w:sz w:val="22"/>
        </w:rPr>
      </w:pPr>
    </w:p>
    <w:tbl>
      <w:tblPr>
        <w:tblW w:w="5380" w:type="dxa"/>
        <w:tblLook w:val="04A0" w:firstRow="1" w:lastRow="0" w:firstColumn="1" w:lastColumn="0" w:noHBand="0" w:noVBand="1"/>
      </w:tblPr>
      <w:tblGrid>
        <w:gridCol w:w="5380"/>
      </w:tblGrid>
      <w:tr w:rsidR="009B5DE5" w:rsidRPr="009B5DE5" w14:paraId="3B2F3B21" w14:textId="77777777" w:rsidTr="009B5DE5">
        <w:trPr>
          <w:trHeight w:val="255"/>
        </w:trPr>
        <w:tc>
          <w:tcPr>
            <w:tcW w:w="5380" w:type="dxa"/>
            <w:tcBorders>
              <w:top w:val="nil"/>
              <w:left w:val="nil"/>
              <w:bottom w:val="nil"/>
              <w:right w:val="nil"/>
            </w:tcBorders>
            <w:shd w:val="clear" w:color="000000" w:fill="FFFFFF"/>
            <w:noWrap/>
            <w:vAlign w:val="bottom"/>
            <w:hideMark/>
          </w:tcPr>
          <w:p w14:paraId="701A4753" w14:textId="77777777" w:rsidR="009B5DE5" w:rsidRPr="009B5DE5" w:rsidRDefault="009B5DE5" w:rsidP="009B5DE5">
            <w:pPr>
              <w:spacing w:after="0"/>
              <w:jc w:val="left"/>
              <w:rPr>
                <w:rFonts w:eastAsia="Times New Roman" w:cs="Times New Roman"/>
                <w:sz w:val="16"/>
                <w:szCs w:val="16"/>
              </w:rPr>
            </w:pPr>
            <w:r w:rsidRPr="009B5DE5">
              <w:rPr>
                <w:rFonts w:eastAsia="Times New Roman" w:cs="Times New Roman"/>
                <w:sz w:val="16"/>
                <w:szCs w:val="16"/>
              </w:rPr>
              <w:t>[1] просек jануар-oктобар 2024.</w:t>
            </w:r>
          </w:p>
        </w:tc>
      </w:tr>
      <w:tr w:rsidR="009B5DE5" w:rsidRPr="009B5DE5" w14:paraId="71CE18A6" w14:textId="77777777" w:rsidTr="009B5DE5">
        <w:trPr>
          <w:trHeight w:val="255"/>
        </w:trPr>
        <w:tc>
          <w:tcPr>
            <w:tcW w:w="5380" w:type="dxa"/>
            <w:tcBorders>
              <w:top w:val="nil"/>
              <w:left w:val="nil"/>
              <w:bottom w:val="nil"/>
              <w:right w:val="nil"/>
            </w:tcBorders>
            <w:shd w:val="clear" w:color="000000" w:fill="FFFFFF"/>
            <w:noWrap/>
            <w:vAlign w:val="bottom"/>
            <w:hideMark/>
          </w:tcPr>
          <w:p w14:paraId="1DFC441F" w14:textId="77777777" w:rsidR="009B5DE5" w:rsidRPr="009B5DE5" w:rsidRDefault="009B5DE5" w:rsidP="009B5DE5">
            <w:pPr>
              <w:spacing w:after="0"/>
              <w:jc w:val="left"/>
              <w:rPr>
                <w:rFonts w:eastAsia="Times New Roman" w:cs="Times New Roman"/>
                <w:sz w:val="16"/>
                <w:szCs w:val="16"/>
              </w:rPr>
            </w:pPr>
            <w:r w:rsidRPr="009B5DE5">
              <w:rPr>
                <w:rFonts w:eastAsia="Times New Roman" w:cs="Times New Roman"/>
                <w:sz w:val="16"/>
                <w:szCs w:val="16"/>
              </w:rPr>
              <w:t>[2] крај oктобра 2024.</w:t>
            </w:r>
          </w:p>
        </w:tc>
      </w:tr>
    </w:tbl>
    <w:p w14:paraId="0A948BC6" w14:textId="77777777" w:rsidR="009B5DE5" w:rsidRPr="009B5DE5" w:rsidRDefault="009B5DE5" w:rsidP="009B5DE5">
      <w:pPr>
        <w:spacing w:after="0"/>
        <w:jc w:val="left"/>
        <w:rPr>
          <w:rFonts w:eastAsia="Times New Roman" w:cs="Times New Roman"/>
          <w:bCs/>
          <w:sz w:val="22"/>
        </w:rPr>
      </w:pPr>
    </w:p>
    <w:p w14:paraId="7FC2DAF5" w14:textId="77777777" w:rsidR="009B5DE5" w:rsidRPr="009B5DE5" w:rsidRDefault="009B5DE5" w:rsidP="009B5DE5">
      <w:pPr>
        <w:spacing w:after="0"/>
        <w:jc w:val="left"/>
        <w:rPr>
          <w:rFonts w:eastAsia="Times New Roman" w:cs="Times New Roman"/>
          <w:bCs/>
          <w:sz w:val="22"/>
        </w:rPr>
      </w:pPr>
      <w:r w:rsidRPr="009B5DE5">
        <w:rPr>
          <w:rFonts w:eastAsia="Times New Roman" w:cs="Times New Roman"/>
          <w:bCs/>
          <w:sz w:val="22"/>
        </w:rPr>
        <w:t>Табела 1g: Индикатори одрживости</w:t>
      </w:r>
    </w:p>
    <w:p w14:paraId="7156D366" w14:textId="77777777" w:rsidR="009B5DE5" w:rsidRPr="009B5DE5" w:rsidRDefault="009B5DE5" w:rsidP="009B5DE5">
      <w:pPr>
        <w:spacing w:after="0"/>
        <w:jc w:val="left"/>
        <w:rPr>
          <w:rFonts w:eastAsia="Times New Roman" w:cs="Times New Roman"/>
          <w:bCs/>
          <w:sz w:val="22"/>
        </w:rPr>
      </w:pPr>
    </w:p>
    <w:tbl>
      <w:tblPr>
        <w:tblW w:w="14755" w:type="dxa"/>
        <w:tblInd w:w="-23" w:type="dxa"/>
        <w:tblLook w:val="04A0" w:firstRow="1" w:lastRow="0" w:firstColumn="1" w:lastColumn="0" w:noHBand="0" w:noVBand="1"/>
      </w:tblPr>
      <w:tblGrid>
        <w:gridCol w:w="23"/>
        <w:gridCol w:w="4597"/>
        <w:gridCol w:w="1780"/>
        <w:gridCol w:w="1580"/>
        <w:gridCol w:w="1355"/>
        <w:gridCol w:w="1355"/>
        <w:gridCol w:w="1355"/>
        <w:gridCol w:w="1355"/>
        <w:gridCol w:w="1355"/>
      </w:tblGrid>
      <w:tr w:rsidR="009B5DE5" w:rsidRPr="009B5DE5" w14:paraId="5260AFBE" w14:textId="77777777" w:rsidTr="00396800">
        <w:trPr>
          <w:gridBefore w:val="1"/>
          <w:wBefore w:w="23" w:type="dxa"/>
          <w:trHeight w:val="320"/>
        </w:trPr>
        <w:tc>
          <w:tcPr>
            <w:tcW w:w="6377" w:type="dxa"/>
            <w:gridSpan w:val="2"/>
            <w:vMerge w:val="restart"/>
            <w:tcBorders>
              <w:top w:val="double" w:sz="6" w:space="0" w:color="auto"/>
              <w:left w:val="double" w:sz="6" w:space="0" w:color="auto"/>
              <w:bottom w:val="single" w:sz="8" w:space="0" w:color="000000"/>
              <w:right w:val="dotted" w:sz="4" w:space="0" w:color="auto"/>
            </w:tcBorders>
            <w:shd w:val="clear" w:color="000000" w:fill="FFFFFF"/>
            <w:vAlign w:val="bottom"/>
            <w:hideMark/>
          </w:tcPr>
          <w:p w14:paraId="2AF8ED90"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580" w:type="dxa"/>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14:paraId="2ABE6A6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Димензија</w:t>
            </w:r>
          </w:p>
        </w:tc>
        <w:tc>
          <w:tcPr>
            <w:tcW w:w="1355" w:type="dxa"/>
            <w:tcBorders>
              <w:top w:val="double" w:sz="6" w:space="0" w:color="auto"/>
              <w:left w:val="nil"/>
              <w:bottom w:val="nil"/>
              <w:right w:val="dotted" w:sz="4" w:space="0" w:color="auto"/>
            </w:tcBorders>
            <w:shd w:val="clear" w:color="000000" w:fill="FFFFFF"/>
            <w:vAlign w:val="bottom"/>
            <w:hideMark/>
          </w:tcPr>
          <w:p w14:paraId="6603E68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Година</w:t>
            </w:r>
          </w:p>
        </w:tc>
        <w:tc>
          <w:tcPr>
            <w:tcW w:w="1355" w:type="dxa"/>
            <w:tcBorders>
              <w:top w:val="double" w:sz="6" w:space="0" w:color="auto"/>
              <w:left w:val="nil"/>
              <w:bottom w:val="nil"/>
              <w:right w:val="dotted" w:sz="4" w:space="0" w:color="auto"/>
            </w:tcBorders>
            <w:shd w:val="clear" w:color="000000" w:fill="FFFFFF"/>
            <w:vAlign w:val="bottom"/>
            <w:hideMark/>
          </w:tcPr>
          <w:p w14:paraId="3EAE9F7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Година</w:t>
            </w:r>
          </w:p>
        </w:tc>
        <w:tc>
          <w:tcPr>
            <w:tcW w:w="1355" w:type="dxa"/>
            <w:tcBorders>
              <w:top w:val="double" w:sz="6" w:space="0" w:color="auto"/>
              <w:left w:val="nil"/>
              <w:bottom w:val="nil"/>
              <w:right w:val="dotted" w:sz="4" w:space="0" w:color="auto"/>
            </w:tcBorders>
            <w:shd w:val="clear" w:color="000000" w:fill="FFFFFF"/>
            <w:vAlign w:val="bottom"/>
            <w:hideMark/>
          </w:tcPr>
          <w:p w14:paraId="4C29098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Година</w:t>
            </w:r>
          </w:p>
        </w:tc>
        <w:tc>
          <w:tcPr>
            <w:tcW w:w="1355" w:type="dxa"/>
            <w:tcBorders>
              <w:top w:val="double" w:sz="6" w:space="0" w:color="auto"/>
              <w:left w:val="nil"/>
              <w:bottom w:val="nil"/>
              <w:right w:val="dotted" w:sz="4" w:space="0" w:color="auto"/>
            </w:tcBorders>
            <w:shd w:val="clear" w:color="000000" w:fill="FFFFFF"/>
            <w:vAlign w:val="bottom"/>
            <w:hideMark/>
          </w:tcPr>
          <w:p w14:paraId="5D5E48D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Година</w:t>
            </w:r>
          </w:p>
        </w:tc>
        <w:tc>
          <w:tcPr>
            <w:tcW w:w="1355" w:type="dxa"/>
            <w:tcBorders>
              <w:top w:val="double" w:sz="6" w:space="0" w:color="auto"/>
              <w:left w:val="nil"/>
              <w:bottom w:val="nil"/>
              <w:right w:val="double" w:sz="6" w:space="0" w:color="auto"/>
            </w:tcBorders>
            <w:shd w:val="clear" w:color="000000" w:fill="FFFFFF"/>
            <w:vAlign w:val="bottom"/>
            <w:hideMark/>
          </w:tcPr>
          <w:p w14:paraId="051D5C0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Година</w:t>
            </w:r>
          </w:p>
        </w:tc>
      </w:tr>
      <w:tr w:rsidR="009B5DE5" w:rsidRPr="009B5DE5" w14:paraId="1859BC4E" w14:textId="77777777" w:rsidTr="00396800">
        <w:trPr>
          <w:gridBefore w:val="1"/>
          <w:wBefore w:w="23" w:type="dxa"/>
          <w:trHeight w:val="320"/>
        </w:trPr>
        <w:tc>
          <w:tcPr>
            <w:tcW w:w="6377" w:type="dxa"/>
            <w:gridSpan w:val="2"/>
            <w:vMerge/>
            <w:tcBorders>
              <w:top w:val="double" w:sz="6" w:space="0" w:color="auto"/>
              <w:left w:val="double" w:sz="6" w:space="0" w:color="auto"/>
              <w:bottom w:val="single" w:sz="8" w:space="0" w:color="000000"/>
              <w:right w:val="dotted" w:sz="4" w:space="0" w:color="auto"/>
            </w:tcBorders>
            <w:vAlign w:val="center"/>
            <w:hideMark/>
          </w:tcPr>
          <w:p w14:paraId="6242EA22" w14:textId="77777777" w:rsidR="009B5DE5" w:rsidRPr="009B5DE5" w:rsidRDefault="009B5DE5" w:rsidP="009B5DE5">
            <w:pPr>
              <w:spacing w:after="0"/>
              <w:jc w:val="left"/>
              <w:rPr>
                <w:rFonts w:eastAsia="Times New Roman" w:cs="Times New Roman"/>
                <w:sz w:val="20"/>
                <w:szCs w:val="20"/>
              </w:rPr>
            </w:pPr>
          </w:p>
        </w:tc>
        <w:tc>
          <w:tcPr>
            <w:tcW w:w="1580" w:type="dxa"/>
            <w:vMerge/>
            <w:tcBorders>
              <w:top w:val="double" w:sz="6" w:space="0" w:color="auto"/>
              <w:left w:val="dotted" w:sz="4" w:space="0" w:color="auto"/>
              <w:bottom w:val="single" w:sz="8" w:space="0" w:color="000000"/>
              <w:right w:val="single" w:sz="8" w:space="0" w:color="auto"/>
            </w:tcBorders>
            <w:vAlign w:val="center"/>
            <w:hideMark/>
          </w:tcPr>
          <w:p w14:paraId="3C1CF996" w14:textId="77777777" w:rsidR="009B5DE5" w:rsidRPr="009B5DE5" w:rsidRDefault="009B5DE5" w:rsidP="009B5DE5">
            <w:pPr>
              <w:spacing w:after="0"/>
              <w:jc w:val="left"/>
              <w:rPr>
                <w:rFonts w:eastAsia="Times New Roman" w:cs="Times New Roman"/>
                <w:sz w:val="20"/>
                <w:szCs w:val="20"/>
              </w:rPr>
            </w:pPr>
          </w:p>
        </w:tc>
        <w:tc>
          <w:tcPr>
            <w:tcW w:w="1355" w:type="dxa"/>
            <w:tcBorders>
              <w:top w:val="nil"/>
              <w:left w:val="nil"/>
              <w:bottom w:val="single" w:sz="8" w:space="0" w:color="000000"/>
              <w:right w:val="dotted" w:sz="4" w:space="0" w:color="auto"/>
            </w:tcBorders>
            <w:shd w:val="clear" w:color="000000" w:fill="FFFFFF"/>
            <w:vAlign w:val="bottom"/>
            <w:hideMark/>
          </w:tcPr>
          <w:p w14:paraId="3E9FC42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2020</w:t>
            </w:r>
          </w:p>
        </w:tc>
        <w:tc>
          <w:tcPr>
            <w:tcW w:w="1355" w:type="dxa"/>
            <w:tcBorders>
              <w:top w:val="nil"/>
              <w:left w:val="nil"/>
              <w:bottom w:val="single" w:sz="8" w:space="0" w:color="000000"/>
              <w:right w:val="dotted" w:sz="4" w:space="0" w:color="auto"/>
            </w:tcBorders>
            <w:shd w:val="clear" w:color="000000" w:fill="FFFFFF"/>
            <w:vAlign w:val="bottom"/>
            <w:hideMark/>
          </w:tcPr>
          <w:p w14:paraId="12353C7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2021</w:t>
            </w:r>
          </w:p>
        </w:tc>
        <w:tc>
          <w:tcPr>
            <w:tcW w:w="1355" w:type="dxa"/>
            <w:tcBorders>
              <w:top w:val="nil"/>
              <w:left w:val="nil"/>
              <w:bottom w:val="single" w:sz="8" w:space="0" w:color="000000"/>
              <w:right w:val="dotted" w:sz="4" w:space="0" w:color="auto"/>
            </w:tcBorders>
            <w:shd w:val="clear" w:color="000000" w:fill="FFFFFF"/>
            <w:vAlign w:val="bottom"/>
            <w:hideMark/>
          </w:tcPr>
          <w:p w14:paraId="1F5DD72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2022</w:t>
            </w:r>
          </w:p>
        </w:tc>
        <w:tc>
          <w:tcPr>
            <w:tcW w:w="1355" w:type="dxa"/>
            <w:tcBorders>
              <w:top w:val="nil"/>
              <w:left w:val="nil"/>
              <w:bottom w:val="single" w:sz="8" w:space="0" w:color="000000"/>
              <w:right w:val="dotted" w:sz="4" w:space="0" w:color="auto"/>
            </w:tcBorders>
            <w:shd w:val="clear" w:color="000000" w:fill="FFFFFF"/>
            <w:vAlign w:val="bottom"/>
            <w:hideMark/>
          </w:tcPr>
          <w:p w14:paraId="6E13F44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2023</w:t>
            </w:r>
          </w:p>
        </w:tc>
        <w:tc>
          <w:tcPr>
            <w:tcW w:w="1355" w:type="dxa"/>
            <w:tcBorders>
              <w:top w:val="nil"/>
              <w:left w:val="nil"/>
              <w:bottom w:val="single" w:sz="8" w:space="0" w:color="000000"/>
              <w:right w:val="double" w:sz="6" w:space="0" w:color="auto"/>
            </w:tcBorders>
            <w:shd w:val="clear" w:color="000000" w:fill="FFFFFF"/>
            <w:vAlign w:val="bottom"/>
            <w:hideMark/>
          </w:tcPr>
          <w:p w14:paraId="0E8ED3A3"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2024</w:t>
            </w:r>
          </w:p>
        </w:tc>
      </w:tr>
      <w:tr w:rsidR="009B5DE5" w:rsidRPr="009B5DE5" w14:paraId="635F4178" w14:textId="77777777" w:rsidTr="00396800">
        <w:trPr>
          <w:gridBefore w:val="1"/>
          <w:wBefore w:w="23" w:type="dxa"/>
          <w:trHeight w:val="320"/>
        </w:trPr>
        <w:tc>
          <w:tcPr>
            <w:tcW w:w="6377" w:type="dxa"/>
            <w:gridSpan w:val="2"/>
            <w:tcBorders>
              <w:top w:val="nil"/>
              <w:left w:val="double" w:sz="6" w:space="0" w:color="auto"/>
              <w:bottom w:val="dotted" w:sz="4" w:space="0" w:color="auto"/>
              <w:right w:val="dotted" w:sz="4" w:space="0" w:color="auto"/>
            </w:tcBorders>
            <w:shd w:val="clear" w:color="000000" w:fill="FFFFFF"/>
            <w:hideMark/>
          </w:tcPr>
          <w:p w14:paraId="4599B6A1"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1. Биланс текућих трансакција</w:t>
            </w:r>
          </w:p>
        </w:tc>
        <w:tc>
          <w:tcPr>
            <w:tcW w:w="1580" w:type="dxa"/>
            <w:tcBorders>
              <w:top w:val="nil"/>
              <w:left w:val="nil"/>
              <w:bottom w:val="dotted" w:sz="4" w:space="0" w:color="auto"/>
              <w:right w:val="single" w:sz="8" w:space="0" w:color="auto"/>
            </w:tcBorders>
            <w:shd w:val="clear" w:color="000000" w:fill="FFFFFF"/>
            <w:hideMark/>
          </w:tcPr>
          <w:p w14:paraId="35002477" w14:textId="77777777" w:rsidR="009B5DE5" w:rsidRPr="009B5DE5" w:rsidRDefault="009B5DE5" w:rsidP="009B5DE5">
            <w:pPr>
              <w:spacing w:after="0"/>
              <w:jc w:val="center"/>
              <w:rPr>
                <w:rFonts w:eastAsia="Times New Roman" w:cs="Times New Roman"/>
                <w:sz w:val="18"/>
                <w:szCs w:val="18"/>
              </w:rPr>
            </w:pPr>
            <w:r w:rsidRPr="009B5DE5">
              <w:rPr>
                <w:rFonts w:eastAsia="Times New Roman" w:cs="Times New Roman"/>
                <w:sz w:val="18"/>
                <w:szCs w:val="18"/>
              </w:rPr>
              <w:t>% БДП</w:t>
            </w:r>
          </w:p>
        </w:tc>
        <w:tc>
          <w:tcPr>
            <w:tcW w:w="1355" w:type="dxa"/>
            <w:tcBorders>
              <w:top w:val="nil"/>
              <w:left w:val="nil"/>
              <w:bottom w:val="dotted" w:sz="4" w:space="0" w:color="auto"/>
              <w:right w:val="dotted" w:sz="4" w:space="0" w:color="auto"/>
            </w:tcBorders>
            <w:shd w:val="clear" w:color="000000" w:fill="FFFFFF"/>
            <w:vAlign w:val="center"/>
            <w:hideMark/>
          </w:tcPr>
          <w:p w14:paraId="6183CB3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-3,9</w:t>
            </w:r>
          </w:p>
        </w:tc>
        <w:tc>
          <w:tcPr>
            <w:tcW w:w="1355" w:type="dxa"/>
            <w:tcBorders>
              <w:top w:val="nil"/>
              <w:left w:val="nil"/>
              <w:bottom w:val="dotted" w:sz="4" w:space="0" w:color="auto"/>
              <w:right w:val="dotted" w:sz="4" w:space="0" w:color="auto"/>
            </w:tcBorders>
            <w:shd w:val="clear" w:color="000000" w:fill="FFFFFF"/>
            <w:vAlign w:val="center"/>
            <w:hideMark/>
          </w:tcPr>
          <w:p w14:paraId="1818AD1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-4,1</w:t>
            </w:r>
          </w:p>
        </w:tc>
        <w:tc>
          <w:tcPr>
            <w:tcW w:w="1355" w:type="dxa"/>
            <w:tcBorders>
              <w:top w:val="nil"/>
              <w:left w:val="nil"/>
              <w:bottom w:val="dotted" w:sz="4" w:space="0" w:color="auto"/>
              <w:right w:val="dotted" w:sz="4" w:space="0" w:color="auto"/>
            </w:tcBorders>
            <w:shd w:val="clear" w:color="000000" w:fill="FFFFFF"/>
            <w:vAlign w:val="center"/>
            <w:hideMark/>
          </w:tcPr>
          <w:p w14:paraId="05B6161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-6,6</w:t>
            </w:r>
          </w:p>
        </w:tc>
        <w:tc>
          <w:tcPr>
            <w:tcW w:w="1355" w:type="dxa"/>
            <w:tcBorders>
              <w:top w:val="nil"/>
              <w:left w:val="nil"/>
              <w:bottom w:val="dotted" w:sz="4" w:space="0" w:color="auto"/>
              <w:right w:val="dotted" w:sz="4" w:space="0" w:color="auto"/>
            </w:tcBorders>
            <w:shd w:val="clear" w:color="000000" w:fill="FFFFFF"/>
            <w:vAlign w:val="center"/>
            <w:hideMark/>
          </w:tcPr>
          <w:p w14:paraId="357A410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-2,4</w:t>
            </w:r>
          </w:p>
        </w:tc>
        <w:tc>
          <w:tcPr>
            <w:tcW w:w="1355" w:type="dxa"/>
            <w:tcBorders>
              <w:top w:val="nil"/>
              <w:left w:val="nil"/>
              <w:bottom w:val="dotted" w:sz="4" w:space="0" w:color="auto"/>
              <w:right w:val="double" w:sz="6" w:space="0" w:color="auto"/>
            </w:tcBorders>
            <w:shd w:val="clear" w:color="000000" w:fill="FFFFFF"/>
            <w:vAlign w:val="center"/>
            <w:hideMark/>
          </w:tcPr>
          <w:p w14:paraId="2E1E819D"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-4,7</w:t>
            </w:r>
          </w:p>
        </w:tc>
      </w:tr>
      <w:tr w:rsidR="009B5DE5" w:rsidRPr="009B5DE5" w14:paraId="59FD9886" w14:textId="77777777" w:rsidTr="00396800">
        <w:trPr>
          <w:gridBefore w:val="1"/>
          <w:wBefore w:w="23" w:type="dxa"/>
          <w:trHeight w:val="320"/>
        </w:trPr>
        <w:tc>
          <w:tcPr>
            <w:tcW w:w="6377" w:type="dxa"/>
            <w:gridSpan w:val="2"/>
            <w:tcBorders>
              <w:top w:val="nil"/>
              <w:left w:val="double" w:sz="6" w:space="0" w:color="auto"/>
              <w:bottom w:val="dotted" w:sz="4" w:space="0" w:color="auto"/>
              <w:right w:val="dotted" w:sz="4" w:space="0" w:color="auto"/>
            </w:tcBorders>
            <w:shd w:val="clear" w:color="000000" w:fill="FFFFFF"/>
            <w:hideMark/>
          </w:tcPr>
          <w:p w14:paraId="585F85D7"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xml:space="preserve">2. Нето међународна инвестициона позиција </w:t>
            </w:r>
          </w:p>
        </w:tc>
        <w:tc>
          <w:tcPr>
            <w:tcW w:w="1580" w:type="dxa"/>
            <w:tcBorders>
              <w:top w:val="nil"/>
              <w:left w:val="nil"/>
              <w:bottom w:val="dotted" w:sz="4" w:space="0" w:color="auto"/>
              <w:right w:val="single" w:sz="8" w:space="0" w:color="auto"/>
            </w:tcBorders>
            <w:shd w:val="clear" w:color="000000" w:fill="FFFFFF"/>
            <w:hideMark/>
          </w:tcPr>
          <w:p w14:paraId="639E5C80" w14:textId="77777777" w:rsidR="009B5DE5" w:rsidRPr="009B5DE5" w:rsidRDefault="009B5DE5" w:rsidP="009B5DE5">
            <w:pPr>
              <w:spacing w:after="0"/>
              <w:jc w:val="center"/>
              <w:rPr>
                <w:rFonts w:eastAsia="Times New Roman" w:cs="Times New Roman"/>
                <w:sz w:val="18"/>
                <w:szCs w:val="18"/>
              </w:rPr>
            </w:pPr>
            <w:r w:rsidRPr="009B5DE5">
              <w:rPr>
                <w:rFonts w:eastAsia="Times New Roman" w:cs="Times New Roman"/>
                <w:sz w:val="18"/>
                <w:szCs w:val="18"/>
              </w:rPr>
              <w:t>% БДП</w:t>
            </w:r>
          </w:p>
        </w:tc>
        <w:tc>
          <w:tcPr>
            <w:tcW w:w="1355" w:type="dxa"/>
            <w:tcBorders>
              <w:top w:val="nil"/>
              <w:left w:val="nil"/>
              <w:bottom w:val="dotted" w:sz="4" w:space="0" w:color="auto"/>
              <w:right w:val="dotted" w:sz="4" w:space="0" w:color="auto"/>
            </w:tcBorders>
            <w:shd w:val="clear" w:color="000000" w:fill="FFFFFF"/>
            <w:vAlign w:val="center"/>
            <w:hideMark/>
          </w:tcPr>
          <w:p w14:paraId="4D4F7AB5"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-86,2</w:t>
            </w:r>
          </w:p>
        </w:tc>
        <w:tc>
          <w:tcPr>
            <w:tcW w:w="1355" w:type="dxa"/>
            <w:tcBorders>
              <w:top w:val="nil"/>
              <w:left w:val="nil"/>
              <w:bottom w:val="dotted" w:sz="4" w:space="0" w:color="auto"/>
              <w:right w:val="dotted" w:sz="4" w:space="0" w:color="auto"/>
            </w:tcBorders>
            <w:shd w:val="clear" w:color="000000" w:fill="FFFFFF"/>
            <w:vAlign w:val="center"/>
            <w:hideMark/>
          </w:tcPr>
          <w:p w14:paraId="7D23544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-79,2</w:t>
            </w:r>
          </w:p>
        </w:tc>
        <w:tc>
          <w:tcPr>
            <w:tcW w:w="1355" w:type="dxa"/>
            <w:tcBorders>
              <w:top w:val="nil"/>
              <w:left w:val="nil"/>
              <w:bottom w:val="dotted" w:sz="4" w:space="0" w:color="auto"/>
              <w:right w:val="dotted" w:sz="4" w:space="0" w:color="auto"/>
            </w:tcBorders>
            <w:shd w:val="clear" w:color="000000" w:fill="FFFFFF"/>
            <w:vAlign w:val="center"/>
            <w:hideMark/>
          </w:tcPr>
          <w:p w14:paraId="4F6548E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-77,8</w:t>
            </w:r>
          </w:p>
        </w:tc>
        <w:tc>
          <w:tcPr>
            <w:tcW w:w="1355" w:type="dxa"/>
            <w:tcBorders>
              <w:top w:val="nil"/>
              <w:left w:val="nil"/>
              <w:bottom w:val="dotted" w:sz="4" w:space="0" w:color="auto"/>
              <w:right w:val="dotted" w:sz="4" w:space="0" w:color="auto"/>
            </w:tcBorders>
            <w:shd w:val="clear" w:color="000000" w:fill="FFFFFF"/>
            <w:vAlign w:val="center"/>
            <w:hideMark/>
          </w:tcPr>
          <w:p w14:paraId="7BAA1AA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-66,6</w:t>
            </w:r>
          </w:p>
        </w:tc>
        <w:tc>
          <w:tcPr>
            <w:tcW w:w="1355" w:type="dxa"/>
            <w:tcBorders>
              <w:top w:val="nil"/>
              <w:left w:val="nil"/>
              <w:bottom w:val="dotted" w:sz="4" w:space="0" w:color="auto"/>
              <w:right w:val="double" w:sz="6" w:space="0" w:color="auto"/>
            </w:tcBorders>
            <w:shd w:val="clear" w:color="000000" w:fill="FFFFFF"/>
            <w:vAlign w:val="center"/>
            <w:hideMark/>
          </w:tcPr>
          <w:p w14:paraId="47CE8CD5"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r>
      <w:tr w:rsidR="009B5DE5" w:rsidRPr="009B5DE5" w14:paraId="195A8B01" w14:textId="77777777" w:rsidTr="00396800">
        <w:trPr>
          <w:gridBefore w:val="1"/>
          <w:wBefore w:w="23" w:type="dxa"/>
          <w:trHeight w:val="320"/>
        </w:trPr>
        <w:tc>
          <w:tcPr>
            <w:tcW w:w="6377" w:type="dxa"/>
            <w:gridSpan w:val="2"/>
            <w:tcBorders>
              <w:top w:val="nil"/>
              <w:left w:val="double" w:sz="6" w:space="0" w:color="auto"/>
              <w:bottom w:val="dotted" w:sz="4" w:space="0" w:color="auto"/>
              <w:right w:val="dotted" w:sz="4" w:space="0" w:color="auto"/>
            </w:tcBorders>
            <w:shd w:val="clear" w:color="000000" w:fill="FFFFFF"/>
            <w:hideMark/>
          </w:tcPr>
          <w:p w14:paraId="70D14204"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3. Удели на извозним тржиштима</w:t>
            </w:r>
          </w:p>
        </w:tc>
        <w:tc>
          <w:tcPr>
            <w:tcW w:w="1580" w:type="dxa"/>
            <w:tcBorders>
              <w:top w:val="nil"/>
              <w:left w:val="nil"/>
              <w:bottom w:val="dotted" w:sz="4" w:space="0" w:color="auto"/>
              <w:right w:val="single" w:sz="8" w:space="0" w:color="auto"/>
            </w:tcBorders>
            <w:shd w:val="clear" w:color="000000" w:fill="FFFFFF"/>
            <w:hideMark/>
          </w:tcPr>
          <w:p w14:paraId="26DE7E87" w14:textId="77777777" w:rsidR="009B5DE5" w:rsidRPr="009B5DE5" w:rsidRDefault="009B5DE5" w:rsidP="009B5DE5">
            <w:pPr>
              <w:spacing w:after="0"/>
              <w:jc w:val="center"/>
              <w:rPr>
                <w:rFonts w:eastAsia="Times New Roman" w:cs="Times New Roman"/>
                <w:sz w:val="18"/>
                <w:szCs w:val="18"/>
              </w:rPr>
            </w:pPr>
            <w:r w:rsidRPr="009B5DE5">
              <w:rPr>
                <w:rFonts w:eastAsia="Times New Roman" w:cs="Times New Roman"/>
                <w:sz w:val="18"/>
                <w:szCs w:val="18"/>
              </w:rPr>
              <w:t>%, мг.</w:t>
            </w:r>
          </w:p>
        </w:tc>
        <w:tc>
          <w:tcPr>
            <w:tcW w:w="1355" w:type="dxa"/>
            <w:tcBorders>
              <w:top w:val="nil"/>
              <w:left w:val="nil"/>
              <w:bottom w:val="dotted" w:sz="4" w:space="0" w:color="auto"/>
              <w:right w:val="dotted" w:sz="4" w:space="0" w:color="auto"/>
            </w:tcBorders>
            <w:shd w:val="clear" w:color="000000" w:fill="FFFFFF"/>
            <w:vAlign w:val="center"/>
            <w:hideMark/>
          </w:tcPr>
          <w:p w14:paraId="40A8CA40"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355" w:type="dxa"/>
            <w:tcBorders>
              <w:top w:val="nil"/>
              <w:left w:val="nil"/>
              <w:bottom w:val="dotted" w:sz="4" w:space="0" w:color="auto"/>
              <w:right w:val="dotted" w:sz="4" w:space="0" w:color="auto"/>
            </w:tcBorders>
            <w:shd w:val="clear" w:color="000000" w:fill="FFFFFF"/>
            <w:vAlign w:val="center"/>
            <w:hideMark/>
          </w:tcPr>
          <w:p w14:paraId="2663BE7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355" w:type="dxa"/>
            <w:tcBorders>
              <w:top w:val="nil"/>
              <w:left w:val="nil"/>
              <w:bottom w:val="dotted" w:sz="4" w:space="0" w:color="auto"/>
              <w:right w:val="dotted" w:sz="4" w:space="0" w:color="auto"/>
            </w:tcBorders>
            <w:shd w:val="clear" w:color="000000" w:fill="FFFFFF"/>
            <w:vAlign w:val="center"/>
            <w:hideMark/>
          </w:tcPr>
          <w:p w14:paraId="5B8F6E97"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355" w:type="dxa"/>
            <w:tcBorders>
              <w:top w:val="nil"/>
              <w:left w:val="nil"/>
              <w:bottom w:val="dotted" w:sz="4" w:space="0" w:color="auto"/>
              <w:right w:val="dotted" w:sz="4" w:space="0" w:color="auto"/>
            </w:tcBorders>
            <w:shd w:val="clear" w:color="000000" w:fill="FFFFFF"/>
            <w:vAlign w:val="center"/>
            <w:hideMark/>
          </w:tcPr>
          <w:p w14:paraId="28928500"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355" w:type="dxa"/>
            <w:tcBorders>
              <w:top w:val="nil"/>
              <w:left w:val="nil"/>
              <w:bottom w:val="dotted" w:sz="4" w:space="0" w:color="auto"/>
              <w:right w:val="double" w:sz="6" w:space="0" w:color="auto"/>
            </w:tcBorders>
            <w:shd w:val="clear" w:color="000000" w:fill="FFFFFF"/>
            <w:vAlign w:val="center"/>
            <w:hideMark/>
          </w:tcPr>
          <w:p w14:paraId="18052B4B"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r>
      <w:tr w:rsidR="009B5DE5" w:rsidRPr="009B5DE5" w14:paraId="28B7B283" w14:textId="77777777" w:rsidTr="00396800">
        <w:trPr>
          <w:gridBefore w:val="1"/>
          <w:wBefore w:w="23" w:type="dxa"/>
          <w:trHeight w:val="320"/>
        </w:trPr>
        <w:tc>
          <w:tcPr>
            <w:tcW w:w="6377" w:type="dxa"/>
            <w:gridSpan w:val="2"/>
            <w:tcBorders>
              <w:top w:val="nil"/>
              <w:left w:val="double" w:sz="6" w:space="0" w:color="auto"/>
              <w:bottom w:val="dotted" w:sz="4" w:space="0" w:color="auto"/>
              <w:right w:val="dotted" w:sz="4" w:space="0" w:color="auto"/>
            </w:tcBorders>
            <w:shd w:val="clear" w:color="000000" w:fill="FFFFFF"/>
            <w:hideMark/>
          </w:tcPr>
          <w:p w14:paraId="41936607"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4. Реални ефективни девизни курс [1]</w:t>
            </w:r>
          </w:p>
        </w:tc>
        <w:tc>
          <w:tcPr>
            <w:tcW w:w="1580" w:type="dxa"/>
            <w:tcBorders>
              <w:top w:val="nil"/>
              <w:left w:val="nil"/>
              <w:bottom w:val="dotted" w:sz="4" w:space="0" w:color="auto"/>
              <w:right w:val="single" w:sz="8" w:space="0" w:color="auto"/>
            </w:tcBorders>
            <w:shd w:val="clear" w:color="000000" w:fill="FFFFFF"/>
            <w:hideMark/>
          </w:tcPr>
          <w:p w14:paraId="4EBDEB04" w14:textId="77777777" w:rsidR="009B5DE5" w:rsidRPr="009B5DE5" w:rsidRDefault="009B5DE5" w:rsidP="009B5DE5">
            <w:pPr>
              <w:spacing w:after="0"/>
              <w:jc w:val="center"/>
              <w:rPr>
                <w:rFonts w:eastAsia="Times New Roman" w:cs="Times New Roman"/>
                <w:sz w:val="18"/>
                <w:szCs w:val="18"/>
              </w:rPr>
            </w:pPr>
            <w:r w:rsidRPr="009B5DE5">
              <w:rPr>
                <w:rFonts w:eastAsia="Times New Roman" w:cs="Times New Roman"/>
                <w:sz w:val="18"/>
                <w:szCs w:val="18"/>
              </w:rPr>
              <w:t>%, мг.</w:t>
            </w:r>
          </w:p>
        </w:tc>
        <w:tc>
          <w:tcPr>
            <w:tcW w:w="1355" w:type="dxa"/>
            <w:tcBorders>
              <w:top w:val="nil"/>
              <w:left w:val="nil"/>
              <w:bottom w:val="dotted" w:sz="4" w:space="0" w:color="auto"/>
              <w:right w:val="dotted" w:sz="4" w:space="0" w:color="auto"/>
            </w:tcBorders>
            <w:shd w:val="clear" w:color="000000" w:fill="FFFFFF"/>
            <w:vAlign w:val="center"/>
            <w:hideMark/>
          </w:tcPr>
          <w:p w14:paraId="66EDD570"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1,7</w:t>
            </w:r>
          </w:p>
        </w:tc>
        <w:tc>
          <w:tcPr>
            <w:tcW w:w="1355" w:type="dxa"/>
            <w:tcBorders>
              <w:top w:val="nil"/>
              <w:left w:val="nil"/>
              <w:bottom w:val="dotted" w:sz="4" w:space="0" w:color="auto"/>
              <w:right w:val="dotted" w:sz="4" w:space="0" w:color="auto"/>
            </w:tcBorders>
            <w:shd w:val="clear" w:color="000000" w:fill="FFFFFF"/>
            <w:vAlign w:val="center"/>
            <w:hideMark/>
          </w:tcPr>
          <w:p w14:paraId="4D22137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1,8</w:t>
            </w:r>
          </w:p>
        </w:tc>
        <w:tc>
          <w:tcPr>
            <w:tcW w:w="1355" w:type="dxa"/>
            <w:tcBorders>
              <w:top w:val="nil"/>
              <w:left w:val="nil"/>
              <w:bottom w:val="dotted" w:sz="4" w:space="0" w:color="auto"/>
              <w:right w:val="dotted" w:sz="4" w:space="0" w:color="auto"/>
            </w:tcBorders>
            <w:shd w:val="clear" w:color="000000" w:fill="FFFFFF"/>
            <w:vAlign w:val="center"/>
            <w:hideMark/>
          </w:tcPr>
          <w:p w14:paraId="2F52682B"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1,0</w:t>
            </w:r>
          </w:p>
        </w:tc>
        <w:tc>
          <w:tcPr>
            <w:tcW w:w="1355" w:type="dxa"/>
            <w:tcBorders>
              <w:top w:val="nil"/>
              <w:left w:val="nil"/>
              <w:bottom w:val="dotted" w:sz="4" w:space="0" w:color="auto"/>
              <w:right w:val="dotted" w:sz="4" w:space="0" w:color="auto"/>
            </w:tcBorders>
            <w:shd w:val="clear" w:color="000000" w:fill="FFFFFF"/>
            <w:vAlign w:val="center"/>
            <w:hideMark/>
          </w:tcPr>
          <w:p w14:paraId="0773179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7,7</w:t>
            </w:r>
          </w:p>
        </w:tc>
        <w:tc>
          <w:tcPr>
            <w:tcW w:w="1355" w:type="dxa"/>
            <w:tcBorders>
              <w:top w:val="nil"/>
              <w:left w:val="nil"/>
              <w:bottom w:val="dotted" w:sz="4" w:space="0" w:color="auto"/>
              <w:right w:val="double" w:sz="6" w:space="0" w:color="auto"/>
            </w:tcBorders>
            <w:shd w:val="clear" w:color="000000" w:fill="FFFFFF"/>
            <w:vAlign w:val="center"/>
            <w:hideMark/>
          </w:tcPr>
          <w:p w14:paraId="655C806D"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2,1</w:t>
            </w:r>
          </w:p>
        </w:tc>
      </w:tr>
      <w:tr w:rsidR="009B5DE5" w:rsidRPr="009B5DE5" w14:paraId="68ADD19C" w14:textId="77777777" w:rsidTr="00396800">
        <w:trPr>
          <w:gridBefore w:val="1"/>
          <w:wBefore w:w="23" w:type="dxa"/>
          <w:trHeight w:val="320"/>
        </w:trPr>
        <w:tc>
          <w:tcPr>
            <w:tcW w:w="6377" w:type="dxa"/>
            <w:gridSpan w:val="2"/>
            <w:tcBorders>
              <w:top w:val="nil"/>
              <w:left w:val="double" w:sz="6" w:space="0" w:color="auto"/>
              <w:bottom w:val="dotted" w:sz="4" w:space="0" w:color="auto"/>
              <w:right w:val="dotted" w:sz="4" w:space="0" w:color="auto"/>
            </w:tcBorders>
            <w:shd w:val="clear" w:color="000000" w:fill="FFFFFF"/>
            <w:hideMark/>
          </w:tcPr>
          <w:p w14:paraId="2A48080F"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5. Номинални јединични трошкови рада</w:t>
            </w:r>
          </w:p>
        </w:tc>
        <w:tc>
          <w:tcPr>
            <w:tcW w:w="1580" w:type="dxa"/>
            <w:tcBorders>
              <w:top w:val="nil"/>
              <w:left w:val="nil"/>
              <w:bottom w:val="dotted" w:sz="4" w:space="0" w:color="auto"/>
              <w:right w:val="single" w:sz="8" w:space="0" w:color="auto"/>
            </w:tcBorders>
            <w:shd w:val="clear" w:color="000000" w:fill="FFFFFF"/>
            <w:hideMark/>
          </w:tcPr>
          <w:p w14:paraId="2869F155" w14:textId="77777777" w:rsidR="009B5DE5" w:rsidRPr="009B5DE5" w:rsidRDefault="009B5DE5" w:rsidP="009B5DE5">
            <w:pPr>
              <w:spacing w:after="0"/>
              <w:jc w:val="center"/>
              <w:rPr>
                <w:rFonts w:eastAsia="Times New Roman" w:cs="Times New Roman"/>
                <w:sz w:val="18"/>
                <w:szCs w:val="18"/>
              </w:rPr>
            </w:pPr>
            <w:r w:rsidRPr="009B5DE5">
              <w:rPr>
                <w:rFonts w:eastAsia="Times New Roman" w:cs="Times New Roman"/>
                <w:sz w:val="18"/>
                <w:szCs w:val="18"/>
              </w:rPr>
              <w:t>%, мг.</w:t>
            </w:r>
          </w:p>
        </w:tc>
        <w:tc>
          <w:tcPr>
            <w:tcW w:w="1355" w:type="dxa"/>
            <w:tcBorders>
              <w:top w:val="nil"/>
              <w:left w:val="nil"/>
              <w:bottom w:val="dotted" w:sz="4" w:space="0" w:color="auto"/>
              <w:right w:val="dotted" w:sz="4" w:space="0" w:color="auto"/>
            </w:tcBorders>
            <w:shd w:val="clear" w:color="000000" w:fill="FFFFFF"/>
            <w:vAlign w:val="center"/>
            <w:hideMark/>
          </w:tcPr>
          <w:p w14:paraId="035C011B"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355" w:type="dxa"/>
            <w:tcBorders>
              <w:top w:val="nil"/>
              <w:left w:val="nil"/>
              <w:bottom w:val="dotted" w:sz="4" w:space="0" w:color="auto"/>
              <w:right w:val="dotted" w:sz="4" w:space="0" w:color="auto"/>
            </w:tcBorders>
            <w:shd w:val="clear" w:color="000000" w:fill="FFFFFF"/>
            <w:vAlign w:val="center"/>
            <w:hideMark/>
          </w:tcPr>
          <w:p w14:paraId="7BA3174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355" w:type="dxa"/>
            <w:tcBorders>
              <w:top w:val="nil"/>
              <w:left w:val="nil"/>
              <w:bottom w:val="dotted" w:sz="4" w:space="0" w:color="auto"/>
              <w:right w:val="dotted" w:sz="4" w:space="0" w:color="auto"/>
            </w:tcBorders>
            <w:shd w:val="clear" w:color="000000" w:fill="FFFFFF"/>
            <w:vAlign w:val="center"/>
            <w:hideMark/>
          </w:tcPr>
          <w:p w14:paraId="3AC056DB"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355" w:type="dxa"/>
            <w:tcBorders>
              <w:top w:val="nil"/>
              <w:left w:val="nil"/>
              <w:bottom w:val="dotted" w:sz="4" w:space="0" w:color="auto"/>
              <w:right w:val="dotted" w:sz="4" w:space="0" w:color="auto"/>
            </w:tcBorders>
            <w:shd w:val="clear" w:color="000000" w:fill="FFFFFF"/>
            <w:vAlign w:val="center"/>
            <w:hideMark/>
          </w:tcPr>
          <w:p w14:paraId="7FD0F09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355" w:type="dxa"/>
            <w:tcBorders>
              <w:top w:val="nil"/>
              <w:left w:val="nil"/>
              <w:bottom w:val="dotted" w:sz="4" w:space="0" w:color="auto"/>
              <w:right w:val="double" w:sz="6" w:space="0" w:color="auto"/>
            </w:tcBorders>
            <w:shd w:val="clear" w:color="000000" w:fill="FFFFFF"/>
            <w:vAlign w:val="center"/>
            <w:hideMark/>
          </w:tcPr>
          <w:p w14:paraId="0DAAB35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r>
      <w:tr w:rsidR="009B5DE5" w:rsidRPr="009B5DE5" w14:paraId="41D60681" w14:textId="77777777" w:rsidTr="00396800">
        <w:trPr>
          <w:gridBefore w:val="1"/>
          <w:wBefore w:w="23" w:type="dxa"/>
          <w:trHeight w:val="320"/>
        </w:trPr>
        <w:tc>
          <w:tcPr>
            <w:tcW w:w="6377" w:type="dxa"/>
            <w:gridSpan w:val="2"/>
            <w:tcBorders>
              <w:top w:val="nil"/>
              <w:left w:val="double" w:sz="6" w:space="0" w:color="auto"/>
              <w:bottom w:val="dotted" w:sz="4" w:space="0" w:color="auto"/>
              <w:right w:val="dotted" w:sz="4" w:space="0" w:color="auto"/>
            </w:tcBorders>
            <w:shd w:val="clear" w:color="000000" w:fill="FFFFFF"/>
            <w:hideMark/>
          </w:tcPr>
          <w:p w14:paraId="6F4F4DCC"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6. Кредити приватном сектору - промена [1]</w:t>
            </w:r>
          </w:p>
        </w:tc>
        <w:tc>
          <w:tcPr>
            <w:tcW w:w="1580" w:type="dxa"/>
            <w:tcBorders>
              <w:top w:val="nil"/>
              <w:left w:val="nil"/>
              <w:bottom w:val="dotted" w:sz="4" w:space="0" w:color="auto"/>
              <w:right w:val="single" w:sz="8" w:space="0" w:color="auto"/>
            </w:tcBorders>
            <w:shd w:val="clear" w:color="000000" w:fill="FFFFFF"/>
            <w:hideMark/>
          </w:tcPr>
          <w:p w14:paraId="50687C2D" w14:textId="77777777" w:rsidR="009B5DE5" w:rsidRPr="009B5DE5" w:rsidRDefault="009B5DE5" w:rsidP="009B5DE5">
            <w:pPr>
              <w:spacing w:after="0"/>
              <w:jc w:val="center"/>
              <w:rPr>
                <w:rFonts w:eastAsia="Times New Roman" w:cs="Times New Roman"/>
                <w:sz w:val="18"/>
                <w:szCs w:val="18"/>
              </w:rPr>
            </w:pPr>
            <w:r w:rsidRPr="009B5DE5">
              <w:rPr>
                <w:rFonts w:eastAsia="Times New Roman" w:cs="Times New Roman"/>
                <w:sz w:val="18"/>
                <w:szCs w:val="18"/>
              </w:rPr>
              <w:t>% БДП</w:t>
            </w:r>
          </w:p>
        </w:tc>
        <w:tc>
          <w:tcPr>
            <w:tcW w:w="1355" w:type="dxa"/>
            <w:tcBorders>
              <w:top w:val="nil"/>
              <w:left w:val="nil"/>
              <w:bottom w:val="dotted" w:sz="4" w:space="0" w:color="auto"/>
              <w:right w:val="dotted" w:sz="4" w:space="0" w:color="auto"/>
            </w:tcBorders>
            <w:shd w:val="clear" w:color="000000" w:fill="FFFFFF"/>
            <w:vAlign w:val="center"/>
            <w:hideMark/>
          </w:tcPr>
          <w:p w14:paraId="5370A7EF"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2,5</w:t>
            </w:r>
          </w:p>
        </w:tc>
        <w:tc>
          <w:tcPr>
            <w:tcW w:w="1355" w:type="dxa"/>
            <w:tcBorders>
              <w:top w:val="nil"/>
              <w:left w:val="nil"/>
              <w:bottom w:val="dotted" w:sz="4" w:space="0" w:color="auto"/>
              <w:right w:val="dotted" w:sz="4" w:space="0" w:color="auto"/>
            </w:tcBorders>
            <w:shd w:val="clear" w:color="000000" w:fill="FFFFFF"/>
            <w:vAlign w:val="center"/>
            <w:hideMark/>
          </w:tcPr>
          <w:p w14:paraId="23E750A5"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2,3</w:t>
            </w:r>
          </w:p>
        </w:tc>
        <w:tc>
          <w:tcPr>
            <w:tcW w:w="1355" w:type="dxa"/>
            <w:tcBorders>
              <w:top w:val="nil"/>
              <w:left w:val="nil"/>
              <w:bottom w:val="dotted" w:sz="4" w:space="0" w:color="auto"/>
              <w:right w:val="dotted" w:sz="4" w:space="0" w:color="auto"/>
            </w:tcBorders>
            <w:shd w:val="clear" w:color="000000" w:fill="FFFFFF"/>
            <w:vAlign w:val="center"/>
            <w:hideMark/>
          </w:tcPr>
          <w:p w14:paraId="7C0D9517"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1,4</w:t>
            </w:r>
          </w:p>
        </w:tc>
        <w:tc>
          <w:tcPr>
            <w:tcW w:w="1355" w:type="dxa"/>
            <w:tcBorders>
              <w:top w:val="nil"/>
              <w:left w:val="nil"/>
              <w:bottom w:val="dotted" w:sz="4" w:space="0" w:color="auto"/>
              <w:right w:val="dotted" w:sz="4" w:space="0" w:color="auto"/>
            </w:tcBorders>
            <w:shd w:val="clear" w:color="000000" w:fill="FFFFFF"/>
            <w:vAlign w:val="center"/>
            <w:hideMark/>
          </w:tcPr>
          <w:p w14:paraId="301D9AAD"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0,4</w:t>
            </w:r>
          </w:p>
        </w:tc>
        <w:tc>
          <w:tcPr>
            <w:tcW w:w="1355" w:type="dxa"/>
            <w:tcBorders>
              <w:top w:val="nil"/>
              <w:left w:val="nil"/>
              <w:bottom w:val="dotted" w:sz="4" w:space="0" w:color="auto"/>
              <w:right w:val="double" w:sz="6" w:space="0" w:color="auto"/>
            </w:tcBorders>
            <w:shd w:val="clear" w:color="000000" w:fill="FFFFFF"/>
            <w:vAlign w:val="center"/>
            <w:hideMark/>
          </w:tcPr>
          <w:p w14:paraId="7AC3BA7B"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1,6</w:t>
            </w:r>
          </w:p>
        </w:tc>
      </w:tr>
      <w:tr w:rsidR="009B5DE5" w:rsidRPr="009B5DE5" w14:paraId="30BA1B6A" w14:textId="77777777" w:rsidTr="00396800">
        <w:trPr>
          <w:gridBefore w:val="1"/>
          <w:wBefore w:w="23" w:type="dxa"/>
          <w:trHeight w:val="320"/>
        </w:trPr>
        <w:tc>
          <w:tcPr>
            <w:tcW w:w="6377" w:type="dxa"/>
            <w:gridSpan w:val="2"/>
            <w:tcBorders>
              <w:top w:val="nil"/>
              <w:left w:val="double" w:sz="6" w:space="0" w:color="auto"/>
              <w:bottom w:val="dotted" w:sz="4" w:space="0" w:color="auto"/>
              <w:right w:val="dotted" w:sz="4" w:space="0" w:color="auto"/>
            </w:tcBorders>
            <w:shd w:val="clear" w:color="000000" w:fill="FFFFFF"/>
            <w:hideMark/>
          </w:tcPr>
          <w:p w14:paraId="4AC46C96"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7. Дуг приватног сектора [2]</w:t>
            </w:r>
          </w:p>
        </w:tc>
        <w:tc>
          <w:tcPr>
            <w:tcW w:w="1580" w:type="dxa"/>
            <w:tcBorders>
              <w:top w:val="nil"/>
              <w:left w:val="nil"/>
              <w:bottom w:val="dotted" w:sz="4" w:space="0" w:color="auto"/>
              <w:right w:val="single" w:sz="8" w:space="0" w:color="auto"/>
            </w:tcBorders>
            <w:shd w:val="clear" w:color="000000" w:fill="FFFFFF"/>
            <w:hideMark/>
          </w:tcPr>
          <w:p w14:paraId="6C869BA5" w14:textId="77777777" w:rsidR="009B5DE5" w:rsidRPr="009B5DE5" w:rsidRDefault="009B5DE5" w:rsidP="009B5DE5">
            <w:pPr>
              <w:spacing w:after="0"/>
              <w:jc w:val="center"/>
              <w:rPr>
                <w:rFonts w:eastAsia="Times New Roman" w:cs="Times New Roman"/>
                <w:sz w:val="18"/>
                <w:szCs w:val="18"/>
              </w:rPr>
            </w:pPr>
            <w:r w:rsidRPr="009B5DE5">
              <w:rPr>
                <w:rFonts w:eastAsia="Times New Roman" w:cs="Times New Roman"/>
                <w:sz w:val="18"/>
                <w:szCs w:val="18"/>
              </w:rPr>
              <w:t>% БДП</w:t>
            </w:r>
          </w:p>
        </w:tc>
        <w:tc>
          <w:tcPr>
            <w:tcW w:w="1355" w:type="dxa"/>
            <w:tcBorders>
              <w:top w:val="nil"/>
              <w:left w:val="nil"/>
              <w:bottom w:val="dotted" w:sz="4" w:space="0" w:color="auto"/>
              <w:right w:val="dotted" w:sz="4" w:space="0" w:color="auto"/>
            </w:tcBorders>
            <w:shd w:val="clear" w:color="000000" w:fill="FFFFFF"/>
            <w:vAlign w:val="center"/>
            <w:hideMark/>
          </w:tcPr>
          <w:p w14:paraId="030DEB07"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43,2</w:t>
            </w:r>
          </w:p>
        </w:tc>
        <w:tc>
          <w:tcPr>
            <w:tcW w:w="1355" w:type="dxa"/>
            <w:tcBorders>
              <w:top w:val="nil"/>
              <w:left w:val="nil"/>
              <w:bottom w:val="dotted" w:sz="4" w:space="0" w:color="auto"/>
              <w:right w:val="dotted" w:sz="4" w:space="0" w:color="auto"/>
            </w:tcBorders>
            <w:shd w:val="clear" w:color="000000" w:fill="FFFFFF"/>
            <w:vAlign w:val="center"/>
            <w:hideMark/>
          </w:tcPr>
          <w:p w14:paraId="47FE162D"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41,2</w:t>
            </w:r>
          </w:p>
        </w:tc>
        <w:tc>
          <w:tcPr>
            <w:tcW w:w="1355" w:type="dxa"/>
            <w:tcBorders>
              <w:top w:val="nil"/>
              <w:left w:val="nil"/>
              <w:bottom w:val="dotted" w:sz="4" w:space="0" w:color="auto"/>
              <w:right w:val="dotted" w:sz="4" w:space="0" w:color="auto"/>
            </w:tcBorders>
            <w:shd w:val="clear" w:color="000000" w:fill="FFFFFF"/>
            <w:vAlign w:val="center"/>
            <w:hideMark/>
          </w:tcPr>
          <w:p w14:paraId="79A5A3BF"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38,2</w:t>
            </w:r>
          </w:p>
        </w:tc>
        <w:tc>
          <w:tcPr>
            <w:tcW w:w="1355" w:type="dxa"/>
            <w:tcBorders>
              <w:top w:val="nil"/>
              <w:left w:val="nil"/>
              <w:bottom w:val="dotted" w:sz="4" w:space="0" w:color="auto"/>
              <w:right w:val="dotted" w:sz="4" w:space="0" w:color="auto"/>
            </w:tcBorders>
            <w:shd w:val="clear" w:color="000000" w:fill="FFFFFF"/>
            <w:vAlign w:val="center"/>
            <w:hideMark/>
          </w:tcPr>
          <w:p w14:paraId="6287E0B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32,9</w:t>
            </w:r>
          </w:p>
        </w:tc>
        <w:tc>
          <w:tcPr>
            <w:tcW w:w="1355" w:type="dxa"/>
            <w:tcBorders>
              <w:top w:val="nil"/>
              <w:left w:val="nil"/>
              <w:bottom w:val="dotted" w:sz="4" w:space="0" w:color="auto"/>
              <w:right w:val="double" w:sz="6" w:space="0" w:color="auto"/>
            </w:tcBorders>
            <w:shd w:val="clear" w:color="000000" w:fill="FFFFFF"/>
            <w:vAlign w:val="center"/>
            <w:hideMark/>
          </w:tcPr>
          <w:p w14:paraId="11C43F39"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32,2</w:t>
            </w:r>
          </w:p>
        </w:tc>
      </w:tr>
      <w:tr w:rsidR="009B5DE5" w:rsidRPr="009B5DE5" w14:paraId="73C59670" w14:textId="77777777" w:rsidTr="00396800">
        <w:trPr>
          <w:gridBefore w:val="1"/>
          <w:wBefore w:w="23" w:type="dxa"/>
          <w:trHeight w:val="320"/>
        </w:trPr>
        <w:tc>
          <w:tcPr>
            <w:tcW w:w="6377" w:type="dxa"/>
            <w:gridSpan w:val="2"/>
            <w:tcBorders>
              <w:top w:val="nil"/>
              <w:left w:val="double" w:sz="6" w:space="0" w:color="auto"/>
              <w:bottom w:val="double" w:sz="6" w:space="0" w:color="auto"/>
              <w:right w:val="dotted" w:sz="4" w:space="0" w:color="auto"/>
            </w:tcBorders>
            <w:shd w:val="clear" w:color="000000" w:fill="FFFFFF"/>
            <w:hideMark/>
          </w:tcPr>
          <w:p w14:paraId="6EBA83B4"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8. Дуг сектора државе</w:t>
            </w:r>
          </w:p>
        </w:tc>
        <w:tc>
          <w:tcPr>
            <w:tcW w:w="1580" w:type="dxa"/>
            <w:tcBorders>
              <w:top w:val="nil"/>
              <w:left w:val="nil"/>
              <w:bottom w:val="double" w:sz="6" w:space="0" w:color="auto"/>
              <w:right w:val="single" w:sz="8" w:space="0" w:color="auto"/>
            </w:tcBorders>
            <w:shd w:val="clear" w:color="000000" w:fill="FFFFFF"/>
            <w:hideMark/>
          </w:tcPr>
          <w:p w14:paraId="045B7433" w14:textId="77777777" w:rsidR="009B5DE5" w:rsidRPr="009B5DE5" w:rsidRDefault="009B5DE5" w:rsidP="009B5DE5">
            <w:pPr>
              <w:spacing w:after="0"/>
              <w:jc w:val="center"/>
              <w:rPr>
                <w:rFonts w:eastAsia="Times New Roman" w:cs="Times New Roman"/>
                <w:sz w:val="18"/>
                <w:szCs w:val="18"/>
              </w:rPr>
            </w:pPr>
            <w:r w:rsidRPr="009B5DE5">
              <w:rPr>
                <w:rFonts w:eastAsia="Times New Roman" w:cs="Times New Roman"/>
                <w:sz w:val="18"/>
                <w:szCs w:val="18"/>
              </w:rPr>
              <w:t>% БДП</w:t>
            </w:r>
          </w:p>
        </w:tc>
        <w:tc>
          <w:tcPr>
            <w:tcW w:w="1355" w:type="dxa"/>
            <w:tcBorders>
              <w:top w:val="nil"/>
              <w:left w:val="nil"/>
              <w:bottom w:val="double" w:sz="6" w:space="0" w:color="auto"/>
              <w:right w:val="dotted" w:sz="4" w:space="0" w:color="auto"/>
            </w:tcBorders>
            <w:shd w:val="clear" w:color="000000" w:fill="FFFFFF"/>
            <w:vAlign w:val="center"/>
            <w:hideMark/>
          </w:tcPr>
          <w:p w14:paraId="438579E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55,2</w:t>
            </w:r>
          </w:p>
        </w:tc>
        <w:tc>
          <w:tcPr>
            <w:tcW w:w="1355" w:type="dxa"/>
            <w:tcBorders>
              <w:top w:val="nil"/>
              <w:left w:val="nil"/>
              <w:bottom w:val="double" w:sz="6" w:space="0" w:color="auto"/>
              <w:right w:val="dotted" w:sz="4" w:space="0" w:color="auto"/>
            </w:tcBorders>
            <w:shd w:val="clear" w:color="000000" w:fill="FFFFFF"/>
            <w:vAlign w:val="center"/>
            <w:hideMark/>
          </w:tcPr>
          <w:p w14:paraId="72A287A7"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54,5</w:t>
            </w:r>
          </w:p>
        </w:tc>
        <w:tc>
          <w:tcPr>
            <w:tcW w:w="1355" w:type="dxa"/>
            <w:tcBorders>
              <w:top w:val="nil"/>
              <w:left w:val="nil"/>
              <w:bottom w:val="double" w:sz="6" w:space="0" w:color="auto"/>
              <w:right w:val="dotted" w:sz="4" w:space="0" w:color="auto"/>
            </w:tcBorders>
            <w:shd w:val="clear" w:color="auto" w:fill="auto"/>
            <w:vAlign w:val="center"/>
            <w:hideMark/>
          </w:tcPr>
          <w:p w14:paraId="603B11B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52,9</w:t>
            </w:r>
          </w:p>
        </w:tc>
        <w:tc>
          <w:tcPr>
            <w:tcW w:w="1355" w:type="dxa"/>
            <w:tcBorders>
              <w:top w:val="nil"/>
              <w:left w:val="nil"/>
              <w:bottom w:val="double" w:sz="6" w:space="0" w:color="auto"/>
              <w:right w:val="dotted" w:sz="4" w:space="0" w:color="auto"/>
            </w:tcBorders>
            <w:shd w:val="clear" w:color="auto" w:fill="auto"/>
            <w:vAlign w:val="center"/>
            <w:hideMark/>
          </w:tcPr>
          <w:p w14:paraId="5523AA0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48,4</w:t>
            </w:r>
          </w:p>
        </w:tc>
        <w:tc>
          <w:tcPr>
            <w:tcW w:w="1355" w:type="dxa"/>
            <w:tcBorders>
              <w:top w:val="nil"/>
              <w:left w:val="nil"/>
              <w:bottom w:val="double" w:sz="6" w:space="0" w:color="auto"/>
              <w:right w:val="double" w:sz="6" w:space="0" w:color="auto"/>
            </w:tcBorders>
            <w:shd w:val="clear" w:color="auto" w:fill="auto"/>
            <w:vAlign w:val="center"/>
            <w:hideMark/>
          </w:tcPr>
          <w:p w14:paraId="543E440D"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47,9</w:t>
            </w:r>
          </w:p>
        </w:tc>
      </w:tr>
      <w:tr w:rsidR="009B5DE5" w:rsidRPr="009B5DE5" w14:paraId="0F91962A" w14:textId="77777777" w:rsidTr="00396800">
        <w:trPr>
          <w:gridAfter w:val="7"/>
          <w:wAfter w:w="10135" w:type="dxa"/>
          <w:trHeight w:val="319"/>
        </w:trPr>
        <w:tc>
          <w:tcPr>
            <w:tcW w:w="4620" w:type="dxa"/>
            <w:gridSpan w:val="2"/>
            <w:tcBorders>
              <w:top w:val="nil"/>
              <w:left w:val="nil"/>
              <w:bottom w:val="nil"/>
              <w:right w:val="nil"/>
            </w:tcBorders>
            <w:shd w:val="clear" w:color="000000" w:fill="FFFFFF"/>
            <w:noWrap/>
            <w:vAlign w:val="bottom"/>
            <w:hideMark/>
          </w:tcPr>
          <w:p w14:paraId="7E294038" w14:textId="77777777" w:rsidR="009B5DE5" w:rsidRPr="009B5DE5" w:rsidRDefault="009B5DE5" w:rsidP="009B5DE5">
            <w:pPr>
              <w:spacing w:after="0"/>
              <w:jc w:val="left"/>
              <w:rPr>
                <w:rFonts w:eastAsia="Times New Roman" w:cs="Times New Roman"/>
                <w:sz w:val="16"/>
                <w:szCs w:val="16"/>
              </w:rPr>
            </w:pPr>
            <w:r w:rsidRPr="009B5DE5">
              <w:rPr>
                <w:rFonts w:eastAsia="Times New Roman" w:cs="Times New Roman"/>
                <w:sz w:val="16"/>
                <w:szCs w:val="16"/>
              </w:rPr>
              <w:t>[1] јануар-септембар 2024.</w:t>
            </w:r>
          </w:p>
        </w:tc>
      </w:tr>
      <w:tr w:rsidR="009B5DE5" w:rsidRPr="009B5DE5" w14:paraId="61518FA8" w14:textId="77777777" w:rsidTr="00396800">
        <w:trPr>
          <w:gridAfter w:val="7"/>
          <w:wAfter w:w="10135" w:type="dxa"/>
          <w:trHeight w:val="319"/>
        </w:trPr>
        <w:tc>
          <w:tcPr>
            <w:tcW w:w="4620" w:type="dxa"/>
            <w:gridSpan w:val="2"/>
            <w:tcBorders>
              <w:top w:val="nil"/>
              <w:left w:val="nil"/>
              <w:bottom w:val="nil"/>
              <w:right w:val="nil"/>
            </w:tcBorders>
            <w:shd w:val="clear" w:color="000000" w:fill="FFFFFF"/>
            <w:noWrap/>
            <w:vAlign w:val="bottom"/>
            <w:hideMark/>
          </w:tcPr>
          <w:p w14:paraId="5F3A796F" w14:textId="77777777" w:rsidR="009B5DE5" w:rsidRPr="009B5DE5" w:rsidRDefault="009B5DE5" w:rsidP="009B5DE5">
            <w:pPr>
              <w:spacing w:after="0"/>
              <w:jc w:val="left"/>
              <w:rPr>
                <w:rFonts w:eastAsia="Times New Roman" w:cs="Times New Roman"/>
                <w:sz w:val="16"/>
                <w:szCs w:val="16"/>
              </w:rPr>
            </w:pPr>
            <w:r w:rsidRPr="009B5DE5">
              <w:rPr>
                <w:rFonts w:eastAsia="Times New Roman" w:cs="Times New Roman"/>
                <w:sz w:val="16"/>
                <w:szCs w:val="16"/>
              </w:rPr>
              <w:t>[2] крај септембра 2024.</w:t>
            </w:r>
          </w:p>
        </w:tc>
      </w:tr>
    </w:tbl>
    <w:p w14:paraId="1101154C" w14:textId="77777777" w:rsidR="009B5DE5" w:rsidRPr="009B5DE5" w:rsidRDefault="009B5DE5" w:rsidP="009B5DE5">
      <w:pPr>
        <w:spacing w:after="0"/>
        <w:jc w:val="left"/>
        <w:rPr>
          <w:rFonts w:eastAsia="Times New Roman" w:cs="Times New Roman"/>
          <w:bCs/>
          <w:sz w:val="22"/>
        </w:rPr>
      </w:pPr>
    </w:p>
    <w:p w14:paraId="719AC259" w14:textId="77777777" w:rsidR="009B5DE5" w:rsidRDefault="009B5DE5" w:rsidP="009B5DE5">
      <w:pPr>
        <w:spacing w:after="0"/>
        <w:jc w:val="left"/>
        <w:rPr>
          <w:rFonts w:eastAsia="Times New Roman" w:cs="Times New Roman"/>
          <w:bCs/>
          <w:sz w:val="22"/>
        </w:rPr>
      </w:pPr>
    </w:p>
    <w:p w14:paraId="591EC3F2" w14:textId="77777777" w:rsidR="00396800" w:rsidRDefault="00396800" w:rsidP="009B5DE5">
      <w:pPr>
        <w:spacing w:after="0"/>
        <w:jc w:val="left"/>
        <w:rPr>
          <w:rFonts w:eastAsia="Times New Roman" w:cs="Times New Roman"/>
          <w:bCs/>
          <w:sz w:val="22"/>
        </w:rPr>
      </w:pPr>
    </w:p>
    <w:p w14:paraId="0C4FFF3F" w14:textId="77777777" w:rsidR="00396800" w:rsidRDefault="00396800" w:rsidP="009B5DE5">
      <w:pPr>
        <w:spacing w:after="0"/>
        <w:jc w:val="left"/>
        <w:rPr>
          <w:rFonts w:eastAsia="Times New Roman" w:cs="Times New Roman"/>
          <w:bCs/>
          <w:sz w:val="22"/>
        </w:rPr>
      </w:pPr>
    </w:p>
    <w:p w14:paraId="73FFCFAD" w14:textId="77777777" w:rsidR="00396800" w:rsidRDefault="00396800" w:rsidP="009B5DE5">
      <w:pPr>
        <w:spacing w:after="0"/>
        <w:jc w:val="left"/>
        <w:rPr>
          <w:rFonts w:eastAsia="Times New Roman" w:cs="Times New Roman"/>
          <w:bCs/>
          <w:sz w:val="22"/>
        </w:rPr>
      </w:pPr>
    </w:p>
    <w:p w14:paraId="37CF1E1A" w14:textId="77777777" w:rsidR="00396800" w:rsidRDefault="00396800" w:rsidP="009B5DE5">
      <w:pPr>
        <w:spacing w:after="0"/>
        <w:jc w:val="left"/>
        <w:rPr>
          <w:rFonts w:eastAsia="Times New Roman" w:cs="Times New Roman"/>
          <w:bCs/>
          <w:sz w:val="22"/>
        </w:rPr>
      </w:pPr>
    </w:p>
    <w:p w14:paraId="1FC2A7D6" w14:textId="77777777" w:rsidR="00396800" w:rsidRDefault="00396800" w:rsidP="009B5DE5">
      <w:pPr>
        <w:spacing w:after="0"/>
        <w:jc w:val="left"/>
        <w:rPr>
          <w:rFonts w:eastAsia="Times New Roman" w:cs="Times New Roman"/>
          <w:bCs/>
          <w:sz w:val="22"/>
        </w:rPr>
      </w:pPr>
    </w:p>
    <w:p w14:paraId="09AD6ECC" w14:textId="77777777" w:rsidR="00396800" w:rsidRDefault="00396800" w:rsidP="009B5DE5">
      <w:pPr>
        <w:spacing w:after="0"/>
        <w:jc w:val="left"/>
        <w:rPr>
          <w:rFonts w:eastAsia="Times New Roman" w:cs="Times New Roman"/>
          <w:bCs/>
          <w:sz w:val="22"/>
        </w:rPr>
      </w:pPr>
    </w:p>
    <w:p w14:paraId="5D804879" w14:textId="77777777" w:rsidR="00396800" w:rsidRDefault="00396800" w:rsidP="009B5DE5">
      <w:pPr>
        <w:spacing w:after="0"/>
        <w:jc w:val="left"/>
        <w:rPr>
          <w:rFonts w:eastAsia="Times New Roman" w:cs="Times New Roman"/>
          <w:bCs/>
          <w:sz w:val="22"/>
        </w:rPr>
      </w:pPr>
    </w:p>
    <w:p w14:paraId="1D6924EC" w14:textId="77777777" w:rsidR="00396800" w:rsidRDefault="00396800" w:rsidP="009B5DE5">
      <w:pPr>
        <w:spacing w:after="0"/>
        <w:jc w:val="left"/>
        <w:rPr>
          <w:rFonts w:eastAsia="Times New Roman" w:cs="Times New Roman"/>
          <w:bCs/>
          <w:sz w:val="22"/>
        </w:rPr>
      </w:pPr>
    </w:p>
    <w:p w14:paraId="65BA38D7" w14:textId="77777777" w:rsidR="00396800" w:rsidRDefault="00396800" w:rsidP="009B5DE5">
      <w:pPr>
        <w:spacing w:after="0"/>
        <w:jc w:val="left"/>
        <w:rPr>
          <w:rFonts w:eastAsia="Times New Roman" w:cs="Times New Roman"/>
          <w:bCs/>
          <w:sz w:val="22"/>
        </w:rPr>
      </w:pPr>
    </w:p>
    <w:p w14:paraId="34237868" w14:textId="77777777" w:rsidR="00396800" w:rsidRDefault="00396800" w:rsidP="009B5DE5">
      <w:pPr>
        <w:spacing w:after="0"/>
        <w:jc w:val="left"/>
        <w:rPr>
          <w:rFonts w:eastAsia="Times New Roman" w:cs="Times New Roman"/>
          <w:bCs/>
          <w:sz w:val="22"/>
        </w:rPr>
      </w:pPr>
    </w:p>
    <w:p w14:paraId="4FCF01A0" w14:textId="77777777" w:rsidR="00396800" w:rsidRDefault="00396800" w:rsidP="009B5DE5">
      <w:pPr>
        <w:spacing w:after="0"/>
        <w:jc w:val="left"/>
        <w:rPr>
          <w:rFonts w:eastAsia="Times New Roman" w:cs="Times New Roman"/>
          <w:bCs/>
          <w:sz w:val="22"/>
        </w:rPr>
      </w:pPr>
    </w:p>
    <w:p w14:paraId="537E3AC7" w14:textId="77777777" w:rsidR="00396800" w:rsidRDefault="00396800" w:rsidP="009B5DE5">
      <w:pPr>
        <w:spacing w:after="0"/>
        <w:jc w:val="left"/>
        <w:rPr>
          <w:rFonts w:eastAsia="Times New Roman" w:cs="Times New Roman"/>
          <w:bCs/>
          <w:sz w:val="22"/>
        </w:rPr>
      </w:pPr>
    </w:p>
    <w:p w14:paraId="2CA1D476" w14:textId="77777777" w:rsidR="00396800" w:rsidRDefault="00396800" w:rsidP="009B5DE5">
      <w:pPr>
        <w:spacing w:after="0"/>
        <w:jc w:val="left"/>
        <w:rPr>
          <w:rFonts w:eastAsia="Times New Roman" w:cs="Times New Roman"/>
          <w:bCs/>
          <w:sz w:val="22"/>
        </w:rPr>
      </w:pPr>
    </w:p>
    <w:p w14:paraId="5760897C" w14:textId="77777777" w:rsidR="00396800" w:rsidRDefault="00396800" w:rsidP="009B5DE5">
      <w:pPr>
        <w:spacing w:after="0"/>
        <w:jc w:val="left"/>
        <w:rPr>
          <w:rFonts w:eastAsia="Times New Roman" w:cs="Times New Roman"/>
          <w:bCs/>
          <w:sz w:val="22"/>
        </w:rPr>
      </w:pPr>
    </w:p>
    <w:p w14:paraId="2D8732FD" w14:textId="77777777" w:rsidR="00396800" w:rsidRDefault="00396800" w:rsidP="009B5DE5">
      <w:pPr>
        <w:spacing w:after="0"/>
        <w:jc w:val="left"/>
        <w:rPr>
          <w:rFonts w:eastAsia="Times New Roman" w:cs="Times New Roman"/>
          <w:bCs/>
          <w:sz w:val="22"/>
        </w:rPr>
      </w:pPr>
    </w:p>
    <w:p w14:paraId="36BBDEB1" w14:textId="77777777" w:rsidR="00396800" w:rsidRDefault="00396800" w:rsidP="009B5DE5">
      <w:pPr>
        <w:spacing w:after="0"/>
        <w:jc w:val="left"/>
        <w:rPr>
          <w:rFonts w:eastAsia="Times New Roman" w:cs="Times New Roman"/>
          <w:bCs/>
          <w:sz w:val="22"/>
        </w:rPr>
      </w:pPr>
    </w:p>
    <w:p w14:paraId="605AEA6A" w14:textId="77777777" w:rsidR="00396800" w:rsidRDefault="00396800" w:rsidP="009B5DE5">
      <w:pPr>
        <w:spacing w:after="0"/>
        <w:jc w:val="left"/>
        <w:rPr>
          <w:rFonts w:eastAsia="Times New Roman" w:cs="Times New Roman"/>
          <w:bCs/>
          <w:sz w:val="22"/>
        </w:rPr>
      </w:pPr>
    </w:p>
    <w:p w14:paraId="1ADFD49A" w14:textId="77777777" w:rsidR="00396800" w:rsidRPr="009B5DE5" w:rsidRDefault="00396800" w:rsidP="009B5DE5">
      <w:pPr>
        <w:spacing w:after="0"/>
        <w:jc w:val="left"/>
        <w:rPr>
          <w:rFonts w:eastAsia="Times New Roman" w:cs="Times New Roman"/>
          <w:bCs/>
          <w:sz w:val="22"/>
        </w:rPr>
      </w:pPr>
    </w:p>
    <w:p w14:paraId="17EBE799" w14:textId="77777777" w:rsidR="009B5DE5" w:rsidRPr="009B5DE5" w:rsidRDefault="009B5DE5" w:rsidP="009B5DE5">
      <w:pPr>
        <w:spacing w:after="0"/>
        <w:jc w:val="left"/>
        <w:rPr>
          <w:rFonts w:eastAsia="Times New Roman" w:cs="Times New Roman"/>
          <w:bCs/>
          <w:sz w:val="22"/>
        </w:rPr>
      </w:pPr>
    </w:p>
    <w:p w14:paraId="50208F47" w14:textId="77777777" w:rsidR="009B5DE5" w:rsidRPr="009B5DE5" w:rsidRDefault="009B5DE5" w:rsidP="009B5DE5">
      <w:pPr>
        <w:spacing w:after="0"/>
        <w:jc w:val="left"/>
        <w:rPr>
          <w:rFonts w:eastAsia="Times New Roman" w:cs="Times New Roman"/>
          <w:bCs/>
          <w:sz w:val="22"/>
        </w:rPr>
      </w:pPr>
      <w:r w:rsidRPr="009B5DE5">
        <w:rPr>
          <w:rFonts w:eastAsia="Times New Roman" w:cs="Times New Roman"/>
          <w:bCs/>
          <w:sz w:val="22"/>
        </w:rPr>
        <w:lastRenderedPageBreak/>
        <w:t>Табела 2a + 2b:  Буџетски изгледи сектора државе</w:t>
      </w:r>
    </w:p>
    <w:p w14:paraId="0C258790" w14:textId="77777777" w:rsidR="009B5DE5" w:rsidRPr="009B5DE5" w:rsidRDefault="009B5DE5" w:rsidP="009B5DE5">
      <w:pPr>
        <w:spacing w:after="0"/>
        <w:jc w:val="left"/>
        <w:rPr>
          <w:rFonts w:eastAsia="Times New Roman" w:cs="Times New Roman"/>
          <w:bCs/>
          <w:sz w:val="22"/>
        </w:rPr>
      </w:pPr>
    </w:p>
    <w:tbl>
      <w:tblPr>
        <w:tblW w:w="14805" w:type="dxa"/>
        <w:tblLook w:val="04A0" w:firstRow="1" w:lastRow="0" w:firstColumn="1" w:lastColumn="0" w:noHBand="0" w:noVBand="1"/>
      </w:tblPr>
      <w:tblGrid>
        <w:gridCol w:w="6078"/>
        <w:gridCol w:w="1647"/>
        <w:gridCol w:w="1180"/>
        <w:gridCol w:w="1180"/>
        <w:gridCol w:w="1180"/>
        <w:gridCol w:w="1180"/>
        <w:gridCol w:w="1180"/>
        <w:gridCol w:w="1180"/>
      </w:tblGrid>
      <w:tr w:rsidR="009B5DE5" w:rsidRPr="009B5DE5" w14:paraId="16770442" w14:textId="77777777" w:rsidTr="00396800">
        <w:trPr>
          <w:trHeight w:val="389"/>
          <w:tblHeader/>
        </w:trPr>
        <w:tc>
          <w:tcPr>
            <w:tcW w:w="6078" w:type="dxa"/>
            <w:tcBorders>
              <w:top w:val="double" w:sz="6" w:space="0" w:color="auto"/>
              <w:left w:val="double" w:sz="6" w:space="0" w:color="auto"/>
              <w:bottom w:val="double" w:sz="6" w:space="0" w:color="auto"/>
              <w:right w:val="nil"/>
            </w:tcBorders>
            <w:shd w:val="clear" w:color="auto" w:fill="auto"/>
            <w:noWrap/>
            <w:vAlign w:val="center"/>
            <w:hideMark/>
          </w:tcPr>
          <w:p w14:paraId="16CE60F4" w14:textId="77777777" w:rsidR="009B5DE5" w:rsidRPr="009B5DE5" w:rsidRDefault="009B5DE5" w:rsidP="009B5DE5">
            <w:pPr>
              <w:spacing w:after="0"/>
              <w:jc w:val="center"/>
              <w:rPr>
                <w:rFonts w:eastAsia="Times New Roman" w:cs="Times New Roman"/>
                <w:b/>
                <w:bCs/>
                <w:sz w:val="20"/>
                <w:szCs w:val="20"/>
                <w:lang w:val="sr-Cyrl-RS"/>
              </w:rPr>
            </w:pPr>
            <w:r w:rsidRPr="009B5DE5">
              <w:rPr>
                <w:rFonts w:eastAsia="Times New Roman" w:cs="Times New Roman"/>
                <w:b/>
                <w:bCs/>
                <w:sz w:val="20"/>
                <w:szCs w:val="20"/>
                <w:lang w:val="sr-Cyrl-RS"/>
              </w:rPr>
              <w:t>Опис</w:t>
            </w:r>
          </w:p>
        </w:tc>
        <w:tc>
          <w:tcPr>
            <w:tcW w:w="1647" w:type="dxa"/>
            <w:tcBorders>
              <w:top w:val="double" w:sz="6" w:space="0" w:color="auto"/>
              <w:left w:val="single" w:sz="8" w:space="0" w:color="auto"/>
              <w:bottom w:val="double" w:sz="6" w:space="0" w:color="auto"/>
              <w:right w:val="single" w:sz="8" w:space="0" w:color="auto"/>
            </w:tcBorders>
            <w:shd w:val="clear" w:color="auto" w:fill="auto"/>
            <w:noWrap/>
            <w:vAlign w:val="center"/>
            <w:hideMark/>
          </w:tcPr>
          <w:p w14:paraId="066A289E" w14:textId="77777777" w:rsidR="009B5DE5" w:rsidRPr="009B5DE5" w:rsidRDefault="009B5DE5" w:rsidP="009B5DE5">
            <w:pPr>
              <w:spacing w:after="0"/>
              <w:jc w:val="center"/>
              <w:rPr>
                <w:rFonts w:eastAsia="Times New Roman" w:cs="Times New Roman"/>
                <w:b/>
                <w:bCs/>
                <w:sz w:val="20"/>
                <w:szCs w:val="20"/>
              </w:rPr>
            </w:pPr>
            <w:r w:rsidRPr="009B5DE5">
              <w:rPr>
                <w:rFonts w:eastAsia="Times New Roman" w:cs="Times New Roman"/>
                <w:b/>
                <w:bCs/>
                <w:sz w:val="20"/>
                <w:szCs w:val="20"/>
              </w:rPr>
              <w:t>млрд РСД</w:t>
            </w:r>
          </w:p>
        </w:tc>
        <w:tc>
          <w:tcPr>
            <w:tcW w:w="1180" w:type="dxa"/>
            <w:tcBorders>
              <w:top w:val="double" w:sz="6" w:space="0" w:color="auto"/>
              <w:left w:val="nil"/>
              <w:bottom w:val="double" w:sz="6" w:space="0" w:color="auto"/>
              <w:right w:val="dashed" w:sz="4" w:space="0" w:color="auto"/>
            </w:tcBorders>
            <w:shd w:val="clear" w:color="auto" w:fill="auto"/>
            <w:noWrap/>
            <w:vAlign w:val="center"/>
            <w:hideMark/>
          </w:tcPr>
          <w:p w14:paraId="31A4DCD0"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2022</w:t>
            </w:r>
          </w:p>
        </w:tc>
        <w:tc>
          <w:tcPr>
            <w:tcW w:w="1180" w:type="dxa"/>
            <w:tcBorders>
              <w:top w:val="double" w:sz="6" w:space="0" w:color="auto"/>
              <w:left w:val="nil"/>
              <w:bottom w:val="double" w:sz="6" w:space="0" w:color="auto"/>
              <w:right w:val="dashed" w:sz="4" w:space="0" w:color="auto"/>
            </w:tcBorders>
            <w:shd w:val="clear" w:color="auto" w:fill="auto"/>
            <w:noWrap/>
            <w:vAlign w:val="center"/>
            <w:hideMark/>
          </w:tcPr>
          <w:p w14:paraId="1CB7DFDF"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2023</w:t>
            </w:r>
          </w:p>
        </w:tc>
        <w:tc>
          <w:tcPr>
            <w:tcW w:w="1180" w:type="dxa"/>
            <w:tcBorders>
              <w:top w:val="double" w:sz="6" w:space="0" w:color="auto"/>
              <w:left w:val="nil"/>
              <w:bottom w:val="double" w:sz="6" w:space="0" w:color="auto"/>
              <w:right w:val="dashed" w:sz="4" w:space="0" w:color="auto"/>
            </w:tcBorders>
            <w:shd w:val="clear" w:color="auto" w:fill="auto"/>
            <w:noWrap/>
            <w:vAlign w:val="center"/>
            <w:hideMark/>
          </w:tcPr>
          <w:p w14:paraId="55142C5A"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2024</w:t>
            </w:r>
          </w:p>
        </w:tc>
        <w:tc>
          <w:tcPr>
            <w:tcW w:w="1180" w:type="dxa"/>
            <w:tcBorders>
              <w:top w:val="double" w:sz="6" w:space="0" w:color="auto"/>
              <w:left w:val="nil"/>
              <w:bottom w:val="double" w:sz="6" w:space="0" w:color="auto"/>
              <w:right w:val="dashed" w:sz="4" w:space="0" w:color="auto"/>
            </w:tcBorders>
            <w:shd w:val="clear" w:color="auto" w:fill="auto"/>
            <w:noWrap/>
            <w:vAlign w:val="center"/>
            <w:hideMark/>
          </w:tcPr>
          <w:p w14:paraId="01F65755"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2025</w:t>
            </w:r>
          </w:p>
        </w:tc>
        <w:tc>
          <w:tcPr>
            <w:tcW w:w="1180" w:type="dxa"/>
            <w:tcBorders>
              <w:top w:val="double" w:sz="6" w:space="0" w:color="auto"/>
              <w:left w:val="nil"/>
              <w:bottom w:val="double" w:sz="6" w:space="0" w:color="auto"/>
              <w:right w:val="dashed" w:sz="4" w:space="0" w:color="auto"/>
            </w:tcBorders>
            <w:shd w:val="clear" w:color="auto" w:fill="auto"/>
            <w:noWrap/>
            <w:vAlign w:val="center"/>
            <w:hideMark/>
          </w:tcPr>
          <w:p w14:paraId="62811B2A"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2026</w:t>
            </w:r>
          </w:p>
        </w:tc>
        <w:tc>
          <w:tcPr>
            <w:tcW w:w="1180" w:type="dxa"/>
            <w:tcBorders>
              <w:top w:val="double" w:sz="6" w:space="0" w:color="auto"/>
              <w:left w:val="nil"/>
              <w:bottom w:val="double" w:sz="6" w:space="0" w:color="auto"/>
              <w:right w:val="double" w:sz="6" w:space="0" w:color="auto"/>
            </w:tcBorders>
            <w:shd w:val="clear" w:color="auto" w:fill="auto"/>
            <w:noWrap/>
            <w:vAlign w:val="center"/>
            <w:hideMark/>
          </w:tcPr>
          <w:p w14:paraId="0DFBF873"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2027</w:t>
            </w:r>
          </w:p>
        </w:tc>
      </w:tr>
      <w:tr w:rsidR="009B5DE5" w:rsidRPr="009B5DE5" w14:paraId="7025547E" w14:textId="77777777" w:rsidTr="00396800">
        <w:trPr>
          <w:trHeight w:val="368"/>
        </w:trPr>
        <w:tc>
          <w:tcPr>
            <w:tcW w:w="6078" w:type="dxa"/>
            <w:tcBorders>
              <w:top w:val="nil"/>
              <w:left w:val="double" w:sz="6" w:space="0" w:color="auto"/>
              <w:bottom w:val="single" w:sz="4" w:space="0" w:color="auto"/>
              <w:right w:val="nil"/>
            </w:tcBorders>
            <w:shd w:val="clear" w:color="auto" w:fill="auto"/>
            <w:vAlign w:val="center"/>
            <w:hideMark/>
          </w:tcPr>
          <w:p w14:paraId="6EEB1F75" w14:textId="77777777" w:rsidR="009B5DE5" w:rsidRPr="009B5DE5" w:rsidRDefault="009B5DE5" w:rsidP="009B5DE5">
            <w:pPr>
              <w:spacing w:after="0"/>
              <w:jc w:val="left"/>
              <w:rPr>
                <w:rFonts w:eastAsia="Times New Roman" w:cs="Times New Roman"/>
                <w:b/>
                <w:bCs/>
                <w:sz w:val="20"/>
                <w:szCs w:val="20"/>
              </w:rPr>
            </w:pPr>
            <w:r w:rsidRPr="009B5DE5">
              <w:rPr>
                <w:rFonts w:eastAsia="Times New Roman" w:cs="Times New Roman"/>
                <w:b/>
                <w:bCs/>
                <w:sz w:val="20"/>
                <w:szCs w:val="20"/>
              </w:rPr>
              <w:t>Резултат (B9) по секторима државе</w:t>
            </w:r>
          </w:p>
        </w:tc>
        <w:tc>
          <w:tcPr>
            <w:tcW w:w="1647" w:type="dxa"/>
            <w:tcBorders>
              <w:top w:val="nil"/>
              <w:left w:val="single" w:sz="8" w:space="0" w:color="auto"/>
              <w:bottom w:val="single" w:sz="4" w:space="0" w:color="auto"/>
              <w:right w:val="single" w:sz="8" w:space="0" w:color="auto"/>
            </w:tcBorders>
            <w:shd w:val="clear" w:color="auto" w:fill="auto"/>
            <w:vAlign w:val="center"/>
            <w:hideMark/>
          </w:tcPr>
          <w:p w14:paraId="4D22B048" w14:textId="77777777" w:rsidR="009B5DE5" w:rsidRPr="009B5DE5" w:rsidRDefault="009B5DE5" w:rsidP="009B5DE5">
            <w:pPr>
              <w:spacing w:after="0"/>
              <w:jc w:val="center"/>
              <w:rPr>
                <w:rFonts w:eastAsia="Times New Roman" w:cs="Times New Roman"/>
                <w:b/>
                <w:bCs/>
                <w:sz w:val="20"/>
                <w:szCs w:val="20"/>
              </w:rPr>
            </w:pPr>
            <w:r w:rsidRPr="009B5DE5">
              <w:rPr>
                <w:rFonts w:eastAsia="Times New Roman" w:cs="Times New Roman"/>
                <w:b/>
                <w:bCs/>
                <w:sz w:val="20"/>
                <w:szCs w:val="20"/>
              </w:rPr>
              <w:t> </w:t>
            </w:r>
          </w:p>
        </w:tc>
        <w:tc>
          <w:tcPr>
            <w:tcW w:w="1180" w:type="dxa"/>
            <w:tcBorders>
              <w:top w:val="nil"/>
              <w:left w:val="nil"/>
              <w:bottom w:val="single" w:sz="4" w:space="0" w:color="auto"/>
              <w:right w:val="nil"/>
            </w:tcBorders>
            <w:shd w:val="clear" w:color="auto" w:fill="auto"/>
            <w:vAlign w:val="center"/>
            <w:hideMark/>
          </w:tcPr>
          <w:p w14:paraId="46D19FD5"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c>
          <w:tcPr>
            <w:tcW w:w="1180" w:type="dxa"/>
            <w:tcBorders>
              <w:top w:val="nil"/>
              <w:left w:val="nil"/>
              <w:bottom w:val="single" w:sz="4" w:space="0" w:color="auto"/>
              <w:right w:val="nil"/>
            </w:tcBorders>
            <w:shd w:val="clear" w:color="auto" w:fill="auto"/>
            <w:vAlign w:val="center"/>
            <w:hideMark/>
          </w:tcPr>
          <w:p w14:paraId="72ED9ADF"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c>
          <w:tcPr>
            <w:tcW w:w="1180" w:type="dxa"/>
            <w:tcBorders>
              <w:top w:val="nil"/>
              <w:left w:val="nil"/>
              <w:bottom w:val="single" w:sz="4" w:space="0" w:color="auto"/>
              <w:right w:val="nil"/>
            </w:tcBorders>
            <w:shd w:val="clear" w:color="auto" w:fill="auto"/>
            <w:vAlign w:val="center"/>
            <w:hideMark/>
          </w:tcPr>
          <w:p w14:paraId="205B5DD1"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c>
          <w:tcPr>
            <w:tcW w:w="1180" w:type="dxa"/>
            <w:tcBorders>
              <w:top w:val="nil"/>
              <w:left w:val="nil"/>
              <w:bottom w:val="single" w:sz="4" w:space="0" w:color="auto"/>
              <w:right w:val="nil"/>
            </w:tcBorders>
            <w:shd w:val="clear" w:color="auto" w:fill="auto"/>
            <w:vAlign w:val="center"/>
            <w:hideMark/>
          </w:tcPr>
          <w:p w14:paraId="6C2AD7B1"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c>
          <w:tcPr>
            <w:tcW w:w="1180" w:type="dxa"/>
            <w:tcBorders>
              <w:top w:val="nil"/>
              <w:left w:val="nil"/>
              <w:bottom w:val="single" w:sz="4" w:space="0" w:color="auto"/>
              <w:right w:val="nil"/>
            </w:tcBorders>
            <w:shd w:val="clear" w:color="auto" w:fill="auto"/>
            <w:vAlign w:val="center"/>
            <w:hideMark/>
          </w:tcPr>
          <w:p w14:paraId="42A1870E"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c>
          <w:tcPr>
            <w:tcW w:w="1180" w:type="dxa"/>
            <w:tcBorders>
              <w:top w:val="nil"/>
              <w:left w:val="nil"/>
              <w:bottom w:val="single" w:sz="4" w:space="0" w:color="auto"/>
              <w:right w:val="double" w:sz="6" w:space="0" w:color="auto"/>
            </w:tcBorders>
            <w:shd w:val="clear" w:color="auto" w:fill="auto"/>
            <w:vAlign w:val="center"/>
            <w:hideMark/>
          </w:tcPr>
          <w:p w14:paraId="49C6F156"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r>
      <w:tr w:rsidR="009B5DE5" w:rsidRPr="009B5DE5" w14:paraId="4D519353" w14:textId="77777777" w:rsidTr="00396800">
        <w:trPr>
          <w:trHeight w:val="348"/>
        </w:trPr>
        <w:tc>
          <w:tcPr>
            <w:tcW w:w="6078" w:type="dxa"/>
            <w:tcBorders>
              <w:top w:val="nil"/>
              <w:left w:val="double" w:sz="6" w:space="0" w:color="auto"/>
              <w:bottom w:val="dotted" w:sz="4" w:space="0" w:color="auto"/>
              <w:right w:val="nil"/>
            </w:tcBorders>
            <w:shd w:val="clear" w:color="auto" w:fill="auto"/>
            <w:vAlign w:val="center"/>
            <w:hideMark/>
          </w:tcPr>
          <w:p w14:paraId="63276753"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1. Сектор државе</w:t>
            </w:r>
          </w:p>
        </w:tc>
        <w:tc>
          <w:tcPr>
            <w:tcW w:w="1647" w:type="dxa"/>
            <w:tcBorders>
              <w:top w:val="nil"/>
              <w:left w:val="single" w:sz="8" w:space="0" w:color="auto"/>
              <w:bottom w:val="dotted" w:sz="4" w:space="0" w:color="auto"/>
              <w:right w:val="single" w:sz="8" w:space="0" w:color="auto"/>
            </w:tcBorders>
            <w:shd w:val="clear" w:color="auto" w:fill="auto"/>
            <w:vAlign w:val="center"/>
            <w:hideMark/>
          </w:tcPr>
          <w:p w14:paraId="79B3B73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S13</w:t>
            </w:r>
          </w:p>
        </w:tc>
        <w:tc>
          <w:tcPr>
            <w:tcW w:w="1180" w:type="dxa"/>
            <w:tcBorders>
              <w:top w:val="nil"/>
              <w:left w:val="nil"/>
              <w:bottom w:val="dotted" w:sz="4" w:space="0" w:color="auto"/>
              <w:right w:val="dotted" w:sz="4" w:space="0" w:color="auto"/>
            </w:tcBorders>
            <w:shd w:val="clear" w:color="auto" w:fill="auto"/>
            <w:vAlign w:val="center"/>
            <w:hideMark/>
          </w:tcPr>
          <w:p w14:paraId="7E898210"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-224,8</w:t>
            </w:r>
          </w:p>
        </w:tc>
        <w:tc>
          <w:tcPr>
            <w:tcW w:w="1180" w:type="dxa"/>
            <w:tcBorders>
              <w:top w:val="nil"/>
              <w:left w:val="nil"/>
              <w:bottom w:val="dotted" w:sz="4" w:space="0" w:color="auto"/>
              <w:right w:val="dotted" w:sz="4" w:space="0" w:color="auto"/>
            </w:tcBorders>
            <w:shd w:val="clear" w:color="auto" w:fill="auto"/>
            <w:vAlign w:val="center"/>
            <w:hideMark/>
          </w:tcPr>
          <w:p w14:paraId="7C4F9705"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-181,1</w:t>
            </w:r>
          </w:p>
        </w:tc>
        <w:tc>
          <w:tcPr>
            <w:tcW w:w="1180" w:type="dxa"/>
            <w:tcBorders>
              <w:top w:val="nil"/>
              <w:left w:val="nil"/>
              <w:bottom w:val="dotted" w:sz="4" w:space="0" w:color="auto"/>
              <w:right w:val="dotted" w:sz="4" w:space="0" w:color="auto"/>
            </w:tcBorders>
            <w:shd w:val="clear" w:color="auto" w:fill="auto"/>
            <w:vAlign w:val="center"/>
            <w:hideMark/>
          </w:tcPr>
          <w:p w14:paraId="14619AB9"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-263,0</w:t>
            </w:r>
          </w:p>
        </w:tc>
        <w:tc>
          <w:tcPr>
            <w:tcW w:w="1180" w:type="dxa"/>
            <w:tcBorders>
              <w:top w:val="nil"/>
              <w:left w:val="nil"/>
              <w:bottom w:val="dotted" w:sz="4" w:space="0" w:color="auto"/>
              <w:right w:val="dotted" w:sz="4" w:space="0" w:color="auto"/>
            </w:tcBorders>
            <w:shd w:val="clear" w:color="auto" w:fill="auto"/>
            <w:vAlign w:val="center"/>
            <w:hideMark/>
          </w:tcPr>
          <w:p w14:paraId="7F79611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-314,0</w:t>
            </w:r>
          </w:p>
        </w:tc>
        <w:tc>
          <w:tcPr>
            <w:tcW w:w="1180" w:type="dxa"/>
            <w:tcBorders>
              <w:top w:val="nil"/>
              <w:left w:val="nil"/>
              <w:bottom w:val="dotted" w:sz="4" w:space="0" w:color="auto"/>
              <w:right w:val="dotted" w:sz="4" w:space="0" w:color="auto"/>
            </w:tcBorders>
            <w:shd w:val="clear" w:color="auto" w:fill="auto"/>
            <w:vAlign w:val="center"/>
            <w:hideMark/>
          </w:tcPr>
          <w:p w14:paraId="6E8E2D1B"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-336,0</w:t>
            </w:r>
          </w:p>
        </w:tc>
        <w:tc>
          <w:tcPr>
            <w:tcW w:w="1180" w:type="dxa"/>
            <w:tcBorders>
              <w:top w:val="nil"/>
              <w:left w:val="nil"/>
              <w:bottom w:val="dotted" w:sz="4" w:space="0" w:color="auto"/>
              <w:right w:val="double" w:sz="6" w:space="0" w:color="auto"/>
            </w:tcBorders>
            <w:shd w:val="clear" w:color="auto" w:fill="auto"/>
            <w:vAlign w:val="center"/>
            <w:hideMark/>
          </w:tcPr>
          <w:p w14:paraId="5F6553ED"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-360,0</w:t>
            </w:r>
          </w:p>
        </w:tc>
      </w:tr>
      <w:tr w:rsidR="009B5DE5" w:rsidRPr="009B5DE5" w14:paraId="15041925" w14:textId="77777777" w:rsidTr="00396800">
        <w:trPr>
          <w:trHeight w:val="348"/>
        </w:trPr>
        <w:tc>
          <w:tcPr>
            <w:tcW w:w="6078" w:type="dxa"/>
            <w:tcBorders>
              <w:top w:val="nil"/>
              <w:left w:val="double" w:sz="6" w:space="0" w:color="auto"/>
              <w:bottom w:val="dotted" w:sz="4" w:space="0" w:color="auto"/>
              <w:right w:val="nil"/>
            </w:tcBorders>
            <w:shd w:val="clear" w:color="auto" w:fill="auto"/>
            <w:vAlign w:val="center"/>
            <w:hideMark/>
          </w:tcPr>
          <w:p w14:paraId="4D8DA407"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2. Централни ниво државе</w:t>
            </w:r>
          </w:p>
        </w:tc>
        <w:tc>
          <w:tcPr>
            <w:tcW w:w="1647" w:type="dxa"/>
            <w:tcBorders>
              <w:top w:val="nil"/>
              <w:left w:val="single" w:sz="8" w:space="0" w:color="auto"/>
              <w:bottom w:val="dotted" w:sz="4" w:space="0" w:color="auto"/>
              <w:right w:val="single" w:sz="8" w:space="0" w:color="auto"/>
            </w:tcBorders>
            <w:shd w:val="clear" w:color="auto" w:fill="auto"/>
            <w:vAlign w:val="center"/>
            <w:hideMark/>
          </w:tcPr>
          <w:p w14:paraId="4DDA885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S1311</w:t>
            </w:r>
          </w:p>
        </w:tc>
        <w:tc>
          <w:tcPr>
            <w:tcW w:w="1180" w:type="dxa"/>
            <w:tcBorders>
              <w:top w:val="nil"/>
              <w:left w:val="nil"/>
              <w:bottom w:val="dotted" w:sz="4" w:space="0" w:color="auto"/>
              <w:right w:val="dotted" w:sz="4" w:space="0" w:color="auto"/>
            </w:tcBorders>
            <w:shd w:val="clear" w:color="auto" w:fill="auto"/>
            <w:vAlign w:val="center"/>
            <w:hideMark/>
          </w:tcPr>
          <w:p w14:paraId="53AC7B3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-233,4</w:t>
            </w:r>
          </w:p>
        </w:tc>
        <w:tc>
          <w:tcPr>
            <w:tcW w:w="1180" w:type="dxa"/>
            <w:tcBorders>
              <w:top w:val="nil"/>
              <w:left w:val="nil"/>
              <w:bottom w:val="dotted" w:sz="4" w:space="0" w:color="auto"/>
              <w:right w:val="dotted" w:sz="4" w:space="0" w:color="auto"/>
            </w:tcBorders>
            <w:shd w:val="clear" w:color="auto" w:fill="auto"/>
            <w:vAlign w:val="center"/>
            <w:hideMark/>
          </w:tcPr>
          <w:p w14:paraId="1AFFED7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-177,2</w:t>
            </w:r>
          </w:p>
        </w:tc>
        <w:tc>
          <w:tcPr>
            <w:tcW w:w="1180" w:type="dxa"/>
            <w:tcBorders>
              <w:top w:val="nil"/>
              <w:left w:val="nil"/>
              <w:bottom w:val="dotted" w:sz="4" w:space="0" w:color="auto"/>
              <w:right w:val="dotted" w:sz="4" w:space="0" w:color="auto"/>
            </w:tcBorders>
            <w:shd w:val="clear" w:color="auto" w:fill="auto"/>
            <w:vAlign w:val="center"/>
            <w:hideMark/>
          </w:tcPr>
          <w:p w14:paraId="6746753A"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lang w:val="sr-Cyrl-RS"/>
              </w:rPr>
              <w:t>-</w:t>
            </w:r>
            <w:r w:rsidRPr="009B5DE5">
              <w:rPr>
                <w:rFonts w:eastAsia="Times New Roman" w:cs="Times New Roman"/>
                <w:sz w:val="20"/>
                <w:szCs w:val="20"/>
              </w:rPr>
              <w:t>263,0</w:t>
            </w:r>
          </w:p>
        </w:tc>
        <w:tc>
          <w:tcPr>
            <w:tcW w:w="1180" w:type="dxa"/>
            <w:tcBorders>
              <w:top w:val="nil"/>
              <w:left w:val="nil"/>
              <w:bottom w:val="dotted" w:sz="4" w:space="0" w:color="auto"/>
              <w:right w:val="dotted" w:sz="4" w:space="0" w:color="auto"/>
            </w:tcBorders>
            <w:shd w:val="clear" w:color="auto" w:fill="auto"/>
            <w:vAlign w:val="center"/>
            <w:hideMark/>
          </w:tcPr>
          <w:p w14:paraId="150C2157"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lang w:val="sr-Cyrl-RS"/>
              </w:rPr>
              <w:t>-</w:t>
            </w:r>
            <w:r w:rsidRPr="009B5DE5">
              <w:rPr>
                <w:rFonts w:eastAsia="Times New Roman" w:cs="Times New Roman"/>
                <w:sz w:val="20"/>
                <w:szCs w:val="20"/>
              </w:rPr>
              <w:t>314,0</w:t>
            </w:r>
          </w:p>
        </w:tc>
        <w:tc>
          <w:tcPr>
            <w:tcW w:w="1180" w:type="dxa"/>
            <w:tcBorders>
              <w:top w:val="nil"/>
              <w:left w:val="nil"/>
              <w:bottom w:val="dotted" w:sz="4" w:space="0" w:color="auto"/>
              <w:right w:val="dotted" w:sz="4" w:space="0" w:color="auto"/>
            </w:tcBorders>
            <w:shd w:val="clear" w:color="auto" w:fill="auto"/>
            <w:vAlign w:val="center"/>
            <w:hideMark/>
          </w:tcPr>
          <w:p w14:paraId="0D67D655"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lang w:val="sr-Cyrl-RS"/>
              </w:rPr>
              <w:t>-</w:t>
            </w:r>
            <w:r w:rsidRPr="009B5DE5">
              <w:rPr>
                <w:rFonts w:eastAsia="Times New Roman" w:cs="Times New Roman"/>
                <w:sz w:val="20"/>
                <w:szCs w:val="20"/>
              </w:rPr>
              <w:t>336,0</w:t>
            </w:r>
          </w:p>
        </w:tc>
        <w:tc>
          <w:tcPr>
            <w:tcW w:w="1180" w:type="dxa"/>
            <w:tcBorders>
              <w:top w:val="nil"/>
              <w:left w:val="nil"/>
              <w:bottom w:val="dotted" w:sz="4" w:space="0" w:color="auto"/>
              <w:right w:val="double" w:sz="6" w:space="0" w:color="auto"/>
            </w:tcBorders>
            <w:shd w:val="clear" w:color="auto" w:fill="auto"/>
            <w:vAlign w:val="center"/>
            <w:hideMark/>
          </w:tcPr>
          <w:p w14:paraId="6396388B"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lang w:val="sr-Cyrl-RS"/>
              </w:rPr>
              <w:t>-</w:t>
            </w:r>
            <w:r w:rsidRPr="009B5DE5">
              <w:rPr>
                <w:rFonts w:eastAsia="Times New Roman" w:cs="Times New Roman"/>
                <w:sz w:val="20"/>
                <w:szCs w:val="20"/>
              </w:rPr>
              <w:t>360,0</w:t>
            </w:r>
          </w:p>
        </w:tc>
      </w:tr>
      <w:tr w:rsidR="009B5DE5" w:rsidRPr="009B5DE5" w14:paraId="2CD84833" w14:textId="77777777" w:rsidTr="00396800">
        <w:trPr>
          <w:trHeight w:val="348"/>
        </w:trPr>
        <w:tc>
          <w:tcPr>
            <w:tcW w:w="6078" w:type="dxa"/>
            <w:tcBorders>
              <w:top w:val="nil"/>
              <w:left w:val="double" w:sz="6" w:space="0" w:color="auto"/>
              <w:bottom w:val="dotted" w:sz="4" w:space="0" w:color="auto"/>
              <w:right w:val="nil"/>
            </w:tcBorders>
            <w:shd w:val="clear" w:color="auto" w:fill="auto"/>
            <w:vAlign w:val="center"/>
            <w:hideMark/>
          </w:tcPr>
          <w:p w14:paraId="59456274"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3. Ниво власти федералних јединица </w:t>
            </w:r>
          </w:p>
        </w:tc>
        <w:tc>
          <w:tcPr>
            <w:tcW w:w="1647" w:type="dxa"/>
            <w:tcBorders>
              <w:top w:val="nil"/>
              <w:left w:val="single" w:sz="8" w:space="0" w:color="auto"/>
              <w:bottom w:val="dotted" w:sz="4" w:space="0" w:color="auto"/>
              <w:right w:val="single" w:sz="8" w:space="0" w:color="auto"/>
            </w:tcBorders>
            <w:shd w:val="clear" w:color="auto" w:fill="auto"/>
            <w:vAlign w:val="center"/>
            <w:hideMark/>
          </w:tcPr>
          <w:p w14:paraId="55DED6F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S1312</w:t>
            </w:r>
          </w:p>
        </w:tc>
        <w:tc>
          <w:tcPr>
            <w:tcW w:w="1180" w:type="dxa"/>
            <w:tcBorders>
              <w:top w:val="nil"/>
              <w:left w:val="nil"/>
              <w:bottom w:val="dotted" w:sz="4" w:space="0" w:color="auto"/>
              <w:right w:val="dotted" w:sz="4" w:space="0" w:color="auto"/>
            </w:tcBorders>
            <w:shd w:val="clear" w:color="auto" w:fill="auto"/>
            <w:vAlign w:val="center"/>
            <w:hideMark/>
          </w:tcPr>
          <w:p w14:paraId="60E92E2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180" w:type="dxa"/>
            <w:tcBorders>
              <w:top w:val="nil"/>
              <w:left w:val="nil"/>
              <w:bottom w:val="dotted" w:sz="4" w:space="0" w:color="auto"/>
              <w:right w:val="dotted" w:sz="4" w:space="0" w:color="auto"/>
            </w:tcBorders>
            <w:shd w:val="clear" w:color="auto" w:fill="auto"/>
            <w:vAlign w:val="center"/>
            <w:hideMark/>
          </w:tcPr>
          <w:p w14:paraId="6C9D3E8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180" w:type="dxa"/>
            <w:tcBorders>
              <w:top w:val="nil"/>
              <w:left w:val="nil"/>
              <w:bottom w:val="dotted" w:sz="4" w:space="0" w:color="auto"/>
              <w:right w:val="dotted" w:sz="4" w:space="0" w:color="auto"/>
            </w:tcBorders>
            <w:shd w:val="clear" w:color="auto" w:fill="auto"/>
            <w:vAlign w:val="center"/>
            <w:hideMark/>
          </w:tcPr>
          <w:p w14:paraId="6774942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180" w:type="dxa"/>
            <w:tcBorders>
              <w:top w:val="nil"/>
              <w:left w:val="nil"/>
              <w:bottom w:val="dotted" w:sz="4" w:space="0" w:color="auto"/>
              <w:right w:val="dotted" w:sz="4" w:space="0" w:color="auto"/>
            </w:tcBorders>
            <w:shd w:val="clear" w:color="auto" w:fill="auto"/>
            <w:vAlign w:val="center"/>
            <w:hideMark/>
          </w:tcPr>
          <w:p w14:paraId="7E63ED7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180" w:type="dxa"/>
            <w:tcBorders>
              <w:top w:val="nil"/>
              <w:left w:val="nil"/>
              <w:bottom w:val="dotted" w:sz="4" w:space="0" w:color="auto"/>
              <w:right w:val="dotted" w:sz="4" w:space="0" w:color="auto"/>
            </w:tcBorders>
            <w:shd w:val="clear" w:color="auto" w:fill="auto"/>
            <w:vAlign w:val="center"/>
            <w:hideMark/>
          </w:tcPr>
          <w:p w14:paraId="5A9AA807"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180" w:type="dxa"/>
            <w:tcBorders>
              <w:top w:val="nil"/>
              <w:left w:val="nil"/>
              <w:bottom w:val="dotted" w:sz="4" w:space="0" w:color="auto"/>
              <w:right w:val="double" w:sz="6" w:space="0" w:color="auto"/>
            </w:tcBorders>
            <w:shd w:val="clear" w:color="auto" w:fill="auto"/>
            <w:vAlign w:val="center"/>
            <w:hideMark/>
          </w:tcPr>
          <w:p w14:paraId="7A2D09A7"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r>
      <w:tr w:rsidR="009B5DE5" w:rsidRPr="009B5DE5" w14:paraId="61854417" w14:textId="77777777" w:rsidTr="00396800">
        <w:trPr>
          <w:trHeight w:val="348"/>
        </w:trPr>
        <w:tc>
          <w:tcPr>
            <w:tcW w:w="6078" w:type="dxa"/>
            <w:tcBorders>
              <w:top w:val="nil"/>
              <w:left w:val="double" w:sz="6" w:space="0" w:color="auto"/>
              <w:bottom w:val="dotted" w:sz="4" w:space="0" w:color="auto"/>
              <w:right w:val="nil"/>
            </w:tcBorders>
            <w:shd w:val="clear" w:color="auto" w:fill="auto"/>
            <w:vAlign w:val="center"/>
            <w:hideMark/>
          </w:tcPr>
          <w:p w14:paraId="0056A22D"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4. Локална самоуправа</w:t>
            </w:r>
          </w:p>
        </w:tc>
        <w:tc>
          <w:tcPr>
            <w:tcW w:w="1647" w:type="dxa"/>
            <w:tcBorders>
              <w:top w:val="nil"/>
              <w:left w:val="single" w:sz="8" w:space="0" w:color="auto"/>
              <w:bottom w:val="dotted" w:sz="4" w:space="0" w:color="auto"/>
              <w:right w:val="single" w:sz="8" w:space="0" w:color="auto"/>
            </w:tcBorders>
            <w:shd w:val="clear" w:color="auto" w:fill="auto"/>
            <w:vAlign w:val="center"/>
            <w:hideMark/>
          </w:tcPr>
          <w:p w14:paraId="16983D1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S1313</w:t>
            </w:r>
          </w:p>
        </w:tc>
        <w:tc>
          <w:tcPr>
            <w:tcW w:w="1180" w:type="dxa"/>
            <w:tcBorders>
              <w:top w:val="nil"/>
              <w:left w:val="nil"/>
              <w:bottom w:val="dotted" w:sz="4" w:space="0" w:color="auto"/>
              <w:right w:val="dotted" w:sz="4" w:space="0" w:color="auto"/>
            </w:tcBorders>
            <w:shd w:val="clear" w:color="auto" w:fill="auto"/>
            <w:vAlign w:val="center"/>
            <w:hideMark/>
          </w:tcPr>
          <w:p w14:paraId="696B68CD"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9,3</w:t>
            </w:r>
          </w:p>
        </w:tc>
        <w:tc>
          <w:tcPr>
            <w:tcW w:w="1180" w:type="dxa"/>
            <w:tcBorders>
              <w:top w:val="nil"/>
              <w:left w:val="nil"/>
              <w:bottom w:val="dotted" w:sz="4" w:space="0" w:color="auto"/>
              <w:right w:val="dotted" w:sz="4" w:space="0" w:color="auto"/>
            </w:tcBorders>
            <w:shd w:val="clear" w:color="auto" w:fill="auto"/>
            <w:vAlign w:val="center"/>
            <w:hideMark/>
          </w:tcPr>
          <w:p w14:paraId="58A06E7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-8,9</w:t>
            </w:r>
          </w:p>
        </w:tc>
        <w:tc>
          <w:tcPr>
            <w:tcW w:w="1180" w:type="dxa"/>
            <w:tcBorders>
              <w:top w:val="nil"/>
              <w:left w:val="nil"/>
              <w:bottom w:val="dotted" w:sz="4" w:space="0" w:color="auto"/>
              <w:right w:val="dotted" w:sz="4" w:space="0" w:color="auto"/>
            </w:tcBorders>
            <w:shd w:val="clear" w:color="auto" w:fill="auto"/>
            <w:vAlign w:val="center"/>
            <w:hideMark/>
          </w:tcPr>
          <w:p w14:paraId="1DBA0600"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0,0</w:t>
            </w:r>
          </w:p>
        </w:tc>
        <w:tc>
          <w:tcPr>
            <w:tcW w:w="1180" w:type="dxa"/>
            <w:tcBorders>
              <w:top w:val="nil"/>
              <w:left w:val="nil"/>
              <w:bottom w:val="dotted" w:sz="4" w:space="0" w:color="auto"/>
              <w:right w:val="dotted" w:sz="4" w:space="0" w:color="auto"/>
            </w:tcBorders>
            <w:shd w:val="clear" w:color="auto" w:fill="auto"/>
            <w:vAlign w:val="center"/>
            <w:hideMark/>
          </w:tcPr>
          <w:p w14:paraId="0484E7C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0,0</w:t>
            </w:r>
          </w:p>
        </w:tc>
        <w:tc>
          <w:tcPr>
            <w:tcW w:w="1180" w:type="dxa"/>
            <w:tcBorders>
              <w:top w:val="nil"/>
              <w:left w:val="nil"/>
              <w:bottom w:val="dotted" w:sz="4" w:space="0" w:color="auto"/>
              <w:right w:val="dotted" w:sz="4" w:space="0" w:color="auto"/>
            </w:tcBorders>
            <w:shd w:val="clear" w:color="auto" w:fill="auto"/>
            <w:vAlign w:val="center"/>
            <w:hideMark/>
          </w:tcPr>
          <w:p w14:paraId="79BC4C20"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0,0</w:t>
            </w:r>
          </w:p>
        </w:tc>
        <w:tc>
          <w:tcPr>
            <w:tcW w:w="1180" w:type="dxa"/>
            <w:tcBorders>
              <w:top w:val="nil"/>
              <w:left w:val="nil"/>
              <w:bottom w:val="dotted" w:sz="4" w:space="0" w:color="auto"/>
              <w:right w:val="double" w:sz="6" w:space="0" w:color="auto"/>
            </w:tcBorders>
            <w:shd w:val="clear" w:color="auto" w:fill="auto"/>
            <w:vAlign w:val="center"/>
            <w:hideMark/>
          </w:tcPr>
          <w:p w14:paraId="47C1667A"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0,0</w:t>
            </w:r>
          </w:p>
        </w:tc>
      </w:tr>
      <w:tr w:rsidR="009B5DE5" w:rsidRPr="009B5DE5" w14:paraId="74AA66E5" w14:textId="77777777" w:rsidTr="00396800">
        <w:trPr>
          <w:trHeight w:val="348"/>
        </w:trPr>
        <w:tc>
          <w:tcPr>
            <w:tcW w:w="6078" w:type="dxa"/>
            <w:tcBorders>
              <w:top w:val="nil"/>
              <w:left w:val="double" w:sz="6" w:space="0" w:color="auto"/>
              <w:bottom w:val="single" w:sz="4" w:space="0" w:color="auto"/>
              <w:right w:val="nil"/>
            </w:tcBorders>
            <w:shd w:val="clear" w:color="auto" w:fill="auto"/>
            <w:vAlign w:val="center"/>
            <w:hideMark/>
          </w:tcPr>
          <w:p w14:paraId="5092042A"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5. Фондови социјалног осигурања</w:t>
            </w:r>
          </w:p>
        </w:tc>
        <w:tc>
          <w:tcPr>
            <w:tcW w:w="1647" w:type="dxa"/>
            <w:tcBorders>
              <w:top w:val="nil"/>
              <w:left w:val="single" w:sz="8" w:space="0" w:color="auto"/>
              <w:bottom w:val="single" w:sz="4" w:space="0" w:color="auto"/>
              <w:right w:val="single" w:sz="8" w:space="0" w:color="auto"/>
            </w:tcBorders>
            <w:shd w:val="clear" w:color="auto" w:fill="auto"/>
            <w:vAlign w:val="center"/>
            <w:hideMark/>
          </w:tcPr>
          <w:p w14:paraId="0CB6A8F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S1314</w:t>
            </w:r>
          </w:p>
        </w:tc>
        <w:tc>
          <w:tcPr>
            <w:tcW w:w="1180" w:type="dxa"/>
            <w:tcBorders>
              <w:top w:val="nil"/>
              <w:left w:val="nil"/>
              <w:bottom w:val="single" w:sz="4" w:space="0" w:color="auto"/>
              <w:right w:val="dotted" w:sz="4" w:space="0" w:color="auto"/>
            </w:tcBorders>
            <w:shd w:val="clear" w:color="auto" w:fill="auto"/>
            <w:vAlign w:val="center"/>
            <w:hideMark/>
          </w:tcPr>
          <w:p w14:paraId="567D8A5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-0,8</w:t>
            </w:r>
          </w:p>
        </w:tc>
        <w:tc>
          <w:tcPr>
            <w:tcW w:w="1180" w:type="dxa"/>
            <w:tcBorders>
              <w:top w:val="nil"/>
              <w:left w:val="nil"/>
              <w:bottom w:val="single" w:sz="4" w:space="0" w:color="auto"/>
              <w:right w:val="dotted" w:sz="4" w:space="0" w:color="auto"/>
            </w:tcBorders>
            <w:shd w:val="clear" w:color="auto" w:fill="auto"/>
            <w:vAlign w:val="center"/>
            <w:hideMark/>
          </w:tcPr>
          <w:p w14:paraId="2930E75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5,0</w:t>
            </w:r>
          </w:p>
        </w:tc>
        <w:tc>
          <w:tcPr>
            <w:tcW w:w="1180" w:type="dxa"/>
            <w:tcBorders>
              <w:top w:val="nil"/>
              <w:left w:val="nil"/>
              <w:bottom w:val="single" w:sz="4" w:space="0" w:color="auto"/>
              <w:right w:val="dotted" w:sz="4" w:space="0" w:color="auto"/>
            </w:tcBorders>
            <w:shd w:val="clear" w:color="auto" w:fill="auto"/>
            <w:vAlign w:val="center"/>
            <w:hideMark/>
          </w:tcPr>
          <w:p w14:paraId="54272C1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0,0</w:t>
            </w:r>
          </w:p>
        </w:tc>
        <w:tc>
          <w:tcPr>
            <w:tcW w:w="1180" w:type="dxa"/>
            <w:tcBorders>
              <w:top w:val="nil"/>
              <w:left w:val="nil"/>
              <w:bottom w:val="single" w:sz="4" w:space="0" w:color="auto"/>
              <w:right w:val="dotted" w:sz="4" w:space="0" w:color="auto"/>
            </w:tcBorders>
            <w:shd w:val="clear" w:color="auto" w:fill="auto"/>
            <w:vAlign w:val="center"/>
            <w:hideMark/>
          </w:tcPr>
          <w:p w14:paraId="7DD2B555"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0,0</w:t>
            </w:r>
          </w:p>
        </w:tc>
        <w:tc>
          <w:tcPr>
            <w:tcW w:w="1180" w:type="dxa"/>
            <w:tcBorders>
              <w:top w:val="nil"/>
              <w:left w:val="nil"/>
              <w:bottom w:val="single" w:sz="4" w:space="0" w:color="auto"/>
              <w:right w:val="dotted" w:sz="4" w:space="0" w:color="auto"/>
            </w:tcBorders>
            <w:shd w:val="clear" w:color="auto" w:fill="auto"/>
            <w:vAlign w:val="center"/>
            <w:hideMark/>
          </w:tcPr>
          <w:p w14:paraId="1783755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0,0</w:t>
            </w:r>
          </w:p>
        </w:tc>
        <w:tc>
          <w:tcPr>
            <w:tcW w:w="1180" w:type="dxa"/>
            <w:tcBorders>
              <w:top w:val="nil"/>
              <w:left w:val="nil"/>
              <w:bottom w:val="single" w:sz="4" w:space="0" w:color="auto"/>
              <w:right w:val="double" w:sz="6" w:space="0" w:color="auto"/>
            </w:tcBorders>
            <w:shd w:val="clear" w:color="auto" w:fill="auto"/>
            <w:vAlign w:val="center"/>
            <w:hideMark/>
          </w:tcPr>
          <w:p w14:paraId="29386C95"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0,0</w:t>
            </w:r>
          </w:p>
        </w:tc>
      </w:tr>
      <w:tr w:rsidR="009B5DE5" w:rsidRPr="009B5DE5" w14:paraId="0F09AA18" w14:textId="77777777" w:rsidTr="00396800">
        <w:trPr>
          <w:trHeight w:val="348"/>
        </w:trPr>
        <w:tc>
          <w:tcPr>
            <w:tcW w:w="6078" w:type="dxa"/>
            <w:tcBorders>
              <w:top w:val="nil"/>
              <w:left w:val="double" w:sz="6" w:space="0" w:color="auto"/>
              <w:bottom w:val="single" w:sz="4" w:space="0" w:color="auto"/>
              <w:right w:val="nil"/>
            </w:tcBorders>
            <w:shd w:val="clear" w:color="auto" w:fill="auto"/>
            <w:vAlign w:val="center"/>
            <w:hideMark/>
          </w:tcPr>
          <w:p w14:paraId="483A4611" w14:textId="77777777" w:rsidR="009B5DE5" w:rsidRPr="009B5DE5" w:rsidRDefault="009B5DE5" w:rsidP="009B5DE5">
            <w:pPr>
              <w:spacing w:after="0"/>
              <w:jc w:val="left"/>
              <w:rPr>
                <w:rFonts w:eastAsia="Times New Roman" w:cs="Times New Roman"/>
                <w:b/>
                <w:bCs/>
                <w:sz w:val="20"/>
                <w:szCs w:val="20"/>
              </w:rPr>
            </w:pPr>
            <w:r w:rsidRPr="009B5DE5">
              <w:rPr>
                <w:rFonts w:eastAsia="Times New Roman" w:cs="Times New Roman"/>
                <w:b/>
                <w:bCs/>
                <w:sz w:val="20"/>
                <w:szCs w:val="20"/>
              </w:rPr>
              <w:t>Сектор државе</w:t>
            </w:r>
          </w:p>
        </w:tc>
        <w:tc>
          <w:tcPr>
            <w:tcW w:w="1647" w:type="dxa"/>
            <w:tcBorders>
              <w:top w:val="nil"/>
              <w:left w:val="single" w:sz="8" w:space="0" w:color="auto"/>
              <w:bottom w:val="single" w:sz="4" w:space="0" w:color="auto"/>
              <w:right w:val="single" w:sz="8" w:space="0" w:color="auto"/>
            </w:tcBorders>
            <w:shd w:val="clear" w:color="auto" w:fill="auto"/>
            <w:vAlign w:val="center"/>
            <w:hideMark/>
          </w:tcPr>
          <w:p w14:paraId="7E9EE326" w14:textId="77777777" w:rsidR="009B5DE5" w:rsidRPr="009B5DE5" w:rsidRDefault="009B5DE5" w:rsidP="009B5DE5">
            <w:pPr>
              <w:spacing w:after="0"/>
              <w:jc w:val="center"/>
              <w:rPr>
                <w:rFonts w:eastAsia="Times New Roman" w:cs="Times New Roman"/>
                <w:b/>
                <w:bCs/>
                <w:sz w:val="20"/>
                <w:szCs w:val="20"/>
              </w:rPr>
            </w:pPr>
            <w:r w:rsidRPr="009B5DE5">
              <w:rPr>
                <w:rFonts w:eastAsia="Times New Roman" w:cs="Times New Roman"/>
                <w:b/>
                <w:bCs/>
                <w:sz w:val="20"/>
                <w:szCs w:val="20"/>
              </w:rPr>
              <w:t> </w:t>
            </w:r>
          </w:p>
        </w:tc>
        <w:tc>
          <w:tcPr>
            <w:tcW w:w="1180" w:type="dxa"/>
            <w:tcBorders>
              <w:top w:val="nil"/>
              <w:left w:val="nil"/>
              <w:bottom w:val="single" w:sz="4" w:space="0" w:color="auto"/>
              <w:right w:val="nil"/>
            </w:tcBorders>
            <w:shd w:val="clear" w:color="auto" w:fill="auto"/>
            <w:vAlign w:val="center"/>
            <w:hideMark/>
          </w:tcPr>
          <w:p w14:paraId="307D1501"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c>
          <w:tcPr>
            <w:tcW w:w="1180" w:type="dxa"/>
            <w:tcBorders>
              <w:top w:val="nil"/>
              <w:left w:val="nil"/>
              <w:bottom w:val="single" w:sz="4" w:space="0" w:color="auto"/>
              <w:right w:val="nil"/>
            </w:tcBorders>
            <w:shd w:val="clear" w:color="auto" w:fill="auto"/>
            <w:vAlign w:val="center"/>
            <w:hideMark/>
          </w:tcPr>
          <w:p w14:paraId="499B85EE"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c>
          <w:tcPr>
            <w:tcW w:w="1180" w:type="dxa"/>
            <w:tcBorders>
              <w:top w:val="nil"/>
              <w:left w:val="nil"/>
              <w:bottom w:val="single" w:sz="4" w:space="0" w:color="auto"/>
              <w:right w:val="nil"/>
            </w:tcBorders>
            <w:shd w:val="clear" w:color="auto" w:fill="auto"/>
            <w:vAlign w:val="center"/>
            <w:hideMark/>
          </w:tcPr>
          <w:p w14:paraId="6E6DC8A2"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c>
          <w:tcPr>
            <w:tcW w:w="1180" w:type="dxa"/>
            <w:tcBorders>
              <w:top w:val="nil"/>
              <w:left w:val="nil"/>
              <w:bottom w:val="single" w:sz="4" w:space="0" w:color="auto"/>
              <w:right w:val="nil"/>
            </w:tcBorders>
            <w:shd w:val="clear" w:color="auto" w:fill="auto"/>
            <w:vAlign w:val="center"/>
            <w:hideMark/>
          </w:tcPr>
          <w:p w14:paraId="04B6F281"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c>
          <w:tcPr>
            <w:tcW w:w="1180" w:type="dxa"/>
            <w:tcBorders>
              <w:top w:val="nil"/>
              <w:left w:val="nil"/>
              <w:bottom w:val="single" w:sz="4" w:space="0" w:color="auto"/>
              <w:right w:val="nil"/>
            </w:tcBorders>
            <w:shd w:val="clear" w:color="auto" w:fill="auto"/>
            <w:vAlign w:val="center"/>
            <w:hideMark/>
          </w:tcPr>
          <w:p w14:paraId="7981F7E1"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c>
          <w:tcPr>
            <w:tcW w:w="1180" w:type="dxa"/>
            <w:tcBorders>
              <w:top w:val="nil"/>
              <w:left w:val="nil"/>
              <w:bottom w:val="single" w:sz="4" w:space="0" w:color="auto"/>
              <w:right w:val="double" w:sz="6" w:space="0" w:color="auto"/>
            </w:tcBorders>
            <w:shd w:val="clear" w:color="auto" w:fill="auto"/>
            <w:vAlign w:val="center"/>
            <w:hideMark/>
          </w:tcPr>
          <w:p w14:paraId="0A0F7BB6"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r>
      <w:tr w:rsidR="009B5DE5" w:rsidRPr="009B5DE5" w14:paraId="42A0E662" w14:textId="77777777" w:rsidTr="00396800">
        <w:trPr>
          <w:trHeight w:val="348"/>
        </w:trPr>
        <w:tc>
          <w:tcPr>
            <w:tcW w:w="6078" w:type="dxa"/>
            <w:tcBorders>
              <w:top w:val="nil"/>
              <w:left w:val="double" w:sz="6" w:space="0" w:color="auto"/>
              <w:bottom w:val="dotted" w:sz="4" w:space="0" w:color="auto"/>
              <w:right w:val="nil"/>
            </w:tcBorders>
            <w:shd w:val="clear" w:color="auto" w:fill="auto"/>
            <w:vAlign w:val="center"/>
            <w:hideMark/>
          </w:tcPr>
          <w:p w14:paraId="00CF1E4F"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6. Укупни приходи</w:t>
            </w:r>
          </w:p>
        </w:tc>
        <w:tc>
          <w:tcPr>
            <w:tcW w:w="1647" w:type="dxa"/>
            <w:tcBorders>
              <w:top w:val="nil"/>
              <w:left w:val="single" w:sz="8" w:space="0" w:color="auto"/>
              <w:bottom w:val="dotted" w:sz="4" w:space="0" w:color="auto"/>
              <w:right w:val="single" w:sz="8" w:space="0" w:color="auto"/>
            </w:tcBorders>
            <w:shd w:val="clear" w:color="auto" w:fill="auto"/>
            <w:vAlign w:val="center"/>
            <w:hideMark/>
          </w:tcPr>
          <w:p w14:paraId="24CA6A0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TR</w:t>
            </w:r>
          </w:p>
        </w:tc>
        <w:tc>
          <w:tcPr>
            <w:tcW w:w="1180" w:type="dxa"/>
            <w:tcBorders>
              <w:top w:val="nil"/>
              <w:left w:val="nil"/>
              <w:bottom w:val="dotted" w:sz="4" w:space="0" w:color="auto"/>
              <w:right w:val="dotted" w:sz="4" w:space="0" w:color="auto"/>
            </w:tcBorders>
            <w:shd w:val="clear" w:color="auto" w:fill="auto"/>
            <w:vAlign w:val="center"/>
            <w:hideMark/>
          </w:tcPr>
          <w:p w14:paraId="04528AA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3.103,3</w:t>
            </w:r>
          </w:p>
        </w:tc>
        <w:tc>
          <w:tcPr>
            <w:tcW w:w="1180" w:type="dxa"/>
            <w:tcBorders>
              <w:top w:val="nil"/>
              <w:left w:val="nil"/>
              <w:bottom w:val="dotted" w:sz="4" w:space="0" w:color="auto"/>
              <w:right w:val="dotted" w:sz="4" w:space="0" w:color="auto"/>
            </w:tcBorders>
            <w:shd w:val="clear" w:color="auto" w:fill="auto"/>
            <w:vAlign w:val="center"/>
            <w:hideMark/>
          </w:tcPr>
          <w:p w14:paraId="6D9CF9A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3.473,3</w:t>
            </w:r>
          </w:p>
        </w:tc>
        <w:tc>
          <w:tcPr>
            <w:tcW w:w="1180" w:type="dxa"/>
            <w:tcBorders>
              <w:top w:val="nil"/>
              <w:left w:val="nil"/>
              <w:bottom w:val="dotted" w:sz="4" w:space="0" w:color="auto"/>
              <w:right w:val="dotted" w:sz="4" w:space="0" w:color="auto"/>
            </w:tcBorders>
            <w:shd w:val="clear" w:color="auto" w:fill="auto"/>
            <w:vAlign w:val="center"/>
            <w:hideMark/>
          </w:tcPr>
          <w:p w14:paraId="3A232000"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3.922,2</w:t>
            </w:r>
          </w:p>
        </w:tc>
        <w:tc>
          <w:tcPr>
            <w:tcW w:w="1180" w:type="dxa"/>
            <w:tcBorders>
              <w:top w:val="nil"/>
              <w:left w:val="nil"/>
              <w:bottom w:val="dotted" w:sz="4" w:space="0" w:color="auto"/>
              <w:right w:val="dotted" w:sz="4" w:space="0" w:color="auto"/>
            </w:tcBorders>
            <w:shd w:val="clear" w:color="auto" w:fill="auto"/>
            <w:vAlign w:val="center"/>
            <w:hideMark/>
          </w:tcPr>
          <w:p w14:paraId="708F806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4.264,3</w:t>
            </w:r>
          </w:p>
        </w:tc>
        <w:tc>
          <w:tcPr>
            <w:tcW w:w="1180" w:type="dxa"/>
            <w:tcBorders>
              <w:top w:val="nil"/>
              <w:left w:val="nil"/>
              <w:bottom w:val="dotted" w:sz="4" w:space="0" w:color="auto"/>
              <w:right w:val="dotted" w:sz="4" w:space="0" w:color="auto"/>
            </w:tcBorders>
            <w:shd w:val="clear" w:color="auto" w:fill="auto"/>
            <w:vAlign w:val="center"/>
            <w:hideMark/>
          </w:tcPr>
          <w:p w14:paraId="4C3EF365"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4.534,0</w:t>
            </w:r>
          </w:p>
        </w:tc>
        <w:tc>
          <w:tcPr>
            <w:tcW w:w="1180" w:type="dxa"/>
            <w:tcBorders>
              <w:top w:val="nil"/>
              <w:left w:val="nil"/>
              <w:bottom w:val="dotted" w:sz="4" w:space="0" w:color="auto"/>
              <w:right w:val="double" w:sz="6" w:space="0" w:color="auto"/>
            </w:tcBorders>
            <w:shd w:val="clear" w:color="auto" w:fill="auto"/>
            <w:vAlign w:val="center"/>
            <w:hideMark/>
          </w:tcPr>
          <w:p w14:paraId="260C583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4.854,7</w:t>
            </w:r>
          </w:p>
        </w:tc>
      </w:tr>
      <w:tr w:rsidR="009B5DE5" w:rsidRPr="009B5DE5" w14:paraId="335383B0" w14:textId="77777777" w:rsidTr="00396800">
        <w:trPr>
          <w:trHeight w:val="348"/>
        </w:trPr>
        <w:tc>
          <w:tcPr>
            <w:tcW w:w="6078" w:type="dxa"/>
            <w:tcBorders>
              <w:top w:val="nil"/>
              <w:left w:val="double" w:sz="6" w:space="0" w:color="auto"/>
              <w:bottom w:val="nil"/>
              <w:right w:val="single" w:sz="8" w:space="0" w:color="auto"/>
            </w:tcBorders>
            <w:shd w:val="clear" w:color="auto" w:fill="auto"/>
            <w:noWrap/>
            <w:vAlign w:val="bottom"/>
            <w:hideMark/>
          </w:tcPr>
          <w:p w14:paraId="31B3247B" w14:textId="77777777" w:rsidR="009B5DE5" w:rsidRPr="009B5DE5" w:rsidRDefault="00F03833" w:rsidP="009B5DE5">
            <w:pPr>
              <w:spacing w:after="0"/>
              <w:jc w:val="left"/>
              <w:rPr>
                <w:rFonts w:eastAsia="Times New Roman" w:cs="Times New Roman"/>
                <w:sz w:val="20"/>
                <w:szCs w:val="20"/>
              </w:rPr>
            </w:pPr>
            <w:hyperlink r:id="rId42" w:anchor="RANGE!B139" w:history="1">
              <w:r w:rsidR="009B5DE5" w:rsidRPr="009B5DE5">
                <w:rPr>
                  <w:rFonts w:eastAsia="Times New Roman" w:cs="Times New Roman"/>
                  <w:sz w:val="20"/>
                  <w:szCs w:val="20"/>
                </w:rPr>
                <w:t>7. Укупни расходи[1]</w:t>
              </w:r>
            </w:hyperlink>
          </w:p>
        </w:tc>
        <w:tc>
          <w:tcPr>
            <w:tcW w:w="1647" w:type="dxa"/>
            <w:tcBorders>
              <w:top w:val="nil"/>
              <w:left w:val="nil"/>
              <w:bottom w:val="dotted" w:sz="4" w:space="0" w:color="auto"/>
              <w:right w:val="single" w:sz="8" w:space="0" w:color="auto"/>
            </w:tcBorders>
            <w:shd w:val="clear" w:color="auto" w:fill="auto"/>
            <w:vAlign w:val="center"/>
            <w:hideMark/>
          </w:tcPr>
          <w:p w14:paraId="408B453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TE</w:t>
            </w:r>
          </w:p>
        </w:tc>
        <w:tc>
          <w:tcPr>
            <w:tcW w:w="1180" w:type="dxa"/>
            <w:tcBorders>
              <w:top w:val="nil"/>
              <w:left w:val="nil"/>
              <w:bottom w:val="dotted" w:sz="4" w:space="0" w:color="auto"/>
              <w:right w:val="dotted" w:sz="4" w:space="0" w:color="auto"/>
            </w:tcBorders>
            <w:shd w:val="clear" w:color="auto" w:fill="auto"/>
            <w:vAlign w:val="center"/>
            <w:hideMark/>
          </w:tcPr>
          <w:p w14:paraId="39EB5A9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3.328,2</w:t>
            </w:r>
          </w:p>
        </w:tc>
        <w:tc>
          <w:tcPr>
            <w:tcW w:w="1180" w:type="dxa"/>
            <w:tcBorders>
              <w:top w:val="nil"/>
              <w:left w:val="nil"/>
              <w:bottom w:val="dotted" w:sz="4" w:space="0" w:color="auto"/>
              <w:right w:val="dotted" w:sz="4" w:space="0" w:color="auto"/>
            </w:tcBorders>
            <w:shd w:val="clear" w:color="auto" w:fill="auto"/>
            <w:vAlign w:val="center"/>
            <w:hideMark/>
          </w:tcPr>
          <w:p w14:paraId="14FE7C17"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3.654,4</w:t>
            </w:r>
          </w:p>
        </w:tc>
        <w:tc>
          <w:tcPr>
            <w:tcW w:w="1180" w:type="dxa"/>
            <w:tcBorders>
              <w:top w:val="nil"/>
              <w:left w:val="nil"/>
              <w:bottom w:val="dotted" w:sz="4" w:space="0" w:color="auto"/>
              <w:right w:val="dotted" w:sz="4" w:space="0" w:color="auto"/>
            </w:tcBorders>
            <w:shd w:val="clear" w:color="auto" w:fill="auto"/>
            <w:vAlign w:val="center"/>
            <w:hideMark/>
          </w:tcPr>
          <w:p w14:paraId="01EB4B29"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4.185,2</w:t>
            </w:r>
          </w:p>
        </w:tc>
        <w:tc>
          <w:tcPr>
            <w:tcW w:w="1180" w:type="dxa"/>
            <w:tcBorders>
              <w:top w:val="nil"/>
              <w:left w:val="nil"/>
              <w:bottom w:val="dotted" w:sz="4" w:space="0" w:color="auto"/>
              <w:right w:val="dotted" w:sz="4" w:space="0" w:color="auto"/>
            </w:tcBorders>
            <w:shd w:val="clear" w:color="auto" w:fill="auto"/>
            <w:vAlign w:val="center"/>
            <w:hideMark/>
          </w:tcPr>
          <w:p w14:paraId="3AAF1E57"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4.578,3</w:t>
            </w:r>
          </w:p>
        </w:tc>
        <w:tc>
          <w:tcPr>
            <w:tcW w:w="1180" w:type="dxa"/>
            <w:tcBorders>
              <w:top w:val="nil"/>
              <w:left w:val="nil"/>
              <w:bottom w:val="dotted" w:sz="4" w:space="0" w:color="auto"/>
              <w:right w:val="dotted" w:sz="4" w:space="0" w:color="auto"/>
            </w:tcBorders>
            <w:shd w:val="clear" w:color="auto" w:fill="auto"/>
            <w:vAlign w:val="center"/>
            <w:hideMark/>
          </w:tcPr>
          <w:p w14:paraId="6B2BBD2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4.870,0</w:t>
            </w:r>
          </w:p>
        </w:tc>
        <w:tc>
          <w:tcPr>
            <w:tcW w:w="1180" w:type="dxa"/>
            <w:tcBorders>
              <w:top w:val="nil"/>
              <w:left w:val="nil"/>
              <w:bottom w:val="dotted" w:sz="4" w:space="0" w:color="auto"/>
              <w:right w:val="double" w:sz="6" w:space="0" w:color="auto"/>
            </w:tcBorders>
            <w:shd w:val="clear" w:color="auto" w:fill="auto"/>
            <w:vAlign w:val="center"/>
            <w:hideMark/>
          </w:tcPr>
          <w:p w14:paraId="0804984D"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5.214,7</w:t>
            </w:r>
          </w:p>
        </w:tc>
      </w:tr>
      <w:tr w:rsidR="009B5DE5" w:rsidRPr="009B5DE5" w14:paraId="2500A7DD" w14:textId="77777777" w:rsidTr="00396800">
        <w:trPr>
          <w:trHeight w:val="348"/>
        </w:trPr>
        <w:tc>
          <w:tcPr>
            <w:tcW w:w="6078" w:type="dxa"/>
            <w:tcBorders>
              <w:top w:val="nil"/>
              <w:left w:val="double" w:sz="6" w:space="0" w:color="auto"/>
              <w:bottom w:val="dotted" w:sz="4" w:space="0" w:color="auto"/>
              <w:right w:val="single" w:sz="8" w:space="0" w:color="auto"/>
            </w:tcBorders>
            <w:shd w:val="clear" w:color="auto" w:fill="auto"/>
            <w:vAlign w:val="center"/>
            <w:hideMark/>
          </w:tcPr>
          <w:p w14:paraId="25EFB5E1"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8. Нето дате/узете позајмице</w:t>
            </w:r>
          </w:p>
        </w:tc>
        <w:tc>
          <w:tcPr>
            <w:tcW w:w="1647" w:type="dxa"/>
            <w:tcBorders>
              <w:top w:val="nil"/>
              <w:left w:val="nil"/>
              <w:bottom w:val="dotted" w:sz="4" w:space="0" w:color="auto"/>
              <w:right w:val="single" w:sz="8" w:space="0" w:color="auto"/>
            </w:tcBorders>
            <w:shd w:val="clear" w:color="auto" w:fill="auto"/>
            <w:vAlign w:val="center"/>
            <w:hideMark/>
          </w:tcPr>
          <w:p w14:paraId="7821426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EDP.B9</w:t>
            </w:r>
          </w:p>
        </w:tc>
        <w:tc>
          <w:tcPr>
            <w:tcW w:w="1180" w:type="dxa"/>
            <w:tcBorders>
              <w:top w:val="nil"/>
              <w:left w:val="nil"/>
              <w:bottom w:val="dotted" w:sz="4" w:space="0" w:color="auto"/>
              <w:right w:val="dotted" w:sz="4" w:space="0" w:color="auto"/>
            </w:tcBorders>
            <w:shd w:val="clear" w:color="auto" w:fill="auto"/>
            <w:vAlign w:val="center"/>
            <w:hideMark/>
          </w:tcPr>
          <w:p w14:paraId="2EFCE560"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-224,8</w:t>
            </w:r>
          </w:p>
        </w:tc>
        <w:tc>
          <w:tcPr>
            <w:tcW w:w="1180" w:type="dxa"/>
            <w:tcBorders>
              <w:top w:val="nil"/>
              <w:left w:val="nil"/>
              <w:bottom w:val="dotted" w:sz="4" w:space="0" w:color="auto"/>
              <w:right w:val="dotted" w:sz="4" w:space="0" w:color="auto"/>
            </w:tcBorders>
            <w:shd w:val="clear" w:color="auto" w:fill="auto"/>
            <w:vAlign w:val="center"/>
            <w:hideMark/>
          </w:tcPr>
          <w:p w14:paraId="36F84ED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-181,1</w:t>
            </w:r>
          </w:p>
        </w:tc>
        <w:tc>
          <w:tcPr>
            <w:tcW w:w="1180" w:type="dxa"/>
            <w:tcBorders>
              <w:top w:val="nil"/>
              <w:left w:val="nil"/>
              <w:bottom w:val="dotted" w:sz="4" w:space="0" w:color="auto"/>
              <w:right w:val="dotted" w:sz="4" w:space="0" w:color="auto"/>
            </w:tcBorders>
            <w:shd w:val="clear" w:color="auto" w:fill="auto"/>
            <w:vAlign w:val="center"/>
            <w:hideMark/>
          </w:tcPr>
          <w:p w14:paraId="6EF58C6F"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-263,0</w:t>
            </w:r>
          </w:p>
        </w:tc>
        <w:tc>
          <w:tcPr>
            <w:tcW w:w="1180" w:type="dxa"/>
            <w:tcBorders>
              <w:top w:val="nil"/>
              <w:left w:val="nil"/>
              <w:bottom w:val="dotted" w:sz="4" w:space="0" w:color="auto"/>
              <w:right w:val="dotted" w:sz="4" w:space="0" w:color="auto"/>
            </w:tcBorders>
            <w:shd w:val="clear" w:color="auto" w:fill="auto"/>
            <w:vAlign w:val="center"/>
            <w:hideMark/>
          </w:tcPr>
          <w:p w14:paraId="5D19619A"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-314,0</w:t>
            </w:r>
          </w:p>
        </w:tc>
        <w:tc>
          <w:tcPr>
            <w:tcW w:w="1180" w:type="dxa"/>
            <w:tcBorders>
              <w:top w:val="nil"/>
              <w:left w:val="nil"/>
              <w:bottom w:val="dotted" w:sz="4" w:space="0" w:color="auto"/>
              <w:right w:val="dotted" w:sz="4" w:space="0" w:color="auto"/>
            </w:tcBorders>
            <w:shd w:val="clear" w:color="auto" w:fill="auto"/>
            <w:vAlign w:val="center"/>
            <w:hideMark/>
          </w:tcPr>
          <w:p w14:paraId="31C244B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-336,0</w:t>
            </w:r>
          </w:p>
        </w:tc>
        <w:tc>
          <w:tcPr>
            <w:tcW w:w="1180" w:type="dxa"/>
            <w:tcBorders>
              <w:top w:val="nil"/>
              <w:left w:val="nil"/>
              <w:bottom w:val="dotted" w:sz="4" w:space="0" w:color="auto"/>
              <w:right w:val="double" w:sz="6" w:space="0" w:color="auto"/>
            </w:tcBorders>
            <w:shd w:val="clear" w:color="auto" w:fill="auto"/>
            <w:vAlign w:val="center"/>
            <w:hideMark/>
          </w:tcPr>
          <w:p w14:paraId="04D2C5F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-360,0</w:t>
            </w:r>
          </w:p>
        </w:tc>
      </w:tr>
      <w:tr w:rsidR="009B5DE5" w:rsidRPr="009B5DE5" w14:paraId="56E49C8B" w14:textId="77777777" w:rsidTr="00396800">
        <w:trPr>
          <w:trHeight w:val="696"/>
        </w:trPr>
        <w:tc>
          <w:tcPr>
            <w:tcW w:w="6078" w:type="dxa"/>
            <w:tcBorders>
              <w:top w:val="nil"/>
              <w:left w:val="double" w:sz="6" w:space="0" w:color="auto"/>
              <w:bottom w:val="dotted" w:sz="4" w:space="0" w:color="auto"/>
              <w:right w:val="single" w:sz="8" w:space="0" w:color="auto"/>
            </w:tcBorders>
            <w:shd w:val="clear" w:color="auto" w:fill="auto"/>
            <w:vAlign w:val="center"/>
            <w:hideMark/>
          </w:tcPr>
          <w:p w14:paraId="25347FAF"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9.Расходи за камате</w:t>
            </w:r>
          </w:p>
        </w:tc>
        <w:tc>
          <w:tcPr>
            <w:tcW w:w="1647" w:type="dxa"/>
            <w:tcBorders>
              <w:top w:val="nil"/>
              <w:left w:val="nil"/>
              <w:bottom w:val="dotted" w:sz="4" w:space="0" w:color="auto"/>
              <w:right w:val="single" w:sz="8" w:space="0" w:color="auto"/>
            </w:tcBorders>
            <w:shd w:val="clear" w:color="auto" w:fill="auto"/>
            <w:vAlign w:val="center"/>
            <w:hideMark/>
          </w:tcPr>
          <w:p w14:paraId="6A13317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EDP.D41 укљ. FISIM</w:t>
            </w:r>
          </w:p>
        </w:tc>
        <w:tc>
          <w:tcPr>
            <w:tcW w:w="1180" w:type="dxa"/>
            <w:tcBorders>
              <w:top w:val="nil"/>
              <w:left w:val="nil"/>
              <w:bottom w:val="dotted" w:sz="4" w:space="0" w:color="auto"/>
              <w:right w:val="dotted" w:sz="4" w:space="0" w:color="auto"/>
            </w:tcBorders>
            <w:shd w:val="clear" w:color="auto" w:fill="auto"/>
            <w:vAlign w:val="center"/>
            <w:hideMark/>
          </w:tcPr>
          <w:p w14:paraId="7D5D9AB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107,2</w:t>
            </w:r>
          </w:p>
        </w:tc>
        <w:tc>
          <w:tcPr>
            <w:tcW w:w="1180" w:type="dxa"/>
            <w:tcBorders>
              <w:top w:val="nil"/>
              <w:left w:val="nil"/>
              <w:bottom w:val="dotted" w:sz="4" w:space="0" w:color="auto"/>
              <w:right w:val="dotted" w:sz="4" w:space="0" w:color="auto"/>
            </w:tcBorders>
            <w:shd w:val="clear" w:color="auto" w:fill="auto"/>
            <w:vAlign w:val="center"/>
            <w:hideMark/>
          </w:tcPr>
          <w:p w14:paraId="0B053B52"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149,3</w:t>
            </w:r>
          </w:p>
        </w:tc>
        <w:tc>
          <w:tcPr>
            <w:tcW w:w="1180" w:type="dxa"/>
            <w:tcBorders>
              <w:top w:val="nil"/>
              <w:left w:val="nil"/>
              <w:bottom w:val="dotted" w:sz="4" w:space="0" w:color="auto"/>
              <w:right w:val="dotted" w:sz="4" w:space="0" w:color="auto"/>
            </w:tcBorders>
            <w:shd w:val="clear" w:color="auto" w:fill="auto"/>
            <w:vAlign w:val="center"/>
            <w:hideMark/>
          </w:tcPr>
          <w:p w14:paraId="62C16E5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187,6</w:t>
            </w:r>
          </w:p>
        </w:tc>
        <w:tc>
          <w:tcPr>
            <w:tcW w:w="1180" w:type="dxa"/>
            <w:tcBorders>
              <w:top w:val="nil"/>
              <w:left w:val="nil"/>
              <w:bottom w:val="dotted" w:sz="4" w:space="0" w:color="auto"/>
              <w:right w:val="dotted" w:sz="4" w:space="0" w:color="auto"/>
            </w:tcBorders>
            <w:shd w:val="clear" w:color="auto" w:fill="auto"/>
            <w:vAlign w:val="center"/>
            <w:hideMark/>
          </w:tcPr>
          <w:p w14:paraId="31B3BAC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222,7</w:t>
            </w:r>
          </w:p>
        </w:tc>
        <w:tc>
          <w:tcPr>
            <w:tcW w:w="1180" w:type="dxa"/>
            <w:tcBorders>
              <w:top w:val="nil"/>
              <w:left w:val="nil"/>
              <w:bottom w:val="dotted" w:sz="4" w:space="0" w:color="auto"/>
              <w:right w:val="dotted" w:sz="4" w:space="0" w:color="auto"/>
            </w:tcBorders>
            <w:shd w:val="clear" w:color="auto" w:fill="auto"/>
            <w:vAlign w:val="center"/>
            <w:hideMark/>
          </w:tcPr>
          <w:p w14:paraId="5710573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235,6</w:t>
            </w:r>
          </w:p>
        </w:tc>
        <w:tc>
          <w:tcPr>
            <w:tcW w:w="1180" w:type="dxa"/>
            <w:tcBorders>
              <w:top w:val="nil"/>
              <w:left w:val="nil"/>
              <w:bottom w:val="dotted" w:sz="4" w:space="0" w:color="auto"/>
              <w:right w:val="double" w:sz="6" w:space="0" w:color="auto"/>
            </w:tcBorders>
            <w:shd w:val="clear" w:color="auto" w:fill="auto"/>
            <w:vAlign w:val="center"/>
            <w:hideMark/>
          </w:tcPr>
          <w:p w14:paraId="28EE3E9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236,5</w:t>
            </w:r>
          </w:p>
        </w:tc>
      </w:tr>
      <w:tr w:rsidR="009B5DE5" w:rsidRPr="009B5DE5" w14:paraId="04DFB873" w14:textId="77777777" w:rsidTr="00396800">
        <w:trPr>
          <w:trHeight w:val="348"/>
        </w:trPr>
        <w:tc>
          <w:tcPr>
            <w:tcW w:w="6078" w:type="dxa"/>
            <w:tcBorders>
              <w:top w:val="nil"/>
              <w:left w:val="double" w:sz="6" w:space="0" w:color="auto"/>
              <w:bottom w:val="dotted" w:sz="4" w:space="0" w:color="auto"/>
              <w:right w:val="single" w:sz="8" w:space="0" w:color="auto"/>
            </w:tcBorders>
            <w:shd w:val="clear" w:color="auto" w:fill="auto"/>
            <w:vAlign w:val="center"/>
            <w:hideMark/>
          </w:tcPr>
          <w:p w14:paraId="1B567157" w14:textId="77777777" w:rsidR="009B5DE5" w:rsidRPr="009B5DE5" w:rsidRDefault="00F03833" w:rsidP="009B5DE5">
            <w:pPr>
              <w:spacing w:after="0"/>
              <w:jc w:val="left"/>
              <w:rPr>
                <w:rFonts w:eastAsia="Times New Roman" w:cs="Times New Roman"/>
                <w:sz w:val="20"/>
                <w:szCs w:val="20"/>
              </w:rPr>
            </w:pPr>
            <w:hyperlink r:id="rId43" w:anchor="RANGE!B140" w:history="1">
              <w:r w:rsidR="009B5DE5" w:rsidRPr="009B5DE5">
                <w:rPr>
                  <w:rFonts w:eastAsia="Times New Roman" w:cs="Times New Roman"/>
                  <w:sz w:val="20"/>
                  <w:szCs w:val="20"/>
                </w:rPr>
                <w:t>10. Примарни резултат[2]</w:t>
              </w:r>
            </w:hyperlink>
          </w:p>
        </w:tc>
        <w:tc>
          <w:tcPr>
            <w:tcW w:w="1647" w:type="dxa"/>
            <w:tcBorders>
              <w:top w:val="nil"/>
              <w:left w:val="nil"/>
              <w:bottom w:val="dotted" w:sz="4" w:space="0" w:color="auto"/>
              <w:right w:val="single" w:sz="8" w:space="0" w:color="auto"/>
            </w:tcBorders>
            <w:shd w:val="clear" w:color="auto" w:fill="auto"/>
            <w:vAlign w:val="center"/>
            <w:hideMark/>
          </w:tcPr>
          <w:p w14:paraId="5E46DF3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80" w:type="dxa"/>
            <w:tcBorders>
              <w:top w:val="nil"/>
              <w:left w:val="nil"/>
              <w:bottom w:val="single" w:sz="4" w:space="0" w:color="auto"/>
              <w:right w:val="dotted" w:sz="4" w:space="0" w:color="auto"/>
            </w:tcBorders>
            <w:shd w:val="clear" w:color="auto" w:fill="auto"/>
            <w:vAlign w:val="center"/>
            <w:hideMark/>
          </w:tcPr>
          <w:p w14:paraId="5FEDF4D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-117,6</w:t>
            </w:r>
          </w:p>
        </w:tc>
        <w:tc>
          <w:tcPr>
            <w:tcW w:w="1180" w:type="dxa"/>
            <w:tcBorders>
              <w:top w:val="nil"/>
              <w:left w:val="nil"/>
              <w:bottom w:val="single" w:sz="4" w:space="0" w:color="auto"/>
              <w:right w:val="dotted" w:sz="4" w:space="0" w:color="auto"/>
            </w:tcBorders>
            <w:shd w:val="clear" w:color="auto" w:fill="auto"/>
            <w:vAlign w:val="center"/>
            <w:hideMark/>
          </w:tcPr>
          <w:p w14:paraId="46D65D87"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-31,8</w:t>
            </w:r>
          </w:p>
        </w:tc>
        <w:tc>
          <w:tcPr>
            <w:tcW w:w="1180" w:type="dxa"/>
            <w:tcBorders>
              <w:top w:val="nil"/>
              <w:left w:val="nil"/>
              <w:bottom w:val="single" w:sz="4" w:space="0" w:color="auto"/>
              <w:right w:val="dotted" w:sz="4" w:space="0" w:color="auto"/>
            </w:tcBorders>
            <w:shd w:val="clear" w:color="auto" w:fill="auto"/>
            <w:vAlign w:val="center"/>
            <w:hideMark/>
          </w:tcPr>
          <w:p w14:paraId="28CEEF3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-75,4</w:t>
            </w:r>
          </w:p>
        </w:tc>
        <w:tc>
          <w:tcPr>
            <w:tcW w:w="1180" w:type="dxa"/>
            <w:tcBorders>
              <w:top w:val="nil"/>
              <w:left w:val="nil"/>
              <w:bottom w:val="single" w:sz="4" w:space="0" w:color="auto"/>
              <w:right w:val="dotted" w:sz="4" w:space="0" w:color="auto"/>
            </w:tcBorders>
            <w:shd w:val="clear" w:color="auto" w:fill="auto"/>
            <w:vAlign w:val="center"/>
            <w:hideMark/>
          </w:tcPr>
          <w:p w14:paraId="25BAFAE7"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-91,3</w:t>
            </w:r>
          </w:p>
        </w:tc>
        <w:tc>
          <w:tcPr>
            <w:tcW w:w="1180" w:type="dxa"/>
            <w:tcBorders>
              <w:top w:val="nil"/>
              <w:left w:val="nil"/>
              <w:bottom w:val="single" w:sz="4" w:space="0" w:color="auto"/>
              <w:right w:val="dotted" w:sz="4" w:space="0" w:color="auto"/>
            </w:tcBorders>
            <w:shd w:val="clear" w:color="auto" w:fill="auto"/>
            <w:vAlign w:val="center"/>
            <w:hideMark/>
          </w:tcPr>
          <w:p w14:paraId="11382A1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-100,4</w:t>
            </w:r>
          </w:p>
        </w:tc>
        <w:tc>
          <w:tcPr>
            <w:tcW w:w="1180" w:type="dxa"/>
            <w:tcBorders>
              <w:top w:val="nil"/>
              <w:left w:val="nil"/>
              <w:bottom w:val="single" w:sz="4" w:space="0" w:color="auto"/>
              <w:right w:val="double" w:sz="6" w:space="0" w:color="auto"/>
            </w:tcBorders>
            <w:shd w:val="clear" w:color="auto" w:fill="auto"/>
            <w:vAlign w:val="center"/>
            <w:hideMark/>
          </w:tcPr>
          <w:p w14:paraId="32B27FDB"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-123,5</w:t>
            </w:r>
          </w:p>
        </w:tc>
      </w:tr>
      <w:tr w:rsidR="009B5DE5" w:rsidRPr="009B5DE5" w14:paraId="4843A556" w14:textId="77777777" w:rsidTr="00396800">
        <w:trPr>
          <w:trHeight w:val="348"/>
        </w:trPr>
        <w:tc>
          <w:tcPr>
            <w:tcW w:w="6078" w:type="dxa"/>
            <w:tcBorders>
              <w:top w:val="nil"/>
              <w:left w:val="double" w:sz="6" w:space="0" w:color="auto"/>
              <w:bottom w:val="single" w:sz="4" w:space="0" w:color="auto"/>
              <w:right w:val="single" w:sz="8" w:space="0" w:color="auto"/>
            </w:tcBorders>
            <w:shd w:val="clear" w:color="auto" w:fill="auto"/>
            <w:noWrap/>
            <w:vAlign w:val="bottom"/>
            <w:hideMark/>
          </w:tcPr>
          <w:p w14:paraId="15B3B69F" w14:textId="77777777" w:rsidR="009B5DE5" w:rsidRPr="009B5DE5" w:rsidRDefault="00F03833" w:rsidP="009B5DE5">
            <w:pPr>
              <w:spacing w:after="0"/>
              <w:jc w:val="left"/>
              <w:rPr>
                <w:rFonts w:eastAsia="Times New Roman" w:cs="Times New Roman"/>
                <w:sz w:val="20"/>
                <w:szCs w:val="20"/>
              </w:rPr>
            </w:pPr>
            <w:hyperlink r:id="rId44" w:anchor="RANGE!B141" w:history="1">
              <w:r w:rsidR="009B5DE5" w:rsidRPr="009B5DE5">
                <w:rPr>
                  <w:rFonts w:eastAsia="Times New Roman" w:cs="Times New Roman"/>
                  <w:sz w:val="20"/>
                  <w:szCs w:val="20"/>
                </w:rPr>
                <w:t>11. Једнократне и остале привремене мере [3]</w:t>
              </w:r>
            </w:hyperlink>
          </w:p>
        </w:tc>
        <w:tc>
          <w:tcPr>
            <w:tcW w:w="1647" w:type="dxa"/>
            <w:tcBorders>
              <w:top w:val="nil"/>
              <w:left w:val="nil"/>
              <w:bottom w:val="single" w:sz="4" w:space="0" w:color="auto"/>
              <w:right w:val="single" w:sz="8" w:space="0" w:color="auto"/>
            </w:tcBorders>
            <w:shd w:val="clear" w:color="auto" w:fill="auto"/>
            <w:vAlign w:val="center"/>
            <w:hideMark/>
          </w:tcPr>
          <w:p w14:paraId="2A71B6F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80" w:type="dxa"/>
            <w:tcBorders>
              <w:top w:val="nil"/>
              <w:left w:val="nil"/>
              <w:bottom w:val="single" w:sz="4" w:space="0" w:color="auto"/>
              <w:right w:val="dotted" w:sz="4" w:space="0" w:color="auto"/>
            </w:tcBorders>
            <w:shd w:val="clear" w:color="auto" w:fill="auto"/>
            <w:vAlign w:val="center"/>
            <w:hideMark/>
          </w:tcPr>
          <w:p w14:paraId="6786282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180" w:type="dxa"/>
            <w:tcBorders>
              <w:top w:val="nil"/>
              <w:left w:val="nil"/>
              <w:bottom w:val="single" w:sz="4" w:space="0" w:color="auto"/>
              <w:right w:val="dotted" w:sz="4" w:space="0" w:color="auto"/>
            </w:tcBorders>
            <w:shd w:val="clear" w:color="auto" w:fill="auto"/>
            <w:vAlign w:val="center"/>
            <w:hideMark/>
          </w:tcPr>
          <w:p w14:paraId="20C05AD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180" w:type="dxa"/>
            <w:tcBorders>
              <w:top w:val="nil"/>
              <w:left w:val="nil"/>
              <w:bottom w:val="single" w:sz="4" w:space="0" w:color="auto"/>
              <w:right w:val="dotted" w:sz="4" w:space="0" w:color="auto"/>
            </w:tcBorders>
            <w:shd w:val="clear" w:color="auto" w:fill="auto"/>
            <w:vAlign w:val="center"/>
            <w:hideMark/>
          </w:tcPr>
          <w:p w14:paraId="0E6A5DDA"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180" w:type="dxa"/>
            <w:tcBorders>
              <w:top w:val="nil"/>
              <w:left w:val="nil"/>
              <w:bottom w:val="single" w:sz="4" w:space="0" w:color="auto"/>
              <w:right w:val="dotted" w:sz="4" w:space="0" w:color="auto"/>
            </w:tcBorders>
            <w:shd w:val="clear" w:color="auto" w:fill="auto"/>
            <w:vAlign w:val="center"/>
            <w:hideMark/>
          </w:tcPr>
          <w:p w14:paraId="219F22F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180" w:type="dxa"/>
            <w:tcBorders>
              <w:top w:val="nil"/>
              <w:left w:val="nil"/>
              <w:bottom w:val="single" w:sz="4" w:space="0" w:color="auto"/>
              <w:right w:val="dotted" w:sz="4" w:space="0" w:color="auto"/>
            </w:tcBorders>
            <w:shd w:val="clear" w:color="auto" w:fill="auto"/>
            <w:vAlign w:val="center"/>
            <w:hideMark/>
          </w:tcPr>
          <w:p w14:paraId="710CAB4D"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180" w:type="dxa"/>
            <w:tcBorders>
              <w:top w:val="nil"/>
              <w:left w:val="nil"/>
              <w:bottom w:val="single" w:sz="4" w:space="0" w:color="auto"/>
              <w:right w:val="double" w:sz="6" w:space="0" w:color="auto"/>
            </w:tcBorders>
            <w:shd w:val="clear" w:color="auto" w:fill="auto"/>
            <w:vAlign w:val="center"/>
            <w:hideMark/>
          </w:tcPr>
          <w:p w14:paraId="0E149FD0"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r>
      <w:tr w:rsidR="009B5DE5" w:rsidRPr="009B5DE5" w14:paraId="010F887B" w14:textId="77777777" w:rsidTr="00396800">
        <w:trPr>
          <w:trHeight w:val="348"/>
        </w:trPr>
        <w:tc>
          <w:tcPr>
            <w:tcW w:w="6078" w:type="dxa"/>
            <w:tcBorders>
              <w:top w:val="nil"/>
              <w:left w:val="double" w:sz="6" w:space="0" w:color="auto"/>
              <w:bottom w:val="single" w:sz="4" w:space="0" w:color="auto"/>
              <w:right w:val="nil"/>
            </w:tcBorders>
            <w:shd w:val="clear" w:color="auto" w:fill="auto"/>
            <w:vAlign w:val="center"/>
            <w:hideMark/>
          </w:tcPr>
          <w:p w14:paraId="662AA59D" w14:textId="77777777" w:rsidR="009B5DE5" w:rsidRPr="009B5DE5" w:rsidRDefault="009B5DE5" w:rsidP="009B5DE5">
            <w:pPr>
              <w:spacing w:after="0"/>
              <w:jc w:val="left"/>
              <w:rPr>
                <w:rFonts w:eastAsia="Times New Roman" w:cs="Times New Roman"/>
                <w:b/>
                <w:bCs/>
                <w:sz w:val="20"/>
                <w:szCs w:val="20"/>
              </w:rPr>
            </w:pPr>
            <w:r w:rsidRPr="009B5DE5">
              <w:rPr>
                <w:rFonts w:eastAsia="Times New Roman" w:cs="Times New Roman"/>
                <w:b/>
                <w:bCs/>
                <w:sz w:val="20"/>
                <w:szCs w:val="20"/>
              </w:rPr>
              <w:t>Компоненте прихода</w:t>
            </w:r>
          </w:p>
        </w:tc>
        <w:tc>
          <w:tcPr>
            <w:tcW w:w="1647" w:type="dxa"/>
            <w:tcBorders>
              <w:top w:val="nil"/>
              <w:left w:val="single" w:sz="8" w:space="0" w:color="auto"/>
              <w:bottom w:val="single" w:sz="4" w:space="0" w:color="auto"/>
              <w:right w:val="single" w:sz="8" w:space="0" w:color="auto"/>
            </w:tcBorders>
            <w:shd w:val="clear" w:color="auto" w:fill="auto"/>
            <w:vAlign w:val="center"/>
            <w:hideMark/>
          </w:tcPr>
          <w:p w14:paraId="0D205BEB" w14:textId="77777777" w:rsidR="009B5DE5" w:rsidRPr="009B5DE5" w:rsidRDefault="009B5DE5" w:rsidP="009B5DE5">
            <w:pPr>
              <w:spacing w:after="0"/>
              <w:jc w:val="center"/>
              <w:rPr>
                <w:rFonts w:eastAsia="Times New Roman" w:cs="Times New Roman"/>
                <w:b/>
                <w:bCs/>
                <w:sz w:val="20"/>
                <w:szCs w:val="20"/>
              </w:rPr>
            </w:pPr>
            <w:r w:rsidRPr="009B5DE5">
              <w:rPr>
                <w:rFonts w:eastAsia="Times New Roman" w:cs="Times New Roman"/>
                <w:b/>
                <w:bCs/>
                <w:sz w:val="20"/>
                <w:szCs w:val="20"/>
              </w:rPr>
              <w:t> </w:t>
            </w:r>
          </w:p>
        </w:tc>
        <w:tc>
          <w:tcPr>
            <w:tcW w:w="1180" w:type="dxa"/>
            <w:tcBorders>
              <w:top w:val="nil"/>
              <w:left w:val="nil"/>
              <w:bottom w:val="single" w:sz="4" w:space="0" w:color="auto"/>
              <w:right w:val="nil"/>
            </w:tcBorders>
            <w:shd w:val="clear" w:color="auto" w:fill="auto"/>
            <w:vAlign w:val="center"/>
            <w:hideMark/>
          </w:tcPr>
          <w:p w14:paraId="2D72FEB8"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c>
          <w:tcPr>
            <w:tcW w:w="1180" w:type="dxa"/>
            <w:tcBorders>
              <w:top w:val="nil"/>
              <w:left w:val="nil"/>
              <w:bottom w:val="single" w:sz="4" w:space="0" w:color="auto"/>
              <w:right w:val="nil"/>
            </w:tcBorders>
            <w:shd w:val="clear" w:color="auto" w:fill="auto"/>
            <w:vAlign w:val="center"/>
            <w:hideMark/>
          </w:tcPr>
          <w:p w14:paraId="2FA2A319"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c>
          <w:tcPr>
            <w:tcW w:w="1180" w:type="dxa"/>
            <w:tcBorders>
              <w:top w:val="nil"/>
              <w:left w:val="nil"/>
              <w:bottom w:val="single" w:sz="4" w:space="0" w:color="auto"/>
              <w:right w:val="nil"/>
            </w:tcBorders>
            <w:shd w:val="clear" w:color="auto" w:fill="auto"/>
            <w:vAlign w:val="center"/>
            <w:hideMark/>
          </w:tcPr>
          <w:p w14:paraId="0D57D026"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c>
          <w:tcPr>
            <w:tcW w:w="1180" w:type="dxa"/>
            <w:tcBorders>
              <w:top w:val="nil"/>
              <w:left w:val="nil"/>
              <w:bottom w:val="single" w:sz="4" w:space="0" w:color="auto"/>
              <w:right w:val="nil"/>
            </w:tcBorders>
            <w:shd w:val="clear" w:color="auto" w:fill="auto"/>
            <w:vAlign w:val="center"/>
            <w:hideMark/>
          </w:tcPr>
          <w:p w14:paraId="7CD90204"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c>
          <w:tcPr>
            <w:tcW w:w="1180" w:type="dxa"/>
            <w:tcBorders>
              <w:top w:val="nil"/>
              <w:left w:val="nil"/>
              <w:bottom w:val="single" w:sz="4" w:space="0" w:color="auto"/>
              <w:right w:val="nil"/>
            </w:tcBorders>
            <w:shd w:val="clear" w:color="auto" w:fill="auto"/>
            <w:vAlign w:val="center"/>
            <w:hideMark/>
          </w:tcPr>
          <w:p w14:paraId="2C2F46D8"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c>
          <w:tcPr>
            <w:tcW w:w="1180" w:type="dxa"/>
            <w:tcBorders>
              <w:top w:val="nil"/>
              <w:left w:val="nil"/>
              <w:bottom w:val="single" w:sz="4" w:space="0" w:color="auto"/>
              <w:right w:val="double" w:sz="6" w:space="0" w:color="auto"/>
            </w:tcBorders>
            <w:shd w:val="clear" w:color="auto" w:fill="auto"/>
            <w:vAlign w:val="center"/>
            <w:hideMark/>
          </w:tcPr>
          <w:p w14:paraId="2CBD9BD2"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r>
      <w:tr w:rsidR="009B5DE5" w:rsidRPr="009B5DE5" w14:paraId="1283A904" w14:textId="77777777" w:rsidTr="00396800">
        <w:trPr>
          <w:trHeight w:val="348"/>
        </w:trPr>
        <w:tc>
          <w:tcPr>
            <w:tcW w:w="6078" w:type="dxa"/>
            <w:tcBorders>
              <w:top w:val="nil"/>
              <w:left w:val="double" w:sz="6" w:space="0" w:color="auto"/>
              <w:bottom w:val="dotted" w:sz="4" w:space="0" w:color="auto"/>
              <w:right w:val="dotted" w:sz="4" w:space="0" w:color="auto"/>
            </w:tcBorders>
            <w:shd w:val="clear" w:color="auto" w:fill="auto"/>
            <w:vAlign w:val="center"/>
            <w:hideMark/>
          </w:tcPr>
          <w:p w14:paraId="4BF38B35"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12. Укупни порески приходи  (12 = 12a+12b+12c)</w:t>
            </w:r>
          </w:p>
        </w:tc>
        <w:tc>
          <w:tcPr>
            <w:tcW w:w="1647" w:type="dxa"/>
            <w:tcBorders>
              <w:top w:val="nil"/>
              <w:left w:val="single" w:sz="8" w:space="0" w:color="auto"/>
              <w:bottom w:val="dotted" w:sz="4" w:space="0" w:color="auto"/>
              <w:right w:val="single" w:sz="8" w:space="0" w:color="auto"/>
            </w:tcBorders>
            <w:shd w:val="clear" w:color="auto" w:fill="auto"/>
            <w:vAlign w:val="center"/>
            <w:hideMark/>
          </w:tcPr>
          <w:p w14:paraId="593056C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80" w:type="dxa"/>
            <w:tcBorders>
              <w:top w:val="nil"/>
              <w:left w:val="nil"/>
              <w:bottom w:val="dotted" w:sz="4" w:space="0" w:color="auto"/>
              <w:right w:val="dotted" w:sz="4" w:space="0" w:color="auto"/>
            </w:tcBorders>
            <w:shd w:val="clear" w:color="auto" w:fill="auto"/>
            <w:vAlign w:val="center"/>
            <w:hideMark/>
          </w:tcPr>
          <w:p w14:paraId="2E7D2200"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1.807,5</w:t>
            </w:r>
          </w:p>
        </w:tc>
        <w:tc>
          <w:tcPr>
            <w:tcW w:w="1180" w:type="dxa"/>
            <w:tcBorders>
              <w:top w:val="nil"/>
              <w:left w:val="nil"/>
              <w:bottom w:val="dotted" w:sz="4" w:space="0" w:color="auto"/>
              <w:right w:val="dotted" w:sz="4" w:space="0" w:color="auto"/>
            </w:tcBorders>
            <w:shd w:val="clear" w:color="auto" w:fill="auto"/>
            <w:vAlign w:val="center"/>
            <w:hideMark/>
          </w:tcPr>
          <w:p w14:paraId="118E2575"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2.017,9</w:t>
            </w:r>
          </w:p>
        </w:tc>
        <w:tc>
          <w:tcPr>
            <w:tcW w:w="1180" w:type="dxa"/>
            <w:tcBorders>
              <w:top w:val="nil"/>
              <w:left w:val="nil"/>
              <w:bottom w:val="dotted" w:sz="4" w:space="0" w:color="auto"/>
              <w:right w:val="dotted" w:sz="4" w:space="0" w:color="auto"/>
            </w:tcBorders>
            <w:shd w:val="clear" w:color="auto" w:fill="auto"/>
            <w:vAlign w:val="center"/>
            <w:hideMark/>
          </w:tcPr>
          <w:p w14:paraId="153FA99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2.258,8</w:t>
            </w:r>
          </w:p>
        </w:tc>
        <w:tc>
          <w:tcPr>
            <w:tcW w:w="1180" w:type="dxa"/>
            <w:tcBorders>
              <w:top w:val="nil"/>
              <w:left w:val="nil"/>
              <w:bottom w:val="dotted" w:sz="4" w:space="0" w:color="auto"/>
              <w:right w:val="dotted" w:sz="4" w:space="0" w:color="auto"/>
            </w:tcBorders>
            <w:shd w:val="clear" w:color="auto" w:fill="auto"/>
            <w:vAlign w:val="center"/>
            <w:hideMark/>
          </w:tcPr>
          <w:p w14:paraId="465A90AD"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2.405,4</w:t>
            </w:r>
          </w:p>
        </w:tc>
        <w:tc>
          <w:tcPr>
            <w:tcW w:w="1180" w:type="dxa"/>
            <w:tcBorders>
              <w:top w:val="nil"/>
              <w:left w:val="nil"/>
              <w:bottom w:val="dotted" w:sz="4" w:space="0" w:color="auto"/>
              <w:right w:val="dotted" w:sz="4" w:space="0" w:color="auto"/>
            </w:tcBorders>
            <w:shd w:val="clear" w:color="auto" w:fill="auto"/>
            <w:vAlign w:val="center"/>
            <w:hideMark/>
          </w:tcPr>
          <w:p w14:paraId="1B6D0FDF"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2.572,6</w:t>
            </w:r>
          </w:p>
        </w:tc>
        <w:tc>
          <w:tcPr>
            <w:tcW w:w="1180" w:type="dxa"/>
            <w:tcBorders>
              <w:top w:val="nil"/>
              <w:left w:val="nil"/>
              <w:bottom w:val="dotted" w:sz="4" w:space="0" w:color="auto"/>
              <w:right w:val="double" w:sz="6" w:space="0" w:color="auto"/>
            </w:tcBorders>
            <w:shd w:val="clear" w:color="auto" w:fill="auto"/>
            <w:vAlign w:val="center"/>
            <w:hideMark/>
          </w:tcPr>
          <w:p w14:paraId="42069B6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2.756,4</w:t>
            </w:r>
          </w:p>
        </w:tc>
      </w:tr>
      <w:tr w:rsidR="009B5DE5" w:rsidRPr="009B5DE5" w14:paraId="212082EB" w14:textId="77777777" w:rsidTr="00396800">
        <w:trPr>
          <w:trHeight w:val="348"/>
        </w:trPr>
        <w:tc>
          <w:tcPr>
            <w:tcW w:w="6078" w:type="dxa"/>
            <w:tcBorders>
              <w:top w:val="nil"/>
              <w:left w:val="double" w:sz="6" w:space="0" w:color="auto"/>
              <w:bottom w:val="dotted" w:sz="4" w:space="0" w:color="auto"/>
              <w:right w:val="dotted" w:sz="4" w:space="0" w:color="auto"/>
            </w:tcBorders>
            <w:shd w:val="clear" w:color="auto" w:fill="auto"/>
            <w:vAlign w:val="center"/>
            <w:hideMark/>
          </w:tcPr>
          <w:p w14:paraId="5FF7AA96"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12a. Порези на производњу и увоз</w:t>
            </w:r>
          </w:p>
        </w:tc>
        <w:tc>
          <w:tcPr>
            <w:tcW w:w="1647" w:type="dxa"/>
            <w:tcBorders>
              <w:top w:val="nil"/>
              <w:left w:val="single" w:sz="8" w:space="0" w:color="auto"/>
              <w:bottom w:val="dotted" w:sz="4" w:space="0" w:color="auto"/>
              <w:right w:val="single" w:sz="8" w:space="0" w:color="auto"/>
            </w:tcBorders>
            <w:shd w:val="clear" w:color="auto" w:fill="auto"/>
            <w:vAlign w:val="center"/>
            <w:hideMark/>
          </w:tcPr>
          <w:p w14:paraId="3B5815C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D2</w:t>
            </w:r>
          </w:p>
        </w:tc>
        <w:tc>
          <w:tcPr>
            <w:tcW w:w="1180" w:type="dxa"/>
            <w:tcBorders>
              <w:top w:val="nil"/>
              <w:left w:val="nil"/>
              <w:bottom w:val="dotted" w:sz="4" w:space="0" w:color="auto"/>
              <w:right w:val="dotted" w:sz="4" w:space="0" w:color="auto"/>
            </w:tcBorders>
            <w:shd w:val="clear" w:color="auto" w:fill="auto"/>
            <w:vAlign w:val="center"/>
            <w:hideMark/>
          </w:tcPr>
          <w:p w14:paraId="3D496D75"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1.242,4</w:t>
            </w:r>
          </w:p>
        </w:tc>
        <w:tc>
          <w:tcPr>
            <w:tcW w:w="1180" w:type="dxa"/>
            <w:tcBorders>
              <w:top w:val="nil"/>
              <w:left w:val="nil"/>
              <w:bottom w:val="dotted" w:sz="4" w:space="0" w:color="auto"/>
              <w:right w:val="dotted" w:sz="4" w:space="0" w:color="auto"/>
            </w:tcBorders>
            <w:shd w:val="clear" w:color="auto" w:fill="auto"/>
            <w:vAlign w:val="center"/>
            <w:hideMark/>
          </w:tcPr>
          <w:p w14:paraId="44F8F16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1.340,4</w:t>
            </w:r>
          </w:p>
        </w:tc>
        <w:tc>
          <w:tcPr>
            <w:tcW w:w="1180" w:type="dxa"/>
            <w:tcBorders>
              <w:top w:val="nil"/>
              <w:left w:val="nil"/>
              <w:bottom w:val="dotted" w:sz="4" w:space="0" w:color="auto"/>
              <w:right w:val="dotted" w:sz="4" w:space="0" w:color="auto"/>
            </w:tcBorders>
            <w:shd w:val="clear" w:color="auto" w:fill="auto"/>
            <w:vAlign w:val="center"/>
            <w:hideMark/>
          </w:tcPr>
          <w:p w14:paraId="1D50E1D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1.510,8</w:t>
            </w:r>
          </w:p>
        </w:tc>
        <w:tc>
          <w:tcPr>
            <w:tcW w:w="1180" w:type="dxa"/>
            <w:tcBorders>
              <w:top w:val="nil"/>
              <w:left w:val="nil"/>
              <w:bottom w:val="dotted" w:sz="4" w:space="0" w:color="auto"/>
              <w:right w:val="dotted" w:sz="4" w:space="0" w:color="auto"/>
            </w:tcBorders>
            <w:shd w:val="clear" w:color="auto" w:fill="auto"/>
            <w:vAlign w:val="center"/>
            <w:hideMark/>
          </w:tcPr>
          <w:p w14:paraId="42F4D982"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1.630,2</w:t>
            </w:r>
          </w:p>
        </w:tc>
        <w:tc>
          <w:tcPr>
            <w:tcW w:w="1180" w:type="dxa"/>
            <w:tcBorders>
              <w:top w:val="nil"/>
              <w:left w:val="nil"/>
              <w:bottom w:val="dotted" w:sz="4" w:space="0" w:color="auto"/>
              <w:right w:val="dotted" w:sz="4" w:space="0" w:color="auto"/>
            </w:tcBorders>
            <w:shd w:val="clear" w:color="auto" w:fill="auto"/>
            <w:vAlign w:val="center"/>
            <w:hideMark/>
          </w:tcPr>
          <w:p w14:paraId="4649395A"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1.741,8</w:t>
            </w:r>
          </w:p>
        </w:tc>
        <w:tc>
          <w:tcPr>
            <w:tcW w:w="1180" w:type="dxa"/>
            <w:tcBorders>
              <w:top w:val="nil"/>
              <w:left w:val="nil"/>
              <w:bottom w:val="dotted" w:sz="4" w:space="0" w:color="auto"/>
              <w:right w:val="double" w:sz="6" w:space="0" w:color="auto"/>
            </w:tcBorders>
            <w:shd w:val="clear" w:color="auto" w:fill="auto"/>
            <w:vAlign w:val="center"/>
            <w:hideMark/>
          </w:tcPr>
          <w:p w14:paraId="022A057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1.866,6</w:t>
            </w:r>
          </w:p>
        </w:tc>
      </w:tr>
      <w:tr w:rsidR="009B5DE5" w:rsidRPr="009B5DE5" w14:paraId="03E6A71B" w14:textId="77777777" w:rsidTr="00396800">
        <w:trPr>
          <w:trHeight w:val="348"/>
        </w:trPr>
        <w:tc>
          <w:tcPr>
            <w:tcW w:w="6078" w:type="dxa"/>
            <w:tcBorders>
              <w:top w:val="nil"/>
              <w:left w:val="double" w:sz="6" w:space="0" w:color="auto"/>
              <w:bottom w:val="dotted" w:sz="4" w:space="0" w:color="auto"/>
              <w:right w:val="dotted" w:sz="4" w:space="0" w:color="auto"/>
            </w:tcBorders>
            <w:shd w:val="clear" w:color="auto" w:fill="auto"/>
            <w:vAlign w:val="center"/>
            <w:hideMark/>
          </w:tcPr>
          <w:p w14:paraId="774B3F4C"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12b. Текући порези на доходак и имовину</w:t>
            </w:r>
          </w:p>
        </w:tc>
        <w:tc>
          <w:tcPr>
            <w:tcW w:w="1647" w:type="dxa"/>
            <w:tcBorders>
              <w:top w:val="nil"/>
              <w:left w:val="single" w:sz="8" w:space="0" w:color="auto"/>
              <w:bottom w:val="dotted" w:sz="4" w:space="0" w:color="auto"/>
              <w:right w:val="single" w:sz="8" w:space="0" w:color="auto"/>
            </w:tcBorders>
            <w:shd w:val="clear" w:color="auto" w:fill="auto"/>
            <w:vAlign w:val="center"/>
            <w:hideMark/>
          </w:tcPr>
          <w:p w14:paraId="1CC833D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D5</w:t>
            </w:r>
          </w:p>
        </w:tc>
        <w:tc>
          <w:tcPr>
            <w:tcW w:w="1180" w:type="dxa"/>
            <w:tcBorders>
              <w:top w:val="nil"/>
              <w:left w:val="nil"/>
              <w:bottom w:val="dotted" w:sz="4" w:space="0" w:color="auto"/>
              <w:right w:val="dotted" w:sz="4" w:space="0" w:color="auto"/>
            </w:tcBorders>
            <w:shd w:val="clear" w:color="auto" w:fill="auto"/>
            <w:vAlign w:val="center"/>
            <w:hideMark/>
          </w:tcPr>
          <w:p w14:paraId="477A2C1A"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563,7</w:t>
            </w:r>
          </w:p>
        </w:tc>
        <w:tc>
          <w:tcPr>
            <w:tcW w:w="1180" w:type="dxa"/>
            <w:tcBorders>
              <w:top w:val="nil"/>
              <w:left w:val="nil"/>
              <w:bottom w:val="dotted" w:sz="4" w:space="0" w:color="auto"/>
              <w:right w:val="dotted" w:sz="4" w:space="0" w:color="auto"/>
            </w:tcBorders>
            <w:shd w:val="clear" w:color="auto" w:fill="auto"/>
            <w:vAlign w:val="center"/>
            <w:hideMark/>
          </w:tcPr>
          <w:p w14:paraId="34FACF97"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676,6</w:t>
            </w:r>
          </w:p>
        </w:tc>
        <w:tc>
          <w:tcPr>
            <w:tcW w:w="1180" w:type="dxa"/>
            <w:tcBorders>
              <w:top w:val="nil"/>
              <w:left w:val="nil"/>
              <w:bottom w:val="dotted" w:sz="4" w:space="0" w:color="auto"/>
              <w:right w:val="dotted" w:sz="4" w:space="0" w:color="auto"/>
            </w:tcBorders>
            <w:shd w:val="clear" w:color="auto" w:fill="auto"/>
            <w:vAlign w:val="center"/>
            <w:hideMark/>
          </w:tcPr>
          <w:p w14:paraId="14FAAE2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747,0</w:t>
            </w:r>
          </w:p>
        </w:tc>
        <w:tc>
          <w:tcPr>
            <w:tcW w:w="1180" w:type="dxa"/>
            <w:tcBorders>
              <w:top w:val="nil"/>
              <w:left w:val="nil"/>
              <w:bottom w:val="dotted" w:sz="4" w:space="0" w:color="auto"/>
              <w:right w:val="dotted" w:sz="4" w:space="0" w:color="auto"/>
            </w:tcBorders>
            <w:shd w:val="clear" w:color="auto" w:fill="auto"/>
            <w:vAlign w:val="center"/>
            <w:hideMark/>
          </w:tcPr>
          <w:p w14:paraId="6FF7968F"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773,9</w:t>
            </w:r>
          </w:p>
        </w:tc>
        <w:tc>
          <w:tcPr>
            <w:tcW w:w="1180" w:type="dxa"/>
            <w:tcBorders>
              <w:top w:val="nil"/>
              <w:left w:val="nil"/>
              <w:bottom w:val="dotted" w:sz="4" w:space="0" w:color="auto"/>
              <w:right w:val="dotted" w:sz="4" w:space="0" w:color="auto"/>
            </w:tcBorders>
            <w:shd w:val="clear" w:color="auto" w:fill="auto"/>
            <w:vAlign w:val="center"/>
            <w:hideMark/>
          </w:tcPr>
          <w:p w14:paraId="0857D2FB"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829,3</w:t>
            </w:r>
          </w:p>
        </w:tc>
        <w:tc>
          <w:tcPr>
            <w:tcW w:w="1180" w:type="dxa"/>
            <w:tcBorders>
              <w:top w:val="nil"/>
              <w:left w:val="nil"/>
              <w:bottom w:val="dotted" w:sz="4" w:space="0" w:color="auto"/>
              <w:right w:val="double" w:sz="6" w:space="0" w:color="auto"/>
            </w:tcBorders>
            <w:shd w:val="clear" w:color="auto" w:fill="auto"/>
            <w:vAlign w:val="center"/>
            <w:hideMark/>
          </w:tcPr>
          <w:p w14:paraId="2C45915F"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887,9</w:t>
            </w:r>
          </w:p>
        </w:tc>
      </w:tr>
      <w:tr w:rsidR="009B5DE5" w:rsidRPr="009B5DE5" w14:paraId="2F09D0DF" w14:textId="77777777" w:rsidTr="00396800">
        <w:trPr>
          <w:trHeight w:val="348"/>
        </w:trPr>
        <w:tc>
          <w:tcPr>
            <w:tcW w:w="6078" w:type="dxa"/>
            <w:tcBorders>
              <w:top w:val="nil"/>
              <w:left w:val="double" w:sz="6" w:space="0" w:color="auto"/>
              <w:bottom w:val="dotted" w:sz="4" w:space="0" w:color="auto"/>
              <w:right w:val="dotted" w:sz="4" w:space="0" w:color="auto"/>
            </w:tcBorders>
            <w:shd w:val="clear" w:color="auto" w:fill="auto"/>
            <w:vAlign w:val="center"/>
            <w:hideMark/>
          </w:tcPr>
          <w:p w14:paraId="42A57620"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12c. Порези на капитал</w:t>
            </w:r>
          </w:p>
        </w:tc>
        <w:tc>
          <w:tcPr>
            <w:tcW w:w="1647" w:type="dxa"/>
            <w:tcBorders>
              <w:top w:val="nil"/>
              <w:left w:val="single" w:sz="8" w:space="0" w:color="auto"/>
              <w:bottom w:val="dotted" w:sz="4" w:space="0" w:color="auto"/>
              <w:right w:val="single" w:sz="8" w:space="0" w:color="auto"/>
            </w:tcBorders>
            <w:shd w:val="clear" w:color="auto" w:fill="auto"/>
            <w:vAlign w:val="center"/>
            <w:hideMark/>
          </w:tcPr>
          <w:p w14:paraId="60B16FC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D91</w:t>
            </w:r>
          </w:p>
        </w:tc>
        <w:tc>
          <w:tcPr>
            <w:tcW w:w="1180" w:type="dxa"/>
            <w:tcBorders>
              <w:top w:val="nil"/>
              <w:left w:val="nil"/>
              <w:bottom w:val="dotted" w:sz="4" w:space="0" w:color="auto"/>
              <w:right w:val="dotted" w:sz="4" w:space="0" w:color="auto"/>
            </w:tcBorders>
            <w:shd w:val="clear" w:color="auto" w:fill="auto"/>
            <w:vAlign w:val="center"/>
            <w:hideMark/>
          </w:tcPr>
          <w:p w14:paraId="12193FEB"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1,3</w:t>
            </w:r>
          </w:p>
        </w:tc>
        <w:tc>
          <w:tcPr>
            <w:tcW w:w="1180" w:type="dxa"/>
            <w:tcBorders>
              <w:top w:val="nil"/>
              <w:left w:val="nil"/>
              <w:bottom w:val="dotted" w:sz="4" w:space="0" w:color="auto"/>
              <w:right w:val="dotted" w:sz="4" w:space="0" w:color="auto"/>
            </w:tcBorders>
            <w:shd w:val="clear" w:color="auto" w:fill="auto"/>
            <w:vAlign w:val="center"/>
            <w:hideMark/>
          </w:tcPr>
          <w:p w14:paraId="6DB5D710"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0,9</w:t>
            </w:r>
          </w:p>
        </w:tc>
        <w:tc>
          <w:tcPr>
            <w:tcW w:w="1180" w:type="dxa"/>
            <w:tcBorders>
              <w:top w:val="nil"/>
              <w:left w:val="nil"/>
              <w:bottom w:val="dotted" w:sz="4" w:space="0" w:color="auto"/>
              <w:right w:val="dotted" w:sz="4" w:space="0" w:color="auto"/>
            </w:tcBorders>
            <w:shd w:val="clear" w:color="auto" w:fill="auto"/>
            <w:vAlign w:val="center"/>
            <w:hideMark/>
          </w:tcPr>
          <w:p w14:paraId="74085F9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1,0</w:t>
            </w:r>
          </w:p>
        </w:tc>
        <w:tc>
          <w:tcPr>
            <w:tcW w:w="1180" w:type="dxa"/>
            <w:tcBorders>
              <w:top w:val="nil"/>
              <w:left w:val="nil"/>
              <w:bottom w:val="dotted" w:sz="4" w:space="0" w:color="auto"/>
              <w:right w:val="dotted" w:sz="4" w:space="0" w:color="auto"/>
            </w:tcBorders>
            <w:shd w:val="clear" w:color="auto" w:fill="auto"/>
            <w:vAlign w:val="center"/>
            <w:hideMark/>
          </w:tcPr>
          <w:p w14:paraId="004841E2"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1,3</w:t>
            </w:r>
          </w:p>
        </w:tc>
        <w:tc>
          <w:tcPr>
            <w:tcW w:w="1180" w:type="dxa"/>
            <w:tcBorders>
              <w:top w:val="nil"/>
              <w:left w:val="nil"/>
              <w:bottom w:val="dotted" w:sz="4" w:space="0" w:color="auto"/>
              <w:right w:val="dotted" w:sz="4" w:space="0" w:color="auto"/>
            </w:tcBorders>
            <w:shd w:val="clear" w:color="auto" w:fill="auto"/>
            <w:vAlign w:val="center"/>
            <w:hideMark/>
          </w:tcPr>
          <w:p w14:paraId="6F1431B9"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1,6</w:t>
            </w:r>
          </w:p>
        </w:tc>
        <w:tc>
          <w:tcPr>
            <w:tcW w:w="1180" w:type="dxa"/>
            <w:tcBorders>
              <w:top w:val="nil"/>
              <w:left w:val="nil"/>
              <w:bottom w:val="dotted" w:sz="4" w:space="0" w:color="auto"/>
              <w:right w:val="double" w:sz="6" w:space="0" w:color="auto"/>
            </w:tcBorders>
            <w:shd w:val="clear" w:color="auto" w:fill="auto"/>
            <w:vAlign w:val="center"/>
            <w:hideMark/>
          </w:tcPr>
          <w:p w14:paraId="74C4700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1,9</w:t>
            </w:r>
          </w:p>
        </w:tc>
      </w:tr>
      <w:tr w:rsidR="009B5DE5" w:rsidRPr="009B5DE5" w14:paraId="5E696324" w14:textId="77777777" w:rsidTr="00396800">
        <w:trPr>
          <w:trHeight w:val="348"/>
        </w:trPr>
        <w:tc>
          <w:tcPr>
            <w:tcW w:w="6078" w:type="dxa"/>
            <w:tcBorders>
              <w:top w:val="nil"/>
              <w:left w:val="double" w:sz="6" w:space="0" w:color="auto"/>
              <w:bottom w:val="dotted" w:sz="4" w:space="0" w:color="auto"/>
              <w:right w:val="dotted" w:sz="4" w:space="0" w:color="auto"/>
            </w:tcBorders>
            <w:shd w:val="clear" w:color="auto" w:fill="auto"/>
            <w:vAlign w:val="center"/>
            <w:hideMark/>
          </w:tcPr>
          <w:p w14:paraId="269ED441"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13. Доприноси за социјално осигурање</w:t>
            </w:r>
          </w:p>
        </w:tc>
        <w:tc>
          <w:tcPr>
            <w:tcW w:w="1647" w:type="dxa"/>
            <w:tcBorders>
              <w:top w:val="nil"/>
              <w:left w:val="single" w:sz="8" w:space="0" w:color="auto"/>
              <w:bottom w:val="dotted" w:sz="4" w:space="0" w:color="auto"/>
              <w:right w:val="single" w:sz="8" w:space="0" w:color="auto"/>
            </w:tcBorders>
            <w:shd w:val="clear" w:color="auto" w:fill="auto"/>
            <w:vAlign w:val="center"/>
            <w:hideMark/>
          </w:tcPr>
          <w:p w14:paraId="364181E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D61</w:t>
            </w:r>
          </w:p>
        </w:tc>
        <w:tc>
          <w:tcPr>
            <w:tcW w:w="1180" w:type="dxa"/>
            <w:tcBorders>
              <w:top w:val="nil"/>
              <w:left w:val="nil"/>
              <w:bottom w:val="dotted" w:sz="4" w:space="0" w:color="auto"/>
              <w:right w:val="dotted" w:sz="4" w:space="0" w:color="auto"/>
            </w:tcBorders>
            <w:shd w:val="clear" w:color="auto" w:fill="auto"/>
            <w:vAlign w:val="center"/>
            <w:hideMark/>
          </w:tcPr>
          <w:p w14:paraId="0A214EEB"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952,2</w:t>
            </w:r>
          </w:p>
        </w:tc>
        <w:tc>
          <w:tcPr>
            <w:tcW w:w="1180" w:type="dxa"/>
            <w:tcBorders>
              <w:top w:val="nil"/>
              <w:left w:val="nil"/>
              <w:bottom w:val="dotted" w:sz="4" w:space="0" w:color="auto"/>
              <w:right w:val="dotted" w:sz="4" w:space="0" w:color="auto"/>
            </w:tcBorders>
            <w:shd w:val="clear" w:color="auto" w:fill="auto"/>
            <w:vAlign w:val="center"/>
            <w:hideMark/>
          </w:tcPr>
          <w:p w14:paraId="3ADD323D"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1.060,9</w:t>
            </w:r>
          </w:p>
        </w:tc>
        <w:tc>
          <w:tcPr>
            <w:tcW w:w="1180" w:type="dxa"/>
            <w:tcBorders>
              <w:top w:val="nil"/>
              <w:left w:val="nil"/>
              <w:bottom w:val="dotted" w:sz="4" w:space="0" w:color="auto"/>
              <w:right w:val="dotted" w:sz="4" w:space="0" w:color="auto"/>
            </w:tcBorders>
            <w:shd w:val="clear" w:color="auto" w:fill="auto"/>
            <w:vAlign w:val="center"/>
            <w:hideMark/>
          </w:tcPr>
          <w:p w14:paraId="52DD0FB9"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1.220,1</w:t>
            </w:r>
          </w:p>
        </w:tc>
        <w:tc>
          <w:tcPr>
            <w:tcW w:w="1180" w:type="dxa"/>
            <w:tcBorders>
              <w:top w:val="nil"/>
              <w:left w:val="nil"/>
              <w:bottom w:val="dotted" w:sz="4" w:space="0" w:color="auto"/>
              <w:right w:val="dotted" w:sz="4" w:space="0" w:color="auto"/>
            </w:tcBorders>
            <w:shd w:val="clear" w:color="auto" w:fill="auto"/>
            <w:vAlign w:val="center"/>
            <w:hideMark/>
          </w:tcPr>
          <w:p w14:paraId="05B1039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1.344,6</w:t>
            </w:r>
          </w:p>
        </w:tc>
        <w:tc>
          <w:tcPr>
            <w:tcW w:w="1180" w:type="dxa"/>
            <w:tcBorders>
              <w:top w:val="nil"/>
              <w:left w:val="nil"/>
              <w:bottom w:val="dotted" w:sz="4" w:space="0" w:color="auto"/>
              <w:right w:val="dotted" w:sz="4" w:space="0" w:color="auto"/>
            </w:tcBorders>
            <w:shd w:val="clear" w:color="auto" w:fill="auto"/>
            <w:vAlign w:val="center"/>
            <w:hideMark/>
          </w:tcPr>
          <w:p w14:paraId="72E2F04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1.466,9</w:t>
            </w:r>
          </w:p>
        </w:tc>
        <w:tc>
          <w:tcPr>
            <w:tcW w:w="1180" w:type="dxa"/>
            <w:tcBorders>
              <w:top w:val="nil"/>
              <w:left w:val="nil"/>
              <w:bottom w:val="dotted" w:sz="4" w:space="0" w:color="auto"/>
              <w:right w:val="double" w:sz="6" w:space="0" w:color="auto"/>
            </w:tcBorders>
            <w:shd w:val="clear" w:color="auto" w:fill="auto"/>
            <w:vAlign w:val="center"/>
            <w:hideMark/>
          </w:tcPr>
          <w:p w14:paraId="072981E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1.602,3</w:t>
            </w:r>
          </w:p>
        </w:tc>
      </w:tr>
      <w:tr w:rsidR="009B5DE5" w:rsidRPr="009B5DE5" w14:paraId="1E8F42AF" w14:textId="77777777" w:rsidTr="00396800">
        <w:trPr>
          <w:trHeight w:val="348"/>
        </w:trPr>
        <w:tc>
          <w:tcPr>
            <w:tcW w:w="6078" w:type="dxa"/>
            <w:tcBorders>
              <w:top w:val="nil"/>
              <w:left w:val="double" w:sz="6" w:space="0" w:color="auto"/>
              <w:bottom w:val="dotted" w:sz="4" w:space="0" w:color="auto"/>
              <w:right w:val="dotted" w:sz="4" w:space="0" w:color="auto"/>
            </w:tcBorders>
            <w:shd w:val="clear" w:color="auto" w:fill="auto"/>
            <w:vAlign w:val="center"/>
            <w:hideMark/>
          </w:tcPr>
          <w:p w14:paraId="0C0D4F52"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14. Приходи од имовине</w:t>
            </w:r>
          </w:p>
        </w:tc>
        <w:tc>
          <w:tcPr>
            <w:tcW w:w="1647" w:type="dxa"/>
            <w:tcBorders>
              <w:top w:val="nil"/>
              <w:left w:val="single" w:sz="8" w:space="0" w:color="auto"/>
              <w:bottom w:val="dotted" w:sz="4" w:space="0" w:color="auto"/>
              <w:right w:val="single" w:sz="8" w:space="0" w:color="auto"/>
            </w:tcBorders>
            <w:shd w:val="clear" w:color="auto" w:fill="auto"/>
            <w:vAlign w:val="center"/>
            <w:hideMark/>
          </w:tcPr>
          <w:p w14:paraId="75A8BE33"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D4</w:t>
            </w:r>
          </w:p>
        </w:tc>
        <w:tc>
          <w:tcPr>
            <w:tcW w:w="1180" w:type="dxa"/>
            <w:tcBorders>
              <w:top w:val="nil"/>
              <w:left w:val="nil"/>
              <w:bottom w:val="dotted" w:sz="4" w:space="0" w:color="auto"/>
              <w:right w:val="dotted" w:sz="4" w:space="0" w:color="auto"/>
            </w:tcBorders>
            <w:shd w:val="clear" w:color="auto" w:fill="auto"/>
            <w:vAlign w:val="center"/>
            <w:hideMark/>
          </w:tcPr>
          <w:p w14:paraId="65959A52"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90,6</w:t>
            </w:r>
          </w:p>
        </w:tc>
        <w:tc>
          <w:tcPr>
            <w:tcW w:w="1180" w:type="dxa"/>
            <w:tcBorders>
              <w:top w:val="nil"/>
              <w:left w:val="nil"/>
              <w:bottom w:val="dotted" w:sz="4" w:space="0" w:color="auto"/>
              <w:right w:val="dotted" w:sz="4" w:space="0" w:color="auto"/>
            </w:tcBorders>
            <w:shd w:val="clear" w:color="auto" w:fill="auto"/>
            <w:vAlign w:val="center"/>
            <w:hideMark/>
          </w:tcPr>
          <w:p w14:paraId="374E15E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96,7</w:t>
            </w:r>
          </w:p>
        </w:tc>
        <w:tc>
          <w:tcPr>
            <w:tcW w:w="1180" w:type="dxa"/>
            <w:tcBorders>
              <w:top w:val="nil"/>
              <w:left w:val="nil"/>
              <w:bottom w:val="dotted" w:sz="4" w:space="0" w:color="auto"/>
              <w:right w:val="dotted" w:sz="4" w:space="0" w:color="auto"/>
            </w:tcBorders>
            <w:shd w:val="clear" w:color="auto" w:fill="auto"/>
            <w:vAlign w:val="center"/>
            <w:hideMark/>
          </w:tcPr>
          <w:p w14:paraId="49AC12A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120,4</w:t>
            </w:r>
          </w:p>
        </w:tc>
        <w:tc>
          <w:tcPr>
            <w:tcW w:w="1180" w:type="dxa"/>
            <w:tcBorders>
              <w:top w:val="nil"/>
              <w:left w:val="nil"/>
              <w:bottom w:val="dotted" w:sz="4" w:space="0" w:color="auto"/>
              <w:right w:val="dotted" w:sz="4" w:space="0" w:color="auto"/>
            </w:tcBorders>
            <w:shd w:val="clear" w:color="auto" w:fill="auto"/>
            <w:vAlign w:val="center"/>
            <w:hideMark/>
          </w:tcPr>
          <w:p w14:paraId="69540CD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116,5</w:t>
            </w:r>
          </w:p>
        </w:tc>
        <w:tc>
          <w:tcPr>
            <w:tcW w:w="1180" w:type="dxa"/>
            <w:tcBorders>
              <w:top w:val="nil"/>
              <w:left w:val="nil"/>
              <w:bottom w:val="dotted" w:sz="4" w:space="0" w:color="auto"/>
              <w:right w:val="dotted" w:sz="4" w:space="0" w:color="auto"/>
            </w:tcBorders>
            <w:shd w:val="clear" w:color="auto" w:fill="auto"/>
            <w:vAlign w:val="center"/>
            <w:hideMark/>
          </w:tcPr>
          <w:p w14:paraId="587DB08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127,0</w:t>
            </w:r>
          </w:p>
        </w:tc>
        <w:tc>
          <w:tcPr>
            <w:tcW w:w="1180" w:type="dxa"/>
            <w:tcBorders>
              <w:top w:val="nil"/>
              <w:left w:val="nil"/>
              <w:bottom w:val="dotted" w:sz="4" w:space="0" w:color="auto"/>
              <w:right w:val="double" w:sz="6" w:space="0" w:color="auto"/>
            </w:tcBorders>
            <w:shd w:val="clear" w:color="auto" w:fill="auto"/>
            <w:vAlign w:val="center"/>
            <w:hideMark/>
          </w:tcPr>
          <w:p w14:paraId="68EB1B9D"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139,1</w:t>
            </w:r>
          </w:p>
        </w:tc>
      </w:tr>
      <w:tr w:rsidR="009B5DE5" w:rsidRPr="009B5DE5" w14:paraId="2AD8DF1E" w14:textId="77777777" w:rsidTr="00396800">
        <w:trPr>
          <w:trHeight w:val="348"/>
        </w:trPr>
        <w:tc>
          <w:tcPr>
            <w:tcW w:w="6078" w:type="dxa"/>
            <w:tcBorders>
              <w:top w:val="nil"/>
              <w:left w:val="double" w:sz="6" w:space="0" w:color="auto"/>
              <w:bottom w:val="dotted" w:sz="4" w:space="0" w:color="auto"/>
              <w:right w:val="dotted" w:sz="4" w:space="0" w:color="auto"/>
            </w:tcBorders>
            <w:shd w:val="clear" w:color="auto" w:fill="auto"/>
            <w:vAlign w:val="center"/>
            <w:hideMark/>
          </w:tcPr>
          <w:p w14:paraId="78FDF595" w14:textId="77777777" w:rsidR="009B5DE5" w:rsidRPr="009B5DE5" w:rsidRDefault="00F03833" w:rsidP="009B5DE5">
            <w:pPr>
              <w:spacing w:after="0"/>
              <w:jc w:val="left"/>
              <w:rPr>
                <w:rFonts w:eastAsia="Times New Roman" w:cs="Times New Roman"/>
                <w:sz w:val="20"/>
                <w:szCs w:val="20"/>
              </w:rPr>
            </w:pPr>
            <w:hyperlink r:id="rId45" w:anchor="RANGE!B142" w:history="1">
              <w:r w:rsidR="009B5DE5" w:rsidRPr="009B5DE5">
                <w:rPr>
                  <w:rFonts w:eastAsia="Times New Roman" w:cs="Times New Roman"/>
                  <w:sz w:val="20"/>
                  <w:szCs w:val="20"/>
                </w:rPr>
                <w:t>15. Друго (15 = 16-(12+13+14)) [4]</w:t>
              </w:r>
            </w:hyperlink>
          </w:p>
        </w:tc>
        <w:tc>
          <w:tcPr>
            <w:tcW w:w="1647" w:type="dxa"/>
            <w:tcBorders>
              <w:top w:val="nil"/>
              <w:left w:val="single" w:sz="8" w:space="0" w:color="auto"/>
              <w:bottom w:val="dotted" w:sz="4" w:space="0" w:color="auto"/>
              <w:right w:val="single" w:sz="8" w:space="0" w:color="auto"/>
            </w:tcBorders>
            <w:shd w:val="clear" w:color="auto" w:fill="auto"/>
            <w:vAlign w:val="center"/>
            <w:hideMark/>
          </w:tcPr>
          <w:p w14:paraId="41C3564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80" w:type="dxa"/>
            <w:tcBorders>
              <w:top w:val="nil"/>
              <w:left w:val="nil"/>
              <w:bottom w:val="dotted" w:sz="4" w:space="0" w:color="auto"/>
              <w:right w:val="dotted" w:sz="4" w:space="0" w:color="auto"/>
            </w:tcBorders>
            <w:shd w:val="clear" w:color="auto" w:fill="auto"/>
            <w:vAlign w:val="center"/>
            <w:hideMark/>
          </w:tcPr>
          <w:p w14:paraId="7DD2CDD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253,1</w:t>
            </w:r>
          </w:p>
        </w:tc>
        <w:tc>
          <w:tcPr>
            <w:tcW w:w="1180" w:type="dxa"/>
            <w:tcBorders>
              <w:top w:val="nil"/>
              <w:left w:val="nil"/>
              <w:bottom w:val="dotted" w:sz="4" w:space="0" w:color="auto"/>
              <w:right w:val="dotted" w:sz="4" w:space="0" w:color="auto"/>
            </w:tcBorders>
            <w:shd w:val="clear" w:color="auto" w:fill="auto"/>
            <w:vAlign w:val="center"/>
            <w:hideMark/>
          </w:tcPr>
          <w:p w14:paraId="1B30AE3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297,9</w:t>
            </w:r>
          </w:p>
        </w:tc>
        <w:tc>
          <w:tcPr>
            <w:tcW w:w="1180" w:type="dxa"/>
            <w:tcBorders>
              <w:top w:val="nil"/>
              <w:left w:val="nil"/>
              <w:bottom w:val="dotted" w:sz="4" w:space="0" w:color="auto"/>
              <w:right w:val="dotted" w:sz="4" w:space="0" w:color="auto"/>
            </w:tcBorders>
            <w:shd w:val="clear" w:color="auto" w:fill="auto"/>
            <w:vAlign w:val="center"/>
            <w:hideMark/>
          </w:tcPr>
          <w:p w14:paraId="3597610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322,9</w:t>
            </w:r>
          </w:p>
        </w:tc>
        <w:tc>
          <w:tcPr>
            <w:tcW w:w="1180" w:type="dxa"/>
            <w:tcBorders>
              <w:top w:val="nil"/>
              <w:left w:val="nil"/>
              <w:bottom w:val="dotted" w:sz="4" w:space="0" w:color="auto"/>
              <w:right w:val="dotted" w:sz="4" w:space="0" w:color="auto"/>
            </w:tcBorders>
            <w:shd w:val="clear" w:color="auto" w:fill="auto"/>
            <w:vAlign w:val="center"/>
            <w:hideMark/>
          </w:tcPr>
          <w:p w14:paraId="0B72DBA2"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397,8</w:t>
            </w:r>
          </w:p>
        </w:tc>
        <w:tc>
          <w:tcPr>
            <w:tcW w:w="1180" w:type="dxa"/>
            <w:tcBorders>
              <w:top w:val="nil"/>
              <w:left w:val="nil"/>
              <w:bottom w:val="dotted" w:sz="4" w:space="0" w:color="auto"/>
              <w:right w:val="dotted" w:sz="4" w:space="0" w:color="auto"/>
            </w:tcBorders>
            <w:shd w:val="clear" w:color="auto" w:fill="auto"/>
            <w:vAlign w:val="center"/>
            <w:hideMark/>
          </w:tcPr>
          <w:p w14:paraId="50609A4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367,5</w:t>
            </w:r>
          </w:p>
        </w:tc>
        <w:tc>
          <w:tcPr>
            <w:tcW w:w="1180" w:type="dxa"/>
            <w:tcBorders>
              <w:top w:val="nil"/>
              <w:left w:val="nil"/>
              <w:bottom w:val="dotted" w:sz="4" w:space="0" w:color="auto"/>
              <w:right w:val="double" w:sz="6" w:space="0" w:color="auto"/>
            </w:tcBorders>
            <w:shd w:val="clear" w:color="auto" w:fill="auto"/>
            <w:vAlign w:val="center"/>
            <w:hideMark/>
          </w:tcPr>
          <w:p w14:paraId="250ACFF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357,0</w:t>
            </w:r>
          </w:p>
        </w:tc>
      </w:tr>
      <w:tr w:rsidR="009B5DE5" w:rsidRPr="009B5DE5" w14:paraId="2F0CF232" w14:textId="77777777" w:rsidTr="00396800">
        <w:trPr>
          <w:trHeight w:val="348"/>
        </w:trPr>
        <w:tc>
          <w:tcPr>
            <w:tcW w:w="6078" w:type="dxa"/>
            <w:tcBorders>
              <w:top w:val="nil"/>
              <w:left w:val="double" w:sz="6" w:space="0" w:color="auto"/>
              <w:bottom w:val="dotted" w:sz="4" w:space="0" w:color="auto"/>
              <w:right w:val="dotted" w:sz="4" w:space="0" w:color="auto"/>
            </w:tcBorders>
            <w:shd w:val="clear" w:color="auto" w:fill="auto"/>
            <w:vAlign w:val="center"/>
            <w:hideMark/>
          </w:tcPr>
          <w:p w14:paraId="5CF45811"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16 = 6. Укупни приходи</w:t>
            </w:r>
          </w:p>
        </w:tc>
        <w:tc>
          <w:tcPr>
            <w:tcW w:w="1647" w:type="dxa"/>
            <w:tcBorders>
              <w:top w:val="nil"/>
              <w:left w:val="single" w:sz="8" w:space="0" w:color="auto"/>
              <w:bottom w:val="dotted" w:sz="4" w:space="0" w:color="auto"/>
              <w:right w:val="single" w:sz="8" w:space="0" w:color="auto"/>
            </w:tcBorders>
            <w:shd w:val="clear" w:color="auto" w:fill="auto"/>
            <w:vAlign w:val="center"/>
            <w:hideMark/>
          </w:tcPr>
          <w:p w14:paraId="24E359A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TR</w:t>
            </w:r>
          </w:p>
        </w:tc>
        <w:tc>
          <w:tcPr>
            <w:tcW w:w="1180" w:type="dxa"/>
            <w:tcBorders>
              <w:top w:val="nil"/>
              <w:left w:val="nil"/>
              <w:bottom w:val="dotted" w:sz="4" w:space="0" w:color="auto"/>
              <w:right w:val="dotted" w:sz="4" w:space="0" w:color="auto"/>
            </w:tcBorders>
            <w:shd w:val="clear" w:color="auto" w:fill="auto"/>
            <w:vAlign w:val="center"/>
            <w:hideMark/>
          </w:tcPr>
          <w:p w14:paraId="40F3D8A0"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3.103,3</w:t>
            </w:r>
          </w:p>
        </w:tc>
        <w:tc>
          <w:tcPr>
            <w:tcW w:w="1180" w:type="dxa"/>
            <w:tcBorders>
              <w:top w:val="nil"/>
              <w:left w:val="nil"/>
              <w:bottom w:val="dotted" w:sz="4" w:space="0" w:color="auto"/>
              <w:right w:val="dotted" w:sz="4" w:space="0" w:color="auto"/>
            </w:tcBorders>
            <w:shd w:val="clear" w:color="auto" w:fill="auto"/>
            <w:vAlign w:val="center"/>
            <w:hideMark/>
          </w:tcPr>
          <w:p w14:paraId="65CA545B"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3.473,3</w:t>
            </w:r>
          </w:p>
        </w:tc>
        <w:tc>
          <w:tcPr>
            <w:tcW w:w="1180" w:type="dxa"/>
            <w:tcBorders>
              <w:top w:val="nil"/>
              <w:left w:val="nil"/>
              <w:bottom w:val="dotted" w:sz="4" w:space="0" w:color="auto"/>
              <w:right w:val="dotted" w:sz="4" w:space="0" w:color="auto"/>
            </w:tcBorders>
            <w:shd w:val="clear" w:color="auto" w:fill="auto"/>
            <w:vAlign w:val="center"/>
            <w:hideMark/>
          </w:tcPr>
          <w:p w14:paraId="1E1305E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3.922,2</w:t>
            </w:r>
          </w:p>
        </w:tc>
        <w:tc>
          <w:tcPr>
            <w:tcW w:w="1180" w:type="dxa"/>
            <w:tcBorders>
              <w:top w:val="nil"/>
              <w:left w:val="nil"/>
              <w:bottom w:val="dotted" w:sz="4" w:space="0" w:color="auto"/>
              <w:right w:val="dotted" w:sz="4" w:space="0" w:color="auto"/>
            </w:tcBorders>
            <w:shd w:val="clear" w:color="auto" w:fill="auto"/>
            <w:vAlign w:val="center"/>
            <w:hideMark/>
          </w:tcPr>
          <w:p w14:paraId="5AD6E08F"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4.264,3</w:t>
            </w:r>
          </w:p>
        </w:tc>
        <w:tc>
          <w:tcPr>
            <w:tcW w:w="1180" w:type="dxa"/>
            <w:tcBorders>
              <w:top w:val="nil"/>
              <w:left w:val="nil"/>
              <w:bottom w:val="dotted" w:sz="4" w:space="0" w:color="auto"/>
              <w:right w:val="dotted" w:sz="4" w:space="0" w:color="auto"/>
            </w:tcBorders>
            <w:shd w:val="clear" w:color="auto" w:fill="auto"/>
            <w:vAlign w:val="center"/>
            <w:hideMark/>
          </w:tcPr>
          <w:p w14:paraId="0071C62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4.534,0</w:t>
            </w:r>
          </w:p>
        </w:tc>
        <w:tc>
          <w:tcPr>
            <w:tcW w:w="1180" w:type="dxa"/>
            <w:tcBorders>
              <w:top w:val="nil"/>
              <w:left w:val="nil"/>
              <w:bottom w:val="dotted" w:sz="4" w:space="0" w:color="auto"/>
              <w:right w:val="double" w:sz="6" w:space="0" w:color="auto"/>
            </w:tcBorders>
            <w:shd w:val="clear" w:color="auto" w:fill="auto"/>
            <w:vAlign w:val="center"/>
            <w:hideMark/>
          </w:tcPr>
          <w:p w14:paraId="27CAEDA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4.854,7</w:t>
            </w:r>
          </w:p>
        </w:tc>
      </w:tr>
      <w:tr w:rsidR="009B5DE5" w:rsidRPr="009B5DE5" w14:paraId="7C841F36" w14:textId="77777777" w:rsidTr="00396800">
        <w:trPr>
          <w:trHeight w:val="716"/>
        </w:trPr>
        <w:tc>
          <w:tcPr>
            <w:tcW w:w="6078" w:type="dxa"/>
            <w:tcBorders>
              <w:top w:val="nil"/>
              <w:left w:val="double" w:sz="6" w:space="0" w:color="auto"/>
              <w:bottom w:val="single" w:sz="8" w:space="0" w:color="auto"/>
              <w:right w:val="dotted" w:sz="4" w:space="0" w:color="auto"/>
            </w:tcBorders>
            <w:shd w:val="clear" w:color="auto" w:fill="auto"/>
            <w:vAlign w:val="center"/>
            <w:hideMark/>
          </w:tcPr>
          <w:p w14:paraId="1EB4402B" w14:textId="77777777" w:rsidR="009B5DE5" w:rsidRPr="009B5DE5" w:rsidRDefault="00F03833" w:rsidP="009B5DE5">
            <w:pPr>
              <w:spacing w:after="0"/>
              <w:jc w:val="left"/>
              <w:rPr>
                <w:rFonts w:eastAsia="Times New Roman" w:cs="Times New Roman"/>
                <w:sz w:val="20"/>
                <w:szCs w:val="20"/>
              </w:rPr>
            </w:pPr>
            <w:hyperlink r:id="rId46" w:anchor="RANGE!B143" w:history="1">
              <w:r w:rsidR="009B5DE5" w:rsidRPr="009B5DE5">
                <w:rPr>
                  <w:rFonts w:eastAsia="Times New Roman" w:cs="Times New Roman"/>
                  <w:sz w:val="20"/>
                  <w:szCs w:val="20"/>
                </w:rPr>
                <w:t>информативно: Пореско оптерећење (D2+D5+D61+D91-D995) [5]</w:t>
              </w:r>
            </w:hyperlink>
          </w:p>
        </w:tc>
        <w:tc>
          <w:tcPr>
            <w:tcW w:w="1647" w:type="dxa"/>
            <w:tcBorders>
              <w:top w:val="nil"/>
              <w:left w:val="single" w:sz="8" w:space="0" w:color="auto"/>
              <w:bottom w:val="single" w:sz="4" w:space="0" w:color="auto"/>
              <w:right w:val="single" w:sz="8" w:space="0" w:color="auto"/>
            </w:tcBorders>
            <w:shd w:val="clear" w:color="auto" w:fill="auto"/>
            <w:vAlign w:val="center"/>
            <w:hideMark/>
          </w:tcPr>
          <w:p w14:paraId="040E853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80" w:type="dxa"/>
            <w:tcBorders>
              <w:top w:val="nil"/>
              <w:left w:val="nil"/>
              <w:bottom w:val="single" w:sz="4" w:space="0" w:color="auto"/>
              <w:right w:val="dotted" w:sz="4" w:space="0" w:color="auto"/>
            </w:tcBorders>
            <w:shd w:val="clear" w:color="auto" w:fill="auto"/>
            <w:vAlign w:val="center"/>
            <w:hideMark/>
          </w:tcPr>
          <w:p w14:paraId="3C18FA57"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2.759,7</w:t>
            </w:r>
          </w:p>
        </w:tc>
        <w:tc>
          <w:tcPr>
            <w:tcW w:w="1180" w:type="dxa"/>
            <w:tcBorders>
              <w:top w:val="nil"/>
              <w:left w:val="nil"/>
              <w:bottom w:val="single" w:sz="4" w:space="0" w:color="auto"/>
              <w:right w:val="dotted" w:sz="4" w:space="0" w:color="auto"/>
            </w:tcBorders>
            <w:shd w:val="clear" w:color="auto" w:fill="auto"/>
            <w:vAlign w:val="center"/>
            <w:hideMark/>
          </w:tcPr>
          <w:p w14:paraId="2548A0A7"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3.078,7</w:t>
            </w:r>
          </w:p>
        </w:tc>
        <w:tc>
          <w:tcPr>
            <w:tcW w:w="1180" w:type="dxa"/>
            <w:tcBorders>
              <w:top w:val="nil"/>
              <w:left w:val="nil"/>
              <w:bottom w:val="single" w:sz="4" w:space="0" w:color="auto"/>
              <w:right w:val="dotted" w:sz="4" w:space="0" w:color="auto"/>
            </w:tcBorders>
            <w:shd w:val="clear" w:color="auto" w:fill="auto"/>
            <w:vAlign w:val="center"/>
            <w:hideMark/>
          </w:tcPr>
          <w:p w14:paraId="6E47FBEF"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3.478,9</w:t>
            </w:r>
          </w:p>
        </w:tc>
        <w:tc>
          <w:tcPr>
            <w:tcW w:w="1180" w:type="dxa"/>
            <w:tcBorders>
              <w:top w:val="nil"/>
              <w:left w:val="nil"/>
              <w:bottom w:val="single" w:sz="4" w:space="0" w:color="auto"/>
              <w:right w:val="dotted" w:sz="4" w:space="0" w:color="auto"/>
            </w:tcBorders>
            <w:shd w:val="clear" w:color="auto" w:fill="auto"/>
            <w:vAlign w:val="center"/>
            <w:hideMark/>
          </w:tcPr>
          <w:p w14:paraId="5A98F4C9"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3.750,0</w:t>
            </w:r>
          </w:p>
        </w:tc>
        <w:tc>
          <w:tcPr>
            <w:tcW w:w="1180" w:type="dxa"/>
            <w:tcBorders>
              <w:top w:val="nil"/>
              <w:left w:val="nil"/>
              <w:bottom w:val="single" w:sz="4" w:space="0" w:color="auto"/>
              <w:right w:val="dotted" w:sz="4" w:space="0" w:color="auto"/>
            </w:tcBorders>
            <w:shd w:val="clear" w:color="auto" w:fill="auto"/>
            <w:vAlign w:val="center"/>
            <w:hideMark/>
          </w:tcPr>
          <w:p w14:paraId="38F3B1B0"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4.039,5</w:t>
            </w:r>
          </w:p>
        </w:tc>
        <w:tc>
          <w:tcPr>
            <w:tcW w:w="1180" w:type="dxa"/>
            <w:tcBorders>
              <w:top w:val="nil"/>
              <w:left w:val="nil"/>
              <w:bottom w:val="single" w:sz="4" w:space="0" w:color="auto"/>
              <w:right w:val="double" w:sz="6" w:space="0" w:color="auto"/>
            </w:tcBorders>
            <w:shd w:val="clear" w:color="auto" w:fill="auto"/>
            <w:vAlign w:val="center"/>
            <w:hideMark/>
          </w:tcPr>
          <w:p w14:paraId="77F491A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4.358,6</w:t>
            </w:r>
          </w:p>
        </w:tc>
      </w:tr>
      <w:tr w:rsidR="009B5DE5" w:rsidRPr="009B5DE5" w14:paraId="4E027721" w14:textId="77777777" w:rsidTr="00396800">
        <w:trPr>
          <w:trHeight w:val="348"/>
        </w:trPr>
        <w:tc>
          <w:tcPr>
            <w:tcW w:w="6078" w:type="dxa"/>
            <w:tcBorders>
              <w:top w:val="nil"/>
              <w:left w:val="double" w:sz="6" w:space="0" w:color="auto"/>
              <w:bottom w:val="single" w:sz="4" w:space="0" w:color="auto"/>
              <w:right w:val="nil"/>
            </w:tcBorders>
            <w:shd w:val="clear" w:color="auto" w:fill="auto"/>
            <w:vAlign w:val="center"/>
            <w:hideMark/>
          </w:tcPr>
          <w:p w14:paraId="73AE4457" w14:textId="77777777" w:rsidR="009B5DE5" w:rsidRPr="009B5DE5" w:rsidRDefault="009B5DE5" w:rsidP="009B5DE5">
            <w:pPr>
              <w:spacing w:after="0"/>
              <w:jc w:val="left"/>
              <w:rPr>
                <w:rFonts w:eastAsia="Times New Roman" w:cs="Times New Roman"/>
                <w:b/>
                <w:bCs/>
                <w:sz w:val="20"/>
                <w:szCs w:val="20"/>
              </w:rPr>
            </w:pPr>
            <w:bookmarkStart w:id="53" w:name="RANGE!B139"/>
            <w:r w:rsidRPr="009B5DE5">
              <w:rPr>
                <w:rFonts w:eastAsia="Times New Roman" w:cs="Times New Roman"/>
                <w:b/>
                <w:bCs/>
                <w:sz w:val="20"/>
                <w:szCs w:val="20"/>
              </w:rPr>
              <w:lastRenderedPageBreak/>
              <w:t>Изабране компоненте расхода</w:t>
            </w:r>
            <w:bookmarkEnd w:id="53"/>
          </w:p>
        </w:tc>
        <w:tc>
          <w:tcPr>
            <w:tcW w:w="1647" w:type="dxa"/>
            <w:tcBorders>
              <w:top w:val="nil"/>
              <w:left w:val="single" w:sz="8" w:space="0" w:color="auto"/>
              <w:bottom w:val="single" w:sz="4" w:space="0" w:color="auto"/>
              <w:right w:val="single" w:sz="8" w:space="0" w:color="auto"/>
            </w:tcBorders>
            <w:shd w:val="clear" w:color="auto" w:fill="auto"/>
            <w:vAlign w:val="center"/>
            <w:hideMark/>
          </w:tcPr>
          <w:p w14:paraId="7F80A2D4" w14:textId="77777777" w:rsidR="009B5DE5" w:rsidRPr="009B5DE5" w:rsidRDefault="009B5DE5" w:rsidP="009B5DE5">
            <w:pPr>
              <w:spacing w:after="0"/>
              <w:jc w:val="center"/>
              <w:rPr>
                <w:rFonts w:eastAsia="Times New Roman" w:cs="Times New Roman"/>
                <w:b/>
                <w:bCs/>
                <w:sz w:val="20"/>
                <w:szCs w:val="20"/>
              </w:rPr>
            </w:pPr>
            <w:r w:rsidRPr="009B5DE5">
              <w:rPr>
                <w:rFonts w:eastAsia="Times New Roman" w:cs="Times New Roman"/>
                <w:b/>
                <w:bCs/>
                <w:sz w:val="20"/>
                <w:szCs w:val="20"/>
              </w:rPr>
              <w:t> </w:t>
            </w:r>
          </w:p>
        </w:tc>
        <w:tc>
          <w:tcPr>
            <w:tcW w:w="1180" w:type="dxa"/>
            <w:tcBorders>
              <w:top w:val="nil"/>
              <w:left w:val="nil"/>
              <w:bottom w:val="single" w:sz="4" w:space="0" w:color="auto"/>
              <w:right w:val="nil"/>
            </w:tcBorders>
            <w:shd w:val="clear" w:color="auto" w:fill="auto"/>
            <w:vAlign w:val="center"/>
            <w:hideMark/>
          </w:tcPr>
          <w:p w14:paraId="04F3AE82"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c>
          <w:tcPr>
            <w:tcW w:w="1180" w:type="dxa"/>
            <w:tcBorders>
              <w:top w:val="nil"/>
              <w:left w:val="nil"/>
              <w:bottom w:val="single" w:sz="4" w:space="0" w:color="auto"/>
              <w:right w:val="nil"/>
            </w:tcBorders>
            <w:shd w:val="clear" w:color="auto" w:fill="auto"/>
            <w:vAlign w:val="center"/>
            <w:hideMark/>
          </w:tcPr>
          <w:p w14:paraId="137A5EB6"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c>
          <w:tcPr>
            <w:tcW w:w="1180" w:type="dxa"/>
            <w:tcBorders>
              <w:top w:val="nil"/>
              <w:left w:val="nil"/>
              <w:bottom w:val="single" w:sz="4" w:space="0" w:color="auto"/>
              <w:right w:val="nil"/>
            </w:tcBorders>
            <w:shd w:val="clear" w:color="auto" w:fill="auto"/>
            <w:vAlign w:val="center"/>
            <w:hideMark/>
          </w:tcPr>
          <w:p w14:paraId="58902968"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c>
          <w:tcPr>
            <w:tcW w:w="1180" w:type="dxa"/>
            <w:tcBorders>
              <w:top w:val="nil"/>
              <w:left w:val="nil"/>
              <w:bottom w:val="single" w:sz="4" w:space="0" w:color="auto"/>
              <w:right w:val="nil"/>
            </w:tcBorders>
            <w:shd w:val="clear" w:color="auto" w:fill="auto"/>
            <w:vAlign w:val="center"/>
            <w:hideMark/>
          </w:tcPr>
          <w:p w14:paraId="2D916AF3"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c>
          <w:tcPr>
            <w:tcW w:w="1180" w:type="dxa"/>
            <w:tcBorders>
              <w:top w:val="nil"/>
              <w:left w:val="nil"/>
              <w:bottom w:val="single" w:sz="4" w:space="0" w:color="auto"/>
              <w:right w:val="nil"/>
            </w:tcBorders>
            <w:shd w:val="clear" w:color="auto" w:fill="auto"/>
            <w:vAlign w:val="center"/>
            <w:hideMark/>
          </w:tcPr>
          <w:p w14:paraId="3EC0C2E5"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c>
          <w:tcPr>
            <w:tcW w:w="1180" w:type="dxa"/>
            <w:tcBorders>
              <w:top w:val="nil"/>
              <w:left w:val="nil"/>
              <w:bottom w:val="single" w:sz="4" w:space="0" w:color="auto"/>
              <w:right w:val="double" w:sz="6" w:space="0" w:color="auto"/>
            </w:tcBorders>
            <w:shd w:val="clear" w:color="auto" w:fill="auto"/>
            <w:vAlign w:val="center"/>
            <w:hideMark/>
          </w:tcPr>
          <w:p w14:paraId="0401A423"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r>
      <w:tr w:rsidR="009B5DE5" w:rsidRPr="009B5DE5" w14:paraId="37B4A9F4" w14:textId="77777777" w:rsidTr="00396800">
        <w:trPr>
          <w:trHeight w:val="348"/>
        </w:trPr>
        <w:tc>
          <w:tcPr>
            <w:tcW w:w="6078" w:type="dxa"/>
            <w:tcBorders>
              <w:top w:val="nil"/>
              <w:left w:val="double" w:sz="6" w:space="0" w:color="auto"/>
              <w:bottom w:val="dotted" w:sz="4" w:space="0" w:color="auto"/>
              <w:right w:val="nil"/>
            </w:tcBorders>
            <w:shd w:val="clear" w:color="auto" w:fill="auto"/>
            <w:vAlign w:val="center"/>
            <w:hideMark/>
          </w:tcPr>
          <w:p w14:paraId="4FA11177" w14:textId="77777777" w:rsidR="009B5DE5" w:rsidRPr="009B5DE5" w:rsidRDefault="009B5DE5" w:rsidP="009B5DE5">
            <w:pPr>
              <w:spacing w:after="0"/>
              <w:jc w:val="left"/>
              <w:rPr>
                <w:rFonts w:eastAsia="Times New Roman" w:cs="Times New Roman"/>
                <w:sz w:val="20"/>
                <w:szCs w:val="20"/>
              </w:rPr>
            </w:pPr>
            <w:bookmarkStart w:id="54" w:name="RANGE!B140"/>
            <w:r w:rsidRPr="009B5DE5">
              <w:rPr>
                <w:rFonts w:eastAsia="Times New Roman" w:cs="Times New Roman"/>
                <w:sz w:val="20"/>
                <w:szCs w:val="20"/>
              </w:rPr>
              <w:t>17. Колективна потрошња</w:t>
            </w:r>
            <w:bookmarkEnd w:id="54"/>
          </w:p>
        </w:tc>
        <w:tc>
          <w:tcPr>
            <w:tcW w:w="1647" w:type="dxa"/>
            <w:tcBorders>
              <w:top w:val="nil"/>
              <w:left w:val="single" w:sz="8" w:space="0" w:color="auto"/>
              <w:bottom w:val="dotted" w:sz="4" w:space="0" w:color="auto"/>
              <w:right w:val="single" w:sz="8" w:space="0" w:color="auto"/>
            </w:tcBorders>
            <w:shd w:val="clear" w:color="auto" w:fill="auto"/>
            <w:vAlign w:val="center"/>
            <w:hideMark/>
          </w:tcPr>
          <w:p w14:paraId="7127F25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P32</w:t>
            </w:r>
          </w:p>
        </w:tc>
        <w:tc>
          <w:tcPr>
            <w:tcW w:w="1180" w:type="dxa"/>
            <w:tcBorders>
              <w:top w:val="nil"/>
              <w:left w:val="nil"/>
              <w:bottom w:val="dotted" w:sz="4" w:space="0" w:color="auto"/>
              <w:right w:val="dotted" w:sz="4" w:space="0" w:color="auto"/>
            </w:tcBorders>
            <w:shd w:val="clear" w:color="auto" w:fill="auto"/>
            <w:vAlign w:val="center"/>
            <w:hideMark/>
          </w:tcPr>
          <w:p w14:paraId="248829C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1.251,9</w:t>
            </w:r>
          </w:p>
        </w:tc>
        <w:tc>
          <w:tcPr>
            <w:tcW w:w="1180" w:type="dxa"/>
            <w:tcBorders>
              <w:top w:val="nil"/>
              <w:left w:val="nil"/>
              <w:bottom w:val="dotted" w:sz="4" w:space="0" w:color="auto"/>
              <w:right w:val="dotted" w:sz="4" w:space="0" w:color="auto"/>
            </w:tcBorders>
            <w:shd w:val="clear" w:color="auto" w:fill="auto"/>
            <w:vAlign w:val="center"/>
            <w:hideMark/>
          </w:tcPr>
          <w:p w14:paraId="16B87A9D"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1.403,0</w:t>
            </w:r>
          </w:p>
        </w:tc>
        <w:tc>
          <w:tcPr>
            <w:tcW w:w="1180" w:type="dxa"/>
            <w:tcBorders>
              <w:top w:val="nil"/>
              <w:left w:val="nil"/>
              <w:bottom w:val="dotted" w:sz="4" w:space="0" w:color="auto"/>
              <w:right w:val="dotted" w:sz="4" w:space="0" w:color="auto"/>
            </w:tcBorders>
            <w:shd w:val="clear" w:color="auto" w:fill="auto"/>
            <w:vAlign w:val="center"/>
            <w:hideMark/>
          </w:tcPr>
          <w:p w14:paraId="3E44840B"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1.618,0</w:t>
            </w:r>
          </w:p>
        </w:tc>
        <w:tc>
          <w:tcPr>
            <w:tcW w:w="1180" w:type="dxa"/>
            <w:tcBorders>
              <w:top w:val="nil"/>
              <w:left w:val="nil"/>
              <w:bottom w:val="dotted" w:sz="4" w:space="0" w:color="auto"/>
              <w:right w:val="dotted" w:sz="4" w:space="0" w:color="auto"/>
            </w:tcBorders>
            <w:shd w:val="clear" w:color="auto" w:fill="auto"/>
            <w:vAlign w:val="center"/>
            <w:hideMark/>
          </w:tcPr>
          <w:p w14:paraId="658A7DE0"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1.836,1</w:t>
            </w:r>
          </w:p>
        </w:tc>
        <w:tc>
          <w:tcPr>
            <w:tcW w:w="1180" w:type="dxa"/>
            <w:tcBorders>
              <w:top w:val="nil"/>
              <w:left w:val="nil"/>
              <w:bottom w:val="dotted" w:sz="4" w:space="0" w:color="auto"/>
              <w:right w:val="dotted" w:sz="4" w:space="0" w:color="auto"/>
            </w:tcBorders>
            <w:shd w:val="clear" w:color="auto" w:fill="auto"/>
            <w:vAlign w:val="center"/>
            <w:hideMark/>
          </w:tcPr>
          <w:p w14:paraId="0D0BD91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1.952,5</w:t>
            </w:r>
          </w:p>
        </w:tc>
        <w:tc>
          <w:tcPr>
            <w:tcW w:w="1180" w:type="dxa"/>
            <w:tcBorders>
              <w:top w:val="nil"/>
              <w:left w:val="nil"/>
              <w:bottom w:val="dotted" w:sz="4" w:space="0" w:color="auto"/>
              <w:right w:val="double" w:sz="6" w:space="0" w:color="auto"/>
            </w:tcBorders>
            <w:shd w:val="clear" w:color="auto" w:fill="auto"/>
            <w:vAlign w:val="center"/>
            <w:hideMark/>
          </w:tcPr>
          <w:p w14:paraId="1A93EB40"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2.105,0</w:t>
            </w:r>
          </w:p>
        </w:tc>
      </w:tr>
      <w:tr w:rsidR="009B5DE5" w:rsidRPr="009B5DE5" w14:paraId="050F5048" w14:textId="77777777" w:rsidTr="00396800">
        <w:trPr>
          <w:trHeight w:val="348"/>
        </w:trPr>
        <w:tc>
          <w:tcPr>
            <w:tcW w:w="6078" w:type="dxa"/>
            <w:tcBorders>
              <w:top w:val="nil"/>
              <w:left w:val="double" w:sz="6" w:space="0" w:color="auto"/>
              <w:bottom w:val="dotted" w:sz="4" w:space="0" w:color="auto"/>
              <w:right w:val="nil"/>
            </w:tcBorders>
            <w:shd w:val="clear" w:color="auto" w:fill="auto"/>
            <w:vAlign w:val="center"/>
            <w:hideMark/>
          </w:tcPr>
          <w:p w14:paraId="28E8B5DB" w14:textId="77777777" w:rsidR="009B5DE5" w:rsidRPr="009B5DE5" w:rsidRDefault="009B5DE5" w:rsidP="009B5DE5">
            <w:pPr>
              <w:spacing w:after="0"/>
              <w:jc w:val="left"/>
              <w:rPr>
                <w:rFonts w:eastAsia="Times New Roman" w:cs="Times New Roman"/>
                <w:sz w:val="20"/>
                <w:szCs w:val="20"/>
              </w:rPr>
            </w:pPr>
            <w:bookmarkStart w:id="55" w:name="RANGE!B141"/>
            <w:r w:rsidRPr="009B5DE5">
              <w:rPr>
                <w:rFonts w:eastAsia="Times New Roman" w:cs="Times New Roman"/>
                <w:sz w:val="20"/>
                <w:szCs w:val="20"/>
              </w:rPr>
              <w:t>18. Укупни социјални трансфери</w:t>
            </w:r>
            <w:bookmarkEnd w:id="55"/>
          </w:p>
        </w:tc>
        <w:tc>
          <w:tcPr>
            <w:tcW w:w="1647" w:type="dxa"/>
            <w:tcBorders>
              <w:top w:val="nil"/>
              <w:left w:val="single" w:sz="8" w:space="0" w:color="auto"/>
              <w:bottom w:val="dotted" w:sz="4" w:space="0" w:color="auto"/>
              <w:right w:val="single" w:sz="8" w:space="0" w:color="auto"/>
            </w:tcBorders>
            <w:shd w:val="clear" w:color="auto" w:fill="auto"/>
            <w:vAlign w:val="center"/>
            <w:hideMark/>
          </w:tcPr>
          <w:p w14:paraId="02955F9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D62 + D63</w:t>
            </w:r>
          </w:p>
        </w:tc>
        <w:tc>
          <w:tcPr>
            <w:tcW w:w="1180" w:type="dxa"/>
            <w:tcBorders>
              <w:top w:val="nil"/>
              <w:left w:val="nil"/>
              <w:bottom w:val="dotted" w:sz="4" w:space="0" w:color="auto"/>
              <w:right w:val="dotted" w:sz="4" w:space="0" w:color="auto"/>
            </w:tcBorders>
            <w:shd w:val="clear" w:color="auto" w:fill="auto"/>
            <w:vAlign w:val="center"/>
            <w:hideMark/>
          </w:tcPr>
          <w:p w14:paraId="3780CCD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926,2</w:t>
            </w:r>
          </w:p>
        </w:tc>
        <w:tc>
          <w:tcPr>
            <w:tcW w:w="1180" w:type="dxa"/>
            <w:tcBorders>
              <w:top w:val="nil"/>
              <w:left w:val="nil"/>
              <w:bottom w:val="dotted" w:sz="4" w:space="0" w:color="auto"/>
              <w:right w:val="dotted" w:sz="4" w:space="0" w:color="auto"/>
            </w:tcBorders>
            <w:shd w:val="clear" w:color="auto" w:fill="auto"/>
            <w:vAlign w:val="center"/>
            <w:hideMark/>
          </w:tcPr>
          <w:p w14:paraId="633F3BA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1.098,6</w:t>
            </w:r>
          </w:p>
        </w:tc>
        <w:tc>
          <w:tcPr>
            <w:tcW w:w="1180" w:type="dxa"/>
            <w:tcBorders>
              <w:top w:val="nil"/>
              <w:left w:val="nil"/>
              <w:bottom w:val="dotted" w:sz="4" w:space="0" w:color="auto"/>
              <w:right w:val="dotted" w:sz="4" w:space="0" w:color="auto"/>
            </w:tcBorders>
            <w:shd w:val="clear" w:color="auto" w:fill="auto"/>
            <w:vAlign w:val="center"/>
            <w:hideMark/>
          </w:tcPr>
          <w:p w14:paraId="0BE08DED"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1.250,0</w:t>
            </w:r>
          </w:p>
        </w:tc>
        <w:tc>
          <w:tcPr>
            <w:tcW w:w="1180" w:type="dxa"/>
            <w:tcBorders>
              <w:top w:val="nil"/>
              <w:left w:val="nil"/>
              <w:bottom w:val="dotted" w:sz="4" w:space="0" w:color="auto"/>
              <w:right w:val="dotted" w:sz="4" w:space="0" w:color="auto"/>
            </w:tcBorders>
            <w:shd w:val="clear" w:color="auto" w:fill="auto"/>
            <w:vAlign w:val="center"/>
            <w:hideMark/>
          </w:tcPr>
          <w:p w14:paraId="40B1742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1.344,3</w:t>
            </w:r>
          </w:p>
        </w:tc>
        <w:tc>
          <w:tcPr>
            <w:tcW w:w="1180" w:type="dxa"/>
            <w:tcBorders>
              <w:top w:val="nil"/>
              <w:left w:val="nil"/>
              <w:bottom w:val="dotted" w:sz="4" w:space="0" w:color="auto"/>
              <w:right w:val="dotted" w:sz="4" w:space="0" w:color="auto"/>
            </w:tcBorders>
            <w:shd w:val="clear" w:color="auto" w:fill="auto"/>
            <w:vAlign w:val="center"/>
            <w:hideMark/>
          </w:tcPr>
          <w:p w14:paraId="72C282DD"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1.448,7</w:t>
            </w:r>
          </w:p>
        </w:tc>
        <w:tc>
          <w:tcPr>
            <w:tcW w:w="1180" w:type="dxa"/>
            <w:tcBorders>
              <w:top w:val="nil"/>
              <w:left w:val="nil"/>
              <w:bottom w:val="dotted" w:sz="4" w:space="0" w:color="auto"/>
              <w:right w:val="double" w:sz="6" w:space="0" w:color="auto"/>
            </w:tcBorders>
            <w:shd w:val="clear" w:color="auto" w:fill="auto"/>
            <w:vAlign w:val="center"/>
            <w:hideMark/>
          </w:tcPr>
          <w:p w14:paraId="2B23520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1.539,9</w:t>
            </w:r>
          </w:p>
        </w:tc>
      </w:tr>
      <w:tr w:rsidR="009B5DE5" w:rsidRPr="009B5DE5" w14:paraId="78F5230D" w14:textId="77777777" w:rsidTr="00396800">
        <w:trPr>
          <w:trHeight w:val="348"/>
        </w:trPr>
        <w:tc>
          <w:tcPr>
            <w:tcW w:w="6078" w:type="dxa"/>
            <w:tcBorders>
              <w:top w:val="nil"/>
              <w:left w:val="double" w:sz="6" w:space="0" w:color="auto"/>
              <w:bottom w:val="dotted" w:sz="4" w:space="0" w:color="auto"/>
              <w:right w:val="nil"/>
            </w:tcBorders>
            <w:shd w:val="clear" w:color="auto" w:fill="auto"/>
            <w:vAlign w:val="center"/>
            <w:hideMark/>
          </w:tcPr>
          <w:p w14:paraId="37879D4B" w14:textId="77777777" w:rsidR="009B5DE5" w:rsidRPr="009B5DE5" w:rsidRDefault="009B5DE5" w:rsidP="009B5DE5">
            <w:pPr>
              <w:spacing w:after="0"/>
              <w:jc w:val="left"/>
              <w:rPr>
                <w:rFonts w:eastAsia="Times New Roman" w:cs="Times New Roman"/>
                <w:sz w:val="20"/>
                <w:szCs w:val="20"/>
              </w:rPr>
            </w:pPr>
            <w:bookmarkStart w:id="56" w:name="RANGE!B142"/>
            <w:r w:rsidRPr="009B5DE5">
              <w:rPr>
                <w:rFonts w:eastAsia="Times New Roman" w:cs="Times New Roman"/>
                <w:sz w:val="20"/>
                <w:szCs w:val="20"/>
              </w:rPr>
              <w:t>18a. Неновчани социјални трансфери</w:t>
            </w:r>
            <w:bookmarkEnd w:id="56"/>
          </w:p>
        </w:tc>
        <w:tc>
          <w:tcPr>
            <w:tcW w:w="1647" w:type="dxa"/>
            <w:tcBorders>
              <w:top w:val="nil"/>
              <w:left w:val="single" w:sz="8" w:space="0" w:color="auto"/>
              <w:bottom w:val="dotted" w:sz="4" w:space="0" w:color="auto"/>
              <w:right w:val="single" w:sz="8" w:space="0" w:color="auto"/>
            </w:tcBorders>
            <w:shd w:val="clear" w:color="auto" w:fill="auto"/>
            <w:vAlign w:val="center"/>
            <w:hideMark/>
          </w:tcPr>
          <w:p w14:paraId="68AA167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P31 = D63</w:t>
            </w:r>
          </w:p>
        </w:tc>
        <w:tc>
          <w:tcPr>
            <w:tcW w:w="1180" w:type="dxa"/>
            <w:tcBorders>
              <w:top w:val="nil"/>
              <w:left w:val="nil"/>
              <w:bottom w:val="dotted" w:sz="4" w:space="0" w:color="auto"/>
              <w:right w:val="dotted" w:sz="4" w:space="0" w:color="auto"/>
            </w:tcBorders>
            <w:shd w:val="clear" w:color="auto" w:fill="auto"/>
            <w:vAlign w:val="center"/>
            <w:hideMark/>
          </w:tcPr>
          <w:p w14:paraId="602DCE37"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180" w:type="dxa"/>
            <w:tcBorders>
              <w:top w:val="nil"/>
              <w:left w:val="nil"/>
              <w:bottom w:val="dotted" w:sz="4" w:space="0" w:color="auto"/>
              <w:right w:val="dotted" w:sz="4" w:space="0" w:color="auto"/>
            </w:tcBorders>
            <w:shd w:val="clear" w:color="auto" w:fill="auto"/>
            <w:vAlign w:val="center"/>
            <w:hideMark/>
          </w:tcPr>
          <w:p w14:paraId="584D0A2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180" w:type="dxa"/>
            <w:tcBorders>
              <w:top w:val="nil"/>
              <w:left w:val="nil"/>
              <w:bottom w:val="dotted" w:sz="4" w:space="0" w:color="auto"/>
              <w:right w:val="dotted" w:sz="4" w:space="0" w:color="auto"/>
            </w:tcBorders>
            <w:shd w:val="clear" w:color="auto" w:fill="auto"/>
            <w:vAlign w:val="center"/>
            <w:hideMark/>
          </w:tcPr>
          <w:p w14:paraId="1E8AF21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180" w:type="dxa"/>
            <w:tcBorders>
              <w:top w:val="nil"/>
              <w:left w:val="nil"/>
              <w:bottom w:val="dotted" w:sz="4" w:space="0" w:color="auto"/>
              <w:right w:val="dotted" w:sz="4" w:space="0" w:color="auto"/>
            </w:tcBorders>
            <w:shd w:val="clear" w:color="auto" w:fill="auto"/>
            <w:vAlign w:val="center"/>
            <w:hideMark/>
          </w:tcPr>
          <w:p w14:paraId="5375AB6D"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180" w:type="dxa"/>
            <w:tcBorders>
              <w:top w:val="nil"/>
              <w:left w:val="nil"/>
              <w:bottom w:val="dotted" w:sz="4" w:space="0" w:color="auto"/>
              <w:right w:val="dotted" w:sz="4" w:space="0" w:color="auto"/>
            </w:tcBorders>
            <w:shd w:val="clear" w:color="auto" w:fill="auto"/>
            <w:vAlign w:val="center"/>
            <w:hideMark/>
          </w:tcPr>
          <w:p w14:paraId="643E5D5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180" w:type="dxa"/>
            <w:tcBorders>
              <w:top w:val="nil"/>
              <w:left w:val="nil"/>
              <w:bottom w:val="dotted" w:sz="4" w:space="0" w:color="auto"/>
              <w:right w:val="double" w:sz="6" w:space="0" w:color="auto"/>
            </w:tcBorders>
            <w:shd w:val="clear" w:color="auto" w:fill="auto"/>
            <w:vAlign w:val="center"/>
            <w:hideMark/>
          </w:tcPr>
          <w:p w14:paraId="478FF6A0"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r>
      <w:tr w:rsidR="009B5DE5" w:rsidRPr="009B5DE5" w14:paraId="64E98B7D" w14:textId="77777777" w:rsidTr="00396800">
        <w:trPr>
          <w:trHeight w:val="348"/>
        </w:trPr>
        <w:tc>
          <w:tcPr>
            <w:tcW w:w="6078" w:type="dxa"/>
            <w:tcBorders>
              <w:top w:val="nil"/>
              <w:left w:val="double" w:sz="6" w:space="0" w:color="auto"/>
              <w:bottom w:val="dotted" w:sz="4" w:space="0" w:color="auto"/>
              <w:right w:val="nil"/>
            </w:tcBorders>
            <w:shd w:val="clear" w:color="auto" w:fill="auto"/>
            <w:vAlign w:val="center"/>
            <w:hideMark/>
          </w:tcPr>
          <w:p w14:paraId="6F4E9C23" w14:textId="77777777" w:rsidR="009B5DE5" w:rsidRPr="009B5DE5" w:rsidRDefault="009B5DE5" w:rsidP="009B5DE5">
            <w:pPr>
              <w:spacing w:after="0"/>
              <w:jc w:val="left"/>
              <w:rPr>
                <w:rFonts w:eastAsia="Times New Roman" w:cs="Times New Roman"/>
                <w:sz w:val="20"/>
                <w:szCs w:val="20"/>
              </w:rPr>
            </w:pPr>
            <w:bookmarkStart w:id="57" w:name="RANGE!B143"/>
            <w:r w:rsidRPr="009B5DE5">
              <w:rPr>
                <w:rFonts w:eastAsia="Times New Roman" w:cs="Times New Roman"/>
                <w:sz w:val="20"/>
                <w:szCs w:val="20"/>
              </w:rPr>
              <w:t>18b. Социјални трансфери осим неновчаних</w:t>
            </w:r>
            <w:bookmarkEnd w:id="57"/>
          </w:p>
        </w:tc>
        <w:tc>
          <w:tcPr>
            <w:tcW w:w="1647" w:type="dxa"/>
            <w:tcBorders>
              <w:top w:val="nil"/>
              <w:left w:val="single" w:sz="8" w:space="0" w:color="auto"/>
              <w:bottom w:val="dotted" w:sz="4" w:space="0" w:color="auto"/>
              <w:right w:val="single" w:sz="8" w:space="0" w:color="auto"/>
            </w:tcBorders>
            <w:shd w:val="clear" w:color="auto" w:fill="auto"/>
            <w:vAlign w:val="center"/>
            <w:hideMark/>
          </w:tcPr>
          <w:p w14:paraId="35C8D2A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D62</w:t>
            </w:r>
          </w:p>
        </w:tc>
        <w:tc>
          <w:tcPr>
            <w:tcW w:w="1180" w:type="dxa"/>
            <w:tcBorders>
              <w:top w:val="nil"/>
              <w:left w:val="nil"/>
              <w:bottom w:val="dotted" w:sz="4" w:space="0" w:color="auto"/>
              <w:right w:val="dotted" w:sz="4" w:space="0" w:color="auto"/>
            </w:tcBorders>
            <w:shd w:val="clear" w:color="auto" w:fill="auto"/>
            <w:vAlign w:val="center"/>
            <w:hideMark/>
          </w:tcPr>
          <w:p w14:paraId="7445B50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926,2</w:t>
            </w:r>
          </w:p>
        </w:tc>
        <w:tc>
          <w:tcPr>
            <w:tcW w:w="1180" w:type="dxa"/>
            <w:tcBorders>
              <w:top w:val="nil"/>
              <w:left w:val="nil"/>
              <w:bottom w:val="dotted" w:sz="4" w:space="0" w:color="auto"/>
              <w:right w:val="dotted" w:sz="4" w:space="0" w:color="auto"/>
            </w:tcBorders>
            <w:shd w:val="clear" w:color="auto" w:fill="auto"/>
            <w:vAlign w:val="center"/>
            <w:hideMark/>
          </w:tcPr>
          <w:p w14:paraId="313E59AF"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1.098,6</w:t>
            </w:r>
          </w:p>
        </w:tc>
        <w:tc>
          <w:tcPr>
            <w:tcW w:w="1180" w:type="dxa"/>
            <w:tcBorders>
              <w:top w:val="nil"/>
              <w:left w:val="nil"/>
              <w:bottom w:val="dotted" w:sz="4" w:space="0" w:color="auto"/>
              <w:right w:val="dotted" w:sz="4" w:space="0" w:color="auto"/>
            </w:tcBorders>
            <w:shd w:val="clear" w:color="auto" w:fill="auto"/>
            <w:vAlign w:val="center"/>
            <w:hideMark/>
          </w:tcPr>
          <w:p w14:paraId="40035289"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1.250,0</w:t>
            </w:r>
          </w:p>
        </w:tc>
        <w:tc>
          <w:tcPr>
            <w:tcW w:w="1180" w:type="dxa"/>
            <w:tcBorders>
              <w:top w:val="nil"/>
              <w:left w:val="nil"/>
              <w:bottom w:val="dotted" w:sz="4" w:space="0" w:color="auto"/>
              <w:right w:val="dotted" w:sz="4" w:space="0" w:color="auto"/>
            </w:tcBorders>
            <w:shd w:val="clear" w:color="auto" w:fill="auto"/>
            <w:vAlign w:val="center"/>
            <w:hideMark/>
          </w:tcPr>
          <w:p w14:paraId="5A8221F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1.344,3</w:t>
            </w:r>
          </w:p>
        </w:tc>
        <w:tc>
          <w:tcPr>
            <w:tcW w:w="1180" w:type="dxa"/>
            <w:tcBorders>
              <w:top w:val="nil"/>
              <w:left w:val="nil"/>
              <w:bottom w:val="dotted" w:sz="4" w:space="0" w:color="auto"/>
              <w:right w:val="dotted" w:sz="4" w:space="0" w:color="auto"/>
            </w:tcBorders>
            <w:shd w:val="clear" w:color="auto" w:fill="auto"/>
            <w:vAlign w:val="center"/>
            <w:hideMark/>
          </w:tcPr>
          <w:p w14:paraId="4D5D0207"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1.448,7</w:t>
            </w:r>
          </w:p>
        </w:tc>
        <w:tc>
          <w:tcPr>
            <w:tcW w:w="1180" w:type="dxa"/>
            <w:tcBorders>
              <w:top w:val="nil"/>
              <w:left w:val="nil"/>
              <w:bottom w:val="dotted" w:sz="4" w:space="0" w:color="auto"/>
              <w:right w:val="double" w:sz="6" w:space="0" w:color="auto"/>
            </w:tcBorders>
            <w:shd w:val="clear" w:color="auto" w:fill="auto"/>
            <w:vAlign w:val="center"/>
            <w:hideMark/>
          </w:tcPr>
          <w:p w14:paraId="04239A77"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1.539,9</w:t>
            </w:r>
          </w:p>
        </w:tc>
      </w:tr>
      <w:tr w:rsidR="009B5DE5" w:rsidRPr="009B5DE5" w14:paraId="0AEC4193" w14:textId="77777777" w:rsidTr="00396800">
        <w:trPr>
          <w:trHeight w:val="696"/>
        </w:trPr>
        <w:tc>
          <w:tcPr>
            <w:tcW w:w="6078" w:type="dxa"/>
            <w:tcBorders>
              <w:top w:val="nil"/>
              <w:left w:val="double" w:sz="6" w:space="0" w:color="auto"/>
              <w:bottom w:val="dotted" w:sz="4" w:space="0" w:color="auto"/>
              <w:right w:val="nil"/>
            </w:tcBorders>
            <w:shd w:val="clear" w:color="auto" w:fill="auto"/>
            <w:vAlign w:val="center"/>
            <w:hideMark/>
          </w:tcPr>
          <w:p w14:paraId="6E992674" w14:textId="77777777" w:rsidR="009B5DE5" w:rsidRPr="009B5DE5" w:rsidRDefault="009B5DE5" w:rsidP="009B5DE5">
            <w:pPr>
              <w:spacing w:after="0"/>
              <w:jc w:val="left"/>
              <w:rPr>
                <w:rFonts w:eastAsia="Times New Roman" w:cs="Times New Roman"/>
                <w:sz w:val="20"/>
                <w:szCs w:val="20"/>
              </w:rPr>
            </w:pPr>
            <w:bookmarkStart w:id="58" w:name="RANGE!B144"/>
            <w:r w:rsidRPr="009B5DE5">
              <w:rPr>
                <w:rFonts w:eastAsia="Times New Roman" w:cs="Times New Roman"/>
                <w:sz w:val="20"/>
                <w:szCs w:val="20"/>
              </w:rPr>
              <w:t xml:space="preserve">19 = 9. Расходи за камате (укљ. FISIM) </w:t>
            </w:r>
            <w:bookmarkEnd w:id="58"/>
          </w:p>
        </w:tc>
        <w:tc>
          <w:tcPr>
            <w:tcW w:w="1647" w:type="dxa"/>
            <w:tcBorders>
              <w:top w:val="nil"/>
              <w:left w:val="single" w:sz="8" w:space="0" w:color="auto"/>
              <w:bottom w:val="dotted" w:sz="4" w:space="0" w:color="auto"/>
              <w:right w:val="single" w:sz="8" w:space="0" w:color="auto"/>
            </w:tcBorders>
            <w:shd w:val="clear" w:color="auto" w:fill="auto"/>
            <w:vAlign w:val="center"/>
            <w:hideMark/>
          </w:tcPr>
          <w:p w14:paraId="04652D8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EDP.D41 + FISIM</w:t>
            </w:r>
          </w:p>
        </w:tc>
        <w:tc>
          <w:tcPr>
            <w:tcW w:w="1180" w:type="dxa"/>
            <w:tcBorders>
              <w:top w:val="nil"/>
              <w:left w:val="nil"/>
              <w:bottom w:val="dotted" w:sz="4" w:space="0" w:color="auto"/>
              <w:right w:val="dotted" w:sz="4" w:space="0" w:color="auto"/>
            </w:tcBorders>
            <w:shd w:val="clear" w:color="auto" w:fill="auto"/>
            <w:vAlign w:val="center"/>
            <w:hideMark/>
          </w:tcPr>
          <w:p w14:paraId="388F36A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107,2</w:t>
            </w:r>
          </w:p>
        </w:tc>
        <w:tc>
          <w:tcPr>
            <w:tcW w:w="1180" w:type="dxa"/>
            <w:tcBorders>
              <w:top w:val="nil"/>
              <w:left w:val="nil"/>
              <w:bottom w:val="dotted" w:sz="4" w:space="0" w:color="auto"/>
              <w:right w:val="dotted" w:sz="4" w:space="0" w:color="auto"/>
            </w:tcBorders>
            <w:shd w:val="clear" w:color="auto" w:fill="auto"/>
            <w:vAlign w:val="center"/>
            <w:hideMark/>
          </w:tcPr>
          <w:p w14:paraId="692FA1F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149,3</w:t>
            </w:r>
          </w:p>
        </w:tc>
        <w:tc>
          <w:tcPr>
            <w:tcW w:w="1180" w:type="dxa"/>
            <w:tcBorders>
              <w:top w:val="nil"/>
              <w:left w:val="nil"/>
              <w:bottom w:val="dotted" w:sz="4" w:space="0" w:color="auto"/>
              <w:right w:val="dotted" w:sz="4" w:space="0" w:color="auto"/>
            </w:tcBorders>
            <w:shd w:val="clear" w:color="auto" w:fill="auto"/>
            <w:vAlign w:val="center"/>
            <w:hideMark/>
          </w:tcPr>
          <w:p w14:paraId="63666F8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187,6</w:t>
            </w:r>
          </w:p>
        </w:tc>
        <w:tc>
          <w:tcPr>
            <w:tcW w:w="1180" w:type="dxa"/>
            <w:tcBorders>
              <w:top w:val="nil"/>
              <w:left w:val="nil"/>
              <w:bottom w:val="dotted" w:sz="4" w:space="0" w:color="auto"/>
              <w:right w:val="dotted" w:sz="4" w:space="0" w:color="auto"/>
            </w:tcBorders>
            <w:shd w:val="clear" w:color="auto" w:fill="auto"/>
            <w:vAlign w:val="center"/>
            <w:hideMark/>
          </w:tcPr>
          <w:p w14:paraId="6BD086B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222,7</w:t>
            </w:r>
          </w:p>
        </w:tc>
        <w:tc>
          <w:tcPr>
            <w:tcW w:w="1180" w:type="dxa"/>
            <w:tcBorders>
              <w:top w:val="nil"/>
              <w:left w:val="nil"/>
              <w:bottom w:val="dotted" w:sz="4" w:space="0" w:color="auto"/>
              <w:right w:val="dotted" w:sz="4" w:space="0" w:color="auto"/>
            </w:tcBorders>
            <w:shd w:val="clear" w:color="auto" w:fill="auto"/>
            <w:vAlign w:val="center"/>
            <w:hideMark/>
          </w:tcPr>
          <w:p w14:paraId="39CD3F6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235,6</w:t>
            </w:r>
          </w:p>
        </w:tc>
        <w:tc>
          <w:tcPr>
            <w:tcW w:w="1180" w:type="dxa"/>
            <w:tcBorders>
              <w:top w:val="nil"/>
              <w:left w:val="nil"/>
              <w:bottom w:val="dotted" w:sz="4" w:space="0" w:color="auto"/>
              <w:right w:val="double" w:sz="6" w:space="0" w:color="auto"/>
            </w:tcBorders>
            <w:shd w:val="clear" w:color="auto" w:fill="auto"/>
            <w:vAlign w:val="center"/>
            <w:hideMark/>
          </w:tcPr>
          <w:p w14:paraId="1205FDF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236,5</w:t>
            </w:r>
          </w:p>
        </w:tc>
      </w:tr>
      <w:tr w:rsidR="009B5DE5" w:rsidRPr="009B5DE5" w14:paraId="70693A1C" w14:textId="77777777" w:rsidTr="00396800">
        <w:trPr>
          <w:trHeight w:val="348"/>
        </w:trPr>
        <w:tc>
          <w:tcPr>
            <w:tcW w:w="6078" w:type="dxa"/>
            <w:tcBorders>
              <w:top w:val="nil"/>
              <w:left w:val="double" w:sz="6" w:space="0" w:color="auto"/>
              <w:bottom w:val="dotted" w:sz="4" w:space="0" w:color="auto"/>
              <w:right w:val="nil"/>
            </w:tcBorders>
            <w:shd w:val="clear" w:color="auto" w:fill="auto"/>
            <w:vAlign w:val="center"/>
            <w:hideMark/>
          </w:tcPr>
          <w:p w14:paraId="249C6644" w14:textId="77777777" w:rsidR="009B5DE5" w:rsidRPr="009B5DE5" w:rsidRDefault="009B5DE5" w:rsidP="009B5DE5">
            <w:pPr>
              <w:spacing w:after="0"/>
              <w:jc w:val="left"/>
              <w:rPr>
                <w:rFonts w:eastAsia="Times New Roman" w:cs="Times New Roman"/>
                <w:sz w:val="20"/>
                <w:szCs w:val="20"/>
              </w:rPr>
            </w:pPr>
            <w:bookmarkStart w:id="59" w:name="RANGE!B145"/>
            <w:r w:rsidRPr="009B5DE5">
              <w:rPr>
                <w:rFonts w:eastAsia="Times New Roman" w:cs="Times New Roman"/>
                <w:sz w:val="20"/>
                <w:szCs w:val="20"/>
              </w:rPr>
              <w:t>20. Субвенције</w:t>
            </w:r>
            <w:bookmarkEnd w:id="59"/>
          </w:p>
        </w:tc>
        <w:tc>
          <w:tcPr>
            <w:tcW w:w="1647" w:type="dxa"/>
            <w:tcBorders>
              <w:top w:val="nil"/>
              <w:left w:val="single" w:sz="8" w:space="0" w:color="auto"/>
              <w:bottom w:val="dotted" w:sz="4" w:space="0" w:color="auto"/>
              <w:right w:val="single" w:sz="8" w:space="0" w:color="auto"/>
            </w:tcBorders>
            <w:shd w:val="clear" w:color="auto" w:fill="auto"/>
            <w:vAlign w:val="center"/>
            <w:hideMark/>
          </w:tcPr>
          <w:p w14:paraId="1F0C0B9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D3</w:t>
            </w:r>
          </w:p>
        </w:tc>
        <w:tc>
          <w:tcPr>
            <w:tcW w:w="1180" w:type="dxa"/>
            <w:tcBorders>
              <w:top w:val="nil"/>
              <w:left w:val="nil"/>
              <w:bottom w:val="dotted" w:sz="4" w:space="0" w:color="auto"/>
              <w:right w:val="dotted" w:sz="4" w:space="0" w:color="auto"/>
            </w:tcBorders>
            <w:shd w:val="clear" w:color="auto" w:fill="auto"/>
            <w:vAlign w:val="center"/>
            <w:hideMark/>
          </w:tcPr>
          <w:p w14:paraId="2C25148B"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160,5</w:t>
            </w:r>
          </w:p>
        </w:tc>
        <w:tc>
          <w:tcPr>
            <w:tcW w:w="1180" w:type="dxa"/>
            <w:tcBorders>
              <w:top w:val="nil"/>
              <w:left w:val="nil"/>
              <w:bottom w:val="dotted" w:sz="4" w:space="0" w:color="auto"/>
              <w:right w:val="dotted" w:sz="4" w:space="0" w:color="auto"/>
            </w:tcBorders>
            <w:shd w:val="clear" w:color="auto" w:fill="auto"/>
            <w:vAlign w:val="center"/>
            <w:hideMark/>
          </w:tcPr>
          <w:p w14:paraId="2591E1E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213,8</w:t>
            </w:r>
          </w:p>
        </w:tc>
        <w:tc>
          <w:tcPr>
            <w:tcW w:w="1180" w:type="dxa"/>
            <w:tcBorders>
              <w:top w:val="nil"/>
              <w:left w:val="nil"/>
              <w:bottom w:val="dotted" w:sz="4" w:space="0" w:color="auto"/>
              <w:right w:val="dotted" w:sz="4" w:space="0" w:color="auto"/>
            </w:tcBorders>
            <w:shd w:val="clear" w:color="auto" w:fill="auto"/>
            <w:vAlign w:val="center"/>
            <w:hideMark/>
          </w:tcPr>
          <w:p w14:paraId="68951B3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243,6</w:t>
            </w:r>
          </w:p>
        </w:tc>
        <w:tc>
          <w:tcPr>
            <w:tcW w:w="1180" w:type="dxa"/>
            <w:tcBorders>
              <w:top w:val="nil"/>
              <w:left w:val="nil"/>
              <w:bottom w:val="dotted" w:sz="4" w:space="0" w:color="auto"/>
              <w:right w:val="dotted" w:sz="4" w:space="0" w:color="auto"/>
            </w:tcBorders>
            <w:shd w:val="clear" w:color="auto" w:fill="auto"/>
            <w:vAlign w:val="center"/>
            <w:hideMark/>
          </w:tcPr>
          <w:p w14:paraId="3B42BA5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245,7</w:t>
            </w:r>
          </w:p>
        </w:tc>
        <w:tc>
          <w:tcPr>
            <w:tcW w:w="1180" w:type="dxa"/>
            <w:tcBorders>
              <w:top w:val="nil"/>
              <w:left w:val="nil"/>
              <w:bottom w:val="dotted" w:sz="4" w:space="0" w:color="auto"/>
              <w:right w:val="dotted" w:sz="4" w:space="0" w:color="auto"/>
            </w:tcBorders>
            <w:shd w:val="clear" w:color="auto" w:fill="auto"/>
            <w:vAlign w:val="center"/>
            <w:hideMark/>
          </w:tcPr>
          <w:p w14:paraId="09F38AE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261,8</w:t>
            </w:r>
          </w:p>
        </w:tc>
        <w:tc>
          <w:tcPr>
            <w:tcW w:w="1180" w:type="dxa"/>
            <w:tcBorders>
              <w:top w:val="nil"/>
              <w:left w:val="nil"/>
              <w:bottom w:val="dotted" w:sz="4" w:space="0" w:color="auto"/>
              <w:right w:val="double" w:sz="6" w:space="0" w:color="auto"/>
            </w:tcBorders>
            <w:shd w:val="clear" w:color="auto" w:fill="auto"/>
            <w:vAlign w:val="center"/>
            <w:hideMark/>
          </w:tcPr>
          <w:p w14:paraId="5F238319"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268,6</w:t>
            </w:r>
          </w:p>
        </w:tc>
      </w:tr>
      <w:tr w:rsidR="009B5DE5" w:rsidRPr="009B5DE5" w14:paraId="34F6EC6B" w14:textId="77777777" w:rsidTr="00396800">
        <w:trPr>
          <w:trHeight w:val="348"/>
        </w:trPr>
        <w:tc>
          <w:tcPr>
            <w:tcW w:w="6078" w:type="dxa"/>
            <w:tcBorders>
              <w:top w:val="nil"/>
              <w:left w:val="double" w:sz="6" w:space="0" w:color="auto"/>
              <w:bottom w:val="dotted" w:sz="4" w:space="0" w:color="auto"/>
              <w:right w:val="nil"/>
            </w:tcBorders>
            <w:shd w:val="clear" w:color="auto" w:fill="auto"/>
            <w:vAlign w:val="center"/>
            <w:hideMark/>
          </w:tcPr>
          <w:p w14:paraId="0FE730D2"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21. Бруто инвестиције у основна средства</w:t>
            </w:r>
          </w:p>
        </w:tc>
        <w:tc>
          <w:tcPr>
            <w:tcW w:w="1647" w:type="dxa"/>
            <w:tcBorders>
              <w:top w:val="nil"/>
              <w:left w:val="single" w:sz="8" w:space="0" w:color="auto"/>
              <w:bottom w:val="dotted" w:sz="4" w:space="0" w:color="auto"/>
              <w:right w:val="single" w:sz="8" w:space="0" w:color="auto"/>
            </w:tcBorders>
            <w:shd w:val="clear" w:color="auto" w:fill="auto"/>
            <w:vAlign w:val="center"/>
            <w:hideMark/>
          </w:tcPr>
          <w:p w14:paraId="3348AA7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P51</w:t>
            </w:r>
          </w:p>
        </w:tc>
        <w:tc>
          <w:tcPr>
            <w:tcW w:w="1180" w:type="dxa"/>
            <w:tcBorders>
              <w:top w:val="nil"/>
              <w:left w:val="nil"/>
              <w:bottom w:val="dotted" w:sz="4" w:space="0" w:color="auto"/>
              <w:right w:val="dotted" w:sz="4" w:space="0" w:color="auto"/>
            </w:tcBorders>
            <w:shd w:val="clear" w:color="auto" w:fill="auto"/>
            <w:vAlign w:val="center"/>
            <w:hideMark/>
          </w:tcPr>
          <w:p w14:paraId="05BFE68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526,1</w:t>
            </w:r>
          </w:p>
        </w:tc>
        <w:tc>
          <w:tcPr>
            <w:tcW w:w="1180" w:type="dxa"/>
            <w:tcBorders>
              <w:top w:val="nil"/>
              <w:left w:val="nil"/>
              <w:bottom w:val="dotted" w:sz="4" w:space="0" w:color="auto"/>
              <w:right w:val="dotted" w:sz="4" w:space="0" w:color="auto"/>
            </w:tcBorders>
            <w:shd w:val="clear" w:color="auto" w:fill="auto"/>
            <w:vAlign w:val="center"/>
            <w:hideMark/>
          </w:tcPr>
          <w:p w14:paraId="2DFBA05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568,6</w:t>
            </w:r>
          </w:p>
        </w:tc>
        <w:tc>
          <w:tcPr>
            <w:tcW w:w="1180" w:type="dxa"/>
            <w:tcBorders>
              <w:top w:val="nil"/>
              <w:left w:val="nil"/>
              <w:bottom w:val="dotted" w:sz="4" w:space="0" w:color="auto"/>
              <w:right w:val="dotted" w:sz="4" w:space="0" w:color="auto"/>
            </w:tcBorders>
            <w:shd w:val="clear" w:color="auto" w:fill="auto"/>
            <w:vAlign w:val="center"/>
            <w:hideMark/>
          </w:tcPr>
          <w:p w14:paraId="2942CE2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706,3</w:t>
            </w:r>
          </w:p>
        </w:tc>
        <w:tc>
          <w:tcPr>
            <w:tcW w:w="1180" w:type="dxa"/>
            <w:tcBorders>
              <w:top w:val="nil"/>
              <w:left w:val="nil"/>
              <w:bottom w:val="dotted" w:sz="4" w:space="0" w:color="auto"/>
              <w:right w:val="dotted" w:sz="4" w:space="0" w:color="auto"/>
            </w:tcBorders>
            <w:shd w:val="clear" w:color="auto" w:fill="auto"/>
            <w:vAlign w:val="center"/>
            <w:hideMark/>
          </w:tcPr>
          <w:p w14:paraId="02EC3A0A"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761,7</w:t>
            </w:r>
          </w:p>
        </w:tc>
        <w:tc>
          <w:tcPr>
            <w:tcW w:w="1180" w:type="dxa"/>
            <w:tcBorders>
              <w:top w:val="nil"/>
              <w:left w:val="nil"/>
              <w:bottom w:val="dotted" w:sz="4" w:space="0" w:color="auto"/>
              <w:right w:val="dotted" w:sz="4" w:space="0" w:color="auto"/>
            </w:tcBorders>
            <w:shd w:val="clear" w:color="auto" w:fill="auto"/>
            <w:vAlign w:val="center"/>
            <w:hideMark/>
          </w:tcPr>
          <w:p w14:paraId="3B7B531F"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796,9</w:t>
            </w:r>
          </w:p>
        </w:tc>
        <w:tc>
          <w:tcPr>
            <w:tcW w:w="1180" w:type="dxa"/>
            <w:tcBorders>
              <w:top w:val="nil"/>
              <w:left w:val="nil"/>
              <w:bottom w:val="dotted" w:sz="4" w:space="0" w:color="auto"/>
              <w:right w:val="double" w:sz="6" w:space="0" w:color="auto"/>
            </w:tcBorders>
            <w:shd w:val="clear" w:color="auto" w:fill="auto"/>
            <w:vAlign w:val="center"/>
            <w:hideMark/>
          </w:tcPr>
          <w:p w14:paraId="05309CAB"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884,2</w:t>
            </w:r>
          </w:p>
        </w:tc>
      </w:tr>
      <w:tr w:rsidR="009B5DE5" w:rsidRPr="009B5DE5" w14:paraId="111740D6" w14:textId="77777777" w:rsidTr="00396800">
        <w:trPr>
          <w:trHeight w:val="348"/>
        </w:trPr>
        <w:tc>
          <w:tcPr>
            <w:tcW w:w="6078" w:type="dxa"/>
            <w:tcBorders>
              <w:top w:val="nil"/>
              <w:left w:val="double" w:sz="6" w:space="0" w:color="auto"/>
              <w:bottom w:val="dotted" w:sz="4" w:space="0" w:color="auto"/>
              <w:right w:val="nil"/>
            </w:tcBorders>
            <w:shd w:val="clear" w:color="auto" w:fill="auto"/>
            <w:vAlign w:val="center"/>
            <w:hideMark/>
          </w:tcPr>
          <w:p w14:paraId="7FD8835C" w14:textId="77777777" w:rsidR="009B5DE5" w:rsidRPr="009B5DE5" w:rsidRDefault="00F03833" w:rsidP="009B5DE5">
            <w:pPr>
              <w:spacing w:after="0"/>
              <w:jc w:val="left"/>
              <w:rPr>
                <w:rFonts w:eastAsia="Times New Roman" w:cs="Times New Roman"/>
                <w:sz w:val="20"/>
                <w:szCs w:val="20"/>
              </w:rPr>
            </w:pPr>
            <w:hyperlink r:id="rId47" w:anchor="RANGE!B144" w:history="1">
              <w:r w:rsidR="009B5DE5" w:rsidRPr="009B5DE5">
                <w:rPr>
                  <w:rFonts w:eastAsia="Times New Roman" w:cs="Times New Roman"/>
                  <w:sz w:val="20"/>
                  <w:szCs w:val="20"/>
                </w:rPr>
                <w:t>22. Друго (22 = 23-(17+18+19+20+21)) [6]</w:t>
              </w:r>
            </w:hyperlink>
          </w:p>
        </w:tc>
        <w:tc>
          <w:tcPr>
            <w:tcW w:w="1647" w:type="dxa"/>
            <w:tcBorders>
              <w:top w:val="nil"/>
              <w:left w:val="single" w:sz="8" w:space="0" w:color="auto"/>
              <w:bottom w:val="dotted" w:sz="4" w:space="0" w:color="auto"/>
              <w:right w:val="single" w:sz="8" w:space="0" w:color="auto"/>
            </w:tcBorders>
            <w:shd w:val="clear" w:color="auto" w:fill="auto"/>
            <w:vAlign w:val="center"/>
            <w:hideMark/>
          </w:tcPr>
          <w:p w14:paraId="30344CF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80" w:type="dxa"/>
            <w:tcBorders>
              <w:top w:val="nil"/>
              <w:left w:val="nil"/>
              <w:bottom w:val="dotted" w:sz="4" w:space="0" w:color="auto"/>
              <w:right w:val="dotted" w:sz="4" w:space="0" w:color="auto"/>
            </w:tcBorders>
            <w:shd w:val="clear" w:color="auto" w:fill="auto"/>
            <w:vAlign w:val="center"/>
            <w:hideMark/>
          </w:tcPr>
          <w:p w14:paraId="617A8DC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356,2</w:t>
            </w:r>
          </w:p>
        </w:tc>
        <w:tc>
          <w:tcPr>
            <w:tcW w:w="1180" w:type="dxa"/>
            <w:tcBorders>
              <w:top w:val="nil"/>
              <w:left w:val="nil"/>
              <w:bottom w:val="dotted" w:sz="4" w:space="0" w:color="auto"/>
              <w:right w:val="dotted" w:sz="4" w:space="0" w:color="auto"/>
            </w:tcBorders>
            <w:shd w:val="clear" w:color="auto" w:fill="auto"/>
            <w:vAlign w:val="center"/>
            <w:hideMark/>
          </w:tcPr>
          <w:p w14:paraId="359D0B0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221,1</w:t>
            </w:r>
          </w:p>
        </w:tc>
        <w:tc>
          <w:tcPr>
            <w:tcW w:w="1180" w:type="dxa"/>
            <w:tcBorders>
              <w:top w:val="nil"/>
              <w:left w:val="nil"/>
              <w:bottom w:val="dotted" w:sz="4" w:space="0" w:color="auto"/>
              <w:right w:val="dotted" w:sz="4" w:space="0" w:color="auto"/>
            </w:tcBorders>
            <w:shd w:val="clear" w:color="auto" w:fill="auto"/>
            <w:vAlign w:val="center"/>
            <w:hideMark/>
          </w:tcPr>
          <w:p w14:paraId="64BC737D"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179,6</w:t>
            </w:r>
          </w:p>
        </w:tc>
        <w:tc>
          <w:tcPr>
            <w:tcW w:w="1180" w:type="dxa"/>
            <w:tcBorders>
              <w:top w:val="nil"/>
              <w:left w:val="nil"/>
              <w:bottom w:val="dotted" w:sz="4" w:space="0" w:color="auto"/>
              <w:right w:val="dotted" w:sz="4" w:space="0" w:color="auto"/>
            </w:tcBorders>
            <w:shd w:val="clear" w:color="auto" w:fill="auto"/>
            <w:vAlign w:val="center"/>
            <w:hideMark/>
          </w:tcPr>
          <w:p w14:paraId="2CA776DA"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167,8</w:t>
            </w:r>
          </w:p>
        </w:tc>
        <w:tc>
          <w:tcPr>
            <w:tcW w:w="1180" w:type="dxa"/>
            <w:tcBorders>
              <w:top w:val="nil"/>
              <w:left w:val="nil"/>
              <w:bottom w:val="dotted" w:sz="4" w:space="0" w:color="auto"/>
              <w:right w:val="dotted" w:sz="4" w:space="0" w:color="auto"/>
            </w:tcBorders>
            <w:shd w:val="clear" w:color="auto" w:fill="auto"/>
            <w:vAlign w:val="center"/>
            <w:hideMark/>
          </w:tcPr>
          <w:p w14:paraId="2F87470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174,6</w:t>
            </w:r>
          </w:p>
        </w:tc>
        <w:tc>
          <w:tcPr>
            <w:tcW w:w="1180" w:type="dxa"/>
            <w:tcBorders>
              <w:top w:val="nil"/>
              <w:left w:val="nil"/>
              <w:bottom w:val="dotted" w:sz="4" w:space="0" w:color="auto"/>
              <w:right w:val="double" w:sz="6" w:space="0" w:color="auto"/>
            </w:tcBorders>
            <w:shd w:val="clear" w:color="auto" w:fill="auto"/>
            <w:vAlign w:val="center"/>
            <w:hideMark/>
          </w:tcPr>
          <w:p w14:paraId="73BC124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180,5</w:t>
            </w:r>
          </w:p>
        </w:tc>
      </w:tr>
      <w:tr w:rsidR="009B5DE5" w:rsidRPr="009B5DE5" w14:paraId="1B881AB3" w14:textId="77777777" w:rsidTr="00396800">
        <w:trPr>
          <w:trHeight w:val="348"/>
        </w:trPr>
        <w:tc>
          <w:tcPr>
            <w:tcW w:w="6078" w:type="dxa"/>
            <w:tcBorders>
              <w:top w:val="nil"/>
              <w:left w:val="single" w:sz="8" w:space="0" w:color="auto"/>
              <w:bottom w:val="dotted" w:sz="4" w:space="0" w:color="auto"/>
              <w:right w:val="single" w:sz="8" w:space="0" w:color="auto"/>
            </w:tcBorders>
            <w:shd w:val="clear" w:color="auto" w:fill="auto"/>
            <w:vAlign w:val="center"/>
            <w:hideMark/>
          </w:tcPr>
          <w:p w14:paraId="441F0704" w14:textId="77777777" w:rsidR="009B5DE5" w:rsidRPr="009B5DE5" w:rsidRDefault="00F03833" w:rsidP="009B5DE5">
            <w:pPr>
              <w:spacing w:after="0"/>
              <w:jc w:val="left"/>
              <w:rPr>
                <w:rFonts w:eastAsia="Times New Roman" w:cs="Times New Roman"/>
                <w:sz w:val="20"/>
                <w:szCs w:val="20"/>
              </w:rPr>
            </w:pPr>
            <w:hyperlink r:id="rId48" w:anchor="RANGE!B145" w:history="1">
              <w:r w:rsidR="009B5DE5" w:rsidRPr="009B5DE5">
                <w:rPr>
                  <w:rFonts w:eastAsia="Times New Roman" w:cs="Times New Roman"/>
                  <w:sz w:val="20"/>
                  <w:szCs w:val="20"/>
                </w:rPr>
                <w:t xml:space="preserve">23. Укупни расходи [7] </w:t>
              </w:r>
            </w:hyperlink>
          </w:p>
        </w:tc>
        <w:tc>
          <w:tcPr>
            <w:tcW w:w="1647" w:type="dxa"/>
            <w:tcBorders>
              <w:top w:val="nil"/>
              <w:left w:val="nil"/>
              <w:bottom w:val="dotted" w:sz="4" w:space="0" w:color="auto"/>
              <w:right w:val="single" w:sz="8" w:space="0" w:color="auto"/>
            </w:tcBorders>
            <w:shd w:val="clear" w:color="auto" w:fill="auto"/>
            <w:vAlign w:val="center"/>
            <w:hideMark/>
          </w:tcPr>
          <w:p w14:paraId="755D03E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TE</w:t>
            </w:r>
          </w:p>
        </w:tc>
        <w:tc>
          <w:tcPr>
            <w:tcW w:w="1180" w:type="dxa"/>
            <w:tcBorders>
              <w:top w:val="nil"/>
              <w:left w:val="nil"/>
              <w:bottom w:val="dotted" w:sz="4" w:space="0" w:color="auto"/>
              <w:right w:val="dotted" w:sz="4" w:space="0" w:color="auto"/>
            </w:tcBorders>
            <w:shd w:val="clear" w:color="auto" w:fill="auto"/>
            <w:vAlign w:val="center"/>
            <w:hideMark/>
          </w:tcPr>
          <w:p w14:paraId="0C6BEB39"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3.328,2</w:t>
            </w:r>
          </w:p>
        </w:tc>
        <w:tc>
          <w:tcPr>
            <w:tcW w:w="1180" w:type="dxa"/>
            <w:tcBorders>
              <w:top w:val="nil"/>
              <w:left w:val="nil"/>
              <w:bottom w:val="dotted" w:sz="4" w:space="0" w:color="auto"/>
              <w:right w:val="dotted" w:sz="4" w:space="0" w:color="auto"/>
            </w:tcBorders>
            <w:shd w:val="clear" w:color="auto" w:fill="auto"/>
            <w:vAlign w:val="center"/>
            <w:hideMark/>
          </w:tcPr>
          <w:p w14:paraId="232B9AA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3.654,4</w:t>
            </w:r>
          </w:p>
        </w:tc>
        <w:tc>
          <w:tcPr>
            <w:tcW w:w="1180" w:type="dxa"/>
            <w:tcBorders>
              <w:top w:val="nil"/>
              <w:left w:val="nil"/>
              <w:bottom w:val="dotted" w:sz="4" w:space="0" w:color="auto"/>
              <w:right w:val="dotted" w:sz="4" w:space="0" w:color="auto"/>
            </w:tcBorders>
            <w:shd w:val="clear" w:color="auto" w:fill="auto"/>
            <w:vAlign w:val="center"/>
            <w:hideMark/>
          </w:tcPr>
          <w:p w14:paraId="5AD82A2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4.185,2</w:t>
            </w:r>
          </w:p>
        </w:tc>
        <w:tc>
          <w:tcPr>
            <w:tcW w:w="1180" w:type="dxa"/>
            <w:tcBorders>
              <w:top w:val="nil"/>
              <w:left w:val="nil"/>
              <w:bottom w:val="dotted" w:sz="4" w:space="0" w:color="auto"/>
              <w:right w:val="dotted" w:sz="4" w:space="0" w:color="auto"/>
            </w:tcBorders>
            <w:shd w:val="clear" w:color="auto" w:fill="auto"/>
            <w:vAlign w:val="center"/>
            <w:hideMark/>
          </w:tcPr>
          <w:p w14:paraId="31D5997F"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4.578,3</w:t>
            </w:r>
          </w:p>
        </w:tc>
        <w:tc>
          <w:tcPr>
            <w:tcW w:w="1180" w:type="dxa"/>
            <w:tcBorders>
              <w:top w:val="nil"/>
              <w:left w:val="nil"/>
              <w:bottom w:val="dotted" w:sz="4" w:space="0" w:color="auto"/>
              <w:right w:val="dotted" w:sz="4" w:space="0" w:color="auto"/>
            </w:tcBorders>
            <w:shd w:val="clear" w:color="auto" w:fill="auto"/>
            <w:vAlign w:val="center"/>
            <w:hideMark/>
          </w:tcPr>
          <w:p w14:paraId="6A6E5E9F"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4.870,0</w:t>
            </w:r>
          </w:p>
        </w:tc>
        <w:tc>
          <w:tcPr>
            <w:tcW w:w="1180" w:type="dxa"/>
            <w:tcBorders>
              <w:top w:val="nil"/>
              <w:left w:val="nil"/>
              <w:bottom w:val="dotted" w:sz="4" w:space="0" w:color="auto"/>
              <w:right w:val="double" w:sz="6" w:space="0" w:color="auto"/>
            </w:tcBorders>
            <w:shd w:val="clear" w:color="auto" w:fill="auto"/>
            <w:vAlign w:val="center"/>
            <w:hideMark/>
          </w:tcPr>
          <w:p w14:paraId="2730F08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5.214,7</w:t>
            </w:r>
          </w:p>
        </w:tc>
      </w:tr>
      <w:tr w:rsidR="009B5DE5" w:rsidRPr="009B5DE5" w14:paraId="1D617760" w14:textId="77777777" w:rsidTr="00396800">
        <w:trPr>
          <w:trHeight w:val="716"/>
        </w:trPr>
        <w:tc>
          <w:tcPr>
            <w:tcW w:w="6078" w:type="dxa"/>
            <w:tcBorders>
              <w:top w:val="nil"/>
              <w:left w:val="double" w:sz="6" w:space="0" w:color="auto"/>
              <w:bottom w:val="double" w:sz="6" w:space="0" w:color="auto"/>
              <w:right w:val="nil"/>
            </w:tcBorders>
            <w:shd w:val="clear" w:color="auto" w:fill="auto"/>
            <w:vAlign w:val="bottom"/>
            <w:hideMark/>
          </w:tcPr>
          <w:p w14:paraId="4F750C95"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информативно: Зараде и накнаде запосленима у јавном сектору</w:t>
            </w:r>
          </w:p>
        </w:tc>
        <w:tc>
          <w:tcPr>
            <w:tcW w:w="1647" w:type="dxa"/>
            <w:tcBorders>
              <w:top w:val="nil"/>
              <w:left w:val="single" w:sz="8" w:space="0" w:color="auto"/>
              <w:bottom w:val="double" w:sz="6" w:space="0" w:color="auto"/>
              <w:right w:val="single" w:sz="8" w:space="0" w:color="auto"/>
            </w:tcBorders>
            <w:shd w:val="clear" w:color="auto" w:fill="auto"/>
            <w:vAlign w:val="bottom"/>
            <w:hideMark/>
          </w:tcPr>
          <w:p w14:paraId="58709BE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D1</w:t>
            </w:r>
          </w:p>
        </w:tc>
        <w:tc>
          <w:tcPr>
            <w:tcW w:w="1180" w:type="dxa"/>
            <w:tcBorders>
              <w:top w:val="nil"/>
              <w:left w:val="nil"/>
              <w:bottom w:val="double" w:sz="6" w:space="0" w:color="auto"/>
              <w:right w:val="dotted" w:sz="4" w:space="0" w:color="auto"/>
            </w:tcBorders>
            <w:shd w:val="clear" w:color="auto" w:fill="auto"/>
            <w:vAlign w:val="bottom"/>
            <w:hideMark/>
          </w:tcPr>
          <w:p w14:paraId="7318C1DB"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694,9</w:t>
            </w:r>
          </w:p>
        </w:tc>
        <w:tc>
          <w:tcPr>
            <w:tcW w:w="1180" w:type="dxa"/>
            <w:tcBorders>
              <w:top w:val="nil"/>
              <w:left w:val="nil"/>
              <w:bottom w:val="double" w:sz="6" w:space="0" w:color="auto"/>
              <w:right w:val="dotted" w:sz="4" w:space="0" w:color="auto"/>
            </w:tcBorders>
            <w:shd w:val="clear" w:color="auto" w:fill="auto"/>
            <w:vAlign w:val="bottom"/>
            <w:hideMark/>
          </w:tcPr>
          <w:p w14:paraId="17D1D477"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774,9</w:t>
            </w:r>
          </w:p>
        </w:tc>
        <w:tc>
          <w:tcPr>
            <w:tcW w:w="1180" w:type="dxa"/>
            <w:tcBorders>
              <w:top w:val="nil"/>
              <w:left w:val="nil"/>
              <w:bottom w:val="double" w:sz="6" w:space="0" w:color="auto"/>
              <w:right w:val="dotted" w:sz="4" w:space="0" w:color="auto"/>
            </w:tcBorders>
            <w:shd w:val="clear" w:color="auto" w:fill="auto"/>
            <w:vAlign w:val="bottom"/>
            <w:hideMark/>
          </w:tcPr>
          <w:p w14:paraId="67D08DE7"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911,3</w:t>
            </w:r>
          </w:p>
        </w:tc>
        <w:tc>
          <w:tcPr>
            <w:tcW w:w="1180" w:type="dxa"/>
            <w:tcBorders>
              <w:top w:val="nil"/>
              <w:left w:val="nil"/>
              <w:bottom w:val="double" w:sz="6" w:space="0" w:color="auto"/>
              <w:right w:val="dotted" w:sz="4" w:space="0" w:color="auto"/>
            </w:tcBorders>
            <w:shd w:val="clear" w:color="auto" w:fill="auto"/>
            <w:vAlign w:val="bottom"/>
            <w:hideMark/>
          </w:tcPr>
          <w:p w14:paraId="46E0CB5B"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1.016,4</w:t>
            </w:r>
          </w:p>
        </w:tc>
        <w:tc>
          <w:tcPr>
            <w:tcW w:w="1180" w:type="dxa"/>
            <w:tcBorders>
              <w:top w:val="nil"/>
              <w:left w:val="nil"/>
              <w:bottom w:val="double" w:sz="6" w:space="0" w:color="auto"/>
              <w:right w:val="dotted" w:sz="4" w:space="0" w:color="auto"/>
            </w:tcBorders>
            <w:shd w:val="clear" w:color="auto" w:fill="auto"/>
            <w:vAlign w:val="bottom"/>
            <w:hideMark/>
          </w:tcPr>
          <w:p w14:paraId="38E6463D"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1.088,2</w:t>
            </w:r>
          </w:p>
        </w:tc>
        <w:tc>
          <w:tcPr>
            <w:tcW w:w="1180" w:type="dxa"/>
            <w:tcBorders>
              <w:top w:val="nil"/>
              <w:left w:val="nil"/>
              <w:bottom w:val="double" w:sz="6" w:space="0" w:color="auto"/>
              <w:right w:val="double" w:sz="6" w:space="0" w:color="auto"/>
            </w:tcBorders>
            <w:shd w:val="clear" w:color="auto" w:fill="auto"/>
            <w:vAlign w:val="bottom"/>
            <w:hideMark/>
          </w:tcPr>
          <w:p w14:paraId="75216660"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1.177,8</w:t>
            </w:r>
          </w:p>
        </w:tc>
      </w:tr>
    </w:tbl>
    <w:p w14:paraId="3F2D5326" w14:textId="77777777" w:rsidR="009B5DE5" w:rsidRPr="009B5DE5" w:rsidRDefault="009B5DE5" w:rsidP="009B5DE5">
      <w:pPr>
        <w:spacing w:after="0"/>
        <w:jc w:val="left"/>
        <w:rPr>
          <w:rFonts w:eastAsia="Times New Roman" w:cs="Times New Roman"/>
          <w:bCs/>
          <w:sz w:val="22"/>
        </w:rPr>
      </w:pPr>
    </w:p>
    <w:tbl>
      <w:tblPr>
        <w:tblW w:w="9360" w:type="dxa"/>
        <w:tblLook w:val="04A0" w:firstRow="1" w:lastRow="0" w:firstColumn="1" w:lastColumn="0" w:noHBand="0" w:noVBand="1"/>
      </w:tblPr>
      <w:tblGrid>
        <w:gridCol w:w="9360"/>
      </w:tblGrid>
      <w:tr w:rsidR="009B5DE5" w:rsidRPr="009B5DE5" w14:paraId="3038CBEA" w14:textId="77777777" w:rsidTr="009B5DE5">
        <w:trPr>
          <w:trHeight w:val="255"/>
        </w:trPr>
        <w:tc>
          <w:tcPr>
            <w:tcW w:w="9360" w:type="dxa"/>
            <w:tcBorders>
              <w:top w:val="nil"/>
              <w:left w:val="nil"/>
              <w:bottom w:val="nil"/>
              <w:right w:val="nil"/>
            </w:tcBorders>
            <w:shd w:val="clear" w:color="auto" w:fill="auto"/>
            <w:noWrap/>
            <w:vAlign w:val="bottom"/>
            <w:hideMark/>
          </w:tcPr>
          <w:p w14:paraId="48DBB843" w14:textId="77777777" w:rsidR="009B5DE5" w:rsidRPr="009B5DE5" w:rsidRDefault="009B5DE5" w:rsidP="009B5DE5">
            <w:pPr>
              <w:spacing w:after="0"/>
              <w:jc w:val="left"/>
              <w:rPr>
                <w:rFonts w:eastAsia="Times New Roman" w:cs="Times New Roman"/>
                <w:sz w:val="16"/>
                <w:szCs w:val="16"/>
              </w:rPr>
            </w:pPr>
            <w:r w:rsidRPr="009B5DE5">
              <w:rPr>
                <w:rFonts w:eastAsia="Times New Roman" w:cs="Times New Roman"/>
                <w:sz w:val="16"/>
                <w:szCs w:val="16"/>
              </w:rPr>
              <w:t>[1]  Коригован за следећи ток по основу свопова, тако да је TR-TE = EDP.B9.</w:t>
            </w:r>
          </w:p>
        </w:tc>
      </w:tr>
      <w:tr w:rsidR="009B5DE5" w:rsidRPr="009B5DE5" w14:paraId="57632007" w14:textId="77777777" w:rsidTr="009B5DE5">
        <w:trPr>
          <w:trHeight w:val="255"/>
        </w:trPr>
        <w:tc>
          <w:tcPr>
            <w:tcW w:w="9360" w:type="dxa"/>
            <w:tcBorders>
              <w:top w:val="nil"/>
              <w:left w:val="nil"/>
              <w:bottom w:val="nil"/>
              <w:right w:val="nil"/>
            </w:tcBorders>
            <w:shd w:val="clear" w:color="auto" w:fill="auto"/>
            <w:noWrap/>
            <w:vAlign w:val="bottom"/>
            <w:hideMark/>
          </w:tcPr>
          <w:p w14:paraId="0DF3A73A" w14:textId="77777777" w:rsidR="009B5DE5" w:rsidRPr="009B5DE5" w:rsidRDefault="009B5DE5" w:rsidP="009B5DE5">
            <w:pPr>
              <w:spacing w:after="0"/>
              <w:jc w:val="left"/>
              <w:rPr>
                <w:rFonts w:eastAsia="Times New Roman" w:cs="Times New Roman"/>
                <w:sz w:val="16"/>
                <w:szCs w:val="16"/>
              </w:rPr>
            </w:pPr>
            <w:r w:rsidRPr="009B5DE5">
              <w:rPr>
                <w:rFonts w:eastAsia="Times New Roman" w:cs="Times New Roman"/>
                <w:sz w:val="16"/>
                <w:szCs w:val="16"/>
              </w:rPr>
              <w:t>[2] Примарни резултат се израчунава као (EDP.B9, ставка 8) плус (EDP D41 + FISIM приказан као међуфазна потрошња, ставка 9).</w:t>
            </w:r>
          </w:p>
        </w:tc>
      </w:tr>
      <w:tr w:rsidR="009B5DE5" w:rsidRPr="009B5DE5" w14:paraId="2F0D1DBE" w14:textId="77777777" w:rsidTr="009B5DE5">
        <w:trPr>
          <w:trHeight w:val="255"/>
        </w:trPr>
        <w:tc>
          <w:tcPr>
            <w:tcW w:w="9360" w:type="dxa"/>
            <w:tcBorders>
              <w:top w:val="nil"/>
              <w:left w:val="nil"/>
              <w:bottom w:val="nil"/>
              <w:right w:val="nil"/>
            </w:tcBorders>
            <w:shd w:val="clear" w:color="auto" w:fill="auto"/>
            <w:noWrap/>
            <w:vAlign w:val="bottom"/>
            <w:hideMark/>
          </w:tcPr>
          <w:p w14:paraId="10D0A315" w14:textId="77777777" w:rsidR="009B5DE5" w:rsidRPr="009B5DE5" w:rsidRDefault="009B5DE5" w:rsidP="009B5DE5">
            <w:pPr>
              <w:spacing w:after="0"/>
              <w:jc w:val="left"/>
              <w:rPr>
                <w:rFonts w:eastAsia="Times New Roman" w:cs="Times New Roman"/>
                <w:sz w:val="16"/>
                <w:szCs w:val="16"/>
              </w:rPr>
            </w:pPr>
            <w:r w:rsidRPr="009B5DE5">
              <w:rPr>
                <w:rFonts w:eastAsia="Times New Roman" w:cs="Times New Roman"/>
                <w:sz w:val="16"/>
                <w:szCs w:val="16"/>
              </w:rPr>
              <w:t>[3] Позитиван знак значи једнократне мере за смањење дефицита.</w:t>
            </w:r>
          </w:p>
        </w:tc>
      </w:tr>
      <w:tr w:rsidR="009B5DE5" w:rsidRPr="009B5DE5" w14:paraId="5D2E692C" w14:textId="77777777" w:rsidTr="009B5DE5">
        <w:trPr>
          <w:trHeight w:val="255"/>
        </w:trPr>
        <w:tc>
          <w:tcPr>
            <w:tcW w:w="9360" w:type="dxa"/>
            <w:tcBorders>
              <w:top w:val="nil"/>
              <w:left w:val="nil"/>
              <w:bottom w:val="nil"/>
              <w:right w:val="nil"/>
            </w:tcBorders>
            <w:shd w:val="clear" w:color="auto" w:fill="auto"/>
            <w:noWrap/>
            <w:vAlign w:val="bottom"/>
            <w:hideMark/>
          </w:tcPr>
          <w:p w14:paraId="253AD5F2" w14:textId="77777777" w:rsidR="009B5DE5" w:rsidRPr="009B5DE5" w:rsidRDefault="009B5DE5" w:rsidP="009B5DE5">
            <w:pPr>
              <w:spacing w:after="0"/>
              <w:jc w:val="left"/>
              <w:rPr>
                <w:rFonts w:eastAsia="Times New Roman" w:cs="Times New Roman"/>
                <w:sz w:val="16"/>
                <w:szCs w:val="16"/>
              </w:rPr>
            </w:pPr>
            <w:r w:rsidRPr="009B5DE5">
              <w:rPr>
                <w:rFonts w:eastAsia="Times New Roman" w:cs="Times New Roman"/>
                <w:sz w:val="16"/>
                <w:szCs w:val="16"/>
              </w:rPr>
              <w:t>[4] P.11+P.12+P.131+D.39+D.7+D.9 (осим D.91)</w:t>
            </w:r>
          </w:p>
        </w:tc>
      </w:tr>
      <w:tr w:rsidR="009B5DE5" w:rsidRPr="009B5DE5" w14:paraId="1AB26EE7" w14:textId="77777777" w:rsidTr="009B5DE5">
        <w:trPr>
          <w:trHeight w:val="255"/>
        </w:trPr>
        <w:tc>
          <w:tcPr>
            <w:tcW w:w="9360" w:type="dxa"/>
            <w:tcBorders>
              <w:top w:val="nil"/>
              <w:left w:val="nil"/>
              <w:bottom w:val="nil"/>
              <w:right w:val="nil"/>
            </w:tcBorders>
            <w:shd w:val="clear" w:color="auto" w:fill="auto"/>
            <w:noWrap/>
            <w:vAlign w:val="bottom"/>
            <w:hideMark/>
          </w:tcPr>
          <w:p w14:paraId="5885A908" w14:textId="77777777" w:rsidR="009B5DE5" w:rsidRPr="009B5DE5" w:rsidRDefault="009B5DE5" w:rsidP="009B5DE5">
            <w:pPr>
              <w:spacing w:after="0"/>
              <w:jc w:val="left"/>
              <w:rPr>
                <w:rFonts w:eastAsia="Times New Roman" w:cs="Times New Roman"/>
                <w:sz w:val="16"/>
                <w:szCs w:val="16"/>
              </w:rPr>
            </w:pPr>
            <w:r w:rsidRPr="009B5DE5">
              <w:rPr>
                <w:rFonts w:eastAsia="Times New Roman" w:cs="Times New Roman"/>
                <w:sz w:val="16"/>
                <w:szCs w:val="16"/>
              </w:rPr>
              <w:t>[5] Укључујући оне које наплаћује ЕУ и укључујући корекцију за ненаплаћене порезе и доприносе за социјално осигурање (D995), где је то случај.</w:t>
            </w:r>
          </w:p>
        </w:tc>
      </w:tr>
      <w:tr w:rsidR="009B5DE5" w:rsidRPr="009B5DE5" w14:paraId="43F726FE" w14:textId="77777777" w:rsidTr="009B5DE5">
        <w:trPr>
          <w:trHeight w:val="255"/>
        </w:trPr>
        <w:tc>
          <w:tcPr>
            <w:tcW w:w="9360" w:type="dxa"/>
            <w:tcBorders>
              <w:top w:val="nil"/>
              <w:left w:val="nil"/>
              <w:bottom w:val="nil"/>
              <w:right w:val="nil"/>
            </w:tcBorders>
            <w:shd w:val="clear" w:color="auto" w:fill="auto"/>
            <w:noWrap/>
            <w:vAlign w:val="bottom"/>
            <w:hideMark/>
          </w:tcPr>
          <w:p w14:paraId="4A5542F9" w14:textId="77777777" w:rsidR="009B5DE5" w:rsidRPr="009B5DE5" w:rsidRDefault="009B5DE5" w:rsidP="009B5DE5">
            <w:pPr>
              <w:spacing w:after="0"/>
              <w:jc w:val="left"/>
              <w:rPr>
                <w:rFonts w:eastAsia="Times New Roman" w:cs="Times New Roman"/>
                <w:sz w:val="16"/>
                <w:szCs w:val="16"/>
              </w:rPr>
            </w:pPr>
            <w:r w:rsidRPr="009B5DE5">
              <w:rPr>
                <w:rFonts w:eastAsia="Times New Roman" w:cs="Times New Roman"/>
                <w:sz w:val="16"/>
                <w:szCs w:val="16"/>
              </w:rPr>
              <w:t>[6] D.29+D4 (осим D.41)+ D.5+D.7+D.9+P.52+P.53+K.2+D.8</w:t>
            </w:r>
          </w:p>
        </w:tc>
      </w:tr>
      <w:tr w:rsidR="009B5DE5" w:rsidRPr="009B5DE5" w14:paraId="3B470C9C" w14:textId="77777777" w:rsidTr="009B5DE5">
        <w:trPr>
          <w:trHeight w:val="255"/>
        </w:trPr>
        <w:tc>
          <w:tcPr>
            <w:tcW w:w="9360" w:type="dxa"/>
            <w:tcBorders>
              <w:top w:val="nil"/>
              <w:left w:val="nil"/>
              <w:bottom w:val="nil"/>
              <w:right w:val="nil"/>
            </w:tcBorders>
            <w:shd w:val="clear" w:color="auto" w:fill="auto"/>
            <w:noWrap/>
            <w:vAlign w:val="bottom"/>
            <w:hideMark/>
          </w:tcPr>
          <w:p w14:paraId="7B9FC49F" w14:textId="77777777" w:rsidR="009B5DE5" w:rsidRPr="009B5DE5" w:rsidRDefault="009B5DE5" w:rsidP="009B5DE5">
            <w:pPr>
              <w:spacing w:after="0"/>
              <w:jc w:val="left"/>
              <w:rPr>
                <w:rFonts w:eastAsia="Times New Roman" w:cs="Times New Roman"/>
                <w:sz w:val="17"/>
                <w:szCs w:val="17"/>
              </w:rPr>
            </w:pPr>
            <w:r w:rsidRPr="009B5DE5">
              <w:rPr>
                <w:rFonts w:eastAsia="Times New Roman" w:cs="Times New Roman"/>
                <w:sz w:val="17"/>
                <w:szCs w:val="17"/>
              </w:rPr>
              <w:t>[7] Коригован за следећи ток по основу свопова, тако да је TR-TE = EDP.B9.</w:t>
            </w:r>
          </w:p>
        </w:tc>
      </w:tr>
    </w:tbl>
    <w:p w14:paraId="2FBB9876" w14:textId="77777777" w:rsidR="009B5DE5" w:rsidRPr="009B5DE5" w:rsidRDefault="009B5DE5" w:rsidP="009B5DE5">
      <w:pPr>
        <w:spacing w:after="0"/>
        <w:jc w:val="left"/>
        <w:rPr>
          <w:rFonts w:eastAsia="Times New Roman" w:cs="Times New Roman"/>
          <w:bCs/>
          <w:sz w:val="22"/>
        </w:rPr>
      </w:pPr>
    </w:p>
    <w:p w14:paraId="4AD4ADE6" w14:textId="77777777" w:rsidR="00396800" w:rsidRDefault="00396800" w:rsidP="009B5DE5">
      <w:pPr>
        <w:spacing w:after="0"/>
        <w:jc w:val="left"/>
        <w:rPr>
          <w:rFonts w:eastAsia="Times New Roman" w:cs="Times New Roman"/>
          <w:bCs/>
          <w:sz w:val="22"/>
        </w:rPr>
      </w:pPr>
    </w:p>
    <w:p w14:paraId="5C2031E3" w14:textId="77777777" w:rsidR="00396800" w:rsidRDefault="00396800" w:rsidP="009B5DE5">
      <w:pPr>
        <w:spacing w:after="0"/>
        <w:jc w:val="left"/>
        <w:rPr>
          <w:rFonts w:eastAsia="Times New Roman" w:cs="Times New Roman"/>
          <w:bCs/>
          <w:sz w:val="22"/>
        </w:rPr>
      </w:pPr>
    </w:p>
    <w:p w14:paraId="5A26A96E" w14:textId="77777777" w:rsidR="00396800" w:rsidRDefault="00396800" w:rsidP="009B5DE5">
      <w:pPr>
        <w:spacing w:after="0"/>
        <w:jc w:val="left"/>
        <w:rPr>
          <w:rFonts w:eastAsia="Times New Roman" w:cs="Times New Roman"/>
          <w:bCs/>
          <w:sz w:val="22"/>
        </w:rPr>
      </w:pPr>
    </w:p>
    <w:p w14:paraId="183EC43E" w14:textId="77777777" w:rsidR="00396800" w:rsidRDefault="00396800" w:rsidP="009B5DE5">
      <w:pPr>
        <w:spacing w:after="0"/>
        <w:jc w:val="left"/>
        <w:rPr>
          <w:rFonts w:eastAsia="Times New Roman" w:cs="Times New Roman"/>
          <w:bCs/>
          <w:sz w:val="22"/>
        </w:rPr>
      </w:pPr>
    </w:p>
    <w:p w14:paraId="3AFB4BDA" w14:textId="77777777" w:rsidR="00396800" w:rsidRDefault="00396800" w:rsidP="009B5DE5">
      <w:pPr>
        <w:spacing w:after="0"/>
        <w:jc w:val="left"/>
        <w:rPr>
          <w:rFonts w:eastAsia="Times New Roman" w:cs="Times New Roman"/>
          <w:bCs/>
          <w:sz w:val="22"/>
        </w:rPr>
      </w:pPr>
    </w:p>
    <w:p w14:paraId="5599AF0E" w14:textId="77777777" w:rsidR="00396800" w:rsidRDefault="00396800" w:rsidP="009B5DE5">
      <w:pPr>
        <w:spacing w:after="0"/>
        <w:jc w:val="left"/>
        <w:rPr>
          <w:rFonts w:eastAsia="Times New Roman" w:cs="Times New Roman"/>
          <w:bCs/>
          <w:sz w:val="22"/>
        </w:rPr>
      </w:pPr>
    </w:p>
    <w:p w14:paraId="03DD8328" w14:textId="77777777" w:rsidR="00396800" w:rsidRDefault="00396800" w:rsidP="009B5DE5">
      <w:pPr>
        <w:spacing w:after="0"/>
        <w:jc w:val="left"/>
        <w:rPr>
          <w:rFonts w:eastAsia="Times New Roman" w:cs="Times New Roman"/>
          <w:bCs/>
          <w:sz w:val="22"/>
        </w:rPr>
      </w:pPr>
    </w:p>
    <w:p w14:paraId="63FD4B8D" w14:textId="77777777" w:rsidR="00396800" w:rsidRDefault="00396800" w:rsidP="009B5DE5">
      <w:pPr>
        <w:spacing w:after="0"/>
        <w:jc w:val="left"/>
        <w:rPr>
          <w:rFonts w:eastAsia="Times New Roman" w:cs="Times New Roman"/>
          <w:bCs/>
          <w:sz w:val="22"/>
        </w:rPr>
      </w:pPr>
    </w:p>
    <w:p w14:paraId="07485F01" w14:textId="77777777" w:rsidR="00396800" w:rsidRDefault="00396800" w:rsidP="009B5DE5">
      <w:pPr>
        <w:spacing w:after="0"/>
        <w:jc w:val="left"/>
        <w:rPr>
          <w:rFonts w:eastAsia="Times New Roman" w:cs="Times New Roman"/>
          <w:bCs/>
          <w:sz w:val="22"/>
        </w:rPr>
      </w:pPr>
    </w:p>
    <w:p w14:paraId="7E7169B9" w14:textId="77777777" w:rsidR="00396800" w:rsidRDefault="00396800" w:rsidP="009B5DE5">
      <w:pPr>
        <w:spacing w:after="0"/>
        <w:jc w:val="left"/>
        <w:rPr>
          <w:rFonts w:eastAsia="Times New Roman" w:cs="Times New Roman"/>
          <w:bCs/>
          <w:sz w:val="22"/>
        </w:rPr>
      </w:pPr>
    </w:p>
    <w:p w14:paraId="5FF1DF88" w14:textId="77777777" w:rsidR="009B5DE5" w:rsidRPr="009B5DE5" w:rsidRDefault="009B5DE5" w:rsidP="009B5DE5">
      <w:pPr>
        <w:spacing w:after="0"/>
        <w:jc w:val="left"/>
        <w:rPr>
          <w:rFonts w:eastAsia="Times New Roman" w:cs="Times New Roman"/>
          <w:bCs/>
          <w:sz w:val="22"/>
        </w:rPr>
      </w:pPr>
      <w:r w:rsidRPr="009B5DE5">
        <w:rPr>
          <w:rFonts w:eastAsia="Times New Roman" w:cs="Times New Roman"/>
          <w:bCs/>
          <w:sz w:val="22"/>
        </w:rPr>
        <w:lastRenderedPageBreak/>
        <w:t>Taбела 2а:  Буџетски изгледи сектора државе</w:t>
      </w:r>
    </w:p>
    <w:p w14:paraId="5D195206" w14:textId="77777777" w:rsidR="009B5DE5" w:rsidRPr="009B5DE5" w:rsidRDefault="009B5DE5" w:rsidP="009B5DE5">
      <w:pPr>
        <w:spacing w:after="0"/>
        <w:jc w:val="left"/>
        <w:rPr>
          <w:rFonts w:eastAsia="Times New Roman" w:cs="Times New Roman"/>
          <w:bCs/>
          <w:sz w:val="22"/>
        </w:rPr>
      </w:pPr>
    </w:p>
    <w:tbl>
      <w:tblPr>
        <w:tblW w:w="14702" w:type="dxa"/>
        <w:tblLook w:val="04A0" w:firstRow="1" w:lastRow="0" w:firstColumn="1" w:lastColumn="0" w:noHBand="0" w:noVBand="1"/>
      </w:tblPr>
      <w:tblGrid>
        <w:gridCol w:w="6709"/>
        <w:gridCol w:w="1094"/>
        <w:gridCol w:w="1150"/>
        <w:gridCol w:w="1149"/>
        <w:gridCol w:w="1148"/>
        <w:gridCol w:w="1148"/>
        <w:gridCol w:w="1148"/>
        <w:gridCol w:w="1156"/>
      </w:tblGrid>
      <w:tr w:rsidR="009B5DE5" w:rsidRPr="009B5DE5" w14:paraId="049F9F5B" w14:textId="77777777" w:rsidTr="00396800">
        <w:trPr>
          <w:trHeight w:val="317"/>
          <w:tblHeader/>
        </w:trPr>
        <w:tc>
          <w:tcPr>
            <w:tcW w:w="6709" w:type="dxa"/>
            <w:vMerge w:val="restart"/>
            <w:tcBorders>
              <w:top w:val="double" w:sz="6" w:space="0" w:color="auto"/>
              <w:left w:val="double" w:sz="6" w:space="0" w:color="auto"/>
              <w:bottom w:val="nil"/>
              <w:right w:val="dotted" w:sz="4" w:space="0" w:color="auto"/>
            </w:tcBorders>
            <w:shd w:val="clear" w:color="000000" w:fill="FFFFFF"/>
            <w:vAlign w:val="center"/>
            <w:hideMark/>
          </w:tcPr>
          <w:p w14:paraId="2F6CA66B"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 </w:t>
            </w:r>
          </w:p>
        </w:tc>
        <w:tc>
          <w:tcPr>
            <w:tcW w:w="1094" w:type="dxa"/>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14:paraId="7639227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ESA шифра</w:t>
            </w:r>
          </w:p>
        </w:tc>
        <w:tc>
          <w:tcPr>
            <w:tcW w:w="1150" w:type="dxa"/>
            <w:tcBorders>
              <w:top w:val="double" w:sz="6" w:space="0" w:color="auto"/>
              <w:left w:val="nil"/>
              <w:bottom w:val="nil"/>
              <w:right w:val="single" w:sz="8" w:space="0" w:color="auto"/>
            </w:tcBorders>
            <w:shd w:val="clear" w:color="000000" w:fill="FFFFFF"/>
            <w:vAlign w:val="center"/>
            <w:hideMark/>
          </w:tcPr>
          <w:p w14:paraId="08EC605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Година</w:t>
            </w:r>
          </w:p>
        </w:tc>
        <w:tc>
          <w:tcPr>
            <w:tcW w:w="1149" w:type="dxa"/>
            <w:tcBorders>
              <w:top w:val="double" w:sz="6" w:space="0" w:color="auto"/>
              <w:left w:val="nil"/>
              <w:bottom w:val="nil"/>
              <w:right w:val="dotted" w:sz="4" w:space="0" w:color="auto"/>
            </w:tcBorders>
            <w:shd w:val="clear" w:color="000000" w:fill="FFFFFF"/>
            <w:vAlign w:val="center"/>
            <w:hideMark/>
          </w:tcPr>
          <w:p w14:paraId="6F39928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Година</w:t>
            </w:r>
          </w:p>
        </w:tc>
        <w:tc>
          <w:tcPr>
            <w:tcW w:w="1148" w:type="dxa"/>
            <w:tcBorders>
              <w:top w:val="double" w:sz="6" w:space="0" w:color="auto"/>
              <w:left w:val="nil"/>
              <w:bottom w:val="nil"/>
              <w:right w:val="dotted" w:sz="4" w:space="0" w:color="auto"/>
            </w:tcBorders>
            <w:shd w:val="clear" w:color="000000" w:fill="FFFFFF"/>
            <w:vAlign w:val="center"/>
            <w:hideMark/>
          </w:tcPr>
          <w:p w14:paraId="0EB7D8A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Година</w:t>
            </w:r>
          </w:p>
        </w:tc>
        <w:tc>
          <w:tcPr>
            <w:tcW w:w="1148" w:type="dxa"/>
            <w:tcBorders>
              <w:top w:val="double" w:sz="6" w:space="0" w:color="auto"/>
              <w:left w:val="nil"/>
              <w:bottom w:val="nil"/>
              <w:right w:val="dotted" w:sz="4" w:space="0" w:color="auto"/>
            </w:tcBorders>
            <w:shd w:val="clear" w:color="000000" w:fill="FFFFFF"/>
            <w:vAlign w:val="center"/>
            <w:hideMark/>
          </w:tcPr>
          <w:p w14:paraId="3DFE755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Година</w:t>
            </w:r>
          </w:p>
        </w:tc>
        <w:tc>
          <w:tcPr>
            <w:tcW w:w="1148" w:type="dxa"/>
            <w:tcBorders>
              <w:top w:val="double" w:sz="6" w:space="0" w:color="auto"/>
              <w:left w:val="nil"/>
              <w:bottom w:val="nil"/>
              <w:right w:val="dotted" w:sz="4" w:space="0" w:color="auto"/>
            </w:tcBorders>
            <w:shd w:val="clear" w:color="000000" w:fill="FFFFFF"/>
            <w:vAlign w:val="center"/>
            <w:hideMark/>
          </w:tcPr>
          <w:p w14:paraId="65E7CD0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Година</w:t>
            </w:r>
          </w:p>
        </w:tc>
        <w:tc>
          <w:tcPr>
            <w:tcW w:w="1153" w:type="dxa"/>
            <w:tcBorders>
              <w:top w:val="double" w:sz="6" w:space="0" w:color="auto"/>
              <w:left w:val="nil"/>
              <w:bottom w:val="nil"/>
              <w:right w:val="double" w:sz="6" w:space="0" w:color="auto"/>
            </w:tcBorders>
            <w:shd w:val="clear" w:color="000000" w:fill="FFFFFF"/>
            <w:vAlign w:val="center"/>
            <w:hideMark/>
          </w:tcPr>
          <w:p w14:paraId="08B0E07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Година</w:t>
            </w:r>
          </w:p>
        </w:tc>
      </w:tr>
      <w:tr w:rsidR="009B5DE5" w:rsidRPr="009B5DE5" w14:paraId="53E63AEB" w14:textId="77777777" w:rsidTr="00396800">
        <w:trPr>
          <w:trHeight w:val="317"/>
          <w:tblHeader/>
        </w:trPr>
        <w:tc>
          <w:tcPr>
            <w:tcW w:w="6709" w:type="dxa"/>
            <w:vMerge/>
            <w:tcBorders>
              <w:top w:val="double" w:sz="6" w:space="0" w:color="auto"/>
              <w:left w:val="double" w:sz="6" w:space="0" w:color="auto"/>
              <w:bottom w:val="nil"/>
              <w:right w:val="dotted" w:sz="4" w:space="0" w:color="auto"/>
            </w:tcBorders>
            <w:vAlign w:val="center"/>
            <w:hideMark/>
          </w:tcPr>
          <w:p w14:paraId="7AB11808" w14:textId="77777777" w:rsidR="009B5DE5" w:rsidRPr="009B5DE5" w:rsidRDefault="009B5DE5" w:rsidP="009B5DE5">
            <w:pPr>
              <w:spacing w:after="0"/>
              <w:jc w:val="left"/>
              <w:rPr>
                <w:rFonts w:eastAsia="Times New Roman" w:cs="Times New Roman"/>
                <w:szCs w:val="24"/>
              </w:rPr>
            </w:pPr>
          </w:p>
        </w:tc>
        <w:tc>
          <w:tcPr>
            <w:tcW w:w="1094" w:type="dxa"/>
            <w:vMerge/>
            <w:tcBorders>
              <w:top w:val="double" w:sz="6" w:space="0" w:color="auto"/>
              <w:left w:val="dotted" w:sz="4" w:space="0" w:color="auto"/>
              <w:bottom w:val="single" w:sz="8" w:space="0" w:color="000000"/>
              <w:right w:val="single" w:sz="8" w:space="0" w:color="auto"/>
            </w:tcBorders>
            <w:vAlign w:val="center"/>
            <w:hideMark/>
          </w:tcPr>
          <w:p w14:paraId="76F3F106" w14:textId="77777777" w:rsidR="009B5DE5" w:rsidRPr="009B5DE5" w:rsidRDefault="009B5DE5" w:rsidP="009B5DE5">
            <w:pPr>
              <w:spacing w:after="0"/>
              <w:jc w:val="left"/>
              <w:rPr>
                <w:rFonts w:eastAsia="Times New Roman" w:cs="Times New Roman"/>
                <w:szCs w:val="24"/>
              </w:rPr>
            </w:pPr>
          </w:p>
        </w:tc>
        <w:tc>
          <w:tcPr>
            <w:tcW w:w="1150" w:type="dxa"/>
            <w:tcBorders>
              <w:top w:val="nil"/>
              <w:left w:val="nil"/>
              <w:bottom w:val="double" w:sz="6" w:space="0" w:color="auto"/>
              <w:right w:val="single" w:sz="8" w:space="0" w:color="auto"/>
            </w:tcBorders>
            <w:shd w:val="clear" w:color="000000" w:fill="FFFFFF"/>
            <w:vAlign w:val="bottom"/>
            <w:hideMark/>
          </w:tcPr>
          <w:p w14:paraId="077278C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2023</w:t>
            </w:r>
          </w:p>
        </w:tc>
        <w:tc>
          <w:tcPr>
            <w:tcW w:w="1149" w:type="dxa"/>
            <w:tcBorders>
              <w:top w:val="nil"/>
              <w:left w:val="nil"/>
              <w:bottom w:val="dotted" w:sz="4" w:space="0" w:color="auto"/>
              <w:right w:val="dotted" w:sz="4" w:space="0" w:color="auto"/>
            </w:tcBorders>
            <w:shd w:val="clear" w:color="000000" w:fill="FFFFFF"/>
            <w:vAlign w:val="center"/>
            <w:hideMark/>
          </w:tcPr>
          <w:p w14:paraId="4D903F0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2023</w:t>
            </w:r>
          </w:p>
        </w:tc>
        <w:tc>
          <w:tcPr>
            <w:tcW w:w="1148" w:type="dxa"/>
            <w:tcBorders>
              <w:top w:val="nil"/>
              <w:left w:val="nil"/>
              <w:bottom w:val="dotted" w:sz="4" w:space="0" w:color="auto"/>
              <w:right w:val="dotted" w:sz="4" w:space="0" w:color="auto"/>
            </w:tcBorders>
            <w:shd w:val="clear" w:color="000000" w:fill="FFFFFF"/>
            <w:vAlign w:val="center"/>
            <w:hideMark/>
          </w:tcPr>
          <w:p w14:paraId="31CF26D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2024</w:t>
            </w:r>
          </w:p>
        </w:tc>
        <w:tc>
          <w:tcPr>
            <w:tcW w:w="1148" w:type="dxa"/>
            <w:tcBorders>
              <w:top w:val="nil"/>
              <w:left w:val="nil"/>
              <w:bottom w:val="dotted" w:sz="4" w:space="0" w:color="auto"/>
              <w:right w:val="dotted" w:sz="4" w:space="0" w:color="auto"/>
            </w:tcBorders>
            <w:shd w:val="clear" w:color="000000" w:fill="FFFFFF"/>
            <w:vAlign w:val="center"/>
            <w:hideMark/>
          </w:tcPr>
          <w:p w14:paraId="73110500"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2025</w:t>
            </w:r>
          </w:p>
        </w:tc>
        <w:tc>
          <w:tcPr>
            <w:tcW w:w="1148" w:type="dxa"/>
            <w:tcBorders>
              <w:top w:val="nil"/>
              <w:left w:val="nil"/>
              <w:bottom w:val="dotted" w:sz="4" w:space="0" w:color="auto"/>
              <w:right w:val="dotted" w:sz="4" w:space="0" w:color="auto"/>
            </w:tcBorders>
            <w:shd w:val="clear" w:color="000000" w:fill="FFFFFF"/>
            <w:vAlign w:val="center"/>
            <w:hideMark/>
          </w:tcPr>
          <w:p w14:paraId="6EF9D27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2026</w:t>
            </w:r>
          </w:p>
        </w:tc>
        <w:tc>
          <w:tcPr>
            <w:tcW w:w="1153" w:type="dxa"/>
            <w:tcBorders>
              <w:top w:val="nil"/>
              <w:left w:val="nil"/>
              <w:bottom w:val="dotted" w:sz="4" w:space="0" w:color="auto"/>
              <w:right w:val="double" w:sz="6" w:space="0" w:color="auto"/>
            </w:tcBorders>
            <w:shd w:val="clear" w:color="000000" w:fill="FFFFFF"/>
            <w:vAlign w:val="center"/>
            <w:hideMark/>
          </w:tcPr>
          <w:p w14:paraId="010C675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2027</w:t>
            </w:r>
          </w:p>
        </w:tc>
      </w:tr>
      <w:tr w:rsidR="009B5DE5" w:rsidRPr="009B5DE5" w14:paraId="370A104B" w14:textId="77777777" w:rsidTr="00396800">
        <w:trPr>
          <w:trHeight w:val="585"/>
          <w:tblHeader/>
        </w:trPr>
        <w:tc>
          <w:tcPr>
            <w:tcW w:w="6709" w:type="dxa"/>
            <w:tcBorders>
              <w:top w:val="nil"/>
              <w:left w:val="double" w:sz="6" w:space="0" w:color="auto"/>
              <w:bottom w:val="single" w:sz="8" w:space="0" w:color="auto"/>
              <w:right w:val="dotted" w:sz="4" w:space="0" w:color="auto"/>
            </w:tcBorders>
            <w:shd w:val="clear" w:color="000000" w:fill="FFFFFF"/>
            <w:vAlign w:val="center"/>
            <w:hideMark/>
          </w:tcPr>
          <w:p w14:paraId="426F24EF"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 </w:t>
            </w:r>
          </w:p>
        </w:tc>
        <w:tc>
          <w:tcPr>
            <w:tcW w:w="1094" w:type="dxa"/>
            <w:vMerge/>
            <w:tcBorders>
              <w:top w:val="double" w:sz="6" w:space="0" w:color="auto"/>
              <w:left w:val="dotted" w:sz="4" w:space="0" w:color="auto"/>
              <w:bottom w:val="single" w:sz="8" w:space="0" w:color="000000"/>
              <w:right w:val="single" w:sz="8" w:space="0" w:color="auto"/>
            </w:tcBorders>
            <w:vAlign w:val="center"/>
            <w:hideMark/>
          </w:tcPr>
          <w:p w14:paraId="3CE8C8C7" w14:textId="77777777" w:rsidR="009B5DE5" w:rsidRPr="009B5DE5" w:rsidRDefault="009B5DE5" w:rsidP="009B5DE5">
            <w:pPr>
              <w:spacing w:after="0"/>
              <w:jc w:val="left"/>
              <w:rPr>
                <w:rFonts w:eastAsia="Times New Roman" w:cs="Times New Roman"/>
                <w:szCs w:val="24"/>
              </w:rPr>
            </w:pPr>
          </w:p>
        </w:tc>
        <w:tc>
          <w:tcPr>
            <w:tcW w:w="1150" w:type="dxa"/>
            <w:tcBorders>
              <w:top w:val="nil"/>
              <w:left w:val="nil"/>
              <w:bottom w:val="single" w:sz="8" w:space="0" w:color="auto"/>
              <w:right w:val="single" w:sz="8" w:space="0" w:color="auto"/>
            </w:tcBorders>
            <w:shd w:val="clear" w:color="000000" w:fill="FFFFFF"/>
            <w:vAlign w:val="center"/>
            <w:hideMark/>
          </w:tcPr>
          <w:p w14:paraId="496B5FF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Ниво (млрд РСД)</w:t>
            </w:r>
          </w:p>
        </w:tc>
        <w:tc>
          <w:tcPr>
            <w:tcW w:w="5748" w:type="dxa"/>
            <w:gridSpan w:val="5"/>
            <w:tcBorders>
              <w:top w:val="dotted" w:sz="4" w:space="0" w:color="auto"/>
              <w:left w:val="nil"/>
              <w:bottom w:val="single" w:sz="8" w:space="0" w:color="auto"/>
              <w:right w:val="double" w:sz="6" w:space="0" w:color="000000"/>
            </w:tcBorders>
            <w:shd w:val="clear" w:color="000000" w:fill="FFFFFF"/>
            <w:vAlign w:val="center"/>
            <w:hideMark/>
          </w:tcPr>
          <w:p w14:paraId="374D999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 БДП</w:t>
            </w:r>
          </w:p>
        </w:tc>
      </w:tr>
      <w:tr w:rsidR="009B5DE5" w:rsidRPr="009B5DE5" w14:paraId="1C5298C2" w14:textId="77777777" w:rsidTr="00396800">
        <w:trPr>
          <w:trHeight w:val="457"/>
        </w:trPr>
        <w:tc>
          <w:tcPr>
            <w:tcW w:w="14702" w:type="dxa"/>
            <w:gridSpan w:val="8"/>
            <w:tcBorders>
              <w:top w:val="single" w:sz="8" w:space="0" w:color="auto"/>
              <w:left w:val="double" w:sz="6" w:space="0" w:color="auto"/>
              <w:bottom w:val="single" w:sz="8" w:space="0" w:color="auto"/>
              <w:right w:val="double" w:sz="6" w:space="0" w:color="000000"/>
            </w:tcBorders>
            <w:shd w:val="clear" w:color="000000" w:fill="FFFFFF"/>
            <w:vAlign w:val="center"/>
            <w:hideMark/>
          </w:tcPr>
          <w:p w14:paraId="181FF04E"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Нето позајмице (B9) по подсекторима</w:t>
            </w:r>
          </w:p>
        </w:tc>
      </w:tr>
      <w:tr w:rsidR="009B5DE5" w:rsidRPr="009B5DE5" w14:paraId="4ECEB89D" w14:textId="77777777" w:rsidTr="00396800">
        <w:trPr>
          <w:trHeight w:val="315"/>
        </w:trPr>
        <w:tc>
          <w:tcPr>
            <w:tcW w:w="6709" w:type="dxa"/>
            <w:tcBorders>
              <w:top w:val="nil"/>
              <w:left w:val="double" w:sz="6" w:space="0" w:color="auto"/>
              <w:bottom w:val="dotted" w:sz="4" w:space="0" w:color="auto"/>
              <w:right w:val="dotted" w:sz="4" w:space="0" w:color="auto"/>
            </w:tcBorders>
            <w:shd w:val="clear" w:color="auto" w:fill="auto"/>
            <w:vAlign w:val="center"/>
            <w:hideMark/>
          </w:tcPr>
          <w:p w14:paraId="27BB1BB3"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1. Сектор државе</w:t>
            </w:r>
          </w:p>
        </w:tc>
        <w:tc>
          <w:tcPr>
            <w:tcW w:w="1094" w:type="dxa"/>
            <w:tcBorders>
              <w:top w:val="nil"/>
              <w:left w:val="nil"/>
              <w:bottom w:val="dotted" w:sz="4" w:space="0" w:color="auto"/>
              <w:right w:val="single" w:sz="8" w:space="0" w:color="auto"/>
            </w:tcBorders>
            <w:shd w:val="clear" w:color="auto" w:fill="auto"/>
            <w:vAlign w:val="center"/>
            <w:hideMark/>
          </w:tcPr>
          <w:p w14:paraId="502277F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S13</w:t>
            </w:r>
          </w:p>
        </w:tc>
        <w:tc>
          <w:tcPr>
            <w:tcW w:w="1150" w:type="dxa"/>
            <w:tcBorders>
              <w:top w:val="nil"/>
              <w:left w:val="nil"/>
              <w:bottom w:val="dotted" w:sz="4" w:space="0" w:color="auto"/>
              <w:right w:val="single" w:sz="8" w:space="0" w:color="auto"/>
            </w:tcBorders>
            <w:shd w:val="clear" w:color="auto" w:fill="auto"/>
            <w:vAlign w:val="center"/>
            <w:hideMark/>
          </w:tcPr>
          <w:p w14:paraId="55614C0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-181,1</w:t>
            </w:r>
          </w:p>
        </w:tc>
        <w:tc>
          <w:tcPr>
            <w:tcW w:w="1149" w:type="dxa"/>
            <w:tcBorders>
              <w:top w:val="nil"/>
              <w:left w:val="nil"/>
              <w:bottom w:val="dotted" w:sz="4" w:space="0" w:color="auto"/>
              <w:right w:val="dotted" w:sz="4" w:space="0" w:color="auto"/>
            </w:tcBorders>
            <w:shd w:val="clear" w:color="auto" w:fill="auto"/>
            <w:vAlign w:val="center"/>
            <w:hideMark/>
          </w:tcPr>
          <w:p w14:paraId="10AF31D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-2,1</w:t>
            </w:r>
          </w:p>
        </w:tc>
        <w:tc>
          <w:tcPr>
            <w:tcW w:w="1148" w:type="dxa"/>
            <w:tcBorders>
              <w:top w:val="nil"/>
              <w:left w:val="nil"/>
              <w:bottom w:val="dotted" w:sz="4" w:space="0" w:color="auto"/>
              <w:right w:val="dotted" w:sz="4" w:space="0" w:color="auto"/>
            </w:tcBorders>
            <w:shd w:val="clear" w:color="auto" w:fill="auto"/>
            <w:vAlign w:val="center"/>
            <w:hideMark/>
          </w:tcPr>
          <w:p w14:paraId="2C18CC6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-2,7</w:t>
            </w:r>
          </w:p>
        </w:tc>
        <w:tc>
          <w:tcPr>
            <w:tcW w:w="1148" w:type="dxa"/>
            <w:tcBorders>
              <w:top w:val="nil"/>
              <w:left w:val="nil"/>
              <w:bottom w:val="dotted" w:sz="4" w:space="0" w:color="auto"/>
              <w:right w:val="dotted" w:sz="4" w:space="0" w:color="auto"/>
            </w:tcBorders>
            <w:shd w:val="clear" w:color="auto" w:fill="auto"/>
            <w:vAlign w:val="center"/>
            <w:hideMark/>
          </w:tcPr>
          <w:p w14:paraId="4E6601C0"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-3,0</w:t>
            </w:r>
          </w:p>
        </w:tc>
        <w:tc>
          <w:tcPr>
            <w:tcW w:w="1148" w:type="dxa"/>
            <w:tcBorders>
              <w:top w:val="nil"/>
              <w:left w:val="nil"/>
              <w:bottom w:val="dotted" w:sz="4" w:space="0" w:color="auto"/>
              <w:right w:val="dotted" w:sz="4" w:space="0" w:color="auto"/>
            </w:tcBorders>
            <w:shd w:val="clear" w:color="auto" w:fill="auto"/>
            <w:vAlign w:val="center"/>
            <w:hideMark/>
          </w:tcPr>
          <w:p w14:paraId="3A5E126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-3,0</w:t>
            </w:r>
          </w:p>
        </w:tc>
        <w:tc>
          <w:tcPr>
            <w:tcW w:w="1153" w:type="dxa"/>
            <w:tcBorders>
              <w:top w:val="nil"/>
              <w:left w:val="nil"/>
              <w:bottom w:val="dotted" w:sz="4" w:space="0" w:color="auto"/>
              <w:right w:val="double" w:sz="6" w:space="0" w:color="auto"/>
            </w:tcBorders>
            <w:shd w:val="clear" w:color="auto" w:fill="auto"/>
            <w:vAlign w:val="center"/>
            <w:hideMark/>
          </w:tcPr>
          <w:p w14:paraId="45F478E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-3,0</w:t>
            </w:r>
          </w:p>
        </w:tc>
      </w:tr>
      <w:tr w:rsidR="009B5DE5" w:rsidRPr="009B5DE5" w14:paraId="5A09C9CF" w14:textId="77777777" w:rsidTr="00396800">
        <w:trPr>
          <w:trHeight w:val="262"/>
        </w:trPr>
        <w:tc>
          <w:tcPr>
            <w:tcW w:w="6709" w:type="dxa"/>
            <w:tcBorders>
              <w:top w:val="nil"/>
              <w:left w:val="double" w:sz="6" w:space="0" w:color="auto"/>
              <w:bottom w:val="dotted" w:sz="4" w:space="0" w:color="auto"/>
              <w:right w:val="dotted" w:sz="4" w:space="0" w:color="auto"/>
            </w:tcBorders>
            <w:shd w:val="clear" w:color="auto" w:fill="auto"/>
            <w:vAlign w:val="center"/>
            <w:hideMark/>
          </w:tcPr>
          <w:p w14:paraId="6B8D4D8D"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2. Централни ниво државе</w:t>
            </w:r>
          </w:p>
        </w:tc>
        <w:tc>
          <w:tcPr>
            <w:tcW w:w="1094" w:type="dxa"/>
            <w:tcBorders>
              <w:top w:val="nil"/>
              <w:left w:val="nil"/>
              <w:bottom w:val="dotted" w:sz="4" w:space="0" w:color="auto"/>
              <w:right w:val="single" w:sz="8" w:space="0" w:color="auto"/>
            </w:tcBorders>
            <w:shd w:val="clear" w:color="auto" w:fill="auto"/>
            <w:vAlign w:val="center"/>
            <w:hideMark/>
          </w:tcPr>
          <w:p w14:paraId="26E5175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S1311</w:t>
            </w:r>
          </w:p>
        </w:tc>
        <w:tc>
          <w:tcPr>
            <w:tcW w:w="1150" w:type="dxa"/>
            <w:tcBorders>
              <w:top w:val="nil"/>
              <w:left w:val="nil"/>
              <w:bottom w:val="dotted" w:sz="4" w:space="0" w:color="auto"/>
              <w:right w:val="single" w:sz="8" w:space="0" w:color="auto"/>
            </w:tcBorders>
            <w:shd w:val="clear" w:color="auto" w:fill="auto"/>
            <w:vAlign w:val="center"/>
            <w:hideMark/>
          </w:tcPr>
          <w:p w14:paraId="3DBDBEB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-177,2</w:t>
            </w:r>
          </w:p>
        </w:tc>
        <w:tc>
          <w:tcPr>
            <w:tcW w:w="1149" w:type="dxa"/>
            <w:tcBorders>
              <w:top w:val="nil"/>
              <w:left w:val="nil"/>
              <w:bottom w:val="dotted" w:sz="4" w:space="0" w:color="auto"/>
              <w:right w:val="dotted" w:sz="4" w:space="0" w:color="auto"/>
            </w:tcBorders>
            <w:shd w:val="clear" w:color="auto" w:fill="auto"/>
            <w:vAlign w:val="center"/>
            <w:hideMark/>
          </w:tcPr>
          <w:p w14:paraId="334A8FA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w:t>
            </w:r>
          </w:p>
        </w:tc>
        <w:tc>
          <w:tcPr>
            <w:tcW w:w="1148" w:type="dxa"/>
            <w:tcBorders>
              <w:top w:val="nil"/>
              <w:left w:val="nil"/>
              <w:bottom w:val="dotted" w:sz="4" w:space="0" w:color="auto"/>
              <w:right w:val="dotted" w:sz="4" w:space="0" w:color="auto"/>
            </w:tcBorders>
            <w:shd w:val="clear" w:color="auto" w:fill="auto"/>
            <w:vAlign w:val="center"/>
            <w:hideMark/>
          </w:tcPr>
          <w:p w14:paraId="4E76E33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lang w:val="sr-Cyrl-RS"/>
              </w:rPr>
              <w:t>-</w:t>
            </w:r>
            <w:r w:rsidRPr="009B5DE5">
              <w:rPr>
                <w:rFonts w:eastAsia="Times New Roman" w:cs="Times New Roman"/>
                <w:szCs w:val="24"/>
              </w:rPr>
              <w:t>2,7</w:t>
            </w:r>
          </w:p>
        </w:tc>
        <w:tc>
          <w:tcPr>
            <w:tcW w:w="1148" w:type="dxa"/>
            <w:tcBorders>
              <w:top w:val="nil"/>
              <w:left w:val="nil"/>
              <w:bottom w:val="dotted" w:sz="4" w:space="0" w:color="auto"/>
              <w:right w:val="dotted" w:sz="4" w:space="0" w:color="auto"/>
            </w:tcBorders>
            <w:shd w:val="clear" w:color="auto" w:fill="auto"/>
            <w:vAlign w:val="center"/>
            <w:hideMark/>
          </w:tcPr>
          <w:p w14:paraId="41F6DEF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lang w:val="sr-Cyrl-RS"/>
              </w:rPr>
              <w:t>-</w:t>
            </w:r>
            <w:r w:rsidRPr="009B5DE5">
              <w:rPr>
                <w:rFonts w:eastAsia="Times New Roman" w:cs="Times New Roman"/>
                <w:szCs w:val="24"/>
              </w:rPr>
              <w:t>3,0</w:t>
            </w:r>
          </w:p>
        </w:tc>
        <w:tc>
          <w:tcPr>
            <w:tcW w:w="1148" w:type="dxa"/>
            <w:tcBorders>
              <w:top w:val="nil"/>
              <w:left w:val="nil"/>
              <w:bottom w:val="dotted" w:sz="4" w:space="0" w:color="auto"/>
              <w:right w:val="dotted" w:sz="4" w:space="0" w:color="auto"/>
            </w:tcBorders>
            <w:shd w:val="clear" w:color="auto" w:fill="auto"/>
            <w:vAlign w:val="center"/>
            <w:hideMark/>
          </w:tcPr>
          <w:p w14:paraId="36D46F7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lang w:val="sr-Cyrl-RS"/>
              </w:rPr>
              <w:t>-</w:t>
            </w:r>
            <w:r w:rsidRPr="009B5DE5">
              <w:rPr>
                <w:rFonts w:eastAsia="Times New Roman" w:cs="Times New Roman"/>
                <w:szCs w:val="24"/>
              </w:rPr>
              <w:t>3,0</w:t>
            </w:r>
          </w:p>
        </w:tc>
        <w:tc>
          <w:tcPr>
            <w:tcW w:w="1153" w:type="dxa"/>
            <w:tcBorders>
              <w:top w:val="nil"/>
              <w:left w:val="nil"/>
              <w:bottom w:val="dotted" w:sz="4" w:space="0" w:color="auto"/>
              <w:right w:val="double" w:sz="6" w:space="0" w:color="auto"/>
            </w:tcBorders>
            <w:shd w:val="clear" w:color="auto" w:fill="auto"/>
            <w:vAlign w:val="center"/>
            <w:hideMark/>
          </w:tcPr>
          <w:p w14:paraId="0EC5EC60"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lang w:val="sr-Cyrl-RS"/>
              </w:rPr>
              <w:t>-</w:t>
            </w:r>
            <w:r w:rsidRPr="009B5DE5">
              <w:rPr>
                <w:rFonts w:eastAsia="Times New Roman" w:cs="Times New Roman"/>
                <w:szCs w:val="24"/>
              </w:rPr>
              <w:t>3,0</w:t>
            </w:r>
          </w:p>
        </w:tc>
      </w:tr>
      <w:tr w:rsidR="009B5DE5" w:rsidRPr="009B5DE5" w14:paraId="594C6C7F" w14:textId="77777777" w:rsidTr="00396800">
        <w:trPr>
          <w:trHeight w:val="403"/>
        </w:trPr>
        <w:tc>
          <w:tcPr>
            <w:tcW w:w="6709" w:type="dxa"/>
            <w:tcBorders>
              <w:top w:val="nil"/>
              <w:left w:val="double" w:sz="6" w:space="0" w:color="auto"/>
              <w:bottom w:val="dotted" w:sz="4" w:space="0" w:color="auto"/>
              <w:right w:val="dotted" w:sz="4" w:space="0" w:color="auto"/>
            </w:tcBorders>
            <w:shd w:val="clear" w:color="auto" w:fill="auto"/>
            <w:vAlign w:val="center"/>
            <w:hideMark/>
          </w:tcPr>
          <w:p w14:paraId="448FE71C"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 xml:space="preserve">3. Ниво власти федералних јединица </w:t>
            </w:r>
          </w:p>
        </w:tc>
        <w:tc>
          <w:tcPr>
            <w:tcW w:w="1094" w:type="dxa"/>
            <w:tcBorders>
              <w:top w:val="nil"/>
              <w:left w:val="nil"/>
              <w:bottom w:val="dotted" w:sz="4" w:space="0" w:color="auto"/>
              <w:right w:val="single" w:sz="8" w:space="0" w:color="auto"/>
            </w:tcBorders>
            <w:shd w:val="clear" w:color="auto" w:fill="auto"/>
            <w:vAlign w:val="center"/>
            <w:hideMark/>
          </w:tcPr>
          <w:p w14:paraId="5FA2000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S1312</w:t>
            </w:r>
          </w:p>
        </w:tc>
        <w:tc>
          <w:tcPr>
            <w:tcW w:w="1150" w:type="dxa"/>
            <w:tcBorders>
              <w:top w:val="nil"/>
              <w:left w:val="nil"/>
              <w:bottom w:val="dotted" w:sz="4" w:space="0" w:color="auto"/>
              <w:right w:val="single" w:sz="8" w:space="0" w:color="auto"/>
            </w:tcBorders>
            <w:shd w:val="clear" w:color="auto" w:fill="auto"/>
            <w:vAlign w:val="center"/>
            <w:hideMark/>
          </w:tcPr>
          <w:p w14:paraId="64E6F03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149" w:type="dxa"/>
            <w:tcBorders>
              <w:top w:val="nil"/>
              <w:left w:val="nil"/>
              <w:bottom w:val="dotted" w:sz="4" w:space="0" w:color="auto"/>
              <w:right w:val="dotted" w:sz="4" w:space="0" w:color="auto"/>
            </w:tcBorders>
            <w:shd w:val="clear" w:color="auto" w:fill="auto"/>
            <w:vAlign w:val="center"/>
            <w:hideMark/>
          </w:tcPr>
          <w:p w14:paraId="0A9B581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148" w:type="dxa"/>
            <w:tcBorders>
              <w:top w:val="nil"/>
              <w:left w:val="nil"/>
              <w:bottom w:val="dotted" w:sz="4" w:space="0" w:color="auto"/>
              <w:right w:val="dotted" w:sz="4" w:space="0" w:color="auto"/>
            </w:tcBorders>
            <w:shd w:val="clear" w:color="auto" w:fill="auto"/>
            <w:vAlign w:val="center"/>
            <w:hideMark/>
          </w:tcPr>
          <w:p w14:paraId="048FFEFF"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148" w:type="dxa"/>
            <w:tcBorders>
              <w:top w:val="nil"/>
              <w:left w:val="nil"/>
              <w:bottom w:val="dotted" w:sz="4" w:space="0" w:color="auto"/>
              <w:right w:val="dotted" w:sz="4" w:space="0" w:color="auto"/>
            </w:tcBorders>
            <w:shd w:val="clear" w:color="auto" w:fill="auto"/>
            <w:vAlign w:val="center"/>
            <w:hideMark/>
          </w:tcPr>
          <w:p w14:paraId="2336216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148" w:type="dxa"/>
            <w:tcBorders>
              <w:top w:val="nil"/>
              <w:left w:val="nil"/>
              <w:bottom w:val="dotted" w:sz="4" w:space="0" w:color="auto"/>
              <w:right w:val="dotted" w:sz="4" w:space="0" w:color="auto"/>
            </w:tcBorders>
            <w:shd w:val="clear" w:color="auto" w:fill="auto"/>
            <w:vAlign w:val="center"/>
            <w:hideMark/>
          </w:tcPr>
          <w:p w14:paraId="6EAD338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153" w:type="dxa"/>
            <w:tcBorders>
              <w:top w:val="nil"/>
              <w:left w:val="nil"/>
              <w:bottom w:val="dotted" w:sz="4" w:space="0" w:color="auto"/>
              <w:right w:val="double" w:sz="6" w:space="0" w:color="auto"/>
            </w:tcBorders>
            <w:shd w:val="clear" w:color="auto" w:fill="auto"/>
            <w:vAlign w:val="center"/>
            <w:hideMark/>
          </w:tcPr>
          <w:p w14:paraId="059FAA1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r>
      <w:tr w:rsidR="009B5DE5" w:rsidRPr="009B5DE5" w14:paraId="25FC4928" w14:textId="77777777" w:rsidTr="00396800">
        <w:trPr>
          <w:trHeight w:val="403"/>
        </w:trPr>
        <w:tc>
          <w:tcPr>
            <w:tcW w:w="6709" w:type="dxa"/>
            <w:tcBorders>
              <w:top w:val="nil"/>
              <w:left w:val="double" w:sz="6" w:space="0" w:color="auto"/>
              <w:bottom w:val="dotted" w:sz="4" w:space="0" w:color="auto"/>
              <w:right w:val="dotted" w:sz="4" w:space="0" w:color="auto"/>
            </w:tcBorders>
            <w:shd w:val="clear" w:color="auto" w:fill="auto"/>
            <w:vAlign w:val="center"/>
            <w:hideMark/>
          </w:tcPr>
          <w:p w14:paraId="63EB3CEB"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4. Локална самоуправа</w:t>
            </w:r>
          </w:p>
        </w:tc>
        <w:tc>
          <w:tcPr>
            <w:tcW w:w="1094" w:type="dxa"/>
            <w:tcBorders>
              <w:top w:val="nil"/>
              <w:left w:val="nil"/>
              <w:bottom w:val="dotted" w:sz="4" w:space="0" w:color="auto"/>
              <w:right w:val="single" w:sz="8" w:space="0" w:color="auto"/>
            </w:tcBorders>
            <w:shd w:val="clear" w:color="auto" w:fill="auto"/>
            <w:vAlign w:val="center"/>
            <w:hideMark/>
          </w:tcPr>
          <w:p w14:paraId="528CFC1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S1313</w:t>
            </w:r>
          </w:p>
        </w:tc>
        <w:tc>
          <w:tcPr>
            <w:tcW w:w="1150" w:type="dxa"/>
            <w:tcBorders>
              <w:top w:val="nil"/>
              <w:left w:val="nil"/>
              <w:bottom w:val="dotted" w:sz="4" w:space="0" w:color="auto"/>
              <w:right w:val="single" w:sz="8" w:space="0" w:color="auto"/>
            </w:tcBorders>
            <w:shd w:val="clear" w:color="auto" w:fill="auto"/>
            <w:vAlign w:val="center"/>
            <w:hideMark/>
          </w:tcPr>
          <w:p w14:paraId="05AF7D0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-8,9</w:t>
            </w:r>
          </w:p>
        </w:tc>
        <w:tc>
          <w:tcPr>
            <w:tcW w:w="1149" w:type="dxa"/>
            <w:tcBorders>
              <w:top w:val="nil"/>
              <w:left w:val="nil"/>
              <w:bottom w:val="dotted" w:sz="4" w:space="0" w:color="auto"/>
              <w:right w:val="dotted" w:sz="4" w:space="0" w:color="auto"/>
            </w:tcBorders>
            <w:shd w:val="clear" w:color="auto" w:fill="auto"/>
            <w:vAlign w:val="center"/>
            <w:hideMark/>
          </w:tcPr>
          <w:p w14:paraId="385B853A"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-0,1</w:t>
            </w:r>
          </w:p>
        </w:tc>
        <w:tc>
          <w:tcPr>
            <w:tcW w:w="1148" w:type="dxa"/>
            <w:tcBorders>
              <w:top w:val="nil"/>
              <w:left w:val="nil"/>
              <w:bottom w:val="dotted" w:sz="4" w:space="0" w:color="auto"/>
              <w:right w:val="dotted" w:sz="4" w:space="0" w:color="auto"/>
            </w:tcBorders>
            <w:shd w:val="clear" w:color="auto" w:fill="auto"/>
            <w:vAlign w:val="center"/>
            <w:hideMark/>
          </w:tcPr>
          <w:p w14:paraId="2A12D13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0,0</w:t>
            </w:r>
          </w:p>
        </w:tc>
        <w:tc>
          <w:tcPr>
            <w:tcW w:w="1148" w:type="dxa"/>
            <w:tcBorders>
              <w:top w:val="nil"/>
              <w:left w:val="nil"/>
              <w:bottom w:val="dotted" w:sz="4" w:space="0" w:color="auto"/>
              <w:right w:val="dotted" w:sz="4" w:space="0" w:color="auto"/>
            </w:tcBorders>
            <w:shd w:val="clear" w:color="auto" w:fill="auto"/>
            <w:vAlign w:val="center"/>
            <w:hideMark/>
          </w:tcPr>
          <w:p w14:paraId="2EF03DD0"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0,0</w:t>
            </w:r>
          </w:p>
        </w:tc>
        <w:tc>
          <w:tcPr>
            <w:tcW w:w="1148" w:type="dxa"/>
            <w:tcBorders>
              <w:top w:val="nil"/>
              <w:left w:val="nil"/>
              <w:bottom w:val="dotted" w:sz="4" w:space="0" w:color="auto"/>
              <w:right w:val="dotted" w:sz="4" w:space="0" w:color="auto"/>
            </w:tcBorders>
            <w:shd w:val="clear" w:color="auto" w:fill="auto"/>
            <w:vAlign w:val="center"/>
            <w:hideMark/>
          </w:tcPr>
          <w:p w14:paraId="5180157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0,0</w:t>
            </w:r>
          </w:p>
        </w:tc>
        <w:tc>
          <w:tcPr>
            <w:tcW w:w="1153" w:type="dxa"/>
            <w:tcBorders>
              <w:top w:val="nil"/>
              <w:left w:val="nil"/>
              <w:bottom w:val="dotted" w:sz="4" w:space="0" w:color="auto"/>
              <w:right w:val="double" w:sz="6" w:space="0" w:color="auto"/>
            </w:tcBorders>
            <w:shd w:val="clear" w:color="auto" w:fill="auto"/>
            <w:vAlign w:val="center"/>
            <w:hideMark/>
          </w:tcPr>
          <w:p w14:paraId="39C3C22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0,0</w:t>
            </w:r>
          </w:p>
        </w:tc>
      </w:tr>
      <w:tr w:rsidR="009B5DE5" w:rsidRPr="009B5DE5" w14:paraId="48F4B696" w14:textId="77777777" w:rsidTr="00396800">
        <w:trPr>
          <w:trHeight w:val="403"/>
        </w:trPr>
        <w:tc>
          <w:tcPr>
            <w:tcW w:w="6709" w:type="dxa"/>
            <w:tcBorders>
              <w:top w:val="nil"/>
              <w:left w:val="double" w:sz="6" w:space="0" w:color="auto"/>
              <w:bottom w:val="single" w:sz="8" w:space="0" w:color="auto"/>
              <w:right w:val="dotted" w:sz="4" w:space="0" w:color="auto"/>
            </w:tcBorders>
            <w:shd w:val="clear" w:color="auto" w:fill="auto"/>
            <w:vAlign w:val="center"/>
            <w:hideMark/>
          </w:tcPr>
          <w:p w14:paraId="5A8F4817"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5. Фондови социјалног осигурања</w:t>
            </w:r>
          </w:p>
        </w:tc>
        <w:tc>
          <w:tcPr>
            <w:tcW w:w="1094" w:type="dxa"/>
            <w:tcBorders>
              <w:top w:val="nil"/>
              <w:left w:val="nil"/>
              <w:bottom w:val="single" w:sz="8" w:space="0" w:color="auto"/>
              <w:right w:val="single" w:sz="8" w:space="0" w:color="auto"/>
            </w:tcBorders>
            <w:shd w:val="clear" w:color="auto" w:fill="auto"/>
            <w:vAlign w:val="center"/>
            <w:hideMark/>
          </w:tcPr>
          <w:p w14:paraId="45CD7BE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S1314</w:t>
            </w:r>
          </w:p>
        </w:tc>
        <w:tc>
          <w:tcPr>
            <w:tcW w:w="1150" w:type="dxa"/>
            <w:tcBorders>
              <w:top w:val="nil"/>
              <w:left w:val="nil"/>
              <w:bottom w:val="single" w:sz="8" w:space="0" w:color="auto"/>
              <w:right w:val="single" w:sz="8" w:space="0" w:color="auto"/>
            </w:tcBorders>
            <w:shd w:val="clear" w:color="auto" w:fill="auto"/>
            <w:vAlign w:val="center"/>
            <w:hideMark/>
          </w:tcPr>
          <w:p w14:paraId="7717868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5,0</w:t>
            </w:r>
          </w:p>
        </w:tc>
        <w:tc>
          <w:tcPr>
            <w:tcW w:w="1149" w:type="dxa"/>
            <w:tcBorders>
              <w:top w:val="nil"/>
              <w:left w:val="nil"/>
              <w:bottom w:val="single" w:sz="8" w:space="0" w:color="auto"/>
              <w:right w:val="dotted" w:sz="4" w:space="0" w:color="auto"/>
            </w:tcBorders>
            <w:shd w:val="clear" w:color="auto" w:fill="auto"/>
            <w:vAlign w:val="center"/>
            <w:hideMark/>
          </w:tcPr>
          <w:p w14:paraId="5C904CD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0,1</w:t>
            </w:r>
          </w:p>
        </w:tc>
        <w:tc>
          <w:tcPr>
            <w:tcW w:w="1148" w:type="dxa"/>
            <w:tcBorders>
              <w:top w:val="nil"/>
              <w:left w:val="nil"/>
              <w:bottom w:val="single" w:sz="8" w:space="0" w:color="auto"/>
              <w:right w:val="dotted" w:sz="4" w:space="0" w:color="auto"/>
            </w:tcBorders>
            <w:shd w:val="clear" w:color="auto" w:fill="auto"/>
            <w:vAlign w:val="center"/>
            <w:hideMark/>
          </w:tcPr>
          <w:p w14:paraId="26E1D57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0,0</w:t>
            </w:r>
          </w:p>
        </w:tc>
        <w:tc>
          <w:tcPr>
            <w:tcW w:w="1148" w:type="dxa"/>
            <w:tcBorders>
              <w:top w:val="nil"/>
              <w:left w:val="nil"/>
              <w:bottom w:val="single" w:sz="8" w:space="0" w:color="auto"/>
              <w:right w:val="dotted" w:sz="4" w:space="0" w:color="auto"/>
            </w:tcBorders>
            <w:shd w:val="clear" w:color="auto" w:fill="auto"/>
            <w:vAlign w:val="center"/>
            <w:hideMark/>
          </w:tcPr>
          <w:p w14:paraId="40C6F08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0,0</w:t>
            </w:r>
          </w:p>
        </w:tc>
        <w:tc>
          <w:tcPr>
            <w:tcW w:w="1148" w:type="dxa"/>
            <w:tcBorders>
              <w:top w:val="nil"/>
              <w:left w:val="nil"/>
              <w:bottom w:val="single" w:sz="8" w:space="0" w:color="auto"/>
              <w:right w:val="dotted" w:sz="4" w:space="0" w:color="auto"/>
            </w:tcBorders>
            <w:shd w:val="clear" w:color="auto" w:fill="auto"/>
            <w:vAlign w:val="center"/>
            <w:hideMark/>
          </w:tcPr>
          <w:p w14:paraId="2B062AA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0,0</w:t>
            </w:r>
          </w:p>
        </w:tc>
        <w:tc>
          <w:tcPr>
            <w:tcW w:w="1153" w:type="dxa"/>
            <w:tcBorders>
              <w:top w:val="nil"/>
              <w:left w:val="nil"/>
              <w:bottom w:val="single" w:sz="8" w:space="0" w:color="auto"/>
              <w:right w:val="double" w:sz="6" w:space="0" w:color="auto"/>
            </w:tcBorders>
            <w:shd w:val="clear" w:color="auto" w:fill="auto"/>
            <w:vAlign w:val="center"/>
            <w:hideMark/>
          </w:tcPr>
          <w:p w14:paraId="269F510A"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0,0</w:t>
            </w:r>
          </w:p>
        </w:tc>
      </w:tr>
      <w:tr w:rsidR="009B5DE5" w:rsidRPr="009B5DE5" w14:paraId="7383060E" w14:textId="77777777" w:rsidTr="00396800">
        <w:trPr>
          <w:trHeight w:val="403"/>
        </w:trPr>
        <w:tc>
          <w:tcPr>
            <w:tcW w:w="14702" w:type="dxa"/>
            <w:gridSpan w:val="8"/>
            <w:tcBorders>
              <w:top w:val="single" w:sz="8" w:space="0" w:color="auto"/>
              <w:left w:val="double" w:sz="6" w:space="0" w:color="auto"/>
              <w:bottom w:val="single" w:sz="8" w:space="0" w:color="auto"/>
              <w:right w:val="double" w:sz="6" w:space="0" w:color="000000"/>
            </w:tcBorders>
            <w:shd w:val="clear" w:color="auto" w:fill="auto"/>
            <w:vAlign w:val="center"/>
            <w:hideMark/>
          </w:tcPr>
          <w:p w14:paraId="6F0D7D0B"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Сектор државе (S13)</w:t>
            </w:r>
          </w:p>
        </w:tc>
      </w:tr>
      <w:tr w:rsidR="009B5DE5" w:rsidRPr="009B5DE5" w14:paraId="1B41294D" w14:textId="77777777" w:rsidTr="00396800">
        <w:trPr>
          <w:trHeight w:val="403"/>
        </w:trPr>
        <w:tc>
          <w:tcPr>
            <w:tcW w:w="6709" w:type="dxa"/>
            <w:tcBorders>
              <w:top w:val="nil"/>
              <w:left w:val="double" w:sz="6" w:space="0" w:color="auto"/>
              <w:bottom w:val="dotted" w:sz="4" w:space="0" w:color="auto"/>
              <w:right w:val="dotted" w:sz="4" w:space="0" w:color="auto"/>
            </w:tcBorders>
            <w:shd w:val="clear" w:color="auto" w:fill="auto"/>
            <w:vAlign w:val="center"/>
            <w:hideMark/>
          </w:tcPr>
          <w:p w14:paraId="048C390E"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6. Укупни приходи</w:t>
            </w:r>
          </w:p>
        </w:tc>
        <w:tc>
          <w:tcPr>
            <w:tcW w:w="1094" w:type="dxa"/>
            <w:tcBorders>
              <w:top w:val="nil"/>
              <w:left w:val="nil"/>
              <w:bottom w:val="dotted" w:sz="4" w:space="0" w:color="auto"/>
              <w:right w:val="single" w:sz="8" w:space="0" w:color="auto"/>
            </w:tcBorders>
            <w:shd w:val="clear" w:color="auto" w:fill="auto"/>
            <w:vAlign w:val="center"/>
            <w:hideMark/>
          </w:tcPr>
          <w:p w14:paraId="12758C3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TR</w:t>
            </w:r>
          </w:p>
        </w:tc>
        <w:tc>
          <w:tcPr>
            <w:tcW w:w="1150" w:type="dxa"/>
            <w:tcBorders>
              <w:top w:val="nil"/>
              <w:left w:val="nil"/>
              <w:bottom w:val="dotted" w:sz="4" w:space="0" w:color="auto"/>
              <w:right w:val="single" w:sz="8" w:space="0" w:color="auto"/>
            </w:tcBorders>
            <w:shd w:val="clear" w:color="auto" w:fill="auto"/>
            <w:vAlign w:val="center"/>
            <w:hideMark/>
          </w:tcPr>
          <w:p w14:paraId="4290709F"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3.473,3</w:t>
            </w:r>
          </w:p>
        </w:tc>
        <w:tc>
          <w:tcPr>
            <w:tcW w:w="1149" w:type="dxa"/>
            <w:tcBorders>
              <w:top w:val="nil"/>
              <w:left w:val="nil"/>
              <w:bottom w:val="dotted" w:sz="4" w:space="0" w:color="auto"/>
              <w:right w:val="dotted" w:sz="4" w:space="0" w:color="auto"/>
            </w:tcBorders>
            <w:shd w:val="clear" w:color="auto" w:fill="auto"/>
            <w:vAlign w:val="center"/>
            <w:hideMark/>
          </w:tcPr>
          <w:p w14:paraId="3A3D536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39,4</w:t>
            </w:r>
          </w:p>
        </w:tc>
        <w:tc>
          <w:tcPr>
            <w:tcW w:w="1148" w:type="dxa"/>
            <w:tcBorders>
              <w:top w:val="nil"/>
              <w:left w:val="nil"/>
              <w:bottom w:val="dotted" w:sz="4" w:space="0" w:color="auto"/>
              <w:right w:val="dotted" w:sz="4" w:space="0" w:color="auto"/>
            </w:tcBorders>
            <w:shd w:val="clear" w:color="auto" w:fill="auto"/>
            <w:vAlign w:val="center"/>
            <w:hideMark/>
          </w:tcPr>
          <w:p w14:paraId="5DB5C03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40,8</w:t>
            </w:r>
          </w:p>
        </w:tc>
        <w:tc>
          <w:tcPr>
            <w:tcW w:w="1148" w:type="dxa"/>
            <w:tcBorders>
              <w:top w:val="nil"/>
              <w:left w:val="nil"/>
              <w:bottom w:val="dotted" w:sz="4" w:space="0" w:color="auto"/>
              <w:right w:val="dotted" w:sz="4" w:space="0" w:color="auto"/>
            </w:tcBorders>
            <w:shd w:val="clear" w:color="auto" w:fill="auto"/>
            <w:vAlign w:val="center"/>
            <w:hideMark/>
          </w:tcPr>
          <w:p w14:paraId="209B7BA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41,3</w:t>
            </w:r>
          </w:p>
        </w:tc>
        <w:tc>
          <w:tcPr>
            <w:tcW w:w="1148" w:type="dxa"/>
            <w:tcBorders>
              <w:top w:val="nil"/>
              <w:left w:val="nil"/>
              <w:bottom w:val="dotted" w:sz="4" w:space="0" w:color="auto"/>
              <w:right w:val="dotted" w:sz="4" w:space="0" w:color="auto"/>
            </w:tcBorders>
            <w:shd w:val="clear" w:color="auto" w:fill="auto"/>
            <w:vAlign w:val="center"/>
            <w:hideMark/>
          </w:tcPr>
          <w:p w14:paraId="07E3C40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40,9</w:t>
            </w:r>
          </w:p>
        </w:tc>
        <w:tc>
          <w:tcPr>
            <w:tcW w:w="1153" w:type="dxa"/>
            <w:tcBorders>
              <w:top w:val="nil"/>
              <w:left w:val="nil"/>
              <w:bottom w:val="dotted" w:sz="4" w:space="0" w:color="auto"/>
              <w:right w:val="double" w:sz="6" w:space="0" w:color="auto"/>
            </w:tcBorders>
            <w:shd w:val="clear" w:color="auto" w:fill="auto"/>
            <w:vAlign w:val="center"/>
            <w:hideMark/>
          </w:tcPr>
          <w:p w14:paraId="47E4453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40,5</w:t>
            </w:r>
          </w:p>
        </w:tc>
      </w:tr>
      <w:tr w:rsidR="009B5DE5" w:rsidRPr="009B5DE5" w14:paraId="2D28028C" w14:textId="77777777" w:rsidTr="00396800">
        <w:trPr>
          <w:trHeight w:val="403"/>
        </w:trPr>
        <w:tc>
          <w:tcPr>
            <w:tcW w:w="6709" w:type="dxa"/>
            <w:tcBorders>
              <w:top w:val="nil"/>
              <w:left w:val="double" w:sz="6" w:space="0" w:color="auto"/>
              <w:bottom w:val="dotted" w:sz="4" w:space="0" w:color="auto"/>
              <w:right w:val="dotted" w:sz="4" w:space="0" w:color="auto"/>
            </w:tcBorders>
            <w:shd w:val="clear" w:color="auto" w:fill="auto"/>
            <w:vAlign w:val="center"/>
            <w:hideMark/>
          </w:tcPr>
          <w:p w14:paraId="2DDA3748"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7. Укупни расходи[1]</w:t>
            </w:r>
          </w:p>
        </w:tc>
        <w:tc>
          <w:tcPr>
            <w:tcW w:w="1094" w:type="dxa"/>
            <w:tcBorders>
              <w:top w:val="nil"/>
              <w:left w:val="nil"/>
              <w:bottom w:val="dotted" w:sz="4" w:space="0" w:color="auto"/>
              <w:right w:val="single" w:sz="8" w:space="0" w:color="auto"/>
            </w:tcBorders>
            <w:shd w:val="clear" w:color="auto" w:fill="auto"/>
            <w:vAlign w:val="center"/>
            <w:hideMark/>
          </w:tcPr>
          <w:p w14:paraId="2787838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TE</w:t>
            </w:r>
          </w:p>
        </w:tc>
        <w:tc>
          <w:tcPr>
            <w:tcW w:w="1150" w:type="dxa"/>
            <w:tcBorders>
              <w:top w:val="nil"/>
              <w:left w:val="nil"/>
              <w:bottom w:val="dotted" w:sz="4" w:space="0" w:color="auto"/>
              <w:right w:val="single" w:sz="8" w:space="0" w:color="auto"/>
            </w:tcBorders>
            <w:shd w:val="clear" w:color="auto" w:fill="auto"/>
            <w:vAlign w:val="center"/>
            <w:hideMark/>
          </w:tcPr>
          <w:p w14:paraId="14CC7DC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3.654,4</w:t>
            </w:r>
          </w:p>
        </w:tc>
        <w:tc>
          <w:tcPr>
            <w:tcW w:w="1149" w:type="dxa"/>
            <w:tcBorders>
              <w:top w:val="nil"/>
              <w:left w:val="nil"/>
              <w:bottom w:val="dotted" w:sz="4" w:space="0" w:color="auto"/>
              <w:right w:val="dotted" w:sz="4" w:space="0" w:color="auto"/>
            </w:tcBorders>
            <w:shd w:val="clear" w:color="auto" w:fill="auto"/>
            <w:vAlign w:val="center"/>
            <w:hideMark/>
          </w:tcPr>
          <w:p w14:paraId="0401D83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41,4</w:t>
            </w:r>
          </w:p>
        </w:tc>
        <w:tc>
          <w:tcPr>
            <w:tcW w:w="1148" w:type="dxa"/>
            <w:tcBorders>
              <w:top w:val="nil"/>
              <w:left w:val="nil"/>
              <w:bottom w:val="dotted" w:sz="4" w:space="0" w:color="auto"/>
              <w:right w:val="dotted" w:sz="4" w:space="0" w:color="auto"/>
            </w:tcBorders>
            <w:shd w:val="clear" w:color="auto" w:fill="auto"/>
            <w:vAlign w:val="center"/>
            <w:hideMark/>
          </w:tcPr>
          <w:p w14:paraId="55D0942A"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43,6</w:t>
            </w:r>
          </w:p>
        </w:tc>
        <w:tc>
          <w:tcPr>
            <w:tcW w:w="1148" w:type="dxa"/>
            <w:tcBorders>
              <w:top w:val="nil"/>
              <w:left w:val="nil"/>
              <w:bottom w:val="dotted" w:sz="4" w:space="0" w:color="auto"/>
              <w:right w:val="dotted" w:sz="4" w:space="0" w:color="auto"/>
            </w:tcBorders>
            <w:shd w:val="clear" w:color="auto" w:fill="auto"/>
            <w:vAlign w:val="center"/>
            <w:hideMark/>
          </w:tcPr>
          <w:p w14:paraId="3DD0F57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44,3</w:t>
            </w:r>
          </w:p>
        </w:tc>
        <w:tc>
          <w:tcPr>
            <w:tcW w:w="1148" w:type="dxa"/>
            <w:tcBorders>
              <w:top w:val="nil"/>
              <w:left w:val="nil"/>
              <w:bottom w:val="dotted" w:sz="4" w:space="0" w:color="auto"/>
              <w:right w:val="dotted" w:sz="4" w:space="0" w:color="auto"/>
            </w:tcBorders>
            <w:shd w:val="clear" w:color="auto" w:fill="auto"/>
            <w:vAlign w:val="center"/>
            <w:hideMark/>
          </w:tcPr>
          <w:p w14:paraId="1465806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43,9</w:t>
            </w:r>
          </w:p>
        </w:tc>
        <w:tc>
          <w:tcPr>
            <w:tcW w:w="1153" w:type="dxa"/>
            <w:tcBorders>
              <w:top w:val="nil"/>
              <w:left w:val="nil"/>
              <w:bottom w:val="dotted" w:sz="4" w:space="0" w:color="auto"/>
              <w:right w:val="double" w:sz="6" w:space="0" w:color="auto"/>
            </w:tcBorders>
            <w:shd w:val="clear" w:color="auto" w:fill="auto"/>
            <w:vAlign w:val="center"/>
            <w:hideMark/>
          </w:tcPr>
          <w:p w14:paraId="14FC467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43,5</w:t>
            </w:r>
          </w:p>
        </w:tc>
      </w:tr>
      <w:tr w:rsidR="009B5DE5" w:rsidRPr="009B5DE5" w14:paraId="48C7793B" w14:textId="77777777" w:rsidTr="00396800">
        <w:trPr>
          <w:trHeight w:val="403"/>
        </w:trPr>
        <w:tc>
          <w:tcPr>
            <w:tcW w:w="6709" w:type="dxa"/>
            <w:tcBorders>
              <w:top w:val="nil"/>
              <w:left w:val="double" w:sz="6" w:space="0" w:color="auto"/>
              <w:bottom w:val="dotted" w:sz="4" w:space="0" w:color="auto"/>
              <w:right w:val="dotted" w:sz="4" w:space="0" w:color="auto"/>
            </w:tcBorders>
            <w:shd w:val="clear" w:color="auto" w:fill="auto"/>
            <w:vAlign w:val="center"/>
            <w:hideMark/>
          </w:tcPr>
          <w:p w14:paraId="72F67AFD"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8. Нето дате/узете позајмице</w:t>
            </w:r>
          </w:p>
        </w:tc>
        <w:tc>
          <w:tcPr>
            <w:tcW w:w="1094" w:type="dxa"/>
            <w:tcBorders>
              <w:top w:val="nil"/>
              <w:left w:val="nil"/>
              <w:bottom w:val="dotted" w:sz="4" w:space="0" w:color="auto"/>
              <w:right w:val="single" w:sz="8" w:space="0" w:color="auto"/>
            </w:tcBorders>
            <w:shd w:val="clear" w:color="auto" w:fill="auto"/>
            <w:vAlign w:val="center"/>
            <w:hideMark/>
          </w:tcPr>
          <w:p w14:paraId="74D93CB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EDP.B9</w:t>
            </w:r>
          </w:p>
        </w:tc>
        <w:tc>
          <w:tcPr>
            <w:tcW w:w="1150" w:type="dxa"/>
            <w:tcBorders>
              <w:top w:val="nil"/>
              <w:left w:val="nil"/>
              <w:bottom w:val="dotted" w:sz="4" w:space="0" w:color="auto"/>
              <w:right w:val="single" w:sz="8" w:space="0" w:color="auto"/>
            </w:tcBorders>
            <w:shd w:val="clear" w:color="auto" w:fill="auto"/>
            <w:vAlign w:val="center"/>
            <w:hideMark/>
          </w:tcPr>
          <w:p w14:paraId="4CFAF53F"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-181,1</w:t>
            </w:r>
          </w:p>
        </w:tc>
        <w:tc>
          <w:tcPr>
            <w:tcW w:w="1149" w:type="dxa"/>
            <w:tcBorders>
              <w:top w:val="nil"/>
              <w:left w:val="nil"/>
              <w:bottom w:val="dotted" w:sz="4" w:space="0" w:color="auto"/>
              <w:right w:val="dotted" w:sz="4" w:space="0" w:color="auto"/>
            </w:tcBorders>
            <w:shd w:val="clear" w:color="auto" w:fill="auto"/>
            <w:vAlign w:val="center"/>
            <w:hideMark/>
          </w:tcPr>
          <w:p w14:paraId="529F57B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-2,1</w:t>
            </w:r>
          </w:p>
        </w:tc>
        <w:tc>
          <w:tcPr>
            <w:tcW w:w="1148" w:type="dxa"/>
            <w:tcBorders>
              <w:top w:val="nil"/>
              <w:left w:val="nil"/>
              <w:bottom w:val="dotted" w:sz="4" w:space="0" w:color="auto"/>
              <w:right w:val="dotted" w:sz="4" w:space="0" w:color="auto"/>
            </w:tcBorders>
            <w:shd w:val="clear" w:color="auto" w:fill="auto"/>
            <w:vAlign w:val="center"/>
            <w:hideMark/>
          </w:tcPr>
          <w:p w14:paraId="45F4DB8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-2,7</w:t>
            </w:r>
          </w:p>
        </w:tc>
        <w:tc>
          <w:tcPr>
            <w:tcW w:w="1148" w:type="dxa"/>
            <w:tcBorders>
              <w:top w:val="nil"/>
              <w:left w:val="nil"/>
              <w:bottom w:val="dotted" w:sz="4" w:space="0" w:color="auto"/>
              <w:right w:val="dotted" w:sz="4" w:space="0" w:color="auto"/>
            </w:tcBorders>
            <w:shd w:val="clear" w:color="auto" w:fill="auto"/>
            <w:vAlign w:val="center"/>
            <w:hideMark/>
          </w:tcPr>
          <w:p w14:paraId="5D97826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-3,0</w:t>
            </w:r>
          </w:p>
        </w:tc>
        <w:tc>
          <w:tcPr>
            <w:tcW w:w="1148" w:type="dxa"/>
            <w:tcBorders>
              <w:top w:val="nil"/>
              <w:left w:val="nil"/>
              <w:bottom w:val="dotted" w:sz="4" w:space="0" w:color="auto"/>
              <w:right w:val="dotted" w:sz="4" w:space="0" w:color="auto"/>
            </w:tcBorders>
            <w:shd w:val="clear" w:color="auto" w:fill="auto"/>
            <w:vAlign w:val="center"/>
            <w:hideMark/>
          </w:tcPr>
          <w:p w14:paraId="187326A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-3,0</w:t>
            </w:r>
          </w:p>
        </w:tc>
        <w:tc>
          <w:tcPr>
            <w:tcW w:w="1153" w:type="dxa"/>
            <w:tcBorders>
              <w:top w:val="nil"/>
              <w:left w:val="nil"/>
              <w:bottom w:val="dotted" w:sz="4" w:space="0" w:color="auto"/>
              <w:right w:val="double" w:sz="6" w:space="0" w:color="auto"/>
            </w:tcBorders>
            <w:shd w:val="clear" w:color="auto" w:fill="auto"/>
            <w:vAlign w:val="center"/>
            <w:hideMark/>
          </w:tcPr>
          <w:p w14:paraId="149F929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-3,0</w:t>
            </w:r>
          </w:p>
        </w:tc>
      </w:tr>
      <w:tr w:rsidR="009B5DE5" w:rsidRPr="009B5DE5" w14:paraId="1E68EB0F" w14:textId="77777777" w:rsidTr="00396800">
        <w:trPr>
          <w:trHeight w:val="735"/>
        </w:trPr>
        <w:tc>
          <w:tcPr>
            <w:tcW w:w="6709" w:type="dxa"/>
            <w:tcBorders>
              <w:top w:val="nil"/>
              <w:left w:val="double" w:sz="6" w:space="0" w:color="auto"/>
              <w:bottom w:val="dotted" w:sz="4" w:space="0" w:color="auto"/>
              <w:right w:val="dotted" w:sz="4" w:space="0" w:color="auto"/>
            </w:tcBorders>
            <w:shd w:val="clear" w:color="auto" w:fill="auto"/>
            <w:vAlign w:val="center"/>
            <w:hideMark/>
          </w:tcPr>
          <w:p w14:paraId="2782A620"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9. Расходи за камате</w:t>
            </w:r>
          </w:p>
        </w:tc>
        <w:tc>
          <w:tcPr>
            <w:tcW w:w="1094" w:type="dxa"/>
            <w:tcBorders>
              <w:top w:val="nil"/>
              <w:left w:val="nil"/>
              <w:bottom w:val="dotted" w:sz="4" w:space="0" w:color="auto"/>
              <w:right w:val="single" w:sz="8" w:space="0" w:color="auto"/>
            </w:tcBorders>
            <w:shd w:val="clear" w:color="auto" w:fill="auto"/>
            <w:vAlign w:val="center"/>
            <w:hideMark/>
          </w:tcPr>
          <w:p w14:paraId="5A2BDD5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EDP.D41 укљ. FISIM</w:t>
            </w:r>
          </w:p>
        </w:tc>
        <w:tc>
          <w:tcPr>
            <w:tcW w:w="1150" w:type="dxa"/>
            <w:tcBorders>
              <w:top w:val="nil"/>
              <w:left w:val="nil"/>
              <w:bottom w:val="dotted" w:sz="4" w:space="0" w:color="auto"/>
              <w:right w:val="single" w:sz="8" w:space="0" w:color="auto"/>
            </w:tcBorders>
            <w:shd w:val="clear" w:color="auto" w:fill="auto"/>
            <w:vAlign w:val="center"/>
            <w:hideMark/>
          </w:tcPr>
          <w:p w14:paraId="5FD7F40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149,3</w:t>
            </w:r>
          </w:p>
        </w:tc>
        <w:tc>
          <w:tcPr>
            <w:tcW w:w="1149" w:type="dxa"/>
            <w:tcBorders>
              <w:top w:val="nil"/>
              <w:left w:val="nil"/>
              <w:bottom w:val="dotted" w:sz="4" w:space="0" w:color="auto"/>
              <w:right w:val="dotted" w:sz="4" w:space="0" w:color="auto"/>
            </w:tcBorders>
            <w:shd w:val="clear" w:color="auto" w:fill="auto"/>
            <w:vAlign w:val="center"/>
            <w:hideMark/>
          </w:tcPr>
          <w:p w14:paraId="7ABA8A8F"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1,7</w:t>
            </w:r>
          </w:p>
        </w:tc>
        <w:tc>
          <w:tcPr>
            <w:tcW w:w="1148" w:type="dxa"/>
            <w:tcBorders>
              <w:top w:val="nil"/>
              <w:left w:val="nil"/>
              <w:bottom w:val="dotted" w:sz="4" w:space="0" w:color="auto"/>
              <w:right w:val="dotted" w:sz="4" w:space="0" w:color="auto"/>
            </w:tcBorders>
            <w:shd w:val="clear" w:color="auto" w:fill="auto"/>
            <w:vAlign w:val="center"/>
            <w:hideMark/>
          </w:tcPr>
          <w:p w14:paraId="6162891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w:t>
            </w:r>
          </w:p>
        </w:tc>
        <w:tc>
          <w:tcPr>
            <w:tcW w:w="1148" w:type="dxa"/>
            <w:tcBorders>
              <w:top w:val="nil"/>
              <w:left w:val="nil"/>
              <w:bottom w:val="dotted" w:sz="4" w:space="0" w:color="auto"/>
              <w:right w:val="dotted" w:sz="4" w:space="0" w:color="auto"/>
            </w:tcBorders>
            <w:shd w:val="clear" w:color="auto" w:fill="auto"/>
            <w:vAlign w:val="center"/>
            <w:hideMark/>
          </w:tcPr>
          <w:p w14:paraId="1C32C61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2,2</w:t>
            </w:r>
          </w:p>
        </w:tc>
        <w:tc>
          <w:tcPr>
            <w:tcW w:w="1148" w:type="dxa"/>
            <w:tcBorders>
              <w:top w:val="nil"/>
              <w:left w:val="nil"/>
              <w:bottom w:val="dotted" w:sz="4" w:space="0" w:color="auto"/>
              <w:right w:val="dotted" w:sz="4" w:space="0" w:color="auto"/>
            </w:tcBorders>
            <w:shd w:val="clear" w:color="auto" w:fill="auto"/>
            <w:vAlign w:val="center"/>
            <w:hideMark/>
          </w:tcPr>
          <w:p w14:paraId="62E584A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2,1</w:t>
            </w:r>
          </w:p>
        </w:tc>
        <w:tc>
          <w:tcPr>
            <w:tcW w:w="1153" w:type="dxa"/>
            <w:tcBorders>
              <w:top w:val="nil"/>
              <w:left w:val="nil"/>
              <w:bottom w:val="dotted" w:sz="4" w:space="0" w:color="auto"/>
              <w:right w:val="double" w:sz="6" w:space="0" w:color="auto"/>
            </w:tcBorders>
            <w:shd w:val="clear" w:color="auto" w:fill="auto"/>
            <w:vAlign w:val="center"/>
            <w:hideMark/>
          </w:tcPr>
          <w:p w14:paraId="1A1E7B3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w:t>
            </w:r>
          </w:p>
        </w:tc>
      </w:tr>
      <w:tr w:rsidR="009B5DE5" w:rsidRPr="009B5DE5" w14:paraId="785B1992" w14:textId="77777777" w:rsidTr="00396800">
        <w:trPr>
          <w:trHeight w:val="243"/>
        </w:trPr>
        <w:tc>
          <w:tcPr>
            <w:tcW w:w="6709" w:type="dxa"/>
            <w:tcBorders>
              <w:top w:val="nil"/>
              <w:left w:val="double" w:sz="6" w:space="0" w:color="auto"/>
              <w:bottom w:val="dotted" w:sz="4" w:space="0" w:color="auto"/>
              <w:right w:val="dotted" w:sz="4" w:space="0" w:color="auto"/>
            </w:tcBorders>
            <w:shd w:val="clear" w:color="auto" w:fill="auto"/>
            <w:vAlign w:val="center"/>
            <w:hideMark/>
          </w:tcPr>
          <w:p w14:paraId="3A0E5346"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10. Примарни резултат[2]</w:t>
            </w:r>
          </w:p>
        </w:tc>
        <w:tc>
          <w:tcPr>
            <w:tcW w:w="1094" w:type="dxa"/>
            <w:tcBorders>
              <w:top w:val="nil"/>
              <w:left w:val="nil"/>
              <w:bottom w:val="dotted" w:sz="4" w:space="0" w:color="auto"/>
              <w:right w:val="single" w:sz="8" w:space="0" w:color="auto"/>
            </w:tcBorders>
            <w:shd w:val="clear" w:color="auto" w:fill="auto"/>
            <w:vAlign w:val="center"/>
            <w:hideMark/>
          </w:tcPr>
          <w:p w14:paraId="529D807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50" w:type="dxa"/>
            <w:tcBorders>
              <w:top w:val="nil"/>
              <w:left w:val="nil"/>
              <w:bottom w:val="dotted" w:sz="4" w:space="0" w:color="auto"/>
              <w:right w:val="single" w:sz="8" w:space="0" w:color="auto"/>
            </w:tcBorders>
            <w:shd w:val="clear" w:color="auto" w:fill="auto"/>
            <w:vAlign w:val="center"/>
            <w:hideMark/>
          </w:tcPr>
          <w:p w14:paraId="7F554AF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-31,8</w:t>
            </w:r>
          </w:p>
        </w:tc>
        <w:tc>
          <w:tcPr>
            <w:tcW w:w="1149" w:type="dxa"/>
            <w:tcBorders>
              <w:top w:val="nil"/>
              <w:left w:val="nil"/>
              <w:bottom w:val="dotted" w:sz="4" w:space="0" w:color="auto"/>
              <w:right w:val="dotted" w:sz="4" w:space="0" w:color="auto"/>
            </w:tcBorders>
            <w:shd w:val="clear" w:color="auto" w:fill="auto"/>
            <w:vAlign w:val="center"/>
            <w:hideMark/>
          </w:tcPr>
          <w:p w14:paraId="062AA0E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-0,4</w:t>
            </w:r>
          </w:p>
        </w:tc>
        <w:tc>
          <w:tcPr>
            <w:tcW w:w="1148" w:type="dxa"/>
            <w:tcBorders>
              <w:top w:val="nil"/>
              <w:left w:val="nil"/>
              <w:bottom w:val="dotted" w:sz="4" w:space="0" w:color="auto"/>
              <w:right w:val="dotted" w:sz="4" w:space="0" w:color="auto"/>
            </w:tcBorders>
            <w:shd w:val="clear" w:color="auto" w:fill="auto"/>
            <w:vAlign w:val="center"/>
            <w:hideMark/>
          </w:tcPr>
          <w:p w14:paraId="2C6AB0F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-0,8</w:t>
            </w:r>
          </w:p>
        </w:tc>
        <w:tc>
          <w:tcPr>
            <w:tcW w:w="1148" w:type="dxa"/>
            <w:tcBorders>
              <w:top w:val="nil"/>
              <w:left w:val="nil"/>
              <w:bottom w:val="dotted" w:sz="4" w:space="0" w:color="auto"/>
              <w:right w:val="dotted" w:sz="4" w:space="0" w:color="auto"/>
            </w:tcBorders>
            <w:shd w:val="clear" w:color="auto" w:fill="auto"/>
            <w:vAlign w:val="center"/>
            <w:hideMark/>
          </w:tcPr>
          <w:p w14:paraId="14144D7A"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-0,9</w:t>
            </w:r>
          </w:p>
        </w:tc>
        <w:tc>
          <w:tcPr>
            <w:tcW w:w="1148" w:type="dxa"/>
            <w:tcBorders>
              <w:top w:val="nil"/>
              <w:left w:val="nil"/>
              <w:bottom w:val="dotted" w:sz="4" w:space="0" w:color="auto"/>
              <w:right w:val="dotted" w:sz="4" w:space="0" w:color="auto"/>
            </w:tcBorders>
            <w:shd w:val="clear" w:color="auto" w:fill="auto"/>
            <w:vAlign w:val="center"/>
            <w:hideMark/>
          </w:tcPr>
          <w:p w14:paraId="69ECEEF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-0,9</w:t>
            </w:r>
          </w:p>
        </w:tc>
        <w:tc>
          <w:tcPr>
            <w:tcW w:w="1153" w:type="dxa"/>
            <w:tcBorders>
              <w:top w:val="nil"/>
              <w:left w:val="nil"/>
              <w:bottom w:val="dotted" w:sz="4" w:space="0" w:color="auto"/>
              <w:right w:val="double" w:sz="6" w:space="0" w:color="auto"/>
            </w:tcBorders>
            <w:shd w:val="clear" w:color="auto" w:fill="auto"/>
            <w:vAlign w:val="center"/>
            <w:hideMark/>
          </w:tcPr>
          <w:p w14:paraId="4197D1D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-1,0</w:t>
            </w:r>
          </w:p>
        </w:tc>
      </w:tr>
      <w:tr w:rsidR="009B5DE5" w:rsidRPr="009B5DE5" w14:paraId="5E0DABEF" w14:textId="77777777" w:rsidTr="00396800">
        <w:trPr>
          <w:trHeight w:val="403"/>
        </w:trPr>
        <w:tc>
          <w:tcPr>
            <w:tcW w:w="6709" w:type="dxa"/>
            <w:tcBorders>
              <w:top w:val="nil"/>
              <w:left w:val="double" w:sz="6" w:space="0" w:color="auto"/>
              <w:bottom w:val="single" w:sz="8" w:space="0" w:color="auto"/>
              <w:right w:val="dotted" w:sz="4" w:space="0" w:color="auto"/>
            </w:tcBorders>
            <w:shd w:val="clear" w:color="auto" w:fill="auto"/>
            <w:vAlign w:val="center"/>
            <w:hideMark/>
          </w:tcPr>
          <w:p w14:paraId="59F0F3C4"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11. Једнократне и друге привремене мере [3]</w:t>
            </w:r>
          </w:p>
        </w:tc>
        <w:tc>
          <w:tcPr>
            <w:tcW w:w="1094" w:type="dxa"/>
            <w:tcBorders>
              <w:top w:val="nil"/>
              <w:left w:val="nil"/>
              <w:bottom w:val="single" w:sz="8" w:space="0" w:color="auto"/>
              <w:right w:val="single" w:sz="8" w:space="0" w:color="auto"/>
            </w:tcBorders>
            <w:shd w:val="clear" w:color="auto" w:fill="auto"/>
            <w:vAlign w:val="center"/>
            <w:hideMark/>
          </w:tcPr>
          <w:p w14:paraId="0BC49E9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50" w:type="dxa"/>
            <w:tcBorders>
              <w:top w:val="nil"/>
              <w:left w:val="nil"/>
              <w:bottom w:val="single" w:sz="8" w:space="0" w:color="auto"/>
              <w:right w:val="single" w:sz="8" w:space="0" w:color="auto"/>
            </w:tcBorders>
            <w:shd w:val="clear" w:color="auto" w:fill="auto"/>
            <w:vAlign w:val="center"/>
            <w:hideMark/>
          </w:tcPr>
          <w:p w14:paraId="1105C2E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149" w:type="dxa"/>
            <w:tcBorders>
              <w:top w:val="nil"/>
              <w:left w:val="nil"/>
              <w:bottom w:val="single" w:sz="8" w:space="0" w:color="auto"/>
              <w:right w:val="dotted" w:sz="4" w:space="0" w:color="auto"/>
            </w:tcBorders>
            <w:shd w:val="clear" w:color="auto" w:fill="auto"/>
            <w:vAlign w:val="center"/>
            <w:hideMark/>
          </w:tcPr>
          <w:p w14:paraId="2512F7E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148" w:type="dxa"/>
            <w:tcBorders>
              <w:top w:val="nil"/>
              <w:left w:val="nil"/>
              <w:bottom w:val="single" w:sz="8" w:space="0" w:color="auto"/>
              <w:right w:val="dotted" w:sz="4" w:space="0" w:color="auto"/>
            </w:tcBorders>
            <w:shd w:val="clear" w:color="auto" w:fill="auto"/>
            <w:vAlign w:val="center"/>
            <w:hideMark/>
          </w:tcPr>
          <w:p w14:paraId="63BD268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148" w:type="dxa"/>
            <w:tcBorders>
              <w:top w:val="nil"/>
              <w:left w:val="nil"/>
              <w:bottom w:val="single" w:sz="8" w:space="0" w:color="auto"/>
              <w:right w:val="dotted" w:sz="4" w:space="0" w:color="auto"/>
            </w:tcBorders>
            <w:shd w:val="clear" w:color="auto" w:fill="auto"/>
            <w:vAlign w:val="center"/>
            <w:hideMark/>
          </w:tcPr>
          <w:p w14:paraId="6A7C833A"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148" w:type="dxa"/>
            <w:tcBorders>
              <w:top w:val="nil"/>
              <w:left w:val="nil"/>
              <w:bottom w:val="single" w:sz="8" w:space="0" w:color="auto"/>
              <w:right w:val="dotted" w:sz="4" w:space="0" w:color="auto"/>
            </w:tcBorders>
            <w:shd w:val="clear" w:color="auto" w:fill="auto"/>
            <w:vAlign w:val="center"/>
            <w:hideMark/>
          </w:tcPr>
          <w:p w14:paraId="45C3350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153" w:type="dxa"/>
            <w:tcBorders>
              <w:top w:val="nil"/>
              <w:left w:val="nil"/>
              <w:bottom w:val="single" w:sz="8" w:space="0" w:color="auto"/>
              <w:right w:val="double" w:sz="6" w:space="0" w:color="auto"/>
            </w:tcBorders>
            <w:shd w:val="clear" w:color="auto" w:fill="auto"/>
            <w:vAlign w:val="center"/>
            <w:hideMark/>
          </w:tcPr>
          <w:p w14:paraId="6CD5B85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r>
      <w:tr w:rsidR="009B5DE5" w:rsidRPr="009B5DE5" w14:paraId="3B1E4404" w14:textId="77777777" w:rsidTr="00396800">
        <w:trPr>
          <w:trHeight w:val="403"/>
        </w:trPr>
        <w:tc>
          <w:tcPr>
            <w:tcW w:w="14702" w:type="dxa"/>
            <w:gridSpan w:val="8"/>
            <w:tcBorders>
              <w:top w:val="single" w:sz="8" w:space="0" w:color="auto"/>
              <w:left w:val="double" w:sz="6" w:space="0" w:color="auto"/>
              <w:bottom w:val="single" w:sz="8" w:space="0" w:color="auto"/>
              <w:right w:val="double" w:sz="6" w:space="0" w:color="000000"/>
            </w:tcBorders>
            <w:shd w:val="clear" w:color="auto" w:fill="auto"/>
            <w:vAlign w:val="center"/>
            <w:hideMark/>
          </w:tcPr>
          <w:p w14:paraId="4D89D0DB"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Компоненте прихода</w:t>
            </w:r>
          </w:p>
        </w:tc>
      </w:tr>
      <w:tr w:rsidR="009B5DE5" w:rsidRPr="009B5DE5" w14:paraId="332B030F" w14:textId="77777777" w:rsidTr="00396800">
        <w:trPr>
          <w:trHeight w:val="403"/>
        </w:trPr>
        <w:tc>
          <w:tcPr>
            <w:tcW w:w="6709" w:type="dxa"/>
            <w:tcBorders>
              <w:top w:val="nil"/>
              <w:left w:val="double" w:sz="6" w:space="0" w:color="auto"/>
              <w:bottom w:val="dotted" w:sz="4" w:space="0" w:color="auto"/>
              <w:right w:val="dotted" w:sz="4" w:space="0" w:color="auto"/>
            </w:tcBorders>
            <w:shd w:val="clear" w:color="auto" w:fill="auto"/>
            <w:vAlign w:val="center"/>
            <w:hideMark/>
          </w:tcPr>
          <w:p w14:paraId="13241ADB"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12. Укупни порези (12 = 12а+12б+12ц)</w:t>
            </w:r>
          </w:p>
        </w:tc>
        <w:tc>
          <w:tcPr>
            <w:tcW w:w="1094" w:type="dxa"/>
            <w:tcBorders>
              <w:top w:val="nil"/>
              <w:left w:val="nil"/>
              <w:bottom w:val="dotted" w:sz="4" w:space="0" w:color="auto"/>
              <w:right w:val="single" w:sz="8" w:space="0" w:color="auto"/>
            </w:tcBorders>
            <w:shd w:val="clear" w:color="auto" w:fill="auto"/>
            <w:vAlign w:val="center"/>
            <w:hideMark/>
          </w:tcPr>
          <w:p w14:paraId="6B270F62" w14:textId="77777777" w:rsidR="009B5DE5" w:rsidRPr="009B5DE5" w:rsidRDefault="009B5DE5" w:rsidP="009B5DE5">
            <w:pPr>
              <w:spacing w:after="0"/>
              <w:jc w:val="center"/>
              <w:rPr>
                <w:rFonts w:eastAsia="Times New Roman" w:cs="Times New Roman"/>
                <w:sz w:val="20"/>
                <w:szCs w:val="20"/>
              </w:rPr>
            </w:pPr>
            <w:bookmarkStart w:id="60" w:name="RANGE!C20"/>
            <w:bookmarkStart w:id="61" w:name="RANGE!C21"/>
            <w:bookmarkEnd w:id="60"/>
            <w:r w:rsidRPr="009B5DE5">
              <w:rPr>
                <w:rFonts w:eastAsia="Times New Roman" w:cs="Times New Roman"/>
                <w:sz w:val="20"/>
                <w:szCs w:val="20"/>
              </w:rPr>
              <w:t> </w:t>
            </w:r>
            <w:bookmarkEnd w:id="61"/>
          </w:p>
        </w:tc>
        <w:tc>
          <w:tcPr>
            <w:tcW w:w="1150" w:type="dxa"/>
            <w:tcBorders>
              <w:top w:val="nil"/>
              <w:left w:val="nil"/>
              <w:bottom w:val="dotted" w:sz="4" w:space="0" w:color="auto"/>
              <w:right w:val="single" w:sz="8" w:space="0" w:color="auto"/>
            </w:tcBorders>
            <w:shd w:val="clear" w:color="auto" w:fill="auto"/>
            <w:vAlign w:val="center"/>
            <w:hideMark/>
          </w:tcPr>
          <w:p w14:paraId="54861BE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2.017,9</w:t>
            </w:r>
          </w:p>
        </w:tc>
        <w:tc>
          <w:tcPr>
            <w:tcW w:w="1149" w:type="dxa"/>
            <w:tcBorders>
              <w:top w:val="nil"/>
              <w:left w:val="nil"/>
              <w:bottom w:val="dotted" w:sz="4" w:space="0" w:color="auto"/>
              <w:right w:val="dotted" w:sz="4" w:space="0" w:color="auto"/>
            </w:tcBorders>
            <w:shd w:val="clear" w:color="auto" w:fill="auto"/>
            <w:vAlign w:val="center"/>
            <w:hideMark/>
          </w:tcPr>
          <w:p w14:paraId="37E9967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22,9</w:t>
            </w:r>
          </w:p>
        </w:tc>
        <w:tc>
          <w:tcPr>
            <w:tcW w:w="1148" w:type="dxa"/>
            <w:tcBorders>
              <w:top w:val="nil"/>
              <w:left w:val="nil"/>
              <w:bottom w:val="dotted" w:sz="4" w:space="0" w:color="auto"/>
              <w:right w:val="dotted" w:sz="4" w:space="0" w:color="auto"/>
            </w:tcBorders>
            <w:shd w:val="clear" w:color="auto" w:fill="auto"/>
            <w:vAlign w:val="center"/>
            <w:hideMark/>
          </w:tcPr>
          <w:p w14:paraId="173EC88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23,5</w:t>
            </w:r>
          </w:p>
        </w:tc>
        <w:tc>
          <w:tcPr>
            <w:tcW w:w="1148" w:type="dxa"/>
            <w:tcBorders>
              <w:top w:val="nil"/>
              <w:left w:val="nil"/>
              <w:bottom w:val="dotted" w:sz="4" w:space="0" w:color="auto"/>
              <w:right w:val="dotted" w:sz="4" w:space="0" w:color="auto"/>
            </w:tcBorders>
            <w:shd w:val="clear" w:color="auto" w:fill="auto"/>
            <w:vAlign w:val="center"/>
            <w:hideMark/>
          </w:tcPr>
          <w:p w14:paraId="5EA070D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23,3</w:t>
            </w:r>
          </w:p>
        </w:tc>
        <w:tc>
          <w:tcPr>
            <w:tcW w:w="1148" w:type="dxa"/>
            <w:tcBorders>
              <w:top w:val="nil"/>
              <w:left w:val="nil"/>
              <w:bottom w:val="dotted" w:sz="4" w:space="0" w:color="auto"/>
              <w:right w:val="dotted" w:sz="4" w:space="0" w:color="auto"/>
            </w:tcBorders>
            <w:shd w:val="clear" w:color="auto" w:fill="auto"/>
            <w:vAlign w:val="center"/>
            <w:hideMark/>
          </w:tcPr>
          <w:p w14:paraId="4C16852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23,2</w:t>
            </w:r>
          </w:p>
        </w:tc>
        <w:tc>
          <w:tcPr>
            <w:tcW w:w="1153" w:type="dxa"/>
            <w:tcBorders>
              <w:top w:val="nil"/>
              <w:left w:val="nil"/>
              <w:bottom w:val="dotted" w:sz="4" w:space="0" w:color="auto"/>
              <w:right w:val="double" w:sz="6" w:space="0" w:color="auto"/>
            </w:tcBorders>
            <w:shd w:val="clear" w:color="auto" w:fill="auto"/>
            <w:vAlign w:val="center"/>
            <w:hideMark/>
          </w:tcPr>
          <w:p w14:paraId="16FE41B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23,0</w:t>
            </w:r>
          </w:p>
        </w:tc>
      </w:tr>
      <w:tr w:rsidR="009B5DE5" w:rsidRPr="009B5DE5" w14:paraId="00C968D1" w14:textId="77777777" w:rsidTr="00396800">
        <w:trPr>
          <w:trHeight w:val="403"/>
        </w:trPr>
        <w:tc>
          <w:tcPr>
            <w:tcW w:w="6709" w:type="dxa"/>
            <w:tcBorders>
              <w:top w:val="nil"/>
              <w:left w:val="double" w:sz="6" w:space="0" w:color="auto"/>
              <w:bottom w:val="dotted" w:sz="4" w:space="0" w:color="auto"/>
              <w:right w:val="dotted" w:sz="4" w:space="0" w:color="auto"/>
            </w:tcBorders>
            <w:shd w:val="clear" w:color="auto" w:fill="auto"/>
            <w:vAlign w:val="center"/>
            <w:hideMark/>
          </w:tcPr>
          <w:p w14:paraId="14213589"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12a. Порези на производњу и увоз</w:t>
            </w:r>
          </w:p>
        </w:tc>
        <w:tc>
          <w:tcPr>
            <w:tcW w:w="1094" w:type="dxa"/>
            <w:tcBorders>
              <w:top w:val="nil"/>
              <w:left w:val="nil"/>
              <w:bottom w:val="dotted" w:sz="4" w:space="0" w:color="auto"/>
              <w:right w:val="single" w:sz="8" w:space="0" w:color="auto"/>
            </w:tcBorders>
            <w:shd w:val="clear" w:color="auto" w:fill="auto"/>
            <w:vAlign w:val="center"/>
            <w:hideMark/>
          </w:tcPr>
          <w:p w14:paraId="590F8F80" w14:textId="77777777" w:rsidR="009B5DE5" w:rsidRPr="009B5DE5" w:rsidRDefault="009B5DE5" w:rsidP="009B5DE5">
            <w:pPr>
              <w:spacing w:after="0"/>
              <w:jc w:val="center"/>
              <w:rPr>
                <w:rFonts w:eastAsia="Times New Roman" w:cs="Times New Roman"/>
                <w:sz w:val="20"/>
                <w:szCs w:val="20"/>
              </w:rPr>
            </w:pPr>
            <w:bookmarkStart w:id="62" w:name="RANGE!C22"/>
            <w:r w:rsidRPr="009B5DE5">
              <w:rPr>
                <w:rFonts w:eastAsia="Times New Roman" w:cs="Times New Roman"/>
                <w:sz w:val="20"/>
                <w:szCs w:val="20"/>
              </w:rPr>
              <w:t>D2</w:t>
            </w:r>
            <w:bookmarkEnd w:id="62"/>
          </w:p>
        </w:tc>
        <w:tc>
          <w:tcPr>
            <w:tcW w:w="1150" w:type="dxa"/>
            <w:tcBorders>
              <w:top w:val="nil"/>
              <w:left w:val="nil"/>
              <w:bottom w:val="dotted" w:sz="4" w:space="0" w:color="auto"/>
              <w:right w:val="single" w:sz="8" w:space="0" w:color="auto"/>
            </w:tcBorders>
            <w:shd w:val="clear" w:color="auto" w:fill="auto"/>
            <w:vAlign w:val="center"/>
            <w:hideMark/>
          </w:tcPr>
          <w:p w14:paraId="45010D5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1.340,4</w:t>
            </w:r>
          </w:p>
        </w:tc>
        <w:tc>
          <w:tcPr>
            <w:tcW w:w="1149" w:type="dxa"/>
            <w:tcBorders>
              <w:top w:val="nil"/>
              <w:left w:val="nil"/>
              <w:bottom w:val="dotted" w:sz="4" w:space="0" w:color="auto"/>
              <w:right w:val="dotted" w:sz="4" w:space="0" w:color="auto"/>
            </w:tcBorders>
            <w:shd w:val="clear" w:color="auto" w:fill="auto"/>
            <w:vAlign w:val="center"/>
            <w:hideMark/>
          </w:tcPr>
          <w:p w14:paraId="5468EB3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15,2</w:t>
            </w:r>
          </w:p>
        </w:tc>
        <w:tc>
          <w:tcPr>
            <w:tcW w:w="1148" w:type="dxa"/>
            <w:tcBorders>
              <w:top w:val="nil"/>
              <w:left w:val="nil"/>
              <w:bottom w:val="dotted" w:sz="4" w:space="0" w:color="auto"/>
              <w:right w:val="dotted" w:sz="4" w:space="0" w:color="auto"/>
            </w:tcBorders>
            <w:shd w:val="clear" w:color="auto" w:fill="auto"/>
            <w:vAlign w:val="center"/>
            <w:hideMark/>
          </w:tcPr>
          <w:p w14:paraId="581564F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15,7</w:t>
            </w:r>
          </w:p>
        </w:tc>
        <w:tc>
          <w:tcPr>
            <w:tcW w:w="1148" w:type="dxa"/>
            <w:tcBorders>
              <w:top w:val="nil"/>
              <w:left w:val="nil"/>
              <w:bottom w:val="dotted" w:sz="4" w:space="0" w:color="auto"/>
              <w:right w:val="dotted" w:sz="4" w:space="0" w:color="auto"/>
            </w:tcBorders>
            <w:shd w:val="clear" w:color="auto" w:fill="auto"/>
            <w:vAlign w:val="center"/>
            <w:hideMark/>
          </w:tcPr>
          <w:p w14:paraId="47CE4CF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15,8</w:t>
            </w:r>
          </w:p>
        </w:tc>
        <w:tc>
          <w:tcPr>
            <w:tcW w:w="1148" w:type="dxa"/>
            <w:tcBorders>
              <w:top w:val="nil"/>
              <w:left w:val="nil"/>
              <w:bottom w:val="dotted" w:sz="4" w:space="0" w:color="auto"/>
              <w:right w:val="dotted" w:sz="4" w:space="0" w:color="auto"/>
            </w:tcBorders>
            <w:shd w:val="clear" w:color="auto" w:fill="auto"/>
            <w:vAlign w:val="center"/>
            <w:hideMark/>
          </w:tcPr>
          <w:p w14:paraId="506B6A4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15,7</w:t>
            </w:r>
          </w:p>
        </w:tc>
        <w:tc>
          <w:tcPr>
            <w:tcW w:w="1153" w:type="dxa"/>
            <w:tcBorders>
              <w:top w:val="nil"/>
              <w:left w:val="nil"/>
              <w:bottom w:val="dotted" w:sz="4" w:space="0" w:color="auto"/>
              <w:right w:val="double" w:sz="6" w:space="0" w:color="auto"/>
            </w:tcBorders>
            <w:shd w:val="clear" w:color="auto" w:fill="auto"/>
            <w:vAlign w:val="center"/>
            <w:hideMark/>
          </w:tcPr>
          <w:p w14:paraId="43D9421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15,6</w:t>
            </w:r>
          </w:p>
        </w:tc>
      </w:tr>
      <w:tr w:rsidR="009B5DE5" w:rsidRPr="009B5DE5" w14:paraId="23CB265D" w14:textId="77777777" w:rsidTr="00396800">
        <w:trPr>
          <w:trHeight w:val="403"/>
        </w:trPr>
        <w:tc>
          <w:tcPr>
            <w:tcW w:w="6709" w:type="dxa"/>
            <w:tcBorders>
              <w:top w:val="nil"/>
              <w:left w:val="double" w:sz="6" w:space="0" w:color="auto"/>
              <w:bottom w:val="dotted" w:sz="4" w:space="0" w:color="auto"/>
              <w:right w:val="dotted" w:sz="4" w:space="0" w:color="auto"/>
            </w:tcBorders>
            <w:shd w:val="clear" w:color="auto" w:fill="auto"/>
            <w:vAlign w:val="center"/>
            <w:hideMark/>
          </w:tcPr>
          <w:p w14:paraId="49C6C216"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12б. Текући порези на доходак и имовину</w:t>
            </w:r>
          </w:p>
        </w:tc>
        <w:tc>
          <w:tcPr>
            <w:tcW w:w="1094" w:type="dxa"/>
            <w:tcBorders>
              <w:top w:val="nil"/>
              <w:left w:val="nil"/>
              <w:bottom w:val="dotted" w:sz="4" w:space="0" w:color="auto"/>
              <w:right w:val="single" w:sz="8" w:space="0" w:color="auto"/>
            </w:tcBorders>
            <w:shd w:val="clear" w:color="auto" w:fill="auto"/>
            <w:vAlign w:val="center"/>
            <w:hideMark/>
          </w:tcPr>
          <w:p w14:paraId="6910AD9E" w14:textId="77777777" w:rsidR="009B5DE5" w:rsidRPr="009B5DE5" w:rsidRDefault="009B5DE5" w:rsidP="009B5DE5">
            <w:pPr>
              <w:spacing w:after="0"/>
              <w:jc w:val="center"/>
              <w:rPr>
                <w:rFonts w:eastAsia="Times New Roman" w:cs="Times New Roman"/>
                <w:sz w:val="20"/>
                <w:szCs w:val="20"/>
              </w:rPr>
            </w:pPr>
            <w:bookmarkStart w:id="63" w:name="RANGE!C23"/>
            <w:r w:rsidRPr="009B5DE5">
              <w:rPr>
                <w:rFonts w:eastAsia="Times New Roman" w:cs="Times New Roman"/>
                <w:sz w:val="20"/>
                <w:szCs w:val="20"/>
              </w:rPr>
              <w:t>D5</w:t>
            </w:r>
            <w:bookmarkEnd w:id="63"/>
          </w:p>
        </w:tc>
        <w:tc>
          <w:tcPr>
            <w:tcW w:w="1150" w:type="dxa"/>
            <w:tcBorders>
              <w:top w:val="nil"/>
              <w:left w:val="nil"/>
              <w:bottom w:val="dotted" w:sz="4" w:space="0" w:color="auto"/>
              <w:right w:val="single" w:sz="8" w:space="0" w:color="auto"/>
            </w:tcBorders>
            <w:shd w:val="clear" w:color="auto" w:fill="auto"/>
            <w:vAlign w:val="center"/>
            <w:hideMark/>
          </w:tcPr>
          <w:p w14:paraId="3FE173B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676,6</w:t>
            </w:r>
          </w:p>
        </w:tc>
        <w:tc>
          <w:tcPr>
            <w:tcW w:w="1149" w:type="dxa"/>
            <w:tcBorders>
              <w:top w:val="nil"/>
              <w:left w:val="nil"/>
              <w:bottom w:val="dotted" w:sz="4" w:space="0" w:color="auto"/>
              <w:right w:val="dotted" w:sz="4" w:space="0" w:color="auto"/>
            </w:tcBorders>
            <w:shd w:val="clear" w:color="auto" w:fill="auto"/>
            <w:vAlign w:val="center"/>
            <w:hideMark/>
          </w:tcPr>
          <w:p w14:paraId="4721343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7,7</w:t>
            </w:r>
          </w:p>
        </w:tc>
        <w:tc>
          <w:tcPr>
            <w:tcW w:w="1148" w:type="dxa"/>
            <w:tcBorders>
              <w:top w:val="nil"/>
              <w:left w:val="nil"/>
              <w:bottom w:val="dotted" w:sz="4" w:space="0" w:color="auto"/>
              <w:right w:val="dotted" w:sz="4" w:space="0" w:color="auto"/>
            </w:tcBorders>
            <w:shd w:val="clear" w:color="auto" w:fill="auto"/>
            <w:vAlign w:val="center"/>
            <w:hideMark/>
          </w:tcPr>
          <w:p w14:paraId="5FDCB15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7,8</w:t>
            </w:r>
          </w:p>
        </w:tc>
        <w:tc>
          <w:tcPr>
            <w:tcW w:w="1148" w:type="dxa"/>
            <w:tcBorders>
              <w:top w:val="nil"/>
              <w:left w:val="nil"/>
              <w:bottom w:val="dotted" w:sz="4" w:space="0" w:color="auto"/>
              <w:right w:val="dotted" w:sz="4" w:space="0" w:color="auto"/>
            </w:tcBorders>
            <w:shd w:val="clear" w:color="auto" w:fill="auto"/>
            <w:vAlign w:val="center"/>
            <w:hideMark/>
          </w:tcPr>
          <w:p w14:paraId="308C398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7,5</w:t>
            </w:r>
          </w:p>
        </w:tc>
        <w:tc>
          <w:tcPr>
            <w:tcW w:w="1148" w:type="dxa"/>
            <w:tcBorders>
              <w:top w:val="nil"/>
              <w:left w:val="nil"/>
              <w:bottom w:val="dotted" w:sz="4" w:space="0" w:color="auto"/>
              <w:right w:val="dotted" w:sz="4" w:space="0" w:color="auto"/>
            </w:tcBorders>
            <w:shd w:val="clear" w:color="auto" w:fill="auto"/>
            <w:vAlign w:val="center"/>
            <w:hideMark/>
          </w:tcPr>
          <w:p w14:paraId="0E87277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7,5</w:t>
            </w:r>
          </w:p>
        </w:tc>
        <w:tc>
          <w:tcPr>
            <w:tcW w:w="1153" w:type="dxa"/>
            <w:tcBorders>
              <w:top w:val="nil"/>
              <w:left w:val="nil"/>
              <w:bottom w:val="dotted" w:sz="4" w:space="0" w:color="auto"/>
              <w:right w:val="double" w:sz="6" w:space="0" w:color="auto"/>
            </w:tcBorders>
            <w:shd w:val="clear" w:color="auto" w:fill="auto"/>
            <w:vAlign w:val="center"/>
            <w:hideMark/>
          </w:tcPr>
          <w:p w14:paraId="7200CD2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7,4</w:t>
            </w:r>
          </w:p>
        </w:tc>
      </w:tr>
      <w:tr w:rsidR="009B5DE5" w:rsidRPr="009B5DE5" w14:paraId="296167A5" w14:textId="77777777" w:rsidTr="00396800">
        <w:trPr>
          <w:trHeight w:val="320"/>
        </w:trPr>
        <w:tc>
          <w:tcPr>
            <w:tcW w:w="6709" w:type="dxa"/>
            <w:tcBorders>
              <w:top w:val="nil"/>
              <w:left w:val="double" w:sz="6" w:space="0" w:color="auto"/>
              <w:bottom w:val="dotted" w:sz="4" w:space="0" w:color="auto"/>
              <w:right w:val="dotted" w:sz="4" w:space="0" w:color="auto"/>
            </w:tcBorders>
            <w:shd w:val="clear" w:color="auto" w:fill="auto"/>
            <w:vAlign w:val="center"/>
            <w:hideMark/>
          </w:tcPr>
          <w:p w14:paraId="438B857E"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12ц. Порези на капитал</w:t>
            </w:r>
          </w:p>
        </w:tc>
        <w:tc>
          <w:tcPr>
            <w:tcW w:w="1094" w:type="dxa"/>
            <w:tcBorders>
              <w:top w:val="nil"/>
              <w:left w:val="nil"/>
              <w:bottom w:val="dotted" w:sz="4" w:space="0" w:color="auto"/>
              <w:right w:val="single" w:sz="8" w:space="0" w:color="auto"/>
            </w:tcBorders>
            <w:shd w:val="clear" w:color="auto" w:fill="auto"/>
            <w:vAlign w:val="center"/>
            <w:hideMark/>
          </w:tcPr>
          <w:p w14:paraId="5A8D0618" w14:textId="77777777" w:rsidR="009B5DE5" w:rsidRPr="009B5DE5" w:rsidRDefault="009B5DE5" w:rsidP="009B5DE5">
            <w:pPr>
              <w:spacing w:after="0"/>
              <w:jc w:val="center"/>
              <w:rPr>
                <w:rFonts w:eastAsia="Times New Roman" w:cs="Times New Roman"/>
                <w:sz w:val="20"/>
                <w:szCs w:val="20"/>
              </w:rPr>
            </w:pPr>
            <w:bookmarkStart w:id="64" w:name="RANGE!C24"/>
            <w:r w:rsidRPr="009B5DE5">
              <w:rPr>
                <w:rFonts w:eastAsia="Times New Roman" w:cs="Times New Roman"/>
                <w:sz w:val="20"/>
                <w:szCs w:val="20"/>
              </w:rPr>
              <w:t>D91</w:t>
            </w:r>
            <w:bookmarkEnd w:id="64"/>
          </w:p>
        </w:tc>
        <w:tc>
          <w:tcPr>
            <w:tcW w:w="1150" w:type="dxa"/>
            <w:tcBorders>
              <w:top w:val="nil"/>
              <w:left w:val="nil"/>
              <w:bottom w:val="dotted" w:sz="4" w:space="0" w:color="auto"/>
              <w:right w:val="single" w:sz="8" w:space="0" w:color="auto"/>
            </w:tcBorders>
            <w:shd w:val="clear" w:color="auto" w:fill="auto"/>
            <w:vAlign w:val="center"/>
            <w:hideMark/>
          </w:tcPr>
          <w:p w14:paraId="6F2F9FF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0,9</w:t>
            </w:r>
          </w:p>
        </w:tc>
        <w:tc>
          <w:tcPr>
            <w:tcW w:w="1149" w:type="dxa"/>
            <w:tcBorders>
              <w:top w:val="nil"/>
              <w:left w:val="nil"/>
              <w:bottom w:val="dotted" w:sz="4" w:space="0" w:color="auto"/>
              <w:right w:val="dotted" w:sz="4" w:space="0" w:color="auto"/>
            </w:tcBorders>
            <w:shd w:val="clear" w:color="auto" w:fill="auto"/>
            <w:vAlign w:val="center"/>
            <w:hideMark/>
          </w:tcPr>
          <w:p w14:paraId="111860A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0,0</w:t>
            </w:r>
          </w:p>
        </w:tc>
        <w:tc>
          <w:tcPr>
            <w:tcW w:w="1148" w:type="dxa"/>
            <w:tcBorders>
              <w:top w:val="nil"/>
              <w:left w:val="nil"/>
              <w:bottom w:val="dotted" w:sz="4" w:space="0" w:color="auto"/>
              <w:right w:val="dotted" w:sz="4" w:space="0" w:color="auto"/>
            </w:tcBorders>
            <w:shd w:val="clear" w:color="auto" w:fill="auto"/>
            <w:vAlign w:val="center"/>
            <w:hideMark/>
          </w:tcPr>
          <w:p w14:paraId="6F40E12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0,0</w:t>
            </w:r>
          </w:p>
        </w:tc>
        <w:tc>
          <w:tcPr>
            <w:tcW w:w="1148" w:type="dxa"/>
            <w:tcBorders>
              <w:top w:val="nil"/>
              <w:left w:val="nil"/>
              <w:bottom w:val="dotted" w:sz="4" w:space="0" w:color="auto"/>
              <w:right w:val="dotted" w:sz="4" w:space="0" w:color="auto"/>
            </w:tcBorders>
            <w:shd w:val="clear" w:color="auto" w:fill="auto"/>
            <w:vAlign w:val="center"/>
            <w:hideMark/>
          </w:tcPr>
          <w:p w14:paraId="270B548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0,0</w:t>
            </w:r>
          </w:p>
        </w:tc>
        <w:tc>
          <w:tcPr>
            <w:tcW w:w="1148" w:type="dxa"/>
            <w:tcBorders>
              <w:top w:val="nil"/>
              <w:left w:val="nil"/>
              <w:bottom w:val="dotted" w:sz="4" w:space="0" w:color="auto"/>
              <w:right w:val="dotted" w:sz="4" w:space="0" w:color="auto"/>
            </w:tcBorders>
            <w:shd w:val="clear" w:color="auto" w:fill="auto"/>
            <w:vAlign w:val="center"/>
            <w:hideMark/>
          </w:tcPr>
          <w:p w14:paraId="78B6056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0,0</w:t>
            </w:r>
          </w:p>
        </w:tc>
        <w:tc>
          <w:tcPr>
            <w:tcW w:w="1153" w:type="dxa"/>
            <w:tcBorders>
              <w:top w:val="nil"/>
              <w:left w:val="nil"/>
              <w:bottom w:val="dotted" w:sz="4" w:space="0" w:color="auto"/>
              <w:right w:val="double" w:sz="6" w:space="0" w:color="auto"/>
            </w:tcBorders>
            <w:shd w:val="clear" w:color="auto" w:fill="auto"/>
            <w:vAlign w:val="center"/>
            <w:hideMark/>
          </w:tcPr>
          <w:p w14:paraId="79FAE64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0,0</w:t>
            </w:r>
          </w:p>
        </w:tc>
      </w:tr>
      <w:tr w:rsidR="009B5DE5" w:rsidRPr="009B5DE5" w14:paraId="6794F061" w14:textId="77777777" w:rsidTr="00396800">
        <w:trPr>
          <w:trHeight w:val="403"/>
        </w:trPr>
        <w:tc>
          <w:tcPr>
            <w:tcW w:w="6709" w:type="dxa"/>
            <w:tcBorders>
              <w:top w:val="nil"/>
              <w:left w:val="double" w:sz="6" w:space="0" w:color="auto"/>
              <w:bottom w:val="dotted" w:sz="4" w:space="0" w:color="auto"/>
              <w:right w:val="dotted" w:sz="4" w:space="0" w:color="auto"/>
            </w:tcBorders>
            <w:shd w:val="clear" w:color="auto" w:fill="auto"/>
            <w:vAlign w:val="center"/>
            <w:hideMark/>
          </w:tcPr>
          <w:p w14:paraId="18D1F8CA"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13. Доприноси за социјално осигурање</w:t>
            </w:r>
          </w:p>
        </w:tc>
        <w:tc>
          <w:tcPr>
            <w:tcW w:w="1094" w:type="dxa"/>
            <w:tcBorders>
              <w:top w:val="nil"/>
              <w:left w:val="nil"/>
              <w:bottom w:val="dotted" w:sz="4" w:space="0" w:color="auto"/>
              <w:right w:val="single" w:sz="8" w:space="0" w:color="auto"/>
            </w:tcBorders>
            <w:shd w:val="clear" w:color="auto" w:fill="auto"/>
            <w:vAlign w:val="center"/>
            <w:hideMark/>
          </w:tcPr>
          <w:p w14:paraId="4A421AA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D61</w:t>
            </w:r>
          </w:p>
        </w:tc>
        <w:tc>
          <w:tcPr>
            <w:tcW w:w="1150" w:type="dxa"/>
            <w:tcBorders>
              <w:top w:val="nil"/>
              <w:left w:val="nil"/>
              <w:bottom w:val="dotted" w:sz="4" w:space="0" w:color="auto"/>
              <w:right w:val="single" w:sz="8" w:space="0" w:color="auto"/>
            </w:tcBorders>
            <w:shd w:val="clear" w:color="auto" w:fill="auto"/>
            <w:vAlign w:val="center"/>
            <w:hideMark/>
          </w:tcPr>
          <w:p w14:paraId="650628A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1.060,9</w:t>
            </w:r>
          </w:p>
        </w:tc>
        <w:tc>
          <w:tcPr>
            <w:tcW w:w="1149" w:type="dxa"/>
            <w:tcBorders>
              <w:top w:val="nil"/>
              <w:left w:val="nil"/>
              <w:bottom w:val="dotted" w:sz="4" w:space="0" w:color="auto"/>
              <w:right w:val="dotted" w:sz="4" w:space="0" w:color="auto"/>
            </w:tcBorders>
            <w:shd w:val="clear" w:color="auto" w:fill="auto"/>
            <w:vAlign w:val="center"/>
            <w:hideMark/>
          </w:tcPr>
          <w:p w14:paraId="3852654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12,0</w:t>
            </w:r>
          </w:p>
        </w:tc>
        <w:tc>
          <w:tcPr>
            <w:tcW w:w="1148" w:type="dxa"/>
            <w:tcBorders>
              <w:top w:val="nil"/>
              <w:left w:val="nil"/>
              <w:bottom w:val="dotted" w:sz="4" w:space="0" w:color="auto"/>
              <w:right w:val="dotted" w:sz="4" w:space="0" w:color="auto"/>
            </w:tcBorders>
            <w:shd w:val="clear" w:color="auto" w:fill="auto"/>
            <w:vAlign w:val="center"/>
            <w:hideMark/>
          </w:tcPr>
          <w:p w14:paraId="4C047A7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12,7</w:t>
            </w:r>
          </w:p>
        </w:tc>
        <w:tc>
          <w:tcPr>
            <w:tcW w:w="1148" w:type="dxa"/>
            <w:tcBorders>
              <w:top w:val="nil"/>
              <w:left w:val="nil"/>
              <w:bottom w:val="dotted" w:sz="4" w:space="0" w:color="auto"/>
              <w:right w:val="dotted" w:sz="4" w:space="0" w:color="auto"/>
            </w:tcBorders>
            <w:shd w:val="clear" w:color="auto" w:fill="auto"/>
            <w:vAlign w:val="center"/>
            <w:hideMark/>
          </w:tcPr>
          <w:p w14:paraId="62DACBA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13,0</w:t>
            </w:r>
          </w:p>
        </w:tc>
        <w:tc>
          <w:tcPr>
            <w:tcW w:w="1148" w:type="dxa"/>
            <w:tcBorders>
              <w:top w:val="nil"/>
              <w:left w:val="nil"/>
              <w:bottom w:val="dotted" w:sz="4" w:space="0" w:color="auto"/>
              <w:right w:val="dotted" w:sz="4" w:space="0" w:color="auto"/>
            </w:tcBorders>
            <w:shd w:val="clear" w:color="auto" w:fill="auto"/>
            <w:vAlign w:val="center"/>
            <w:hideMark/>
          </w:tcPr>
          <w:p w14:paraId="7EC35D6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13,2</w:t>
            </w:r>
          </w:p>
        </w:tc>
        <w:tc>
          <w:tcPr>
            <w:tcW w:w="1153" w:type="dxa"/>
            <w:tcBorders>
              <w:top w:val="nil"/>
              <w:left w:val="nil"/>
              <w:bottom w:val="dotted" w:sz="4" w:space="0" w:color="auto"/>
              <w:right w:val="double" w:sz="6" w:space="0" w:color="auto"/>
            </w:tcBorders>
            <w:shd w:val="clear" w:color="auto" w:fill="auto"/>
            <w:vAlign w:val="center"/>
            <w:hideMark/>
          </w:tcPr>
          <w:p w14:paraId="27E3C1F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13,4</w:t>
            </w:r>
          </w:p>
        </w:tc>
      </w:tr>
      <w:tr w:rsidR="009B5DE5" w:rsidRPr="009B5DE5" w14:paraId="5DA4BD4F" w14:textId="77777777" w:rsidTr="00396800">
        <w:trPr>
          <w:trHeight w:val="318"/>
        </w:trPr>
        <w:tc>
          <w:tcPr>
            <w:tcW w:w="6709" w:type="dxa"/>
            <w:tcBorders>
              <w:top w:val="nil"/>
              <w:left w:val="double" w:sz="6" w:space="0" w:color="auto"/>
              <w:bottom w:val="dotted" w:sz="4" w:space="0" w:color="auto"/>
              <w:right w:val="dotted" w:sz="4" w:space="0" w:color="auto"/>
            </w:tcBorders>
            <w:shd w:val="clear" w:color="auto" w:fill="auto"/>
            <w:vAlign w:val="center"/>
            <w:hideMark/>
          </w:tcPr>
          <w:p w14:paraId="57D6964C"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lastRenderedPageBreak/>
              <w:t>14. Приходи од имовине</w:t>
            </w:r>
          </w:p>
        </w:tc>
        <w:tc>
          <w:tcPr>
            <w:tcW w:w="1094" w:type="dxa"/>
            <w:tcBorders>
              <w:top w:val="nil"/>
              <w:left w:val="nil"/>
              <w:bottom w:val="dotted" w:sz="4" w:space="0" w:color="auto"/>
              <w:right w:val="single" w:sz="8" w:space="0" w:color="auto"/>
            </w:tcBorders>
            <w:shd w:val="clear" w:color="auto" w:fill="auto"/>
            <w:vAlign w:val="center"/>
            <w:hideMark/>
          </w:tcPr>
          <w:p w14:paraId="5E50D26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D4</w:t>
            </w:r>
          </w:p>
        </w:tc>
        <w:tc>
          <w:tcPr>
            <w:tcW w:w="1150" w:type="dxa"/>
            <w:tcBorders>
              <w:top w:val="nil"/>
              <w:left w:val="nil"/>
              <w:bottom w:val="dotted" w:sz="4" w:space="0" w:color="auto"/>
              <w:right w:val="single" w:sz="8" w:space="0" w:color="auto"/>
            </w:tcBorders>
            <w:shd w:val="clear" w:color="auto" w:fill="auto"/>
            <w:vAlign w:val="center"/>
            <w:hideMark/>
          </w:tcPr>
          <w:p w14:paraId="5DA394E0"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96,7</w:t>
            </w:r>
          </w:p>
        </w:tc>
        <w:tc>
          <w:tcPr>
            <w:tcW w:w="1149" w:type="dxa"/>
            <w:tcBorders>
              <w:top w:val="nil"/>
              <w:left w:val="nil"/>
              <w:bottom w:val="dotted" w:sz="4" w:space="0" w:color="auto"/>
              <w:right w:val="dotted" w:sz="4" w:space="0" w:color="auto"/>
            </w:tcBorders>
            <w:shd w:val="clear" w:color="auto" w:fill="auto"/>
            <w:vAlign w:val="center"/>
            <w:hideMark/>
          </w:tcPr>
          <w:p w14:paraId="679333B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1,1</w:t>
            </w:r>
          </w:p>
        </w:tc>
        <w:tc>
          <w:tcPr>
            <w:tcW w:w="1148" w:type="dxa"/>
            <w:tcBorders>
              <w:top w:val="nil"/>
              <w:left w:val="nil"/>
              <w:bottom w:val="dotted" w:sz="4" w:space="0" w:color="auto"/>
              <w:right w:val="dotted" w:sz="4" w:space="0" w:color="auto"/>
            </w:tcBorders>
            <w:shd w:val="clear" w:color="auto" w:fill="auto"/>
            <w:vAlign w:val="center"/>
            <w:hideMark/>
          </w:tcPr>
          <w:p w14:paraId="15339AE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1,3</w:t>
            </w:r>
          </w:p>
        </w:tc>
        <w:tc>
          <w:tcPr>
            <w:tcW w:w="1148" w:type="dxa"/>
            <w:tcBorders>
              <w:top w:val="nil"/>
              <w:left w:val="nil"/>
              <w:bottom w:val="dotted" w:sz="4" w:space="0" w:color="auto"/>
              <w:right w:val="dotted" w:sz="4" w:space="0" w:color="auto"/>
            </w:tcBorders>
            <w:shd w:val="clear" w:color="auto" w:fill="auto"/>
            <w:vAlign w:val="center"/>
            <w:hideMark/>
          </w:tcPr>
          <w:p w14:paraId="77CA0B7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1,1</w:t>
            </w:r>
          </w:p>
        </w:tc>
        <w:tc>
          <w:tcPr>
            <w:tcW w:w="1148" w:type="dxa"/>
            <w:tcBorders>
              <w:top w:val="nil"/>
              <w:left w:val="nil"/>
              <w:bottom w:val="dotted" w:sz="4" w:space="0" w:color="auto"/>
              <w:right w:val="dotted" w:sz="4" w:space="0" w:color="auto"/>
            </w:tcBorders>
            <w:shd w:val="clear" w:color="auto" w:fill="auto"/>
            <w:vAlign w:val="center"/>
            <w:hideMark/>
          </w:tcPr>
          <w:p w14:paraId="1D27EBD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1,1</w:t>
            </w:r>
          </w:p>
        </w:tc>
        <w:tc>
          <w:tcPr>
            <w:tcW w:w="1153" w:type="dxa"/>
            <w:tcBorders>
              <w:top w:val="nil"/>
              <w:left w:val="nil"/>
              <w:bottom w:val="dotted" w:sz="4" w:space="0" w:color="auto"/>
              <w:right w:val="double" w:sz="6" w:space="0" w:color="auto"/>
            </w:tcBorders>
            <w:shd w:val="clear" w:color="auto" w:fill="auto"/>
            <w:vAlign w:val="center"/>
            <w:hideMark/>
          </w:tcPr>
          <w:p w14:paraId="1F8F75B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1,2</w:t>
            </w:r>
          </w:p>
        </w:tc>
      </w:tr>
      <w:tr w:rsidR="009B5DE5" w:rsidRPr="009B5DE5" w14:paraId="513494A3" w14:textId="77777777" w:rsidTr="00396800">
        <w:trPr>
          <w:trHeight w:val="310"/>
        </w:trPr>
        <w:tc>
          <w:tcPr>
            <w:tcW w:w="6709" w:type="dxa"/>
            <w:tcBorders>
              <w:top w:val="nil"/>
              <w:left w:val="double" w:sz="6" w:space="0" w:color="auto"/>
              <w:bottom w:val="dotted" w:sz="4" w:space="0" w:color="auto"/>
              <w:right w:val="dotted" w:sz="4" w:space="0" w:color="auto"/>
            </w:tcBorders>
            <w:shd w:val="clear" w:color="auto" w:fill="auto"/>
            <w:vAlign w:val="center"/>
            <w:hideMark/>
          </w:tcPr>
          <w:p w14:paraId="13FF5DE3"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15. Друго (15 = 16-(12+13+14)) [4]</w:t>
            </w:r>
          </w:p>
        </w:tc>
        <w:tc>
          <w:tcPr>
            <w:tcW w:w="1094" w:type="dxa"/>
            <w:tcBorders>
              <w:top w:val="nil"/>
              <w:left w:val="nil"/>
              <w:bottom w:val="dotted" w:sz="4" w:space="0" w:color="auto"/>
              <w:right w:val="single" w:sz="8" w:space="0" w:color="auto"/>
            </w:tcBorders>
            <w:shd w:val="clear" w:color="auto" w:fill="auto"/>
            <w:vAlign w:val="center"/>
            <w:hideMark/>
          </w:tcPr>
          <w:p w14:paraId="46C18D4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50" w:type="dxa"/>
            <w:tcBorders>
              <w:top w:val="nil"/>
              <w:left w:val="nil"/>
              <w:bottom w:val="dotted" w:sz="4" w:space="0" w:color="auto"/>
              <w:right w:val="single" w:sz="8" w:space="0" w:color="auto"/>
            </w:tcBorders>
            <w:shd w:val="clear" w:color="auto" w:fill="auto"/>
            <w:vAlign w:val="center"/>
            <w:hideMark/>
          </w:tcPr>
          <w:p w14:paraId="0A56B9E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297,9</w:t>
            </w:r>
          </w:p>
        </w:tc>
        <w:tc>
          <w:tcPr>
            <w:tcW w:w="1149" w:type="dxa"/>
            <w:tcBorders>
              <w:top w:val="nil"/>
              <w:left w:val="nil"/>
              <w:bottom w:val="dotted" w:sz="4" w:space="0" w:color="auto"/>
              <w:right w:val="dotted" w:sz="4" w:space="0" w:color="auto"/>
            </w:tcBorders>
            <w:shd w:val="clear" w:color="auto" w:fill="auto"/>
            <w:vAlign w:val="center"/>
            <w:hideMark/>
          </w:tcPr>
          <w:p w14:paraId="3C25F70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3,4</w:t>
            </w:r>
          </w:p>
        </w:tc>
        <w:tc>
          <w:tcPr>
            <w:tcW w:w="1148" w:type="dxa"/>
            <w:tcBorders>
              <w:top w:val="nil"/>
              <w:left w:val="nil"/>
              <w:bottom w:val="dotted" w:sz="4" w:space="0" w:color="auto"/>
              <w:right w:val="dotted" w:sz="4" w:space="0" w:color="auto"/>
            </w:tcBorders>
            <w:shd w:val="clear" w:color="auto" w:fill="auto"/>
            <w:vAlign w:val="center"/>
            <w:hideMark/>
          </w:tcPr>
          <w:p w14:paraId="1783B9C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3,4</w:t>
            </w:r>
          </w:p>
        </w:tc>
        <w:tc>
          <w:tcPr>
            <w:tcW w:w="1148" w:type="dxa"/>
            <w:tcBorders>
              <w:top w:val="nil"/>
              <w:left w:val="nil"/>
              <w:bottom w:val="dotted" w:sz="4" w:space="0" w:color="auto"/>
              <w:right w:val="dotted" w:sz="4" w:space="0" w:color="auto"/>
            </w:tcBorders>
            <w:shd w:val="clear" w:color="auto" w:fill="auto"/>
            <w:vAlign w:val="center"/>
            <w:hideMark/>
          </w:tcPr>
          <w:p w14:paraId="337A5A5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3,9</w:t>
            </w:r>
          </w:p>
        </w:tc>
        <w:tc>
          <w:tcPr>
            <w:tcW w:w="1148" w:type="dxa"/>
            <w:tcBorders>
              <w:top w:val="nil"/>
              <w:left w:val="nil"/>
              <w:bottom w:val="dotted" w:sz="4" w:space="0" w:color="auto"/>
              <w:right w:val="dotted" w:sz="4" w:space="0" w:color="auto"/>
            </w:tcBorders>
            <w:shd w:val="clear" w:color="auto" w:fill="auto"/>
            <w:vAlign w:val="center"/>
            <w:hideMark/>
          </w:tcPr>
          <w:p w14:paraId="77E86FA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3,3</w:t>
            </w:r>
          </w:p>
        </w:tc>
        <w:tc>
          <w:tcPr>
            <w:tcW w:w="1153" w:type="dxa"/>
            <w:tcBorders>
              <w:top w:val="nil"/>
              <w:left w:val="nil"/>
              <w:bottom w:val="dotted" w:sz="4" w:space="0" w:color="auto"/>
              <w:right w:val="double" w:sz="6" w:space="0" w:color="auto"/>
            </w:tcBorders>
            <w:shd w:val="clear" w:color="auto" w:fill="auto"/>
            <w:vAlign w:val="center"/>
            <w:hideMark/>
          </w:tcPr>
          <w:p w14:paraId="2B11494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3,0</w:t>
            </w:r>
          </w:p>
        </w:tc>
      </w:tr>
      <w:tr w:rsidR="009B5DE5" w:rsidRPr="009B5DE5" w14:paraId="07329BF7" w14:textId="77777777" w:rsidTr="00396800">
        <w:trPr>
          <w:trHeight w:val="403"/>
        </w:trPr>
        <w:tc>
          <w:tcPr>
            <w:tcW w:w="6709" w:type="dxa"/>
            <w:tcBorders>
              <w:top w:val="nil"/>
              <w:left w:val="double" w:sz="6" w:space="0" w:color="auto"/>
              <w:bottom w:val="dotted" w:sz="4" w:space="0" w:color="auto"/>
              <w:right w:val="dotted" w:sz="4" w:space="0" w:color="auto"/>
            </w:tcBorders>
            <w:shd w:val="clear" w:color="auto" w:fill="auto"/>
            <w:vAlign w:val="center"/>
            <w:hideMark/>
          </w:tcPr>
          <w:p w14:paraId="6937105F"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16 = 6. Укупни приходи</w:t>
            </w:r>
          </w:p>
        </w:tc>
        <w:tc>
          <w:tcPr>
            <w:tcW w:w="1094" w:type="dxa"/>
            <w:tcBorders>
              <w:top w:val="nil"/>
              <w:left w:val="nil"/>
              <w:bottom w:val="dotted" w:sz="4" w:space="0" w:color="auto"/>
              <w:right w:val="single" w:sz="8" w:space="0" w:color="auto"/>
            </w:tcBorders>
            <w:shd w:val="clear" w:color="auto" w:fill="auto"/>
            <w:vAlign w:val="center"/>
            <w:hideMark/>
          </w:tcPr>
          <w:p w14:paraId="007C009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TR</w:t>
            </w:r>
          </w:p>
        </w:tc>
        <w:tc>
          <w:tcPr>
            <w:tcW w:w="1150" w:type="dxa"/>
            <w:tcBorders>
              <w:top w:val="nil"/>
              <w:left w:val="nil"/>
              <w:bottom w:val="dotted" w:sz="4" w:space="0" w:color="auto"/>
              <w:right w:val="single" w:sz="8" w:space="0" w:color="auto"/>
            </w:tcBorders>
            <w:shd w:val="clear" w:color="auto" w:fill="auto"/>
            <w:vAlign w:val="center"/>
            <w:hideMark/>
          </w:tcPr>
          <w:p w14:paraId="302EEF1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3.473,3</w:t>
            </w:r>
          </w:p>
        </w:tc>
        <w:tc>
          <w:tcPr>
            <w:tcW w:w="1149" w:type="dxa"/>
            <w:tcBorders>
              <w:top w:val="nil"/>
              <w:left w:val="nil"/>
              <w:bottom w:val="dotted" w:sz="4" w:space="0" w:color="auto"/>
              <w:right w:val="dotted" w:sz="4" w:space="0" w:color="auto"/>
            </w:tcBorders>
            <w:shd w:val="clear" w:color="auto" w:fill="auto"/>
            <w:vAlign w:val="center"/>
            <w:hideMark/>
          </w:tcPr>
          <w:p w14:paraId="1397A14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39,4</w:t>
            </w:r>
          </w:p>
        </w:tc>
        <w:tc>
          <w:tcPr>
            <w:tcW w:w="1148" w:type="dxa"/>
            <w:tcBorders>
              <w:top w:val="nil"/>
              <w:left w:val="nil"/>
              <w:bottom w:val="dotted" w:sz="4" w:space="0" w:color="auto"/>
              <w:right w:val="dotted" w:sz="4" w:space="0" w:color="auto"/>
            </w:tcBorders>
            <w:shd w:val="clear" w:color="auto" w:fill="auto"/>
            <w:vAlign w:val="center"/>
            <w:hideMark/>
          </w:tcPr>
          <w:p w14:paraId="3B12BDD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40,8</w:t>
            </w:r>
          </w:p>
        </w:tc>
        <w:tc>
          <w:tcPr>
            <w:tcW w:w="1148" w:type="dxa"/>
            <w:tcBorders>
              <w:top w:val="nil"/>
              <w:left w:val="nil"/>
              <w:bottom w:val="dotted" w:sz="4" w:space="0" w:color="auto"/>
              <w:right w:val="dotted" w:sz="4" w:space="0" w:color="auto"/>
            </w:tcBorders>
            <w:shd w:val="clear" w:color="auto" w:fill="auto"/>
            <w:vAlign w:val="center"/>
            <w:hideMark/>
          </w:tcPr>
          <w:p w14:paraId="5909437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41,3</w:t>
            </w:r>
          </w:p>
        </w:tc>
        <w:tc>
          <w:tcPr>
            <w:tcW w:w="1148" w:type="dxa"/>
            <w:tcBorders>
              <w:top w:val="nil"/>
              <w:left w:val="nil"/>
              <w:bottom w:val="dotted" w:sz="4" w:space="0" w:color="auto"/>
              <w:right w:val="dotted" w:sz="4" w:space="0" w:color="auto"/>
            </w:tcBorders>
            <w:shd w:val="clear" w:color="auto" w:fill="auto"/>
            <w:vAlign w:val="center"/>
            <w:hideMark/>
          </w:tcPr>
          <w:p w14:paraId="536E45D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40,9</w:t>
            </w:r>
          </w:p>
        </w:tc>
        <w:tc>
          <w:tcPr>
            <w:tcW w:w="1153" w:type="dxa"/>
            <w:tcBorders>
              <w:top w:val="nil"/>
              <w:left w:val="nil"/>
              <w:bottom w:val="dotted" w:sz="4" w:space="0" w:color="auto"/>
              <w:right w:val="double" w:sz="6" w:space="0" w:color="auto"/>
            </w:tcBorders>
            <w:shd w:val="clear" w:color="auto" w:fill="auto"/>
            <w:vAlign w:val="center"/>
            <w:hideMark/>
          </w:tcPr>
          <w:p w14:paraId="4879E42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40,5</w:t>
            </w:r>
          </w:p>
        </w:tc>
      </w:tr>
      <w:tr w:rsidR="009B5DE5" w:rsidRPr="009B5DE5" w14:paraId="718211F3" w14:textId="77777777" w:rsidTr="00396800">
        <w:trPr>
          <w:trHeight w:val="403"/>
        </w:trPr>
        <w:tc>
          <w:tcPr>
            <w:tcW w:w="6709" w:type="dxa"/>
            <w:tcBorders>
              <w:top w:val="nil"/>
              <w:left w:val="double" w:sz="6" w:space="0" w:color="auto"/>
              <w:bottom w:val="single" w:sz="8" w:space="0" w:color="auto"/>
              <w:right w:val="nil"/>
            </w:tcBorders>
            <w:shd w:val="clear" w:color="auto" w:fill="auto"/>
            <w:noWrap/>
            <w:vAlign w:val="bottom"/>
            <w:hideMark/>
          </w:tcPr>
          <w:p w14:paraId="3B960682"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информативно: пореско оптерећење (D2+D5+D61+D91-D995) [5]</w:t>
            </w:r>
          </w:p>
        </w:tc>
        <w:tc>
          <w:tcPr>
            <w:tcW w:w="1094" w:type="dxa"/>
            <w:tcBorders>
              <w:top w:val="nil"/>
              <w:left w:val="nil"/>
              <w:bottom w:val="single" w:sz="8" w:space="0" w:color="000000"/>
              <w:right w:val="single" w:sz="8" w:space="0" w:color="auto"/>
            </w:tcBorders>
            <w:shd w:val="clear" w:color="auto" w:fill="auto"/>
            <w:vAlign w:val="center"/>
            <w:hideMark/>
          </w:tcPr>
          <w:p w14:paraId="0584706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50" w:type="dxa"/>
            <w:tcBorders>
              <w:top w:val="nil"/>
              <w:left w:val="nil"/>
              <w:bottom w:val="single" w:sz="8" w:space="0" w:color="auto"/>
              <w:right w:val="single" w:sz="8" w:space="0" w:color="auto"/>
            </w:tcBorders>
            <w:shd w:val="clear" w:color="auto" w:fill="auto"/>
            <w:vAlign w:val="center"/>
            <w:hideMark/>
          </w:tcPr>
          <w:p w14:paraId="44D9350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3.078,7</w:t>
            </w:r>
          </w:p>
        </w:tc>
        <w:tc>
          <w:tcPr>
            <w:tcW w:w="1149" w:type="dxa"/>
            <w:tcBorders>
              <w:top w:val="nil"/>
              <w:left w:val="nil"/>
              <w:bottom w:val="single" w:sz="8" w:space="0" w:color="000000"/>
              <w:right w:val="dotted" w:sz="4" w:space="0" w:color="auto"/>
            </w:tcBorders>
            <w:shd w:val="clear" w:color="auto" w:fill="auto"/>
            <w:vAlign w:val="center"/>
            <w:hideMark/>
          </w:tcPr>
          <w:p w14:paraId="5BD5037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34,9</w:t>
            </w:r>
          </w:p>
        </w:tc>
        <w:tc>
          <w:tcPr>
            <w:tcW w:w="1148" w:type="dxa"/>
            <w:tcBorders>
              <w:top w:val="nil"/>
              <w:left w:val="nil"/>
              <w:bottom w:val="single" w:sz="8" w:space="0" w:color="000000"/>
              <w:right w:val="dotted" w:sz="4" w:space="0" w:color="auto"/>
            </w:tcBorders>
            <w:shd w:val="clear" w:color="auto" w:fill="auto"/>
            <w:vAlign w:val="center"/>
            <w:hideMark/>
          </w:tcPr>
          <w:p w14:paraId="15F2107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36,2</w:t>
            </w:r>
          </w:p>
        </w:tc>
        <w:tc>
          <w:tcPr>
            <w:tcW w:w="1148" w:type="dxa"/>
            <w:tcBorders>
              <w:top w:val="nil"/>
              <w:left w:val="nil"/>
              <w:bottom w:val="single" w:sz="8" w:space="0" w:color="000000"/>
              <w:right w:val="dotted" w:sz="4" w:space="0" w:color="auto"/>
            </w:tcBorders>
            <w:shd w:val="clear" w:color="auto" w:fill="auto"/>
            <w:vAlign w:val="center"/>
            <w:hideMark/>
          </w:tcPr>
          <w:p w14:paraId="026DABB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36,3</w:t>
            </w:r>
          </w:p>
        </w:tc>
        <w:tc>
          <w:tcPr>
            <w:tcW w:w="1148" w:type="dxa"/>
            <w:tcBorders>
              <w:top w:val="nil"/>
              <w:left w:val="nil"/>
              <w:bottom w:val="single" w:sz="8" w:space="0" w:color="000000"/>
              <w:right w:val="dotted" w:sz="4" w:space="0" w:color="auto"/>
            </w:tcBorders>
            <w:shd w:val="clear" w:color="auto" w:fill="auto"/>
            <w:vAlign w:val="center"/>
            <w:hideMark/>
          </w:tcPr>
          <w:p w14:paraId="4460B40A"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36,4</w:t>
            </w:r>
          </w:p>
        </w:tc>
        <w:tc>
          <w:tcPr>
            <w:tcW w:w="1153" w:type="dxa"/>
            <w:tcBorders>
              <w:top w:val="nil"/>
              <w:left w:val="nil"/>
              <w:bottom w:val="single" w:sz="8" w:space="0" w:color="auto"/>
              <w:right w:val="double" w:sz="6" w:space="0" w:color="auto"/>
            </w:tcBorders>
            <w:shd w:val="clear" w:color="auto" w:fill="auto"/>
            <w:vAlign w:val="center"/>
            <w:hideMark/>
          </w:tcPr>
          <w:p w14:paraId="4CE7BE7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36,3</w:t>
            </w:r>
          </w:p>
        </w:tc>
      </w:tr>
      <w:tr w:rsidR="009B5DE5" w:rsidRPr="009B5DE5" w14:paraId="22C6861C" w14:textId="77777777" w:rsidTr="00396800">
        <w:trPr>
          <w:trHeight w:val="403"/>
        </w:trPr>
        <w:tc>
          <w:tcPr>
            <w:tcW w:w="14702" w:type="dxa"/>
            <w:gridSpan w:val="8"/>
            <w:tcBorders>
              <w:top w:val="single" w:sz="8" w:space="0" w:color="auto"/>
              <w:left w:val="double" w:sz="6" w:space="0" w:color="auto"/>
              <w:bottom w:val="single" w:sz="8" w:space="0" w:color="auto"/>
              <w:right w:val="double" w:sz="6" w:space="0" w:color="000000"/>
            </w:tcBorders>
            <w:shd w:val="clear" w:color="auto" w:fill="auto"/>
            <w:vAlign w:val="center"/>
            <w:hideMark/>
          </w:tcPr>
          <w:p w14:paraId="25F77EC1"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Изабране компоненте расхода</w:t>
            </w:r>
          </w:p>
        </w:tc>
      </w:tr>
      <w:tr w:rsidR="009B5DE5" w:rsidRPr="009B5DE5" w14:paraId="6DAD3DBB" w14:textId="77777777" w:rsidTr="00396800">
        <w:trPr>
          <w:trHeight w:val="273"/>
        </w:trPr>
        <w:tc>
          <w:tcPr>
            <w:tcW w:w="6709" w:type="dxa"/>
            <w:tcBorders>
              <w:top w:val="nil"/>
              <w:left w:val="double" w:sz="6" w:space="0" w:color="auto"/>
              <w:bottom w:val="dotted" w:sz="4" w:space="0" w:color="auto"/>
              <w:right w:val="dotted" w:sz="4" w:space="0" w:color="auto"/>
            </w:tcBorders>
            <w:shd w:val="clear" w:color="auto" w:fill="auto"/>
            <w:vAlign w:val="center"/>
            <w:hideMark/>
          </w:tcPr>
          <w:p w14:paraId="3513AB67"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17. Колективна потрошња</w:t>
            </w:r>
          </w:p>
        </w:tc>
        <w:tc>
          <w:tcPr>
            <w:tcW w:w="1094" w:type="dxa"/>
            <w:tcBorders>
              <w:top w:val="nil"/>
              <w:left w:val="nil"/>
              <w:bottom w:val="dotted" w:sz="4" w:space="0" w:color="auto"/>
              <w:right w:val="single" w:sz="8" w:space="0" w:color="auto"/>
            </w:tcBorders>
            <w:shd w:val="clear" w:color="auto" w:fill="auto"/>
            <w:vAlign w:val="center"/>
            <w:hideMark/>
          </w:tcPr>
          <w:p w14:paraId="4EA34FF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P32</w:t>
            </w:r>
          </w:p>
        </w:tc>
        <w:tc>
          <w:tcPr>
            <w:tcW w:w="1150" w:type="dxa"/>
            <w:tcBorders>
              <w:top w:val="nil"/>
              <w:left w:val="nil"/>
              <w:bottom w:val="dotted" w:sz="4" w:space="0" w:color="auto"/>
              <w:right w:val="single" w:sz="8" w:space="0" w:color="auto"/>
            </w:tcBorders>
            <w:shd w:val="clear" w:color="auto" w:fill="auto"/>
            <w:vAlign w:val="center"/>
            <w:hideMark/>
          </w:tcPr>
          <w:p w14:paraId="6A40278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1.403,0</w:t>
            </w:r>
          </w:p>
        </w:tc>
        <w:tc>
          <w:tcPr>
            <w:tcW w:w="1149" w:type="dxa"/>
            <w:tcBorders>
              <w:top w:val="nil"/>
              <w:left w:val="nil"/>
              <w:bottom w:val="dotted" w:sz="4" w:space="0" w:color="auto"/>
              <w:right w:val="dotted" w:sz="4" w:space="0" w:color="auto"/>
            </w:tcBorders>
            <w:shd w:val="clear" w:color="auto" w:fill="auto"/>
            <w:vAlign w:val="center"/>
            <w:hideMark/>
          </w:tcPr>
          <w:p w14:paraId="3A3A1E1F"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15,9</w:t>
            </w:r>
          </w:p>
        </w:tc>
        <w:tc>
          <w:tcPr>
            <w:tcW w:w="1148" w:type="dxa"/>
            <w:tcBorders>
              <w:top w:val="nil"/>
              <w:left w:val="nil"/>
              <w:bottom w:val="dotted" w:sz="4" w:space="0" w:color="auto"/>
              <w:right w:val="dotted" w:sz="4" w:space="0" w:color="auto"/>
            </w:tcBorders>
            <w:shd w:val="clear" w:color="auto" w:fill="auto"/>
            <w:vAlign w:val="center"/>
            <w:hideMark/>
          </w:tcPr>
          <w:p w14:paraId="62A2533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16,8</w:t>
            </w:r>
          </w:p>
        </w:tc>
        <w:tc>
          <w:tcPr>
            <w:tcW w:w="1148" w:type="dxa"/>
            <w:tcBorders>
              <w:top w:val="nil"/>
              <w:left w:val="nil"/>
              <w:bottom w:val="dotted" w:sz="4" w:space="0" w:color="auto"/>
              <w:right w:val="dotted" w:sz="4" w:space="0" w:color="auto"/>
            </w:tcBorders>
            <w:shd w:val="clear" w:color="auto" w:fill="auto"/>
            <w:vAlign w:val="center"/>
            <w:hideMark/>
          </w:tcPr>
          <w:p w14:paraId="085E670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17,8</w:t>
            </w:r>
          </w:p>
        </w:tc>
        <w:tc>
          <w:tcPr>
            <w:tcW w:w="1148" w:type="dxa"/>
            <w:tcBorders>
              <w:top w:val="nil"/>
              <w:left w:val="nil"/>
              <w:bottom w:val="dotted" w:sz="4" w:space="0" w:color="auto"/>
              <w:right w:val="dotted" w:sz="4" w:space="0" w:color="auto"/>
            </w:tcBorders>
            <w:shd w:val="clear" w:color="auto" w:fill="auto"/>
            <w:vAlign w:val="center"/>
            <w:hideMark/>
          </w:tcPr>
          <w:p w14:paraId="28A3446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17,6</w:t>
            </w:r>
          </w:p>
        </w:tc>
        <w:tc>
          <w:tcPr>
            <w:tcW w:w="1153" w:type="dxa"/>
            <w:tcBorders>
              <w:top w:val="nil"/>
              <w:left w:val="nil"/>
              <w:bottom w:val="dotted" w:sz="4" w:space="0" w:color="auto"/>
              <w:right w:val="double" w:sz="6" w:space="0" w:color="auto"/>
            </w:tcBorders>
            <w:shd w:val="clear" w:color="auto" w:fill="auto"/>
            <w:vAlign w:val="center"/>
            <w:hideMark/>
          </w:tcPr>
          <w:p w14:paraId="1A84A4A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17,6</w:t>
            </w:r>
          </w:p>
        </w:tc>
      </w:tr>
      <w:tr w:rsidR="009B5DE5" w:rsidRPr="009B5DE5" w14:paraId="74824C8D" w14:textId="77777777" w:rsidTr="00396800">
        <w:trPr>
          <w:trHeight w:val="562"/>
        </w:trPr>
        <w:tc>
          <w:tcPr>
            <w:tcW w:w="6709" w:type="dxa"/>
            <w:tcBorders>
              <w:top w:val="nil"/>
              <w:left w:val="double" w:sz="6" w:space="0" w:color="auto"/>
              <w:bottom w:val="dotted" w:sz="4" w:space="0" w:color="auto"/>
              <w:right w:val="dotted" w:sz="4" w:space="0" w:color="auto"/>
            </w:tcBorders>
            <w:shd w:val="clear" w:color="auto" w:fill="auto"/>
            <w:vAlign w:val="center"/>
            <w:hideMark/>
          </w:tcPr>
          <w:p w14:paraId="2A262F70"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18. Укупни социјални трансфери</w:t>
            </w:r>
          </w:p>
        </w:tc>
        <w:tc>
          <w:tcPr>
            <w:tcW w:w="1094" w:type="dxa"/>
            <w:tcBorders>
              <w:top w:val="nil"/>
              <w:left w:val="nil"/>
              <w:bottom w:val="dotted" w:sz="4" w:space="0" w:color="auto"/>
              <w:right w:val="single" w:sz="8" w:space="0" w:color="auto"/>
            </w:tcBorders>
            <w:shd w:val="clear" w:color="auto" w:fill="auto"/>
            <w:vAlign w:val="center"/>
            <w:hideMark/>
          </w:tcPr>
          <w:p w14:paraId="15F6A2F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D62 + D63</w:t>
            </w:r>
          </w:p>
        </w:tc>
        <w:tc>
          <w:tcPr>
            <w:tcW w:w="1150" w:type="dxa"/>
            <w:tcBorders>
              <w:top w:val="nil"/>
              <w:left w:val="nil"/>
              <w:bottom w:val="dotted" w:sz="4" w:space="0" w:color="auto"/>
              <w:right w:val="single" w:sz="8" w:space="0" w:color="auto"/>
            </w:tcBorders>
            <w:shd w:val="clear" w:color="auto" w:fill="auto"/>
            <w:vAlign w:val="center"/>
            <w:hideMark/>
          </w:tcPr>
          <w:p w14:paraId="31D5EDCA"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1.098,6</w:t>
            </w:r>
          </w:p>
        </w:tc>
        <w:tc>
          <w:tcPr>
            <w:tcW w:w="1149" w:type="dxa"/>
            <w:tcBorders>
              <w:top w:val="nil"/>
              <w:left w:val="nil"/>
              <w:bottom w:val="dotted" w:sz="4" w:space="0" w:color="auto"/>
              <w:right w:val="dotted" w:sz="4" w:space="0" w:color="auto"/>
            </w:tcBorders>
            <w:shd w:val="clear" w:color="auto" w:fill="auto"/>
            <w:vAlign w:val="center"/>
            <w:hideMark/>
          </w:tcPr>
          <w:p w14:paraId="771029F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12,5</w:t>
            </w:r>
          </w:p>
        </w:tc>
        <w:tc>
          <w:tcPr>
            <w:tcW w:w="1148" w:type="dxa"/>
            <w:tcBorders>
              <w:top w:val="nil"/>
              <w:left w:val="nil"/>
              <w:bottom w:val="dotted" w:sz="4" w:space="0" w:color="auto"/>
              <w:right w:val="dotted" w:sz="4" w:space="0" w:color="auto"/>
            </w:tcBorders>
            <w:shd w:val="clear" w:color="auto" w:fill="auto"/>
            <w:vAlign w:val="center"/>
            <w:hideMark/>
          </w:tcPr>
          <w:p w14:paraId="42278CF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13,0</w:t>
            </w:r>
          </w:p>
        </w:tc>
        <w:tc>
          <w:tcPr>
            <w:tcW w:w="1148" w:type="dxa"/>
            <w:tcBorders>
              <w:top w:val="nil"/>
              <w:left w:val="nil"/>
              <w:bottom w:val="dotted" w:sz="4" w:space="0" w:color="auto"/>
              <w:right w:val="dotted" w:sz="4" w:space="0" w:color="auto"/>
            </w:tcBorders>
            <w:shd w:val="clear" w:color="auto" w:fill="auto"/>
            <w:vAlign w:val="center"/>
            <w:hideMark/>
          </w:tcPr>
          <w:p w14:paraId="02572F6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13,0</w:t>
            </w:r>
          </w:p>
        </w:tc>
        <w:tc>
          <w:tcPr>
            <w:tcW w:w="1148" w:type="dxa"/>
            <w:tcBorders>
              <w:top w:val="nil"/>
              <w:left w:val="nil"/>
              <w:bottom w:val="dotted" w:sz="4" w:space="0" w:color="auto"/>
              <w:right w:val="dotted" w:sz="4" w:space="0" w:color="auto"/>
            </w:tcBorders>
            <w:shd w:val="clear" w:color="auto" w:fill="auto"/>
            <w:vAlign w:val="center"/>
            <w:hideMark/>
          </w:tcPr>
          <w:p w14:paraId="65C25630"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13,1</w:t>
            </w:r>
          </w:p>
        </w:tc>
        <w:tc>
          <w:tcPr>
            <w:tcW w:w="1153" w:type="dxa"/>
            <w:tcBorders>
              <w:top w:val="nil"/>
              <w:left w:val="nil"/>
              <w:bottom w:val="dotted" w:sz="4" w:space="0" w:color="auto"/>
              <w:right w:val="double" w:sz="6" w:space="0" w:color="auto"/>
            </w:tcBorders>
            <w:shd w:val="clear" w:color="auto" w:fill="auto"/>
            <w:vAlign w:val="center"/>
            <w:hideMark/>
          </w:tcPr>
          <w:p w14:paraId="6B714C20"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12,8</w:t>
            </w:r>
          </w:p>
        </w:tc>
      </w:tr>
      <w:tr w:rsidR="009B5DE5" w:rsidRPr="009B5DE5" w14:paraId="5DB926C1" w14:textId="77777777" w:rsidTr="00396800">
        <w:trPr>
          <w:trHeight w:val="403"/>
        </w:trPr>
        <w:tc>
          <w:tcPr>
            <w:tcW w:w="6709" w:type="dxa"/>
            <w:tcBorders>
              <w:top w:val="nil"/>
              <w:left w:val="double" w:sz="6" w:space="0" w:color="auto"/>
              <w:bottom w:val="dotted" w:sz="4" w:space="0" w:color="auto"/>
              <w:right w:val="dotted" w:sz="4" w:space="0" w:color="auto"/>
            </w:tcBorders>
            <w:shd w:val="clear" w:color="auto" w:fill="auto"/>
            <w:vAlign w:val="center"/>
            <w:hideMark/>
          </w:tcPr>
          <w:p w14:paraId="45BFB0D6"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18а. Неновчани социјални трансфери</w:t>
            </w:r>
          </w:p>
        </w:tc>
        <w:tc>
          <w:tcPr>
            <w:tcW w:w="1094" w:type="dxa"/>
            <w:tcBorders>
              <w:top w:val="nil"/>
              <w:left w:val="nil"/>
              <w:bottom w:val="dotted" w:sz="4" w:space="0" w:color="auto"/>
              <w:right w:val="single" w:sz="8" w:space="0" w:color="auto"/>
            </w:tcBorders>
            <w:shd w:val="clear" w:color="auto" w:fill="auto"/>
            <w:vAlign w:val="center"/>
            <w:hideMark/>
          </w:tcPr>
          <w:p w14:paraId="65EFE61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P31 = D63</w:t>
            </w:r>
          </w:p>
        </w:tc>
        <w:tc>
          <w:tcPr>
            <w:tcW w:w="1150" w:type="dxa"/>
            <w:tcBorders>
              <w:top w:val="nil"/>
              <w:left w:val="nil"/>
              <w:bottom w:val="dotted" w:sz="4" w:space="0" w:color="auto"/>
              <w:right w:val="single" w:sz="8" w:space="0" w:color="auto"/>
            </w:tcBorders>
            <w:shd w:val="clear" w:color="auto" w:fill="auto"/>
            <w:vAlign w:val="center"/>
            <w:hideMark/>
          </w:tcPr>
          <w:p w14:paraId="3F5A22B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149" w:type="dxa"/>
            <w:tcBorders>
              <w:top w:val="nil"/>
              <w:left w:val="nil"/>
              <w:bottom w:val="dotted" w:sz="4" w:space="0" w:color="auto"/>
              <w:right w:val="dotted" w:sz="4" w:space="0" w:color="auto"/>
            </w:tcBorders>
            <w:shd w:val="clear" w:color="auto" w:fill="auto"/>
            <w:vAlign w:val="center"/>
            <w:hideMark/>
          </w:tcPr>
          <w:p w14:paraId="7FF1DE8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148" w:type="dxa"/>
            <w:tcBorders>
              <w:top w:val="nil"/>
              <w:left w:val="nil"/>
              <w:bottom w:val="dotted" w:sz="4" w:space="0" w:color="auto"/>
              <w:right w:val="dotted" w:sz="4" w:space="0" w:color="auto"/>
            </w:tcBorders>
            <w:shd w:val="clear" w:color="auto" w:fill="auto"/>
            <w:vAlign w:val="center"/>
            <w:hideMark/>
          </w:tcPr>
          <w:p w14:paraId="7CF3C9E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148" w:type="dxa"/>
            <w:tcBorders>
              <w:top w:val="nil"/>
              <w:left w:val="nil"/>
              <w:bottom w:val="dotted" w:sz="4" w:space="0" w:color="auto"/>
              <w:right w:val="dotted" w:sz="4" w:space="0" w:color="auto"/>
            </w:tcBorders>
            <w:shd w:val="clear" w:color="auto" w:fill="auto"/>
            <w:vAlign w:val="center"/>
            <w:hideMark/>
          </w:tcPr>
          <w:p w14:paraId="2F954E0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148" w:type="dxa"/>
            <w:tcBorders>
              <w:top w:val="nil"/>
              <w:left w:val="nil"/>
              <w:bottom w:val="dotted" w:sz="4" w:space="0" w:color="auto"/>
              <w:right w:val="dotted" w:sz="4" w:space="0" w:color="auto"/>
            </w:tcBorders>
            <w:shd w:val="clear" w:color="auto" w:fill="auto"/>
            <w:vAlign w:val="center"/>
            <w:hideMark/>
          </w:tcPr>
          <w:p w14:paraId="0DDE40E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153" w:type="dxa"/>
            <w:tcBorders>
              <w:top w:val="nil"/>
              <w:left w:val="nil"/>
              <w:bottom w:val="dotted" w:sz="4" w:space="0" w:color="auto"/>
              <w:right w:val="double" w:sz="6" w:space="0" w:color="auto"/>
            </w:tcBorders>
            <w:shd w:val="clear" w:color="auto" w:fill="auto"/>
            <w:vAlign w:val="center"/>
            <w:hideMark/>
          </w:tcPr>
          <w:p w14:paraId="226D7F4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r>
      <w:tr w:rsidR="009B5DE5" w:rsidRPr="009B5DE5" w14:paraId="449E6600" w14:textId="77777777" w:rsidTr="00396800">
        <w:trPr>
          <w:trHeight w:val="331"/>
        </w:trPr>
        <w:tc>
          <w:tcPr>
            <w:tcW w:w="6709" w:type="dxa"/>
            <w:tcBorders>
              <w:top w:val="nil"/>
              <w:left w:val="double" w:sz="6" w:space="0" w:color="auto"/>
              <w:bottom w:val="dotted" w:sz="4" w:space="0" w:color="auto"/>
              <w:right w:val="dotted" w:sz="4" w:space="0" w:color="auto"/>
            </w:tcBorders>
            <w:shd w:val="clear" w:color="auto" w:fill="auto"/>
            <w:vAlign w:val="center"/>
            <w:hideMark/>
          </w:tcPr>
          <w:p w14:paraId="23109108"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18б. Социјални трансфери осим неновчаних</w:t>
            </w:r>
          </w:p>
        </w:tc>
        <w:tc>
          <w:tcPr>
            <w:tcW w:w="1094" w:type="dxa"/>
            <w:tcBorders>
              <w:top w:val="nil"/>
              <w:left w:val="nil"/>
              <w:bottom w:val="dotted" w:sz="4" w:space="0" w:color="auto"/>
              <w:right w:val="single" w:sz="8" w:space="0" w:color="auto"/>
            </w:tcBorders>
            <w:shd w:val="clear" w:color="auto" w:fill="auto"/>
            <w:vAlign w:val="center"/>
            <w:hideMark/>
          </w:tcPr>
          <w:p w14:paraId="4D98AE5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D62</w:t>
            </w:r>
          </w:p>
        </w:tc>
        <w:tc>
          <w:tcPr>
            <w:tcW w:w="1150" w:type="dxa"/>
            <w:tcBorders>
              <w:top w:val="nil"/>
              <w:left w:val="nil"/>
              <w:bottom w:val="dotted" w:sz="4" w:space="0" w:color="auto"/>
              <w:right w:val="single" w:sz="8" w:space="0" w:color="auto"/>
            </w:tcBorders>
            <w:shd w:val="clear" w:color="auto" w:fill="auto"/>
            <w:vAlign w:val="center"/>
            <w:hideMark/>
          </w:tcPr>
          <w:p w14:paraId="7565B9B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1.098,6</w:t>
            </w:r>
          </w:p>
        </w:tc>
        <w:tc>
          <w:tcPr>
            <w:tcW w:w="1149" w:type="dxa"/>
            <w:tcBorders>
              <w:top w:val="nil"/>
              <w:left w:val="nil"/>
              <w:bottom w:val="dotted" w:sz="4" w:space="0" w:color="auto"/>
              <w:right w:val="dotted" w:sz="4" w:space="0" w:color="auto"/>
            </w:tcBorders>
            <w:shd w:val="clear" w:color="auto" w:fill="auto"/>
            <w:vAlign w:val="center"/>
            <w:hideMark/>
          </w:tcPr>
          <w:p w14:paraId="5A92877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12,5</w:t>
            </w:r>
          </w:p>
        </w:tc>
        <w:tc>
          <w:tcPr>
            <w:tcW w:w="1148" w:type="dxa"/>
            <w:tcBorders>
              <w:top w:val="nil"/>
              <w:left w:val="nil"/>
              <w:bottom w:val="dotted" w:sz="4" w:space="0" w:color="auto"/>
              <w:right w:val="dotted" w:sz="4" w:space="0" w:color="auto"/>
            </w:tcBorders>
            <w:shd w:val="clear" w:color="auto" w:fill="auto"/>
            <w:vAlign w:val="center"/>
            <w:hideMark/>
          </w:tcPr>
          <w:p w14:paraId="4263759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13,0</w:t>
            </w:r>
          </w:p>
        </w:tc>
        <w:tc>
          <w:tcPr>
            <w:tcW w:w="1148" w:type="dxa"/>
            <w:tcBorders>
              <w:top w:val="nil"/>
              <w:left w:val="nil"/>
              <w:bottom w:val="dotted" w:sz="4" w:space="0" w:color="auto"/>
              <w:right w:val="dotted" w:sz="4" w:space="0" w:color="auto"/>
            </w:tcBorders>
            <w:shd w:val="clear" w:color="auto" w:fill="auto"/>
            <w:vAlign w:val="center"/>
            <w:hideMark/>
          </w:tcPr>
          <w:p w14:paraId="7CA2CC6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13,0</w:t>
            </w:r>
          </w:p>
        </w:tc>
        <w:tc>
          <w:tcPr>
            <w:tcW w:w="1148" w:type="dxa"/>
            <w:tcBorders>
              <w:top w:val="nil"/>
              <w:left w:val="nil"/>
              <w:bottom w:val="dotted" w:sz="4" w:space="0" w:color="auto"/>
              <w:right w:val="dotted" w:sz="4" w:space="0" w:color="auto"/>
            </w:tcBorders>
            <w:shd w:val="clear" w:color="auto" w:fill="auto"/>
            <w:vAlign w:val="center"/>
            <w:hideMark/>
          </w:tcPr>
          <w:p w14:paraId="0C88DEF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13,1</w:t>
            </w:r>
          </w:p>
        </w:tc>
        <w:tc>
          <w:tcPr>
            <w:tcW w:w="1153" w:type="dxa"/>
            <w:tcBorders>
              <w:top w:val="nil"/>
              <w:left w:val="nil"/>
              <w:bottom w:val="dotted" w:sz="4" w:space="0" w:color="auto"/>
              <w:right w:val="double" w:sz="6" w:space="0" w:color="auto"/>
            </w:tcBorders>
            <w:shd w:val="clear" w:color="auto" w:fill="auto"/>
            <w:vAlign w:val="center"/>
            <w:hideMark/>
          </w:tcPr>
          <w:p w14:paraId="79DD94B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12,8</w:t>
            </w:r>
          </w:p>
        </w:tc>
      </w:tr>
      <w:tr w:rsidR="009B5DE5" w:rsidRPr="009B5DE5" w14:paraId="11C44A20" w14:textId="77777777" w:rsidTr="00396800">
        <w:trPr>
          <w:trHeight w:val="677"/>
        </w:trPr>
        <w:tc>
          <w:tcPr>
            <w:tcW w:w="6709" w:type="dxa"/>
            <w:tcBorders>
              <w:top w:val="nil"/>
              <w:left w:val="double" w:sz="6" w:space="0" w:color="auto"/>
              <w:bottom w:val="dotted" w:sz="4" w:space="0" w:color="auto"/>
              <w:right w:val="dotted" w:sz="4" w:space="0" w:color="auto"/>
            </w:tcBorders>
            <w:shd w:val="clear" w:color="auto" w:fill="auto"/>
            <w:vAlign w:val="center"/>
            <w:hideMark/>
          </w:tcPr>
          <w:p w14:paraId="0BBBF93A"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19 = 9. Расходи за камате</w:t>
            </w:r>
          </w:p>
        </w:tc>
        <w:tc>
          <w:tcPr>
            <w:tcW w:w="1094" w:type="dxa"/>
            <w:tcBorders>
              <w:top w:val="nil"/>
              <w:left w:val="nil"/>
              <w:bottom w:val="dotted" w:sz="4" w:space="0" w:color="auto"/>
              <w:right w:val="single" w:sz="8" w:space="0" w:color="auto"/>
            </w:tcBorders>
            <w:shd w:val="clear" w:color="auto" w:fill="auto"/>
            <w:vAlign w:val="center"/>
            <w:hideMark/>
          </w:tcPr>
          <w:p w14:paraId="4554D6C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EDP.D41 + FISIM</w:t>
            </w:r>
          </w:p>
        </w:tc>
        <w:tc>
          <w:tcPr>
            <w:tcW w:w="1150" w:type="dxa"/>
            <w:tcBorders>
              <w:top w:val="nil"/>
              <w:left w:val="nil"/>
              <w:bottom w:val="dotted" w:sz="4" w:space="0" w:color="auto"/>
              <w:right w:val="single" w:sz="8" w:space="0" w:color="auto"/>
            </w:tcBorders>
            <w:shd w:val="clear" w:color="auto" w:fill="auto"/>
            <w:vAlign w:val="center"/>
            <w:hideMark/>
          </w:tcPr>
          <w:p w14:paraId="62C0465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149,3</w:t>
            </w:r>
          </w:p>
        </w:tc>
        <w:tc>
          <w:tcPr>
            <w:tcW w:w="1149" w:type="dxa"/>
            <w:tcBorders>
              <w:top w:val="nil"/>
              <w:left w:val="nil"/>
              <w:bottom w:val="dotted" w:sz="4" w:space="0" w:color="auto"/>
              <w:right w:val="dotted" w:sz="4" w:space="0" w:color="auto"/>
            </w:tcBorders>
            <w:shd w:val="clear" w:color="auto" w:fill="auto"/>
            <w:vAlign w:val="center"/>
            <w:hideMark/>
          </w:tcPr>
          <w:p w14:paraId="055669D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1,7</w:t>
            </w:r>
          </w:p>
        </w:tc>
        <w:tc>
          <w:tcPr>
            <w:tcW w:w="1148" w:type="dxa"/>
            <w:tcBorders>
              <w:top w:val="nil"/>
              <w:left w:val="nil"/>
              <w:bottom w:val="dotted" w:sz="4" w:space="0" w:color="auto"/>
              <w:right w:val="dotted" w:sz="4" w:space="0" w:color="auto"/>
            </w:tcBorders>
            <w:shd w:val="clear" w:color="auto" w:fill="auto"/>
            <w:vAlign w:val="center"/>
            <w:hideMark/>
          </w:tcPr>
          <w:p w14:paraId="5F2743D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w:t>
            </w:r>
          </w:p>
        </w:tc>
        <w:tc>
          <w:tcPr>
            <w:tcW w:w="1148" w:type="dxa"/>
            <w:tcBorders>
              <w:top w:val="nil"/>
              <w:left w:val="nil"/>
              <w:bottom w:val="dotted" w:sz="4" w:space="0" w:color="auto"/>
              <w:right w:val="dotted" w:sz="4" w:space="0" w:color="auto"/>
            </w:tcBorders>
            <w:shd w:val="clear" w:color="auto" w:fill="auto"/>
            <w:vAlign w:val="center"/>
            <w:hideMark/>
          </w:tcPr>
          <w:p w14:paraId="00621D5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2,2</w:t>
            </w:r>
          </w:p>
        </w:tc>
        <w:tc>
          <w:tcPr>
            <w:tcW w:w="1148" w:type="dxa"/>
            <w:tcBorders>
              <w:top w:val="nil"/>
              <w:left w:val="nil"/>
              <w:bottom w:val="dotted" w:sz="4" w:space="0" w:color="auto"/>
              <w:right w:val="dotted" w:sz="4" w:space="0" w:color="auto"/>
            </w:tcBorders>
            <w:shd w:val="clear" w:color="auto" w:fill="auto"/>
            <w:vAlign w:val="center"/>
            <w:hideMark/>
          </w:tcPr>
          <w:p w14:paraId="4F0C801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2,1</w:t>
            </w:r>
          </w:p>
        </w:tc>
        <w:tc>
          <w:tcPr>
            <w:tcW w:w="1153" w:type="dxa"/>
            <w:tcBorders>
              <w:top w:val="nil"/>
              <w:left w:val="nil"/>
              <w:bottom w:val="dotted" w:sz="4" w:space="0" w:color="auto"/>
              <w:right w:val="double" w:sz="6" w:space="0" w:color="auto"/>
            </w:tcBorders>
            <w:shd w:val="clear" w:color="auto" w:fill="auto"/>
            <w:vAlign w:val="center"/>
            <w:hideMark/>
          </w:tcPr>
          <w:p w14:paraId="2D9A413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w:t>
            </w:r>
          </w:p>
        </w:tc>
      </w:tr>
      <w:tr w:rsidR="009B5DE5" w:rsidRPr="009B5DE5" w14:paraId="546BEA3B" w14:textId="77777777" w:rsidTr="00396800">
        <w:trPr>
          <w:trHeight w:val="333"/>
        </w:trPr>
        <w:tc>
          <w:tcPr>
            <w:tcW w:w="6709" w:type="dxa"/>
            <w:tcBorders>
              <w:top w:val="nil"/>
              <w:left w:val="double" w:sz="6" w:space="0" w:color="auto"/>
              <w:bottom w:val="dotted" w:sz="4" w:space="0" w:color="auto"/>
              <w:right w:val="dotted" w:sz="4" w:space="0" w:color="auto"/>
            </w:tcBorders>
            <w:shd w:val="clear" w:color="auto" w:fill="auto"/>
            <w:vAlign w:val="center"/>
            <w:hideMark/>
          </w:tcPr>
          <w:p w14:paraId="325C661F"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20. Субвенције</w:t>
            </w:r>
          </w:p>
        </w:tc>
        <w:tc>
          <w:tcPr>
            <w:tcW w:w="1094" w:type="dxa"/>
            <w:tcBorders>
              <w:top w:val="nil"/>
              <w:left w:val="nil"/>
              <w:bottom w:val="dotted" w:sz="4" w:space="0" w:color="auto"/>
              <w:right w:val="single" w:sz="8" w:space="0" w:color="auto"/>
            </w:tcBorders>
            <w:shd w:val="clear" w:color="auto" w:fill="auto"/>
            <w:vAlign w:val="center"/>
            <w:hideMark/>
          </w:tcPr>
          <w:p w14:paraId="1DC68B7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D3</w:t>
            </w:r>
          </w:p>
        </w:tc>
        <w:tc>
          <w:tcPr>
            <w:tcW w:w="1150" w:type="dxa"/>
            <w:tcBorders>
              <w:top w:val="nil"/>
              <w:left w:val="nil"/>
              <w:bottom w:val="dotted" w:sz="4" w:space="0" w:color="auto"/>
              <w:right w:val="single" w:sz="8" w:space="0" w:color="auto"/>
            </w:tcBorders>
            <w:shd w:val="clear" w:color="auto" w:fill="auto"/>
            <w:vAlign w:val="center"/>
            <w:hideMark/>
          </w:tcPr>
          <w:p w14:paraId="64E0B2F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213,8</w:t>
            </w:r>
          </w:p>
        </w:tc>
        <w:tc>
          <w:tcPr>
            <w:tcW w:w="1149" w:type="dxa"/>
            <w:tcBorders>
              <w:top w:val="nil"/>
              <w:left w:val="nil"/>
              <w:bottom w:val="dotted" w:sz="4" w:space="0" w:color="auto"/>
              <w:right w:val="dotted" w:sz="4" w:space="0" w:color="auto"/>
            </w:tcBorders>
            <w:shd w:val="clear" w:color="auto" w:fill="auto"/>
            <w:vAlign w:val="center"/>
            <w:hideMark/>
          </w:tcPr>
          <w:p w14:paraId="1B3E6EB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2,4</w:t>
            </w:r>
          </w:p>
        </w:tc>
        <w:tc>
          <w:tcPr>
            <w:tcW w:w="1148" w:type="dxa"/>
            <w:tcBorders>
              <w:top w:val="nil"/>
              <w:left w:val="nil"/>
              <w:bottom w:val="dotted" w:sz="4" w:space="0" w:color="auto"/>
              <w:right w:val="dotted" w:sz="4" w:space="0" w:color="auto"/>
            </w:tcBorders>
            <w:shd w:val="clear" w:color="auto" w:fill="auto"/>
            <w:vAlign w:val="center"/>
            <w:hideMark/>
          </w:tcPr>
          <w:p w14:paraId="452968A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2,5</w:t>
            </w:r>
          </w:p>
        </w:tc>
        <w:tc>
          <w:tcPr>
            <w:tcW w:w="1148" w:type="dxa"/>
            <w:tcBorders>
              <w:top w:val="nil"/>
              <w:left w:val="nil"/>
              <w:bottom w:val="dotted" w:sz="4" w:space="0" w:color="auto"/>
              <w:right w:val="dotted" w:sz="4" w:space="0" w:color="auto"/>
            </w:tcBorders>
            <w:shd w:val="clear" w:color="auto" w:fill="auto"/>
            <w:vAlign w:val="center"/>
            <w:hideMark/>
          </w:tcPr>
          <w:p w14:paraId="60A074C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2,4</w:t>
            </w:r>
          </w:p>
        </w:tc>
        <w:tc>
          <w:tcPr>
            <w:tcW w:w="1148" w:type="dxa"/>
            <w:tcBorders>
              <w:top w:val="nil"/>
              <w:left w:val="nil"/>
              <w:bottom w:val="dotted" w:sz="4" w:space="0" w:color="auto"/>
              <w:right w:val="dotted" w:sz="4" w:space="0" w:color="auto"/>
            </w:tcBorders>
            <w:shd w:val="clear" w:color="auto" w:fill="auto"/>
            <w:vAlign w:val="center"/>
            <w:hideMark/>
          </w:tcPr>
          <w:p w14:paraId="06ADEE2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2,4</w:t>
            </w:r>
          </w:p>
        </w:tc>
        <w:tc>
          <w:tcPr>
            <w:tcW w:w="1153" w:type="dxa"/>
            <w:tcBorders>
              <w:top w:val="nil"/>
              <w:left w:val="nil"/>
              <w:bottom w:val="dotted" w:sz="4" w:space="0" w:color="auto"/>
              <w:right w:val="double" w:sz="6" w:space="0" w:color="auto"/>
            </w:tcBorders>
            <w:shd w:val="clear" w:color="auto" w:fill="auto"/>
            <w:vAlign w:val="center"/>
            <w:hideMark/>
          </w:tcPr>
          <w:p w14:paraId="59956C6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2,2</w:t>
            </w:r>
          </w:p>
        </w:tc>
      </w:tr>
      <w:tr w:rsidR="009B5DE5" w:rsidRPr="009B5DE5" w14:paraId="64250247" w14:textId="77777777" w:rsidTr="00396800">
        <w:trPr>
          <w:trHeight w:val="403"/>
        </w:trPr>
        <w:tc>
          <w:tcPr>
            <w:tcW w:w="6709" w:type="dxa"/>
            <w:tcBorders>
              <w:top w:val="nil"/>
              <w:left w:val="double" w:sz="6" w:space="0" w:color="auto"/>
              <w:bottom w:val="dotted" w:sz="4" w:space="0" w:color="auto"/>
              <w:right w:val="dotted" w:sz="4" w:space="0" w:color="auto"/>
            </w:tcBorders>
            <w:shd w:val="clear" w:color="auto" w:fill="auto"/>
            <w:vAlign w:val="center"/>
            <w:hideMark/>
          </w:tcPr>
          <w:p w14:paraId="4B05B239"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21. Бруто инвестиције у основна средства</w:t>
            </w:r>
          </w:p>
        </w:tc>
        <w:tc>
          <w:tcPr>
            <w:tcW w:w="1094" w:type="dxa"/>
            <w:tcBorders>
              <w:top w:val="nil"/>
              <w:left w:val="nil"/>
              <w:bottom w:val="dotted" w:sz="4" w:space="0" w:color="auto"/>
              <w:right w:val="single" w:sz="8" w:space="0" w:color="auto"/>
            </w:tcBorders>
            <w:shd w:val="clear" w:color="auto" w:fill="auto"/>
            <w:vAlign w:val="center"/>
            <w:hideMark/>
          </w:tcPr>
          <w:p w14:paraId="349317E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P51</w:t>
            </w:r>
          </w:p>
        </w:tc>
        <w:tc>
          <w:tcPr>
            <w:tcW w:w="1150" w:type="dxa"/>
            <w:tcBorders>
              <w:top w:val="nil"/>
              <w:left w:val="nil"/>
              <w:bottom w:val="dotted" w:sz="4" w:space="0" w:color="auto"/>
              <w:right w:val="single" w:sz="8" w:space="0" w:color="auto"/>
            </w:tcBorders>
            <w:shd w:val="clear" w:color="auto" w:fill="auto"/>
            <w:vAlign w:val="center"/>
            <w:hideMark/>
          </w:tcPr>
          <w:p w14:paraId="0A09325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568,6</w:t>
            </w:r>
          </w:p>
        </w:tc>
        <w:tc>
          <w:tcPr>
            <w:tcW w:w="1149" w:type="dxa"/>
            <w:tcBorders>
              <w:top w:val="nil"/>
              <w:left w:val="nil"/>
              <w:bottom w:val="dotted" w:sz="4" w:space="0" w:color="auto"/>
              <w:right w:val="dotted" w:sz="4" w:space="0" w:color="auto"/>
            </w:tcBorders>
            <w:shd w:val="clear" w:color="auto" w:fill="auto"/>
            <w:vAlign w:val="center"/>
            <w:hideMark/>
          </w:tcPr>
          <w:p w14:paraId="1DDE092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6,4</w:t>
            </w:r>
          </w:p>
        </w:tc>
        <w:tc>
          <w:tcPr>
            <w:tcW w:w="1148" w:type="dxa"/>
            <w:tcBorders>
              <w:top w:val="nil"/>
              <w:left w:val="nil"/>
              <w:bottom w:val="dotted" w:sz="4" w:space="0" w:color="auto"/>
              <w:right w:val="dotted" w:sz="4" w:space="0" w:color="auto"/>
            </w:tcBorders>
            <w:shd w:val="clear" w:color="auto" w:fill="auto"/>
            <w:vAlign w:val="center"/>
            <w:hideMark/>
          </w:tcPr>
          <w:p w14:paraId="6A110DA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7,4</w:t>
            </w:r>
          </w:p>
        </w:tc>
        <w:tc>
          <w:tcPr>
            <w:tcW w:w="1148" w:type="dxa"/>
            <w:tcBorders>
              <w:top w:val="nil"/>
              <w:left w:val="nil"/>
              <w:bottom w:val="dotted" w:sz="4" w:space="0" w:color="auto"/>
              <w:right w:val="dotted" w:sz="4" w:space="0" w:color="auto"/>
            </w:tcBorders>
            <w:shd w:val="clear" w:color="auto" w:fill="auto"/>
            <w:vAlign w:val="center"/>
            <w:hideMark/>
          </w:tcPr>
          <w:p w14:paraId="2B46AC1F"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7,4</w:t>
            </w:r>
          </w:p>
        </w:tc>
        <w:tc>
          <w:tcPr>
            <w:tcW w:w="1148" w:type="dxa"/>
            <w:tcBorders>
              <w:top w:val="nil"/>
              <w:left w:val="nil"/>
              <w:bottom w:val="dotted" w:sz="4" w:space="0" w:color="auto"/>
              <w:right w:val="dotted" w:sz="4" w:space="0" w:color="auto"/>
            </w:tcBorders>
            <w:shd w:val="clear" w:color="auto" w:fill="auto"/>
            <w:vAlign w:val="center"/>
            <w:hideMark/>
          </w:tcPr>
          <w:p w14:paraId="5145E7E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7,2</w:t>
            </w:r>
          </w:p>
        </w:tc>
        <w:tc>
          <w:tcPr>
            <w:tcW w:w="1153" w:type="dxa"/>
            <w:tcBorders>
              <w:top w:val="nil"/>
              <w:left w:val="nil"/>
              <w:bottom w:val="dotted" w:sz="4" w:space="0" w:color="auto"/>
              <w:right w:val="double" w:sz="6" w:space="0" w:color="auto"/>
            </w:tcBorders>
            <w:shd w:val="clear" w:color="auto" w:fill="auto"/>
            <w:vAlign w:val="center"/>
            <w:hideMark/>
          </w:tcPr>
          <w:p w14:paraId="01DF073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7,4</w:t>
            </w:r>
          </w:p>
        </w:tc>
      </w:tr>
      <w:tr w:rsidR="009B5DE5" w:rsidRPr="009B5DE5" w14:paraId="2101FA97" w14:textId="77777777" w:rsidTr="00396800">
        <w:trPr>
          <w:trHeight w:val="591"/>
        </w:trPr>
        <w:tc>
          <w:tcPr>
            <w:tcW w:w="6709" w:type="dxa"/>
            <w:tcBorders>
              <w:top w:val="nil"/>
              <w:left w:val="double" w:sz="6" w:space="0" w:color="auto"/>
              <w:bottom w:val="dotted" w:sz="4" w:space="0" w:color="auto"/>
              <w:right w:val="dotted" w:sz="4" w:space="0" w:color="auto"/>
            </w:tcBorders>
            <w:shd w:val="clear" w:color="auto" w:fill="auto"/>
            <w:vAlign w:val="center"/>
            <w:hideMark/>
          </w:tcPr>
          <w:p w14:paraId="7AD53F33"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22. Друго (22 = 23-</w:t>
            </w:r>
            <w:r w:rsidRPr="009B5DE5">
              <w:rPr>
                <w:rFonts w:eastAsia="Times New Roman" w:cs="Times New Roman"/>
                <w:szCs w:val="24"/>
              </w:rPr>
              <w:br/>
              <w:t>(17+18+19+20+21)) [6]</w:t>
            </w:r>
          </w:p>
        </w:tc>
        <w:tc>
          <w:tcPr>
            <w:tcW w:w="1094" w:type="dxa"/>
            <w:tcBorders>
              <w:top w:val="nil"/>
              <w:left w:val="nil"/>
              <w:bottom w:val="dotted" w:sz="4" w:space="0" w:color="auto"/>
              <w:right w:val="single" w:sz="8" w:space="0" w:color="auto"/>
            </w:tcBorders>
            <w:shd w:val="clear" w:color="auto" w:fill="auto"/>
            <w:vAlign w:val="center"/>
            <w:hideMark/>
          </w:tcPr>
          <w:p w14:paraId="61E67D7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50" w:type="dxa"/>
            <w:tcBorders>
              <w:top w:val="nil"/>
              <w:left w:val="nil"/>
              <w:bottom w:val="dotted" w:sz="4" w:space="0" w:color="auto"/>
              <w:right w:val="single" w:sz="8" w:space="0" w:color="auto"/>
            </w:tcBorders>
            <w:shd w:val="clear" w:color="auto" w:fill="auto"/>
            <w:vAlign w:val="center"/>
            <w:hideMark/>
          </w:tcPr>
          <w:p w14:paraId="6268147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221,1</w:t>
            </w:r>
          </w:p>
        </w:tc>
        <w:tc>
          <w:tcPr>
            <w:tcW w:w="1149" w:type="dxa"/>
            <w:tcBorders>
              <w:top w:val="nil"/>
              <w:left w:val="nil"/>
              <w:bottom w:val="dotted" w:sz="4" w:space="0" w:color="auto"/>
              <w:right w:val="dotted" w:sz="4" w:space="0" w:color="auto"/>
            </w:tcBorders>
            <w:shd w:val="clear" w:color="auto" w:fill="auto"/>
            <w:vAlign w:val="center"/>
            <w:hideMark/>
          </w:tcPr>
          <w:p w14:paraId="4DE6426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2,5</w:t>
            </w:r>
          </w:p>
        </w:tc>
        <w:tc>
          <w:tcPr>
            <w:tcW w:w="1148" w:type="dxa"/>
            <w:tcBorders>
              <w:top w:val="nil"/>
              <w:left w:val="nil"/>
              <w:bottom w:val="dotted" w:sz="4" w:space="0" w:color="auto"/>
              <w:right w:val="dotted" w:sz="4" w:space="0" w:color="auto"/>
            </w:tcBorders>
            <w:shd w:val="clear" w:color="auto" w:fill="auto"/>
            <w:vAlign w:val="center"/>
            <w:hideMark/>
          </w:tcPr>
          <w:p w14:paraId="158EE24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1,9</w:t>
            </w:r>
          </w:p>
        </w:tc>
        <w:tc>
          <w:tcPr>
            <w:tcW w:w="1148" w:type="dxa"/>
            <w:tcBorders>
              <w:top w:val="nil"/>
              <w:left w:val="nil"/>
              <w:bottom w:val="dotted" w:sz="4" w:space="0" w:color="auto"/>
              <w:right w:val="dotted" w:sz="4" w:space="0" w:color="auto"/>
            </w:tcBorders>
            <w:shd w:val="clear" w:color="auto" w:fill="auto"/>
            <w:vAlign w:val="center"/>
            <w:hideMark/>
          </w:tcPr>
          <w:p w14:paraId="258ABA3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1,6</w:t>
            </w:r>
          </w:p>
        </w:tc>
        <w:tc>
          <w:tcPr>
            <w:tcW w:w="1148" w:type="dxa"/>
            <w:tcBorders>
              <w:top w:val="nil"/>
              <w:left w:val="nil"/>
              <w:bottom w:val="dotted" w:sz="4" w:space="0" w:color="auto"/>
              <w:right w:val="dotted" w:sz="4" w:space="0" w:color="auto"/>
            </w:tcBorders>
            <w:shd w:val="clear" w:color="auto" w:fill="auto"/>
            <w:vAlign w:val="center"/>
            <w:hideMark/>
          </w:tcPr>
          <w:p w14:paraId="5616D1A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1,6</w:t>
            </w:r>
          </w:p>
        </w:tc>
        <w:tc>
          <w:tcPr>
            <w:tcW w:w="1153" w:type="dxa"/>
            <w:tcBorders>
              <w:top w:val="nil"/>
              <w:left w:val="nil"/>
              <w:bottom w:val="dotted" w:sz="4" w:space="0" w:color="auto"/>
              <w:right w:val="double" w:sz="6" w:space="0" w:color="auto"/>
            </w:tcBorders>
            <w:shd w:val="clear" w:color="auto" w:fill="auto"/>
            <w:vAlign w:val="center"/>
            <w:hideMark/>
          </w:tcPr>
          <w:p w14:paraId="4476EA2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1,5</w:t>
            </w:r>
          </w:p>
        </w:tc>
      </w:tr>
      <w:tr w:rsidR="009B5DE5" w:rsidRPr="009B5DE5" w14:paraId="5F7B3B61" w14:textId="77777777" w:rsidTr="00396800">
        <w:trPr>
          <w:trHeight w:val="403"/>
        </w:trPr>
        <w:tc>
          <w:tcPr>
            <w:tcW w:w="6709" w:type="dxa"/>
            <w:tcBorders>
              <w:top w:val="nil"/>
              <w:left w:val="double" w:sz="6" w:space="0" w:color="auto"/>
              <w:bottom w:val="dotted" w:sz="4" w:space="0" w:color="auto"/>
              <w:right w:val="dotted" w:sz="4" w:space="0" w:color="auto"/>
            </w:tcBorders>
            <w:shd w:val="clear" w:color="auto" w:fill="auto"/>
            <w:vAlign w:val="center"/>
            <w:hideMark/>
          </w:tcPr>
          <w:p w14:paraId="63F74892"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23 = 7. Укупни расходи</w:t>
            </w:r>
          </w:p>
        </w:tc>
        <w:tc>
          <w:tcPr>
            <w:tcW w:w="1094" w:type="dxa"/>
            <w:tcBorders>
              <w:top w:val="nil"/>
              <w:left w:val="nil"/>
              <w:bottom w:val="dotted" w:sz="4" w:space="0" w:color="auto"/>
              <w:right w:val="single" w:sz="8" w:space="0" w:color="auto"/>
            </w:tcBorders>
            <w:shd w:val="clear" w:color="auto" w:fill="auto"/>
            <w:vAlign w:val="center"/>
            <w:hideMark/>
          </w:tcPr>
          <w:p w14:paraId="20A80173"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TE [1]</w:t>
            </w:r>
          </w:p>
        </w:tc>
        <w:tc>
          <w:tcPr>
            <w:tcW w:w="1150" w:type="dxa"/>
            <w:tcBorders>
              <w:top w:val="nil"/>
              <w:left w:val="nil"/>
              <w:bottom w:val="dotted" w:sz="4" w:space="0" w:color="auto"/>
              <w:right w:val="single" w:sz="8" w:space="0" w:color="auto"/>
            </w:tcBorders>
            <w:shd w:val="clear" w:color="auto" w:fill="auto"/>
            <w:vAlign w:val="center"/>
            <w:hideMark/>
          </w:tcPr>
          <w:p w14:paraId="684C6EA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3.654,4</w:t>
            </w:r>
          </w:p>
        </w:tc>
        <w:tc>
          <w:tcPr>
            <w:tcW w:w="1149" w:type="dxa"/>
            <w:tcBorders>
              <w:top w:val="nil"/>
              <w:left w:val="nil"/>
              <w:bottom w:val="dotted" w:sz="4" w:space="0" w:color="auto"/>
              <w:right w:val="dotted" w:sz="4" w:space="0" w:color="auto"/>
            </w:tcBorders>
            <w:shd w:val="clear" w:color="auto" w:fill="auto"/>
            <w:vAlign w:val="center"/>
            <w:hideMark/>
          </w:tcPr>
          <w:p w14:paraId="573D8FE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41,4</w:t>
            </w:r>
          </w:p>
        </w:tc>
        <w:tc>
          <w:tcPr>
            <w:tcW w:w="1148" w:type="dxa"/>
            <w:tcBorders>
              <w:top w:val="nil"/>
              <w:left w:val="nil"/>
              <w:bottom w:val="dotted" w:sz="4" w:space="0" w:color="auto"/>
              <w:right w:val="dotted" w:sz="4" w:space="0" w:color="auto"/>
            </w:tcBorders>
            <w:shd w:val="clear" w:color="auto" w:fill="auto"/>
            <w:vAlign w:val="center"/>
            <w:hideMark/>
          </w:tcPr>
          <w:p w14:paraId="6FC744B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43,6</w:t>
            </w:r>
          </w:p>
        </w:tc>
        <w:tc>
          <w:tcPr>
            <w:tcW w:w="1148" w:type="dxa"/>
            <w:tcBorders>
              <w:top w:val="nil"/>
              <w:left w:val="nil"/>
              <w:bottom w:val="dotted" w:sz="4" w:space="0" w:color="auto"/>
              <w:right w:val="dotted" w:sz="4" w:space="0" w:color="auto"/>
            </w:tcBorders>
            <w:shd w:val="clear" w:color="auto" w:fill="auto"/>
            <w:vAlign w:val="center"/>
            <w:hideMark/>
          </w:tcPr>
          <w:p w14:paraId="4AA44DF0"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44,3</w:t>
            </w:r>
          </w:p>
        </w:tc>
        <w:tc>
          <w:tcPr>
            <w:tcW w:w="1148" w:type="dxa"/>
            <w:tcBorders>
              <w:top w:val="nil"/>
              <w:left w:val="nil"/>
              <w:bottom w:val="dotted" w:sz="4" w:space="0" w:color="auto"/>
              <w:right w:val="dotted" w:sz="4" w:space="0" w:color="auto"/>
            </w:tcBorders>
            <w:shd w:val="clear" w:color="auto" w:fill="auto"/>
            <w:vAlign w:val="center"/>
            <w:hideMark/>
          </w:tcPr>
          <w:p w14:paraId="1C4EDD3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43,9</w:t>
            </w:r>
          </w:p>
        </w:tc>
        <w:tc>
          <w:tcPr>
            <w:tcW w:w="1153" w:type="dxa"/>
            <w:tcBorders>
              <w:top w:val="nil"/>
              <w:left w:val="nil"/>
              <w:bottom w:val="dotted" w:sz="4" w:space="0" w:color="auto"/>
              <w:right w:val="double" w:sz="6" w:space="0" w:color="auto"/>
            </w:tcBorders>
            <w:shd w:val="clear" w:color="auto" w:fill="auto"/>
            <w:vAlign w:val="center"/>
            <w:hideMark/>
          </w:tcPr>
          <w:p w14:paraId="18891F1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43,5</w:t>
            </w:r>
          </w:p>
        </w:tc>
      </w:tr>
      <w:tr w:rsidR="009B5DE5" w:rsidRPr="009B5DE5" w14:paraId="3B18C9C4" w14:textId="77777777" w:rsidTr="00396800">
        <w:trPr>
          <w:trHeight w:val="620"/>
        </w:trPr>
        <w:tc>
          <w:tcPr>
            <w:tcW w:w="6709" w:type="dxa"/>
            <w:tcBorders>
              <w:top w:val="nil"/>
              <w:left w:val="double" w:sz="6" w:space="0" w:color="auto"/>
              <w:bottom w:val="double" w:sz="6" w:space="0" w:color="auto"/>
              <w:right w:val="dotted" w:sz="4" w:space="0" w:color="auto"/>
            </w:tcBorders>
            <w:shd w:val="clear" w:color="auto" w:fill="auto"/>
            <w:vAlign w:val="bottom"/>
            <w:hideMark/>
          </w:tcPr>
          <w:p w14:paraId="15A1D9A6"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Информативно: Зараде и накнаде запосленима у јавном сектору</w:t>
            </w:r>
          </w:p>
        </w:tc>
        <w:tc>
          <w:tcPr>
            <w:tcW w:w="1094" w:type="dxa"/>
            <w:tcBorders>
              <w:top w:val="nil"/>
              <w:left w:val="nil"/>
              <w:bottom w:val="double" w:sz="6" w:space="0" w:color="auto"/>
              <w:right w:val="single" w:sz="8" w:space="0" w:color="auto"/>
            </w:tcBorders>
            <w:shd w:val="clear" w:color="auto" w:fill="auto"/>
            <w:vAlign w:val="bottom"/>
            <w:hideMark/>
          </w:tcPr>
          <w:p w14:paraId="7D276DD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D1</w:t>
            </w:r>
          </w:p>
        </w:tc>
        <w:tc>
          <w:tcPr>
            <w:tcW w:w="1150" w:type="dxa"/>
            <w:tcBorders>
              <w:top w:val="nil"/>
              <w:left w:val="nil"/>
              <w:bottom w:val="double" w:sz="6" w:space="0" w:color="auto"/>
              <w:right w:val="single" w:sz="8" w:space="0" w:color="auto"/>
            </w:tcBorders>
            <w:shd w:val="clear" w:color="auto" w:fill="auto"/>
            <w:vAlign w:val="bottom"/>
            <w:hideMark/>
          </w:tcPr>
          <w:p w14:paraId="6CAF098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774,9</w:t>
            </w:r>
          </w:p>
        </w:tc>
        <w:tc>
          <w:tcPr>
            <w:tcW w:w="1149" w:type="dxa"/>
            <w:tcBorders>
              <w:top w:val="nil"/>
              <w:left w:val="nil"/>
              <w:bottom w:val="double" w:sz="6" w:space="0" w:color="auto"/>
              <w:right w:val="dotted" w:sz="4" w:space="0" w:color="auto"/>
            </w:tcBorders>
            <w:shd w:val="clear" w:color="auto" w:fill="auto"/>
            <w:vAlign w:val="bottom"/>
            <w:hideMark/>
          </w:tcPr>
          <w:p w14:paraId="120D9AA0"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8,8</w:t>
            </w:r>
          </w:p>
        </w:tc>
        <w:tc>
          <w:tcPr>
            <w:tcW w:w="1148" w:type="dxa"/>
            <w:tcBorders>
              <w:top w:val="nil"/>
              <w:left w:val="nil"/>
              <w:bottom w:val="double" w:sz="6" w:space="0" w:color="auto"/>
              <w:right w:val="dotted" w:sz="4" w:space="0" w:color="auto"/>
            </w:tcBorders>
            <w:shd w:val="clear" w:color="auto" w:fill="auto"/>
            <w:vAlign w:val="bottom"/>
            <w:hideMark/>
          </w:tcPr>
          <w:p w14:paraId="2EF1951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9,5</w:t>
            </w:r>
          </w:p>
        </w:tc>
        <w:tc>
          <w:tcPr>
            <w:tcW w:w="1148" w:type="dxa"/>
            <w:tcBorders>
              <w:top w:val="nil"/>
              <w:left w:val="nil"/>
              <w:bottom w:val="double" w:sz="6" w:space="0" w:color="auto"/>
              <w:right w:val="dotted" w:sz="4" w:space="0" w:color="auto"/>
            </w:tcBorders>
            <w:shd w:val="clear" w:color="auto" w:fill="auto"/>
            <w:vAlign w:val="bottom"/>
            <w:hideMark/>
          </w:tcPr>
          <w:p w14:paraId="04F23ABA"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9,8</w:t>
            </w:r>
          </w:p>
        </w:tc>
        <w:tc>
          <w:tcPr>
            <w:tcW w:w="1148" w:type="dxa"/>
            <w:tcBorders>
              <w:top w:val="nil"/>
              <w:left w:val="nil"/>
              <w:bottom w:val="double" w:sz="6" w:space="0" w:color="auto"/>
              <w:right w:val="dotted" w:sz="4" w:space="0" w:color="auto"/>
            </w:tcBorders>
            <w:shd w:val="clear" w:color="auto" w:fill="auto"/>
            <w:vAlign w:val="bottom"/>
            <w:hideMark/>
          </w:tcPr>
          <w:p w14:paraId="5BC3A61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9,8</w:t>
            </w:r>
          </w:p>
        </w:tc>
        <w:tc>
          <w:tcPr>
            <w:tcW w:w="1153" w:type="dxa"/>
            <w:tcBorders>
              <w:top w:val="nil"/>
              <w:left w:val="nil"/>
              <w:bottom w:val="double" w:sz="6" w:space="0" w:color="auto"/>
              <w:right w:val="double" w:sz="6" w:space="0" w:color="auto"/>
            </w:tcBorders>
            <w:shd w:val="clear" w:color="auto" w:fill="auto"/>
            <w:vAlign w:val="bottom"/>
            <w:hideMark/>
          </w:tcPr>
          <w:p w14:paraId="7BC7CD3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9,8</w:t>
            </w:r>
          </w:p>
        </w:tc>
      </w:tr>
    </w:tbl>
    <w:p w14:paraId="410137C0" w14:textId="77777777" w:rsidR="009B5DE5" w:rsidRPr="009B5DE5" w:rsidRDefault="009B5DE5" w:rsidP="009B5DE5">
      <w:pPr>
        <w:spacing w:after="0"/>
        <w:jc w:val="left"/>
        <w:rPr>
          <w:rFonts w:eastAsia="Times New Roman" w:cs="Times New Roman"/>
          <w:bCs/>
          <w:sz w:val="22"/>
        </w:rPr>
      </w:pPr>
    </w:p>
    <w:tbl>
      <w:tblPr>
        <w:tblW w:w="14320" w:type="dxa"/>
        <w:tblLook w:val="04A0" w:firstRow="1" w:lastRow="0" w:firstColumn="1" w:lastColumn="0" w:noHBand="0" w:noVBand="1"/>
      </w:tblPr>
      <w:tblGrid>
        <w:gridCol w:w="12458"/>
        <w:gridCol w:w="266"/>
        <w:gridCol w:w="266"/>
        <w:gridCol w:w="266"/>
        <w:gridCol w:w="266"/>
        <w:gridCol w:w="266"/>
        <w:gridCol w:w="266"/>
        <w:gridCol w:w="266"/>
      </w:tblGrid>
      <w:tr w:rsidR="009B5DE5" w:rsidRPr="009B5DE5" w14:paraId="1CB6A3B3" w14:textId="77777777" w:rsidTr="009B5DE5">
        <w:trPr>
          <w:trHeight w:val="255"/>
        </w:trPr>
        <w:tc>
          <w:tcPr>
            <w:tcW w:w="14320" w:type="dxa"/>
            <w:gridSpan w:val="8"/>
            <w:tcBorders>
              <w:top w:val="nil"/>
              <w:left w:val="nil"/>
              <w:bottom w:val="nil"/>
              <w:right w:val="nil"/>
            </w:tcBorders>
            <w:shd w:val="clear" w:color="auto" w:fill="auto"/>
            <w:noWrap/>
            <w:vAlign w:val="bottom"/>
            <w:hideMark/>
          </w:tcPr>
          <w:p w14:paraId="66C48887"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[1]   Коригован за следећи ток по основу свопова, тако да је TR-TE = EDP.B9.</w:t>
            </w:r>
          </w:p>
        </w:tc>
      </w:tr>
      <w:tr w:rsidR="009B5DE5" w:rsidRPr="009B5DE5" w14:paraId="2442FA59" w14:textId="77777777" w:rsidTr="009B5DE5">
        <w:trPr>
          <w:trHeight w:val="255"/>
        </w:trPr>
        <w:tc>
          <w:tcPr>
            <w:tcW w:w="13788" w:type="dxa"/>
            <w:gridSpan w:val="6"/>
            <w:tcBorders>
              <w:top w:val="nil"/>
              <w:left w:val="nil"/>
              <w:bottom w:val="nil"/>
              <w:right w:val="nil"/>
            </w:tcBorders>
            <w:shd w:val="clear" w:color="000000" w:fill="FFFFFF"/>
            <w:noWrap/>
            <w:vAlign w:val="bottom"/>
            <w:hideMark/>
          </w:tcPr>
          <w:p w14:paraId="25B2B8C9"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[2]   Примарни резултат се израчунава као (EDP.B9, ставка 8) плус (EDP D41 + FISIM приказан као међуфазна потрошња, ставка 9).</w:t>
            </w:r>
          </w:p>
        </w:tc>
        <w:tc>
          <w:tcPr>
            <w:tcW w:w="266" w:type="dxa"/>
            <w:tcBorders>
              <w:top w:val="nil"/>
              <w:left w:val="nil"/>
              <w:bottom w:val="nil"/>
              <w:right w:val="nil"/>
            </w:tcBorders>
            <w:shd w:val="clear" w:color="000000" w:fill="FFFFFF"/>
            <w:noWrap/>
            <w:vAlign w:val="center"/>
            <w:hideMark/>
          </w:tcPr>
          <w:p w14:paraId="5467B7AF"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266" w:type="dxa"/>
            <w:tcBorders>
              <w:top w:val="nil"/>
              <w:left w:val="nil"/>
              <w:bottom w:val="nil"/>
              <w:right w:val="nil"/>
            </w:tcBorders>
            <w:shd w:val="clear" w:color="000000" w:fill="FFFFFF"/>
            <w:noWrap/>
            <w:vAlign w:val="center"/>
            <w:hideMark/>
          </w:tcPr>
          <w:p w14:paraId="29FE850D"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r>
      <w:tr w:rsidR="009B5DE5" w:rsidRPr="009B5DE5" w14:paraId="59B6D6E0" w14:textId="77777777" w:rsidTr="009B5DE5">
        <w:trPr>
          <w:trHeight w:val="255"/>
        </w:trPr>
        <w:tc>
          <w:tcPr>
            <w:tcW w:w="12724" w:type="dxa"/>
            <w:gridSpan w:val="2"/>
            <w:tcBorders>
              <w:top w:val="nil"/>
              <w:left w:val="nil"/>
              <w:bottom w:val="nil"/>
              <w:right w:val="nil"/>
            </w:tcBorders>
            <w:shd w:val="clear" w:color="000000" w:fill="FFFFFF"/>
            <w:noWrap/>
            <w:vAlign w:val="center"/>
            <w:hideMark/>
          </w:tcPr>
          <w:p w14:paraId="388AEBC5"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[3]   Позитиван знак значи једнократне мере за смањење дефицита.</w:t>
            </w:r>
          </w:p>
        </w:tc>
        <w:tc>
          <w:tcPr>
            <w:tcW w:w="266" w:type="dxa"/>
            <w:tcBorders>
              <w:top w:val="nil"/>
              <w:left w:val="nil"/>
              <w:bottom w:val="nil"/>
              <w:right w:val="nil"/>
            </w:tcBorders>
            <w:shd w:val="clear" w:color="000000" w:fill="FFFFFF"/>
            <w:noWrap/>
            <w:vAlign w:val="center"/>
            <w:hideMark/>
          </w:tcPr>
          <w:p w14:paraId="4483AA53"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266" w:type="dxa"/>
            <w:tcBorders>
              <w:top w:val="nil"/>
              <w:left w:val="nil"/>
              <w:bottom w:val="nil"/>
              <w:right w:val="nil"/>
            </w:tcBorders>
            <w:shd w:val="clear" w:color="000000" w:fill="FFFFFF"/>
            <w:noWrap/>
            <w:vAlign w:val="center"/>
            <w:hideMark/>
          </w:tcPr>
          <w:p w14:paraId="0A2A101E"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266" w:type="dxa"/>
            <w:tcBorders>
              <w:top w:val="nil"/>
              <w:left w:val="nil"/>
              <w:bottom w:val="nil"/>
              <w:right w:val="nil"/>
            </w:tcBorders>
            <w:shd w:val="clear" w:color="000000" w:fill="FFFFFF"/>
            <w:noWrap/>
            <w:vAlign w:val="center"/>
            <w:hideMark/>
          </w:tcPr>
          <w:p w14:paraId="0AB8F9D6"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266" w:type="dxa"/>
            <w:tcBorders>
              <w:top w:val="nil"/>
              <w:left w:val="nil"/>
              <w:bottom w:val="nil"/>
              <w:right w:val="nil"/>
            </w:tcBorders>
            <w:shd w:val="clear" w:color="000000" w:fill="FFFFFF"/>
            <w:noWrap/>
            <w:vAlign w:val="center"/>
            <w:hideMark/>
          </w:tcPr>
          <w:p w14:paraId="75553D49"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266" w:type="dxa"/>
            <w:tcBorders>
              <w:top w:val="nil"/>
              <w:left w:val="nil"/>
              <w:bottom w:val="nil"/>
              <w:right w:val="nil"/>
            </w:tcBorders>
            <w:shd w:val="clear" w:color="000000" w:fill="FFFFFF"/>
            <w:noWrap/>
            <w:vAlign w:val="center"/>
            <w:hideMark/>
          </w:tcPr>
          <w:p w14:paraId="621D22B6"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266" w:type="dxa"/>
            <w:tcBorders>
              <w:top w:val="nil"/>
              <w:left w:val="nil"/>
              <w:bottom w:val="nil"/>
              <w:right w:val="nil"/>
            </w:tcBorders>
            <w:shd w:val="clear" w:color="000000" w:fill="FFFFFF"/>
            <w:noWrap/>
            <w:vAlign w:val="center"/>
            <w:hideMark/>
          </w:tcPr>
          <w:p w14:paraId="12C99070"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r>
      <w:tr w:rsidR="009B5DE5" w:rsidRPr="009B5DE5" w14:paraId="1BB54772" w14:textId="77777777" w:rsidTr="009B5DE5">
        <w:trPr>
          <w:trHeight w:val="255"/>
        </w:trPr>
        <w:tc>
          <w:tcPr>
            <w:tcW w:w="12458" w:type="dxa"/>
            <w:tcBorders>
              <w:top w:val="nil"/>
              <w:left w:val="nil"/>
              <w:bottom w:val="nil"/>
              <w:right w:val="nil"/>
            </w:tcBorders>
            <w:shd w:val="clear" w:color="000000" w:fill="FFFFFF"/>
            <w:noWrap/>
            <w:vAlign w:val="bottom"/>
            <w:hideMark/>
          </w:tcPr>
          <w:p w14:paraId="565E466F"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[4]   P.11+P.12+P.131+D.39+D.7+D.9 (осим D.91).</w:t>
            </w:r>
          </w:p>
        </w:tc>
        <w:tc>
          <w:tcPr>
            <w:tcW w:w="266" w:type="dxa"/>
            <w:tcBorders>
              <w:top w:val="nil"/>
              <w:left w:val="nil"/>
              <w:bottom w:val="nil"/>
              <w:right w:val="nil"/>
            </w:tcBorders>
            <w:shd w:val="clear" w:color="000000" w:fill="FFFFFF"/>
            <w:noWrap/>
            <w:vAlign w:val="center"/>
            <w:hideMark/>
          </w:tcPr>
          <w:p w14:paraId="79C10236"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266" w:type="dxa"/>
            <w:tcBorders>
              <w:top w:val="nil"/>
              <w:left w:val="nil"/>
              <w:bottom w:val="nil"/>
              <w:right w:val="nil"/>
            </w:tcBorders>
            <w:shd w:val="clear" w:color="000000" w:fill="FFFFFF"/>
            <w:noWrap/>
            <w:vAlign w:val="center"/>
            <w:hideMark/>
          </w:tcPr>
          <w:p w14:paraId="7C7ED56A"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266" w:type="dxa"/>
            <w:tcBorders>
              <w:top w:val="nil"/>
              <w:left w:val="nil"/>
              <w:bottom w:val="nil"/>
              <w:right w:val="nil"/>
            </w:tcBorders>
            <w:shd w:val="clear" w:color="000000" w:fill="FFFFFF"/>
            <w:noWrap/>
            <w:vAlign w:val="center"/>
            <w:hideMark/>
          </w:tcPr>
          <w:p w14:paraId="28CE30D4"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266" w:type="dxa"/>
            <w:tcBorders>
              <w:top w:val="nil"/>
              <w:left w:val="nil"/>
              <w:bottom w:val="nil"/>
              <w:right w:val="nil"/>
            </w:tcBorders>
            <w:shd w:val="clear" w:color="000000" w:fill="FFFFFF"/>
            <w:noWrap/>
            <w:vAlign w:val="center"/>
            <w:hideMark/>
          </w:tcPr>
          <w:p w14:paraId="09340F75"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266" w:type="dxa"/>
            <w:tcBorders>
              <w:top w:val="nil"/>
              <w:left w:val="nil"/>
              <w:bottom w:val="nil"/>
              <w:right w:val="nil"/>
            </w:tcBorders>
            <w:shd w:val="clear" w:color="000000" w:fill="FFFFFF"/>
            <w:noWrap/>
            <w:vAlign w:val="center"/>
            <w:hideMark/>
          </w:tcPr>
          <w:p w14:paraId="2D41B833"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266" w:type="dxa"/>
            <w:tcBorders>
              <w:top w:val="nil"/>
              <w:left w:val="nil"/>
              <w:bottom w:val="nil"/>
              <w:right w:val="nil"/>
            </w:tcBorders>
            <w:shd w:val="clear" w:color="000000" w:fill="FFFFFF"/>
            <w:noWrap/>
            <w:vAlign w:val="center"/>
            <w:hideMark/>
          </w:tcPr>
          <w:p w14:paraId="4D4434F3"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266" w:type="dxa"/>
            <w:tcBorders>
              <w:top w:val="nil"/>
              <w:left w:val="nil"/>
              <w:bottom w:val="nil"/>
              <w:right w:val="nil"/>
            </w:tcBorders>
            <w:shd w:val="clear" w:color="000000" w:fill="FFFFFF"/>
            <w:noWrap/>
            <w:vAlign w:val="center"/>
            <w:hideMark/>
          </w:tcPr>
          <w:p w14:paraId="4CB01F80"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r>
      <w:tr w:rsidR="009B5DE5" w:rsidRPr="009B5DE5" w14:paraId="72676CDD" w14:textId="77777777" w:rsidTr="009B5DE5">
        <w:trPr>
          <w:trHeight w:val="255"/>
        </w:trPr>
        <w:tc>
          <w:tcPr>
            <w:tcW w:w="14320" w:type="dxa"/>
            <w:gridSpan w:val="8"/>
            <w:tcBorders>
              <w:top w:val="nil"/>
              <w:left w:val="nil"/>
              <w:bottom w:val="nil"/>
              <w:right w:val="nil"/>
            </w:tcBorders>
            <w:shd w:val="clear" w:color="000000" w:fill="FFFFFF"/>
            <w:noWrap/>
            <w:vAlign w:val="bottom"/>
            <w:hideMark/>
          </w:tcPr>
          <w:p w14:paraId="1482A101"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[5]   Укључујући оне које наплаћује ЕУ и укључујући корекцију за ненаплаћене порезе и доприносе за социјално осигурање (D995), где је то случај.</w:t>
            </w:r>
          </w:p>
        </w:tc>
      </w:tr>
      <w:tr w:rsidR="009B5DE5" w:rsidRPr="009B5DE5" w14:paraId="3E53A151" w14:textId="77777777" w:rsidTr="009B5DE5">
        <w:trPr>
          <w:trHeight w:val="255"/>
        </w:trPr>
        <w:tc>
          <w:tcPr>
            <w:tcW w:w="12458" w:type="dxa"/>
            <w:tcBorders>
              <w:top w:val="nil"/>
              <w:left w:val="nil"/>
              <w:bottom w:val="nil"/>
              <w:right w:val="nil"/>
            </w:tcBorders>
            <w:shd w:val="clear" w:color="000000" w:fill="FFFFFF"/>
            <w:noWrap/>
            <w:vAlign w:val="bottom"/>
            <w:hideMark/>
          </w:tcPr>
          <w:p w14:paraId="04C861C2"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[6]  D.29+D4 (осим D.41)+ D.5+D.7+D.9+P.52+P.53+K.2+D.8</w:t>
            </w:r>
          </w:p>
        </w:tc>
        <w:tc>
          <w:tcPr>
            <w:tcW w:w="266" w:type="dxa"/>
            <w:tcBorders>
              <w:top w:val="nil"/>
              <w:left w:val="nil"/>
              <w:bottom w:val="nil"/>
              <w:right w:val="nil"/>
            </w:tcBorders>
            <w:shd w:val="clear" w:color="000000" w:fill="FFFFFF"/>
            <w:noWrap/>
            <w:vAlign w:val="center"/>
            <w:hideMark/>
          </w:tcPr>
          <w:p w14:paraId="165B128A"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266" w:type="dxa"/>
            <w:tcBorders>
              <w:top w:val="nil"/>
              <w:left w:val="nil"/>
              <w:bottom w:val="nil"/>
              <w:right w:val="nil"/>
            </w:tcBorders>
            <w:shd w:val="clear" w:color="000000" w:fill="FFFFFF"/>
            <w:noWrap/>
            <w:vAlign w:val="center"/>
            <w:hideMark/>
          </w:tcPr>
          <w:p w14:paraId="3EE3016A"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266" w:type="dxa"/>
            <w:tcBorders>
              <w:top w:val="nil"/>
              <w:left w:val="nil"/>
              <w:bottom w:val="nil"/>
              <w:right w:val="nil"/>
            </w:tcBorders>
            <w:shd w:val="clear" w:color="000000" w:fill="FFFFFF"/>
            <w:noWrap/>
            <w:vAlign w:val="center"/>
            <w:hideMark/>
          </w:tcPr>
          <w:p w14:paraId="25BA0BB6"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266" w:type="dxa"/>
            <w:tcBorders>
              <w:top w:val="nil"/>
              <w:left w:val="nil"/>
              <w:bottom w:val="nil"/>
              <w:right w:val="nil"/>
            </w:tcBorders>
            <w:shd w:val="clear" w:color="000000" w:fill="FFFFFF"/>
            <w:noWrap/>
            <w:vAlign w:val="center"/>
            <w:hideMark/>
          </w:tcPr>
          <w:p w14:paraId="6D60148A"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266" w:type="dxa"/>
            <w:tcBorders>
              <w:top w:val="nil"/>
              <w:left w:val="nil"/>
              <w:bottom w:val="nil"/>
              <w:right w:val="nil"/>
            </w:tcBorders>
            <w:shd w:val="clear" w:color="000000" w:fill="FFFFFF"/>
            <w:noWrap/>
            <w:vAlign w:val="center"/>
            <w:hideMark/>
          </w:tcPr>
          <w:p w14:paraId="1A00E0A8"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266" w:type="dxa"/>
            <w:tcBorders>
              <w:top w:val="nil"/>
              <w:left w:val="nil"/>
              <w:bottom w:val="nil"/>
              <w:right w:val="nil"/>
            </w:tcBorders>
            <w:shd w:val="clear" w:color="000000" w:fill="FFFFFF"/>
            <w:noWrap/>
            <w:vAlign w:val="center"/>
            <w:hideMark/>
          </w:tcPr>
          <w:p w14:paraId="2EB73D83"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266" w:type="dxa"/>
            <w:tcBorders>
              <w:top w:val="nil"/>
              <w:left w:val="nil"/>
              <w:bottom w:val="nil"/>
              <w:right w:val="nil"/>
            </w:tcBorders>
            <w:shd w:val="clear" w:color="000000" w:fill="FFFFFF"/>
            <w:noWrap/>
            <w:vAlign w:val="center"/>
            <w:hideMark/>
          </w:tcPr>
          <w:p w14:paraId="46BF9212"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r>
    </w:tbl>
    <w:p w14:paraId="29608608" w14:textId="77777777" w:rsidR="009B5DE5" w:rsidRPr="009B5DE5" w:rsidRDefault="009B5DE5" w:rsidP="009B5DE5">
      <w:pPr>
        <w:spacing w:after="0"/>
        <w:jc w:val="left"/>
        <w:rPr>
          <w:rFonts w:eastAsia="Times New Roman" w:cs="Times New Roman"/>
          <w:bCs/>
          <w:szCs w:val="24"/>
        </w:rPr>
      </w:pPr>
      <w:r w:rsidRPr="009B5DE5">
        <w:rPr>
          <w:rFonts w:eastAsia="Times New Roman" w:cs="Times New Roman"/>
          <w:bCs/>
          <w:szCs w:val="24"/>
        </w:rPr>
        <w:lastRenderedPageBreak/>
        <w:t>Taбела 2b:  Буџетски изгледи сектора државе</w:t>
      </w:r>
    </w:p>
    <w:p w14:paraId="7702A011" w14:textId="77777777" w:rsidR="009B5DE5" w:rsidRPr="009B5DE5" w:rsidRDefault="009B5DE5" w:rsidP="009B5DE5">
      <w:pPr>
        <w:spacing w:after="0"/>
        <w:jc w:val="left"/>
        <w:rPr>
          <w:rFonts w:eastAsia="Times New Roman" w:cs="Times New Roman"/>
          <w:bCs/>
          <w:sz w:val="22"/>
        </w:rPr>
      </w:pPr>
    </w:p>
    <w:tbl>
      <w:tblPr>
        <w:tblW w:w="15001" w:type="dxa"/>
        <w:tblLook w:val="04A0" w:firstRow="1" w:lastRow="0" w:firstColumn="1" w:lastColumn="0" w:noHBand="0" w:noVBand="1"/>
      </w:tblPr>
      <w:tblGrid>
        <w:gridCol w:w="6761"/>
        <w:gridCol w:w="823"/>
        <w:gridCol w:w="1177"/>
        <w:gridCol w:w="1247"/>
        <w:gridCol w:w="1246"/>
        <w:gridCol w:w="1246"/>
        <w:gridCol w:w="1246"/>
        <w:gridCol w:w="1255"/>
      </w:tblGrid>
      <w:tr w:rsidR="009B5DE5" w:rsidRPr="009B5DE5" w14:paraId="6ED5449F" w14:textId="77777777" w:rsidTr="00396800">
        <w:trPr>
          <w:trHeight w:val="355"/>
          <w:tblHeader/>
        </w:trPr>
        <w:tc>
          <w:tcPr>
            <w:tcW w:w="6761" w:type="dxa"/>
            <w:vMerge w:val="restart"/>
            <w:tcBorders>
              <w:top w:val="double" w:sz="6" w:space="0" w:color="auto"/>
              <w:left w:val="double" w:sz="6" w:space="0" w:color="auto"/>
              <w:bottom w:val="nil"/>
              <w:right w:val="nil"/>
            </w:tcBorders>
            <w:shd w:val="clear" w:color="000000" w:fill="FFFFFF"/>
            <w:vAlign w:val="center"/>
            <w:hideMark/>
          </w:tcPr>
          <w:p w14:paraId="3AC3B119"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 </w:t>
            </w:r>
          </w:p>
        </w:tc>
        <w:tc>
          <w:tcPr>
            <w:tcW w:w="823" w:type="dxa"/>
            <w:vMerge w:val="restart"/>
            <w:tcBorders>
              <w:top w:val="double" w:sz="6" w:space="0" w:color="auto"/>
              <w:left w:val="nil"/>
              <w:bottom w:val="single" w:sz="8" w:space="0" w:color="000000"/>
              <w:right w:val="single" w:sz="8" w:space="0" w:color="auto"/>
            </w:tcBorders>
            <w:shd w:val="clear" w:color="000000" w:fill="FFFFFF"/>
            <w:vAlign w:val="center"/>
            <w:hideMark/>
          </w:tcPr>
          <w:p w14:paraId="006DEEE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 </w:t>
            </w:r>
          </w:p>
        </w:tc>
        <w:tc>
          <w:tcPr>
            <w:tcW w:w="1177" w:type="dxa"/>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14:paraId="147350E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ESA шифра</w:t>
            </w:r>
          </w:p>
        </w:tc>
        <w:tc>
          <w:tcPr>
            <w:tcW w:w="1247" w:type="dxa"/>
            <w:tcBorders>
              <w:top w:val="double" w:sz="6" w:space="0" w:color="auto"/>
              <w:left w:val="nil"/>
              <w:bottom w:val="nil"/>
              <w:right w:val="dotted" w:sz="4" w:space="0" w:color="auto"/>
            </w:tcBorders>
            <w:shd w:val="clear" w:color="000000" w:fill="FFFFFF"/>
            <w:vAlign w:val="center"/>
            <w:hideMark/>
          </w:tcPr>
          <w:p w14:paraId="26F2F20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Година</w:t>
            </w:r>
          </w:p>
        </w:tc>
        <w:tc>
          <w:tcPr>
            <w:tcW w:w="1246" w:type="dxa"/>
            <w:tcBorders>
              <w:top w:val="double" w:sz="6" w:space="0" w:color="auto"/>
              <w:left w:val="nil"/>
              <w:bottom w:val="nil"/>
              <w:right w:val="dotted" w:sz="4" w:space="0" w:color="auto"/>
            </w:tcBorders>
            <w:shd w:val="clear" w:color="000000" w:fill="FFFFFF"/>
            <w:vAlign w:val="center"/>
            <w:hideMark/>
          </w:tcPr>
          <w:p w14:paraId="513CBD0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Година</w:t>
            </w:r>
          </w:p>
        </w:tc>
        <w:tc>
          <w:tcPr>
            <w:tcW w:w="1246" w:type="dxa"/>
            <w:tcBorders>
              <w:top w:val="double" w:sz="6" w:space="0" w:color="auto"/>
              <w:left w:val="nil"/>
              <w:bottom w:val="nil"/>
              <w:right w:val="dotted" w:sz="4" w:space="0" w:color="auto"/>
            </w:tcBorders>
            <w:shd w:val="clear" w:color="000000" w:fill="FFFFFF"/>
            <w:vAlign w:val="center"/>
            <w:hideMark/>
          </w:tcPr>
          <w:p w14:paraId="222D28C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Година</w:t>
            </w:r>
          </w:p>
        </w:tc>
        <w:tc>
          <w:tcPr>
            <w:tcW w:w="1246" w:type="dxa"/>
            <w:tcBorders>
              <w:top w:val="double" w:sz="6" w:space="0" w:color="auto"/>
              <w:left w:val="nil"/>
              <w:bottom w:val="nil"/>
              <w:right w:val="dotted" w:sz="4" w:space="0" w:color="auto"/>
            </w:tcBorders>
            <w:shd w:val="clear" w:color="000000" w:fill="FFFFFF"/>
            <w:vAlign w:val="center"/>
            <w:hideMark/>
          </w:tcPr>
          <w:p w14:paraId="3982FB8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Година</w:t>
            </w:r>
          </w:p>
        </w:tc>
        <w:tc>
          <w:tcPr>
            <w:tcW w:w="1251" w:type="dxa"/>
            <w:tcBorders>
              <w:top w:val="double" w:sz="6" w:space="0" w:color="auto"/>
              <w:left w:val="nil"/>
              <w:bottom w:val="nil"/>
              <w:right w:val="double" w:sz="6" w:space="0" w:color="auto"/>
            </w:tcBorders>
            <w:shd w:val="clear" w:color="000000" w:fill="FFFFFF"/>
            <w:vAlign w:val="center"/>
            <w:hideMark/>
          </w:tcPr>
          <w:p w14:paraId="70F7D5E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Година</w:t>
            </w:r>
          </w:p>
        </w:tc>
      </w:tr>
      <w:tr w:rsidR="009B5DE5" w:rsidRPr="009B5DE5" w14:paraId="686DBC1C" w14:textId="77777777" w:rsidTr="00396800">
        <w:trPr>
          <w:trHeight w:val="274"/>
          <w:tblHeader/>
        </w:trPr>
        <w:tc>
          <w:tcPr>
            <w:tcW w:w="6761" w:type="dxa"/>
            <w:vMerge/>
            <w:tcBorders>
              <w:top w:val="double" w:sz="6" w:space="0" w:color="auto"/>
              <w:left w:val="double" w:sz="6" w:space="0" w:color="auto"/>
              <w:bottom w:val="nil"/>
              <w:right w:val="nil"/>
            </w:tcBorders>
            <w:vAlign w:val="center"/>
            <w:hideMark/>
          </w:tcPr>
          <w:p w14:paraId="06B67BFB" w14:textId="77777777" w:rsidR="009B5DE5" w:rsidRPr="009B5DE5" w:rsidRDefault="009B5DE5" w:rsidP="009B5DE5">
            <w:pPr>
              <w:spacing w:after="0"/>
              <w:jc w:val="left"/>
              <w:rPr>
                <w:rFonts w:eastAsia="Times New Roman" w:cs="Times New Roman"/>
                <w:szCs w:val="24"/>
              </w:rPr>
            </w:pPr>
          </w:p>
        </w:tc>
        <w:tc>
          <w:tcPr>
            <w:tcW w:w="823" w:type="dxa"/>
            <w:vMerge/>
            <w:tcBorders>
              <w:top w:val="double" w:sz="6" w:space="0" w:color="auto"/>
              <w:left w:val="nil"/>
              <w:bottom w:val="single" w:sz="8" w:space="0" w:color="000000"/>
              <w:right w:val="single" w:sz="8" w:space="0" w:color="auto"/>
            </w:tcBorders>
            <w:vAlign w:val="center"/>
            <w:hideMark/>
          </w:tcPr>
          <w:p w14:paraId="21BEF52C" w14:textId="77777777" w:rsidR="009B5DE5" w:rsidRPr="009B5DE5" w:rsidRDefault="009B5DE5" w:rsidP="009B5DE5">
            <w:pPr>
              <w:spacing w:after="0"/>
              <w:jc w:val="left"/>
              <w:rPr>
                <w:rFonts w:eastAsia="Times New Roman" w:cs="Times New Roman"/>
                <w:szCs w:val="24"/>
              </w:rPr>
            </w:pPr>
          </w:p>
        </w:tc>
        <w:tc>
          <w:tcPr>
            <w:tcW w:w="1177" w:type="dxa"/>
            <w:vMerge/>
            <w:tcBorders>
              <w:top w:val="double" w:sz="6" w:space="0" w:color="auto"/>
              <w:left w:val="dotted" w:sz="4" w:space="0" w:color="auto"/>
              <w:bottom w:val="single" w:sz="8" w:space="0" w:color="000000"/>
              <w:right w:val="single" w:sz="8" w:space="0" w:color="auto"/>
            </w:tcBorders>
            <w:vAlign w:val="center"/>
            <w:hideMark/>
          </w:tcPr>
          <w:p w14:paraId="35D05A2C" w14:textId="77777777" w:rsidR="009B5DE5" w:rsidRPr="009B5DE5" w:rsidRDefault="009B5DE5" w:rsidP="009B5DE5">
            <w:pPr>
              <w:spacing w:after="0"/>
              <w:jc w:val="left"/>
              <w:rPr>
                <w:rFonts w:eastAsia="Times New Roman" w:cs="Times New Roman"/>
                <w:szCs w:val="24"/>
              </w:rPr>
            </w:pPr>
          </w:p>
        </w:tc>
        <w:tc>
          <w:tcPr>
            <w:tcW w:w="1247" w:type="dxa"/>
            <w:tcBorders>
              <w:top w:val="nil"/>
              <w:left w:val="nil"/>
              <w:bottom w:val="dotted" w:sz="4" w:space="0" w:color="auto"/>
              <w:right w:val="dotted" w:sz="4" w:space="0" w:color="auto"/>
            </w:tcBorders>
            <w:shd w:val="clear" w:color="000000" w:fill="FFFFFF"/>
            <w:vAlign w:val="center"/>
            <w:hideMark/>
          </w:tcPr>
          <w:p w14:paraId="152024E0"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2023</w:t>
            </w:r>
          </w:p>
        </w:tc>
        <w:tc>
          <w:tcPr>
            <w:tcW w:w="1246" w:type="dxa"/>
            <w:tcBorders>
              <w:top w:val="nil"/>
              <w:left w:val="nil"/>
              <w:bottom w:val="dotted" w:sz="4" w:space="0" w:color="auto"/>
              <w:right w:val="dotted" w:sz="4" w:space="0" w:color="auto"/>
            </w:tcBorders>
            <w:shd w:val="clear" w:color="000000" w:fill="FFFFFF"/>
            <w:vAlign w:val="center"/>
            <w:hideMark/>
          </w:tcPr>
          <w:p w14:paraId="0D33658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2024</w:t>
            </w:r>
          </w:p>
        </w:tc>
        <w:tc>
          <w:tcPr>
            <w:tcW w:w="1246" w:type="dxa"/>
            <w:tcBorders>
              <w:top w:val="nil"/>
              <w:left w:val="nil"/>
              <w:bottom w:val="dotted" w:sz="4" w:space="0" w:color="auto"/>
              <w:right w:val="dotted" w:sz="4" w:space="0" w:color="auto"/>
            </w:tcBorders>
            <w:shd w:val="clear" w:color="000000" w:fill="FFFFFF"/>
            <w:vAlign w:val="center"/>
            <w:hideMark/>
          </w:tcPr>
          <w:p w14:paraId="07CA3F0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2025</w:t>
            </w:r>
          </w:p>
        </w:tc>
        <w:tc>
          <w:tcPr>
            <w:tcW w:w="1246" w:type="dxa"/>
            <w:tcBorders>
              <w:top w:val="nil"/>
              <w:left w:val="nil"/>
              <w:bottom w:val="dotted" w:sz="4" w:space="0" w:color="auto"/>
              <w:right w:val="dotted" w:sz="4" w:space="0" w:color="auto"/>
            </w:tcBorders>
            <w:shd w:val="clear" w:color="000000" w:fill="FFFFFF"/>
            <w:vAlign w:val="center"/>
            <w:hideMark/>
          </w:tcPr>
          <w:p w14:paraId="74E0298F"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2026</w:t>
            </w:r>
          </w:p>
        </w:tc>
        <w:tc>
          <w:tcPr>
            <w:tcW w:w="1251" w:type="dxa"/>
            <w:tcBorders>
              <w:top w:val="nil"/>
              <w:left w:val="nil"/>
              <w:bottom w:val="dotted" w:sz="4" w:space="0" w:color="auto"/>
              <w:right w:val="double" w:sz="6" w:space="0" w:color="auto"/>
            </w:tcBorders>
            <w:shd w:val="clear" w:color="000000" w:fill="FFFFFF"/>
            <w:vAlign w:val="center"/>
            <w:hideMark/>
          </w:tcPr>
          <w:p w14:paraId="56A73A20"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2027</w:t>
            </w:r>
          </w:p>
        </w:tc>
      </w:tr>
      <w:tr w:rsidR="009B5DE5" w:rsidRPr="009B5DE5" w14:paraId="10506660" w14:textId="77777777" w:rsidTr="00396800">
        <w:trPr>
          <w:trHeight w:val="322"/>
          <w:tblHeader/>
        </w:trPr>
        <w:tc>
          <w:tcPr>
            <w:tcW w:w="6761" w:type="dxa"/>
            <w:tcBorders>
              <w:top w:val="nil"/>
              <w:left w:val="double" w:sz="6" w:space="0" w:color="auto"/>
              <w:bottom w:val="single" w:sz="8" w:space="0" w:color="auto"/>
              <w:right w:val="nil"/>
            </w:tcBorders>
            <w:shd w:val="clear" w:color="000000" w:fill="FFFFFF"/>
            <w:vAlign w:val="center"/>
            <w:hideMark/>
          </w:tcPr>
          <w:p w14:paraId="54D659E2"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 </w:t>
            </w:r>
          </w:p>
        </w:tc>
        <w:tc>
          <w:tcPr>
            <w:tcW w:w="823" w:type="dxa"/>
            <w:vMerge/>
            <w:tcBorders>
              <w:top w:val="double" w:sz="6" w:space="0" w:color="auto"/>
              <w:left w:val="nil"/>
              <w:bottom w:val="single" w:sz="8" w:space="0" w:color="000000"/>
              <w:right w:val="single" w:sz="8" w:space="0" w:color="auto"/>
            </w:tcBorders>
            <w:vAlign w:val="center"/>
            <w:hideMark/>
          </w:tcPr>
          <w:p w14:paraId="3E431987" w14:textId="77777777" w:rsidR="009B5DE5" w:rsidRPr="009B5DE5" w:rsidRDefault="009B5DE5" w:rsidP="009B5DE5">
            <w:pPr>
              <w:spacing w:after="0"/>
              <w:jc w:val="left"/>
              <w:rPr>
                <w:rFonts w:eastAsia="Times New Roman" w:cs="Times New Roman"/>
                <w:szCs w:val="24"/>
              </w:rPr>
            </w:pPr>
          </w:p>
        </w:tc>
        <w:tc>
          <w:tcPr>
            <w:tcW w:w="1177" w:type="dxa"/>
            <w:vMerge/>
            <w:tcBorders>
              <w:top w:val="double" w:sz="6" w:space="0" w:color="auto"/>
              <w:left w:val="dotted" w:sz="4" w:space="0" w:color="auto"/>
              <w:bottom w:val="single" w:sz="8" w:space="0" w:color="000000"/>
              <w:right w:val="single" w:sz="8" w:space="0" w:color="auto"/>
            </w:tcBorders>
            <w:vAlign w:val="center"/>
            <w:hideMark/>
          </w:tcPr>
          <w:p w14:paraId="2F37357F" w14:textId="77777777" w:rsidR="009B5DE5" w:rsidRPr="009B5DE5" w:rsidRDefault="009B5DE5" w:rsidP="009B5DE5">
            <w:pPr>
              <w:spacing w:after="0"/>
              <w:jc w:val="left"/>
              <w:rPr>
                <w:rFonts w:eastAsia="Times New Roman" w:cs="Times New Roman"/>
                <w:szCs w:val="24"/>
              </w:rPr>
            </w:pPr>
          </w:p>
        </w:tc>
        <w:tc>
          <w:tcPr>
            <w:tcW w:w="6238" w:type="dxa"/>
            <w:gridSpan w:val="5"/>
            <w:tcBorders>
              <w:top w:val="dotted" w:sz="4" w:space="0" w:color="auto"/>
              <w:left w:val="nil"/>
              <w:bottom w:val="single" w:sz="8" w:space="0" w:color="auto"/>
              <w:right w:val="double" w:sz="6" w:space="0" w:color="000000"/>
            </w:tcBorders>
            <w:shd w:val="clear" w:color="000000" w:fill="FFFFFF"/>
            <w:vAlign w:val="center"/>
            <w:hideMark/>
          </w:tcPr>
          <w:p w14:paraId="740C20BA"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млрд РСД</w:t>
            </w:r>
          </w:p>
        </w:tc>
      </w:tr>
      <w:tr w:rsidR="009B5DE5" w:rsidRPr="009B5DE5" w14:paraId="3ED9D466" w14:textId="77777777" w:rsidTr="00396800">
        <w:trPr>
          <w:trHeight w:val="581"/>
        </w:trPr>
        <w:tc>
          <w:tcPr>
            <w:tcW w:w="15001" w:type="dxa"/>
            <w:gridSpan w:val="8"/>
            <w:tcBorders>
              <w:top w:val="single" w:sz="8" w:space="0" w:color="auto"/>
              <w:left w:val="double" w:sz="6" w:space="0" w:color="auto"/>
              <w:bottom w:val="single" w:sz="8" w:space="0" w:color="auto"/>
              <w:right w:val="double" w:sz="6" w:space="0" w:color="000000"/>
            </w:tcBorders>
            <w:shd w:val="clear" w:color="000000" w:fill="FFFFFF"/>
            <w:vAlign w:val="center"/>
            <w:hideMark/>
          </w:tcPr>
          <w:p w14:paraId="77742C71"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Нето позајмице (B9) по подсекторима</w:t>
            </w:r>
          </w:p>
        </w:tc>
      </w:tr>
      <w:tr w:rsidR="009B5DE5" w:rsidRPr="009B5DE5" w14:paraId="08013CEB" w14:textId="77777777" w:rsidTr="00396800">
        <w:trPr>
          <w:trHeight w:val="420"/>
        </w:trPr>
        <w:tc>
          <w:tcPr>
            <w:tcW w:w="6761" w:type="dxa"/>
            <w:tcBorders>
              <w:top w:val="nil"/>
              <w:left w:val="double" w:sz="6" w:space="0" w:color="auto"/>
              <w:bottom w:val="dotted" w:sz="4" w:space="0" w:color="auto"/>
              <w:right w:val="nil"/>
            </w:tcBorders>
            <w:shd w:val="clear" w:color="000000" w:fill="FFFFFF"/>
            <w:vAlign w:val="center"/>
            <w:hideMark/>
          </w:tcPr>
          <w:p w14:paraId="45B635E1"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1. Сектор државе</w:t>
            </w:r>
          </w:p>
        </w:tc>
        <w:tc>
          <w:tcPr>
            <w:tcW w:w="823" w:type="dxa"/>
            <w:tcBorders>
              <w:top w:val="nil"/>
              <w:left w:val="nil"/>
              <w:bottom w:val="dotted" w:sz="4" w:space="0" w:color="auto"/>
              <w:right w:val="single" w:sz="8" w:space="0" w:color="auto"/>
            </w:tcBorders>
            <w:shd w:val="clear" w:color="000000" w:fill="FFFFFF"/>
            <w:vAlign w:val="center"/>
            <w:hideMark/>
          </w:tcPr>
          <w:p w14:paraId="7A3DD6F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77" w:type="dxa"/>
            <w:tcBorders>
              <w:top w:val="nil"/>
              <w:left w:val="nil"/>
              <w:bottom w:val="dotted" w:sz="4" w:space="0" w:color="auto"/>
              <w:right w:val="single" w:sz="8" w:space="0" w:color="auto"/>
            </w:tcBorders>
            <w:shd w:val="clear" w:color="000000" w:fill="FFFFFF"/>
            <w:vAlign w:val="center"/>
            <w:hideMark/>
          </w:tcPr>
          <w:p w14:paraId="316DE1C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S13</w:t>
            </w:r>
          </w:p>
        </w:tc>
        <w:tc>
          <w:tcPr>
            <w:tcW w:w="1247" w:type="dxa"/>
            <w:tcBorders>
              <w:top w:val="nil"/>
              <w:left w:val="nil"/>
              <w:bottom w:val="dotted" w:sz="4" w:space="0" w:color="auto"/>
              <w:right w:val="dotted" w:sz="4" w:space="0" w:color="auto"/>
            </w:tcBorders>
            <w:shd w:val="clear" w:color="000000" w:fill="FFFFFF"/>
            <w:vAlign w:val="center"/>
            <w:hideMark/>
          </w:tcPr>
          <w:p w14:paraId="5F7C8EB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-181,1</w:t>
            </w:r>
          </w:p>
        </w:tc>
        <w:tc>
          <w:tcPr>
            <w:tcW w:w="1246" w:type="dxa"/>
            <w:tcBorders>
              <w:top w:val="nil"/>
              <w:left w:val="nil"/>
              <w:bottom w:val="dotted" w:sz="4" w:space="0" w:color="auto"/>
              <w:right w:val="dotted" w:sz="4" w:space="0" w:color="auto"/>
            </w:tcBorders>
            <w:shd w:val="clear" w:color="000000" w:fill="FFFFFF"/>
            <w:vAlign w:val="center"/>
            <w:hideMark/>
          </w:tcPr>
          <w:p w14:paraId="487B545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-263,0</w:t>
            </w:r>
          </w:p>
        </w:tc>
        <w:tc>
          <w:tcPr>
            <w:tcW w:w="1246" w:type="dxa"/>
            <w:tcBorders>
              <w:top w:val="nil"/>
              <w:left w:val="nil"/>
              <w:bottom w:val="dotted" w:sz="4" w:space="0" w:color="auto"/>
              <w:right w:val="dotted" w:sz="4" w:space="0" w:color="auto"/>
            </w:tcBorders>
            <w:shd w:val="clear" w:color="000000" w:fill="FFFFFF"/>
            <w:vAlign w:val="center"/>
            <w:hideMark/>
          </w:tcPr>
          <w:p w14:paraId="3E5ED230"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-314,0</w:t>
            </w:r>
          </w:p>
        </w:tc>
        <w:tc>
          <w:tcPr>
            <w:tcW w:w="1246" w:type="dxa"/>
            <w:tcBorders>
              <w:top w:val="nil"/>
              <w:left w:val="nil"/>
              <w:bottom w:val="dotted" w:sz="4" w:space="0" w:color="auto"/>
              <w:right w:val="dotted" w:sz="4" w:space="0" w:color="auto"/>
            </w:tcBorders>
            <w:shd w:val="clear" w:color="000000" w:fill="FFFFFF"/>
            <w:vAlign w:val="center"/>
            <w:hideMark/>
          </w:tcPr>
          <w:p w14:paraId="56B253B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-336,0</w:t>
            </w:r>
          </w:p>
        </w:tc>
        <w:tc>
          <w:tcPr>
            <w:tcW w:w="1251" w:type="dxa"/>
            <w:tcBorders>
              <w:top w:val="nil"/>
              <w:left w:val="nil"/>
              <w:bottom w:val="dotted" w:sz="4" w:space="0" w:color="auto"/>
              <w:right w:val="double" w:sz="6" w:space="0" w:color="auto"/>
            </w:tcBorders>
            <w:shd w:val="clear" w:color="000000" w:fill="FFFFFF"/>
            <w:vAlign w:val="center"/>
            <w:hideMark/>
          </w:tcPr>
          <w:p w14:paraId="1241F92F"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-360,0</w:t>
            </w:r>
          </w:p>
        </w:tc>
      </w:tr>
      <w:tr w:rsidR="009B5DE5" w:rsidRPr="009B5DE5" w14:paraId="15720FF4" w14:textId="77777777" w:rsidTr="00396800">
        <w:trPr>
          <w:trHeight w:val="420"/>
        </w:trPr>
        <w:tc>
          <w:tcPr>
            <w:tcW w:w="6761" w:type="dxa"/>
            <w:tcBorders>
              <w:top w:val="nil"/>
              <w:left w:val="double" w:sz="6" w:space="0" w:color="auto"/>
              <w:bottom w:val="dotted" w:sz="4" w:space="0" w:color="auto"/>
              <w:right w:val="nil"/>
            </w:tcBorders>
            <w:shd w:val="clear" w:color="000000" w:fill="FFFFFF"/>
            <w:vAlign w:val="center"/>
            <w:hideMark/>
          </w:tcPr>
          <w:p w14:paraId="328AC9BB"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2. Централни ниво државе</w:t>
            </w:r>
          </w:p>
        </w:tc>
        <w:tc>
          <w:tcPr>
            <w:tcW w:w="823" w:type="dxa"/>
            <w:tcBorders>
              <w:top w:val="nil"/>
              <w:left w:val="nil"/>
              <w:bottom w:val="dotted" w:sz="4" w:space="0" w:color="auto"/>
              <w:right w:val="single" w:sz="8" w:space="0" w:color="auto"/>
            </w:tcBorders>
            <w:shd w:val="clear" w:color="000000" w:fill="FFFFFF"/>
            <w:vAlign w:val="center"/>
            <w:hideMark/>
          </w:tcPr>
          <w:p w14:paraId="1169D3E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77" w:type="dxa"/>
            <w:tcBorders>
              <w:top w:val="nil"/>
              <w:left w:val="nil"/>
              <w:bottom w:val="dotted" w:sz="4" w:space="0" w:color="auto"/>
              <w:right w:val="single" w:sz="8" w:space="0" w:color="auto"/>
            </w:tcBorders>
            <w:shd w:val="clear" w:color="000000" w:fill="FFFFFF"/>
            <w:vAlign w:val="center"/>
            <w:hideMark/>
          </w:tcPr>
          <w:p w14:paraId="23F38EB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S1311</w:t>
            </w:r>
          </w:p>
        </w:tc>
        <w:tc>
          <w:tcPr>
            <w:tcW w:w="1247" w:type="dxa"/>
            <w:tcBorders>
              <w:top w:val="nil"/>
              <w:left w:val="nil"/>
              <w:bottom w:val="dotted" w:sz="4" w:space="0" w:color="auto"/>
              <w:right w:val="dotted" w:sz="4" w:space="0" w:color="auto"/>
            </w:tcBorders>
            <w:shd w:val="clear" w:color="000000" w:fill="FFFFFF"/>
            <w:vAlign w:val="center"/>
            <w:hideMark/>
          </w:tcPr>
          <w:p w14:paraId="51B648EF"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-177,2</w:t>
            </w:r>
          </w:p>
        </w:tc>
        <w:tc>
          <w:tcPr>
            <w:tcW w:w="1246" w:type="dxa"/>
            <w:tcBorders>
              <w:top w:val="nil"/>
              <w:left w:val="nil"/>
              <w:bottom w:val="dotted" w:sz="4" w:space="0" w:color="auto"/>
              <w:right w:val="dotted" w:sz="4" w:space="0" w:color="auto"/>
            </w:tcBorders>
            <w:shd w:val="clear" w:color="000000" w:fill="FFFFFF"/>
            <w:vAlign w:val="center"/>
            <w:hideMark/>
          </w:tcPr>
          <w:p w14:paraId="5918E5D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lang w:val="sr-Cyrl-RS"/>
              </w:rPr>
              <w:t>-</w:t>
            </w:r>
            <w:r w:rsidRPr="009B5DE5">
              <w:rPr>
                <w:rFonts w:eastAsia="Times New Roman" w:cs="Times New Roman"/>
                <w:szCs w:val="24"/>
              </w:rPr>
              <w:t>263,0</w:t>
            </w:r>
          </w:p>
        </w:tc>
        <w:tc>
          <w:tcPr>
            <w:tcW w:w="1246" w:type="dxa"/>
            <w:tcBorders>
              <w:top w:val="nil"/>
              <w:left w:val="nil"/>
              <w:bottom w:val="dotted" w:sz="4" w:space="0" w:color="auto"/>
              <w:right w:val="dotted" w:sz="4" w:space="0" w:color="auto"/>
            </w:tcBorders>
            <w:shd w:val="clear" w:color="000000" w:fill="FFFFFF"/>
            <w:vAlign w:val="center"/>
            <w:hideMark/>
          </w:tcPr>
          <w:p w14:paraId="2B36745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lang w:val="sr-Cyrl-RS"/>
              </w:rPr>
              <w:t>-</w:t>
            </w:r>
            <w:r w:rsidRPr="009B5DE5">
              <w:rPr>
                <w:rFonts w:eastAsia="Times New Roman" w:cs="Times New Roman"/>
                <w:szCs w:val="24"/>
              </w:rPr>
              <w:t>314,0</w:t>
            </w:r>
          </w:p>
        </w:tc>
        <w:tc>
          <w:tcPr>
            <w:tcW w:w="1246" w:type="dxa"/>
            <w:tcBorders>
              <w:top w:val="nil"/>
              <w:left w:val="nil"/>
              <w:bottom w:val="dotted" w:sz="4" w:space="0" w:color="auto"/>
              <w:right w:val="dotted" w:sz="4" w:space="0" w:color="auto"/>
            </w:tcBorders>
            <w:shd w:val="clear" w:color="000000" w:fill="FFFFFF"/>
            <w:vAlign w:val="center"/>
            <w:hideMark/>
          </w:tcPr>
          <w:p w14:paraId="63195A5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lang w:val="sr-Cyrl-RS"/>
              </w:rPr>
              <w:t>-</w:t>
            </w:r>
            <w:r w:rsidRPr="009B5DE5">
              <w:rPr>
                <w:rFonts w:eastAsia="Times New Roman" w:cs="Times New Roman"/>
                <w:szCs w:val="24"/>
              </w:rPr>
              <w:t>336,0</w:t>
            </w:r>
          </w:p>
        </w:tc>
        <w:tc>
          <w:tcPr>
            <w:tcW w:w="1251" w:type="dxa"/>
            <w:tcBorders>
              <w:top w:val="nil"/>
              <w:left w:val="nil"/>
              <w:bottom w:val="dotted" w:sz="4" w:space="0" w:color="auto"/>
              <w:right w:val="double" w:sz="6" w:space="0" w:color="auto"/>
            </w:tcBorders>
            <w:shd w:val="clear" w:color="000000" w:fill="FFFFFF"/>
            <w:vAlign w:val="center"/>
            <w:hideMark/>
          </w:tcPr>
          <w:p w14:paraId="5EAC5CD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lang w:val="sr-Cyrl-RS"/>
              </w:rPr>
              <w:t>-</w:t>
            </w:r>
            <w:r w:rsidRPr="009B5DE5">
              <w:rPr>
                <w:rFonts w:eastAsia="Times New Roman" w:cs="Times New Roman"/>
                <w:szCs w:val="24"/>
              </w:rPr>
              <w:t>360,0</w:t>
            </w:r>
          </w:p>
        </w:tc>
      </w:tr>
      <w:tr w:rsidR="009B5DE5" w:rsidRPr="009B5DE5" w14:paraId="48EBD14E" w14:textId="77777777" w:rsidTr="00396800">
        <w:trPr>
          <w:trHeight w:val="420"/>
        </w:trPr>
        <w:tc>
          <w:tcPr>
            <w:tcW w:w="6761" w:type="dxa"/>
            <w:tcBorders>
              <w:top w:val="nil"/>
              <w:left w:val="double" w:sz="6" w:space="0" w:color="auto"/>
              <w:bottom w:val="dotted" w:sz="4" w:space="0" w:color="auto"/>
              <w:right w:val="nil"/>
            </w:tcBorders>
            <w:shd w:val="clear" w:color="000000" w:fill="FFFFFF"/>
            <w:vAlign w:val="center"/>
            <w:hideMark/>
          </w:tcPr>
          <w:p w14:paraId="53DABC6F"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3. Ниво власти федералних јединица </w:t>
            </w:r>
          </w:p>
        </w:tc>
        <w:tc>
          <w:tcPr>
            <w:tcW w:w="823" w:type="dxa"/>
            <w:tcBorders>
              <w:top w:val="nil"/>
              <w:left w:val="nil"/>
              <w:bottom w:val="dotted" w:sz="4" w:space="0" w:color="auto"/>
              <w:right w:val="single" w:sz="8" w:space="0" w:color="auto"/>
            </w:tcBorders>
            <w:shd w:val="clear" w:color="000000" w:fill="FFFFFF"/>
            <w:vAlign w:val="center"/>
            <w:hideMark/>
          </w:tcPr>
          <w:p w14:paraId="097BE26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77" w:type="dxa"/>
            <w:tcBorders>
              <w:top w:val="nil"/>
              <w:left w:val="nil"/>
              <w:bottom w:val="dotted" w:sz="4" w:space="0" w:color="auto"/>
              <w:right w:val="single" w:sz="8" w:space="0" w:color="auto"/>
            </w:tcBorders>
            <w:shd w:val="clear" w:color="000000" w:fill="FFFFFF"/>
            <w:vAlign w:val="center"/>
            <w:hideMark/>
          </w:tcPr>
          <w:p w14:paraId="70A8D7A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S1312</w:t>
            </w:r>
          </w:p>
        </w:tc>
        <w:tc>
          <w:tcPr>
            <w:tcW w:w="1247" w:type="dxa"/>
            <w:tcBorders>
              <w:top w:val="nil"/>
              <w:left w:val="nil"/>
              <w:bottom w:val="dotted" w:sz="4" w:space="0" w:color="auto"/>
              <w:right w:val="dotted" w:sz="4" w:space="0" w:color="auto"/>
            </w:tcBorders>
            <w:shd w:val="clear" w:color="000000" w:fill="FFFFFF"/>
            <w:vAlign w:val="center"/>
            <w:hideMark/>
          </w:tcPr>
          <w:p w14:paraId="18667D9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246" w:type="dxa"/>
            <w:tcBorders>
              <w:top w:val="nil"/>
              <w:left w:val="nil"/>
              <w:bottom w:val="dotted" w:sz="4" w:space="0" w:color="auto"/>
              <w:right w:val="dotted" w:sz="4" w:space="0" w:color="auto"/>
            </w:tcBorders>
            <w:shd w:val="clear" w:color="000000" w:fill="FFFFFF"/>
            <w:vAlign w:val="center"/>
            <w:hideMark/>
          </w:tcPr>
          <w:p w14:paraId="2EEC9B7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246" w:type="dxa"/>
            <w:tcBorders>
              <w:top w:val="nil"/>
              <w:left w:val="nil"/>
              <w:bottom w:val="dotted" w:sz="4" w:space="0" w:color="auto"/>
              <w:right w:val="dotted" w:sz="4" w:space="0" w:color="auto"/>
            </w:tcBorders>
            <w:shd w:val="clear" w:color="000000" w:fill="FFFFFF"/>
            <w:vAlign w:val="center"/>
            <w:hideMark/>
          </w:tcPr>
          <w:p w14:paraId="4614F20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246" w:type="dxa"/>
            <w:tcBorders>
              <w:top w:val="nil"/>
              <w:left w:val="nil"/>
              <w:bottom w:val="dotted" w:sz="4" w:space="0" w:color="auto"/>
              <w:right w:val="dotted" w:sz="4" w:space="0" w:color="auto"/>
            </w:tcBorders>
            <w:shd w:val="clear" w:color="000000" w:fill="FFFFFF"/>
            <w:vAlign w:val="center"/>
            <w:hideMark/>
          </w:tcPr>
          <w:p w14:paraId="2C94FF0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251" w:type="dxa"/>
            <w:tcBorders>
              <w:top w:val="nil"/>
              <w:left w:val="nil"/>
              <w:bottom w:val="dotted" w:sz="4" w:space="0" w:color="auto"/>
              <w:right w:val="double" w:sz="6" w:space="0" w:color="auto"/>
            </w:tcBorders>
            <w:shd w:val="clear" w:color="000000" w:fill="FFFFFF"/>
            <w:vAlign w:val="center"/>
            <w:hideMark/>
          </w:tcPr>
          <w:p w14:paraId="6B08BA9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r>
      <w:tr w:rsidR="009B5DE5" w:rsidRPr="009B5DE5" w14:paraId="0D6CD0A6" w14:textId="77777777" w:rsidTr="00396800">
        <w:trPr>
          <w:trHeight w:val="420"/>
        </w:trPr>
        <w:tc>
          <w:tcPr>
            <w:tcW w:w="6761" w:type="dxa"/>
            <w:tcBorders>
              <w:top w:val="nil"/>
              <w:left w:val="double" w:sz="6" w:space="0" w:color="auto"/>
              <w:bottom w:val="dotted" w:sz="4" w:space="0" w:color="auto"/>
              <w:right w:val="nil"/>
            </w:tcBorders>
            <w:shd w:val="clear" w:color="000000" w:fill="FFFFFF"/>
            <w:vAlign w:val="center"/>
            <w:hideMark/>
          </w:tcPr>
          <w:p w14:paraId="19C98710"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4. Локална самоуправа</w:t>
            </w:r>
          </w:p>
        </w:tc>
        <w:tc>
          <w:tcPr>
            <w:tcW w:w="823" w:type="dxa"/>
            <w:tcBorders>
              <w:top w:val="nil"/>
              <w:left w:val="nil"/>
              <w:bottom w:val="dotted" w:sz="4" w:space="0" w:color="auto"/>
              <w:right w:val="single" w:sz="8" w:space="0" w:color="auto"/>
            </w:tcBorders>
            <w:shd w:val="clear" w:color="000000" w:fill="FFFFFF"/>
            <w:vAlign w:val="center"/>
            <w:hideMark/>
          </w:tcPr>
          <w:p w14:paraId="634F2F9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77" w:type="dxa"/>
            <w:tcBorders>
              <w:top w:val="nil"/>
              <w:left w:val="nil"/>
              <w:bottom w:val="dotted" w:sz="4" w:space="0" w:color="auto"/>
              <w:right w:val="single" w:sz="8" w:space="0" w:color="auto"/>
            </w:tcBorders>
            <w:shd w:val="clear" w:color="000000" w:fill="FFFFFF"/>
            <w:vAlign w:val="center"/>
            <w:hideMark/>
          </w:tcPr>
          <w:p w14:paraId="6FE2090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S1313</w:t>
            </w:r>
          </w:p>
        </w:tc>
        <w:tc>
          <w:tcPr>
            <w:tcW w:w="1247" w:type="dxa"/>
            <w:tcBorders>
              <w:top w:val="nil"/>
              <w:left w:val="nil"/>
              <w:bottom w:val="dotted" w:sz="4" w:space="0" w:color="auto"/>
              <w:right w:val="dotted" w:sz="4" w:space="0" w:color="auto"/>
            </w:tcBorders>
            <w:shd w:val="clear" w:color="000000" w:fill="FFFFFF"/>
            <w:vAlign w:val="center"/>
            <w:hideMark/>
          </w:tcPr>
          <w:p w14:paraId="4D81227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-8,9</w:t>
            </w:r>
          </w:p>
        </w:tc>
        <w:tc>
          <w:tcPr>
            <w:tcW w:w="1246" w:type="dxa"/>
            <w:tcBorders>
              <w:top w:val="nil"/>
              <w:left w:val="nil"/>
              <w:bottom w:val="dotted" w:sz="4" w:space="0" w:color="auto"/>
              <w:right w:val="dotted" w:sz="4" w:space="0" w:color="auto"/>
            </w:tcBorders>
            <w:shd w:val="clear" w:color="000000" w:fill="FFFFFF"/>
            <w:vAlign w:val="center"/>
            <w:hideMark/>
          </w:tcPr>
          <w:p w14:paraId="6E140FA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0,0</w:t>
            </w:r>
          </w:p>
        </w:tc>
        <w:tc>
          <w:tcPr>
            <w:tcW w:w="1246" w:type="dxa"/>
            <w:tcBorders>
              <w:top w:val="nil"/>
              <w:left w:val="nil"/>
              <w:bottom w:val="dotted" w:sz="4" w:space="0" w:color="auto"/>
              <w:right w:val="dotted" w:sz="4" w:space="0" w:color="auto"/>
            </w:tcBorders>
            <w:shd w:val="clear" w:color="000000" w:fill="FFFFFF"/>
            <w:vAlign w:val="center"/>
            <w:hideMark/>
          </w:tcPr>
          <w:p w14:paraId="12A9BDD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0,0</w:t>
            </w:r>
          </w:p>
        </w:tc>
        <w:tc>
          <w:tcPr>
            <w:tcW w:w="1246" w:type="dxa"/>
            <w:tcBorders>
              <w:top w:val="nil"/>
              <w:left w:val="nil"/>
              <w:bottom w:val="dotted" w:sz="4" w:space="0" w:color="auto"/>
              <w:right w:val="dotted" w:sz="4" w:space="0" w:color="auto"/>
            </w:tcBorders>
            <w:shd w:val="clear" w:color="000000" w:fill="FFFFFF"/>
            <w:vAlign w:val="center"/>
            <w:hideMark/>
          </w:tcPr>
          <w:p w14:paraId="14E45C8A"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0,0</w:t>
            </w:r>
          </w:p>
        </w:tc>
        <w:tc>
          <w:tcPr>
            <w:tcW w:w="1251" w:type="dxa"/>
            <w:tcBorders>
              <w:top w:val="nil"/>
              <w:left w:val="nil"/>
              <w:bottom w:val="dotted" w:sz="4" w:space="0" w:color="auto"/>
              <w:right w:val="double" w:sz="6" w:space="0" w:color="auto"/>
            </w:tcBorders>
            <w:shd w:val="clear" w:color="000000" w:fill="FFFFFF"/>
            <w:vAlign w:val="center"/>
            <w:hideMark/>
          </w:tcPr>
          <w:p w14:paraId="17BECA8A"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0,0</w:t>
            </w:r>
          </w:p>
        </w:tc>
      </w:tr>
      <w:tr w:rsidR="009B5DE5" w:rsidRPr="009B5DE5" w14:paraId="76C0BC54" w14:textId="77777777" w:rsidTr="00396800">
        <w:trPr>
          <w:trHeight w:val="420"/>
        </w:trPr>
        <w:tc>
          <w:tcPr>
            <w:tcW w:w="6761" w:type="dxa"/>
            <w:tcBorders>
              <w:top w:val="nil"/>
              <w:left w:val="double" w:sz="6" w:space="0" w:color="auto"/>
              <w:bottom w:val="single" w:sz="8" w:space="0" w:color="auto"/>
              <w:right w:val="nil"/>
            </w:tcBorders>
            <w:shd w:val="clear" w:color="000000" w:fill="FFFFFF"/>
            <w:vAlign w:val="center"/>
            <w:hideMark/>
          </w:tcPr>
          <w:p w14:paraId="228D32D8"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5. Фондови социјалног осигурања</w:t>
            </w:r>
          </w:p>
        </w:tc>
        <w:tc>
          <w:tcPr>
            <w:tcW w:w="823" w:type="dxa"/>
            <w:tcBorders>
              <w:top w:val="nil"/>
              <w:left w:val="nil"/>
              <w:bottom w:val="single" w:sz="8" w:space="0" w:color="auto"/>
              <w:right w:val="single" w:sz="8" w:space="0" w:color="auto"/>
            </w:tcBorders>
            <w:shd w:val="clear" w:color="000000" w:fill="FFFFFF"/>
            <w:vAlign w:val="center"/>
            <w:hideMark/>
          </w:tcPr>
          <w:p w14:paraId="1DE4475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77" w:type="dxa"/>
            <w:tcBorders>
              <w:top w:val="nil"/>
              <w:left w:val="nil"/>
              <w:bottom w:val="single" w:sz="8" w:space="0" w:color="auto"/>
              <w:right w:val="single" w:sz="8" w:space="0" w:color="auto"/>
            </w:tcBorders>
            <w:shd w:val="clear" w:color="000000" w:fill="FFFFFF"/>
            <w:vAlign w:val="center"/>
            <w:hideMark/>
          </w:tcPr>
          <w:p w14:paraId="599170E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S1314</w:t>
            </w:r>
          </w:p>
        </w:tc>
        <w:tc>
          <w:tcPr>
            <w:tcW w:w="1247" w:type="dxa"/>
            <w:tcBorders>
              <w:top w:val="nil"/>
              <w:left w:val="nil"/>
              <w:bottom w:val="single" w:sz="8" w:space="0" w:color="auto"/>
              <w:right w:val="dotted" w:sz="4" w:space="0" w:color="auto"/>
            </w:tcBorders>
            <w:shd w:val="clear" w:color="000000" w:fill="FFFFFF"/>
            <w:vAlign w:val="center"/>
            <w:hideMark/>
          </w:tcPr>
          <w:p w14:paraId="3BA6274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5,0</w:t>
            </w:r>
          </w:p>
        </w:tc>
        <w:tc>
          <w:tcPr>
            <w:tcW w:w="1246" w:type="dxa"/>
            <w:tcBorders>
              <w:top w:val="nil"/>
              <w:left w:val="nil"/>
              <w:bottom w:val="single" w:sz="8" w:space="0" w:color="auto"/>
              <w:right w:val="dotted" w:sz="4" w:space="0" w:color="auto"/>
            </w:tcBorders>
            <w:shd w:val="clear" w:color="000000" w:fill="FFFFFF"/>
            <w:vAlign w:val="center"/>
            <w:hideMark/>
          </w:tcPr>
          <w:p w14:paraId="703D162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0,0</w:t>
            </w:r>
          </w:p>
        </w:tc>
        <w:tc>
          <w:tcPr>
            <w:tcW w:w="1246" w:type="dxa"/>
            <w:tcBorders>
              <w:top w:val="nil"/>
              <w:left w:val="nil"/>
              <w:bottom w:val="single" w:sz="8" w:space="0" w:color="auto"/>
              <w:right w:val="dotted" w:sz="4" w:space="0" w:color="auto"/>
            </w:tcBorders>
            <w:shd w:val="clear" w:color="000000" w:fill="FFFFFF"/>
            <w:vAlign w:val="center"/>
            <w:hideMark/>
          </w:tcPr>
          <w:p w14:paraId="72877D5A"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0,0</w:t>
            </w:r>
          </w:p>
        </w:tc>
        <w:tc>
          <w:tcPr>
            <w:tcW w:w="1246" w:type="dxa"/>
            <w:tcBorders>
              <w:top w:val="nil"/>
              <w:left w:val="nil"/>
              <w:bottom w:val="single" w:sz="8" w:space="0" w:color="auto"/>
              <w:right w:val="dotted" w:sz="4" w:space="0" w:color="auto"/>
            </w:tcBorders>
            <w:shd w:val="clear" w:color="000000" w:fill="FFFFFF"/>
            <w:vAlign w:val="center"/>
            <w:hideMark/>
          </w:tcPr>
          <w:p w14:paraId="52E0E5E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0,0</w:t>
            </w:r>
          </w:p>
        </w:tc>
        <w:tc>
          <w:tcPr>
            <w:tcW w:w="1251" w:type="dxa"/>
            <w:tcBorders>
              <w:top w:val="nil"/>
              <w:left w:val="nil"/>
              <w:bottom w:val="single" w:sz="8" w:space="0" w:color="auto"/>
              <w:right w:val="double" w:sz="6" w:space="0" w:color="auto"/>
            </w:tcBorders>
            <w:shd w:val="clear" w:color="000000" w:fill="FFFFFF"/>
            <w:vAlign w:val="center"/>
            <w:hideMark/>
          </w:tcPr>
          <w:p w14:paraId="18E07A4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0,0</w:t>
            </w:r>
          </w:p>
        </w:tc>
      </w:tr>
      <w:tr w:rsidR="009B5DE5" w:rsidRPr="009B5DE5" w14:paraId="097BD9C1" w14:textId="77777777" w:rsidTr="00396800">
        <w:trPr>
          <w:trHeight w:val="533"/>
        </w:trPr>
        <w:tc>
          <w:tcPr>
            <w:tcW w:w="15001" w:type="dxa"/>
            <w:gridSpan w:val="8"/>
            <w:tcBorders>
              <w:top w:val="single" w:sz="8" w:space="0" w:color="auto"/>
              <w:left w:val="double" w:sz="6" w:space="0" w:color="auto"/>
              <w:bottom w:val="single" w:sz="8" w:space="0" w:color="auto"/>
              <w:right w:val="double" w:sz="6" w:space="0" w:color="000000"/>
            </w:tcBorders>
            <w:shd w:val="clear" w:color="000000" w:fill="FFFFFF"/>
            <w:vAlign w:val="center"/>
            <w:hideMark/>
          </w:tcPr>
          <w:p w14:paraId="5B05D2FB"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Сектор државе (S13)</w:t>
            </w:r>
          </w:p>
        </w:tc>
      </w:tr>
      <w:tr w:rsidR="009B5DE5" w:rsidRPr="009B5DE5" w14:paraId="2E7188C4" w14:textId="77777777" w:rsidTr="00396800">
        <w:trPr>
          <w:trHeight w:val="309"/>
        </w:trPr>
        <w:tc>
          <w:tcPr>
            <w:tcW w:w="6761" w:type="dxa"/>
            <w:tcBorders>
              <w:top w:val="nil"/>
              <w:left w:val="double" w:sz="6" w:space="0" w:color="auto"/>
              <w:bottom w:val="dotted" w:sz="4" w:space="0" w:color="auto"/>
              <w:right w:val="nil"/>
            </w:tcBorders>
            <w:shd w:val="clear" w:color="000000" w:fill="FFFFFF"/>
            <w:vAlign w:val="center"/>
            <w:hideMark/>
          </w:tcPr>
          <w:p w14:paraId="6F5D6A2C"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6. Укупни приходи</w:t>
            </w:r>
          </w:p>
        </w:tc>
        <w:tc>
          <w:tcPr>
            <w:tcW w:w="823" w:type="dxa"/>
            <w:tcBorders>
              <w:top w:val="nil"/>
              <w:left w:val="nil"/>
              <w:bottom w:val="dotted" w:sz="4" w:space="0" w:color="auto"/>
              <w:right w:val="single" w:sz="8" w:space="0" w:color="auto"/>
            </w:tcBorders>
            <w:shd w:val="clear" w:color="000000" w:fill="FFFFFF"/>
            <w:vAlign w:val="center"/>
            <w:hideMark/>
          </w:tcPr>
          <w:p w14:paraId="6DBF088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77" w:type="dxa"/>
            <w:tcBorders>
              <w:top w:val="nil"/>
              <w:left w:val="nil"/>
              <w:bottom w:val="dotted" w:sz="4" w:space="0" w:color="auto"/>
              <w:right w:val="single" w:sz="8" w:space="0" w:color="auto"/>
            </w:tcBorders>
            <w:shd w:val="clear" w:color="000000" w:fill="FFFFFF"/>
            <w:vAlign w:val="center"/>
            <w:hideMark/>
          </w:tcPr>
          <w:p w14:paraId="54B613B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TR</w:t>
            </w:r>
          </w:p>
        </w:tc>
        <w:tc>
          <w:tcPr>
            <w:tcW w:w="1247" w:type="dxa"/>
            <w:tcBorders>
              <w:top w:val="nil"/>
              <w:left w:val="nil"/>
              <w:bottom w:val="dotted" w:sz="4" w:space="0" w:color="auto"/>
              <w:right w:val="dotted" w:sz="4" w:space="0" w:color="auto"/>
            </w:tcBorders>
            <w:shd w:val="clear" w:color="000000" w:fill="FFFFFF"/>
            <w:vAlign w:val="center"/>
            <w:hideMark/>
          </w:tcPr>
          <w:p w14:paraId="681ECE4F"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3.473,3</w:t>
            </w:r>
          </w:p>
        </w:tc>
        <w:tc>
          <w:tcPr>
            <w:tcW w:w="1246" w:type="dxa"/>
            <w:tcBorders>
              <w:top w:val="nil"/>
              <w:left w:val="nil"/>
              <w:bottom w:val="dotted" w:sz="4" w:space="0" w:color="auto"/>
              <w:right w:val="dotted" w:sz="4" w:space="0" w:color="auto"/>
            </w:tcBorders>
            <w:shd w:val="clear" w:color="000000" w:fill="FFFFFF"/>
            <w:vAlign w:val="center"/>
            <w:hideMark/>
          </w:tcPr>
          <w:p w14:paraId="00DD987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3.922,2</w:t>
            </w:r>
          </w:p>
        </w:tc>
        <w:tc>
          <w:tcPr>
            <w:tcW w:w="1246" w:type="dxa"/>
            <w:tcBorders>
              <w:top w:val="nil"/>
              <w:left w:val="nil"/>
              <w:bottom w:val="dotted" w:sz="4" w:space="0" w:color="auto"/>
              <w:right w:val="dotted" w:sz="4" w:space="0" w:color="auto"/>
            </w:tcBorders>
            <w:shd w:val="clear" w:color="000000" w:fill="FFFFFF"/>
            <w:vAlign w:val="center"/>
            <w:hideMark/>
          </w:tcPr>
          <w:p w14:paraId="502E2EE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4.264,3</w:t>
            </w:r>
          </w:p>
        </w:tc>
        <w:tc>
          <w:tcPr>
            <w:tcW w:w="1246" w:type="dxa"/>
            <w:tcBorders>
              <w:top w:val="nil"/>
              <w:left w:val="nil"/>
              <w:bottom w:val="dotted" w:sz="4" w:space="0" w:color="auto"/>
              <w:right w:val="dotted" w:sz="4" w:space="0" w:color="auto"/>
            </w:tcBorders>
            <w:shd w:val="clear" w:color="000000" w:fill="FFFFFF"/>
            <w:vAlign w:val="center"/>
            <w:hideMark/>
          </w:tcPr>
          <w:p w14:paraId="16C9ED1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4.534,0</w:t>
            </w:r>
          </w:p>
        </w:tc>
        <w:tc>
          <w:tcPr>
            <w:tcW w:w="1251" w:type="dxa"/>
            <w:tcBorders>
              <w:top w:val="nil"/>
              <w:left w:val="nil"/>
              <w:bottom w:val="dotted" w:sz="4" w:space="0" w:color="auto"/>
              <w:right w:val="double" w:sz="6" w:space="0" w:color="auto"/>
            </w:tcBorders>
            <w:shd w:val="clear" w:color="000000" w:fill="FFFFFF"/>
            <w:vAlign w:val="center"/>
            <w:hideMark/>
          </w:tcPr>
          <w:p w14:paraId="5B99983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4.854,7</w:t>
            </w:r>
          </w:p>
        </w:tc>
      </w:tr>
      <w:tr w:rsidR="009B5DE5" w:rsidRPr="009B5DE5" w14:paraId="24E40788" w14:textId="77777777" w:rsidTr="00396800">
        <w:trPr>
          <w:trHeight w:val="389"/>
        </w:trPr>
        <w:tc>
          <w:tcPr>
            <w:tcW w:w="6761" w:type="dxa"/>
            <w:tcBorders>
              <w:top w:val="nil"/>
              <w:left w:val="double" w:sz="6" w:space="0" w:color="auto"/>
              <w:bottom w:val="dotted" w:sz="4" w:space="0" w:color="auto"/>
              <w:right w:val="nil"/>
            </w:tcBorders>
            <w:shd w:val="clear" w:color="000000" w:fill="FFFFFF"/>
            <w:vAlign w:val="center"/>
            <w:hideMark/>
          </w:tcPr>
          <w:p w14:paraId="54989AAC"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7. Укупни расходи[1]</w:t>
            </w:r>
          </w:p>
        </w:tc>
        <w:tc>
          <w:tcPr>
            <w:tcW w:w="823" w:type="dxa"/>
            <w:tcBorders>
              <w:top w:val="nil"/>
              <w:left w:val="nil"/>
              <w:bottom w:val="dotted" w:sz="4" w:space="0" w:color="auto"/>
              <w:right w:val="single" w:sz="8" w:space="0" w:color="auto"/>
            </w:tcBorders>
            <w:shd w:val="clear" w:color="000000" w:fill="FFFFFF"/>
            <w:vAlign w:val="center"/>
            <w:hideMark/>
          </w:tcPr>
          <w:p w14:paraId="7D729FA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77" w:type="dxa"/>
            <w:tcBorders>
              <w:top w:val="nil"/>
              <w:left w:val="nil"/>
              <w:bottom w:val="dotted" w:sz="4" w:space="0" w:color="auto"/>
              <w:right w:val="single" w:sz="8" w:space="0" w:color="auto"/>
            </w:tcBorders>
            <w:shd w:val="clear" w:color="000000" w:fill="FFFFFF"/>
            <w:vAlign w:val="center"/>
            <w:hideMark/>
          </w:tcPr>
          <w:p w14:paraId="3163F4C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TE</w:t>
            </w:r>
          </w:p>
        </w:tc>
        <w:tc>
          <w:tcPr>
            <w:tcW w:w="1247" w:type="dxa"/>
            <w:tcBorders>
              <w:top w:val="nil"/>
              <w:left w:val="nil"/>
              <w:bottom w:val="dotted" w:sz="4" w:space="0" w:color="auto"/>
              <w:right w:val="dotted" w:sz="4" w:space="0" w:color="auto"/>
            </w:tcBorders>
            <w:shd w:val="clear" w:color="000000" w:fill="FFFFFF"/>
            <w:vAlign w:val="center"/>
            <w:hideMark/>
          </w:tcPr>
          <w:p w14:paraId="62B3579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3.654,4</w:t>
            </w:r>
          </w:p>
        </w:tc>
        <w:tc>
          <w:tcPr>
            <w:tcW w:w="1246" w:type="dxa"/>
            <w:tcBorders>
              <w:top w:val="nil"/>
              <w:left w:val="nil"/>
              <w:bottom w:val="dotted" w:sz="4" w:space="0" w:color="auto"/>
              <w:right w:val="dotted" w:sz="4" w:space="0" w:color="auto"/>
            </w:tcBorders>
            <w:shd w:val="clear" w:color="000000" w:fill="FFFFFF"/>
            <w:vAlign w:val="center"/>
            <w:hideMark/>
          </w:tcPr>
          <w:p w14:paraId="1533B35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4.185,2</w:t>
            </w:r>
          </w:p>
        </w:tc>
        <w:tc>
          <w:tcPr>
            <w:tcW w:w="1246" w:type="dxa"/>
            <w:tcBorders>
              <w:top w:val="nil"/>
              <w:left w:val="nil"/>
              <w:bottom w:val="dotted" w:sz="4" w:space="0" w:color="auto"/>
              <w:right w:val="dotted" w:sz="4" w:space="0" w:color="auto"/>
            </w:tcBorders>
            <w:shd w:val="clear" w:color="000000" w:fill="FFFFFF"/>
            <w:vAlign w:val="center"/>
            <w:hideMark/>
          </w:tcPr>
          <w:p w14:paraId="7B72E92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4.578,3</w:t>
            </w:r>
          </w:p>
        </w:tc>
        <w:tc>
          <w:tcPr>
            <w:tcW w:w="1246" w:type="dxa"/>
            <w:tcBorders>
              <w:top w:val="nil"/>
              <w:left w:val="nil"/>
              <w:bottom w:val="dotted" w:sz="4" w:space="0" w:color="auto"/>
              <w:right w:val="dotted" w:sz="4" w:space="0" w:color="auto"/>
            </w:tcBorders>
            <w:shd w:val="clear" w:color="000000" w:fill="FFFFFF"/>
            <w:vAlign w:val="center"/>
            <w:hideMark/>
          </w:tcPr>
          <w:p w14:paraId="0266E53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4.870,0</w:t>
            </w:r>
          </w:p>
        </w:tc>
        <w:tc>
          <w:tcPr>
            <w:tcW w:w="1251" w:type="dxa"/>
            <w:tcBorders>
              <w:top w:val="nil"/>
              <w:left w:val="nil"/>
              <w:bottom w:val="dotted" w:sz="4" w:space="0" w:color="auto"/>
              <w:right w:val="double" w:sz="6" w:space="0" w:color="auto"/>
            </w:tcBorders>
            <w:shd w:val="clear" w:color="000000" w:fill="FFFFFF"/>
            <w:vAlign w:val="center"/>
            <w:hideMark/>
          </w:tcPr>
          <w:p w14:paraId="40735DD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5.214,7</w:t>
            </w:r>
          </w:p>
        </w:tc>
      </w:tr>
      <w:tr w:rsidR="009B5DE5" w:rsidRPr="009B5DE5" w14:paraId="1B564576" w14:textId="77777777" w:rsidTr="00396800">
        <w:trPr>
          <w:trHeight w:val="442"/>
        </w:trPr>
        <w:tc>
          <w:tcPr>
            <w:tcW w:w="6761" w:type="dxa"/>
            <w:tcBorders>
              <w:top w:val="nil"/>
              <w:left w:val="double" w:sz="6" w:space="0" w:color="auto"/>
              <w:bottom w:val="dotted" w:sz="4" w:space="0" w:color="auto"/>
              <w:right w:val="nil"/>
            </w:tcBorders>
            <w:shd w:val="clear" w:color="000000" w:fill="FFFFFF"/>
            <w:vAlign w:val="center"/>
            <w:hideMark/>
          </w:tcPr>
          <w:p w14:paraId="5B01B1A3"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8. Нето узете/дате позајмице</w:t>
            </w:r>
          </w:p>
        </w:tc>
        <w:tc>
          <w:tcPr>
            <w:tcW w:w="823" w:type="dxa"/>
            <w:tcBorders>
              <w:top w:val="nil"/>
              <w:left w:val="nil"/>
              <w:bottom w:val="dotted" w:sz="4" w:space="0" w:color="auto"/>
              <w:right w:val="single" w:sz="8" w:space="0" w:color="auto"/>
            </w:tcBorders>
            <w:shd w:val="clear" w:color="000000" w:fill="FFFFFF"/>
            <w:vAlign w:val="center"/>
            <w:hideMark/>
          </w:tcPr>
          <w:p w14:paraId="6B08B41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77" w:type="dxa"/>
            <w:tcBorders>
              <w:top w:val="nil"/>
              <w:left w:val="nil"/>
              <w:bottom w:val="dotted" w:sz="4" w:space="0" w:color="auto"/>
              <w:right w:val="single" w:sz="8" w:space="0" w:color="auto"/>
            </w:tcBorders>
            <w:shd w:val="clear" w:color="000000" w:fill="FFFFFF"/>
            <w:vAlign w:val="center"/>
            <w:hideMark/>
          </w:tcPr>
          <w:p w14:paraId="47F2F76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EDP.B9</w:t>
            </w:r>
          </w:p>
        </w:tc>
        <w:tc>
          <w:tcPr>
            <w:tcW w:w="1247" w:type="dxa"/>
            <w:tcBorders>
              <w:top w:val="nil"/>
              <w:left w:val="nil"/>
              <w:bottom w:val="dotted" w:sz="4" w:space="0" w:color="auto"/>
              <w:right w:val="dotted" w:sz="4" w:space="0" w:color="auto"/>
            </w:tcBorders>
            <w:shd w:val="clear" w:color="000000" w:fill="FFFFFF"/>
            <w:vAlign w:val="center"/>
            <w:hideMark/>
          </w:tcPr>
          <w:p w14:paraId="4F0A2B3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-181,1</w:t>
            </w:r>
          </w:p>
        </w:tc>
        <w:tc>
          <w:tcPr>
            <w:tcW w:w="1246" w:type="dxa"/>
            <w:tcBorders>
              <w:top w:val="nil"/>
              <w:left w:val="nil"/>
              <w:bottom w:val="dotted" w:sz="4" w:space="0" w:color="auto"/>
              <w:right w:val="dotted" w:sz="4" w:space="0" w:color="auto"/>
            </w:tcBorders>
            <w:shd w:val="clear" w:color="000000" w:fill="FFFFFF"/>
            <w:vAlign w:val="center"/>
            <w:hideMark/>
          </w:tcPr>
          <w:p w14:paraId="5428E66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-263,0</w:t>
            </w:r>
          </w:p>
        </w:tc>
        <w:tc>
          <w:tcPr>
            <w:tcW w:w="1246" w:type="dxa"/>
            <w:tcBorders>
              <w:top w:val="nil"/>
              <w:left w:val="nil"/>
              <w:bottom w:val="dotted" w:sz="4" w:space="0" w:color="auto"/>
              <w:right w:val="dotted" w:sz="4" w:space="0" w:color="auto"/>
            </w:tcBorders>
            <w:shd w:val="clear" w:color="000000" w:fill="FFFFFF"/>
            <w:vAlign w:val="center"/>
            <w:hideMark/>
          </w:tcPr>
          <w:p w14:paraId="401BB5D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-314,0</w:t>
            </w:r>
          </w:p>
        </w:tc>
        <w:tc>
          <w:tcPr>
            <w:tcW w:w="1246" w:type="dxa"/>
            <w:tcBorders>
              <w:top w:val="nil"/>
              <w:left w:val="nil"/>
              <w:bottom w:val="dotted" w:sz="4" w:space="0" w:color="auto"/>
              <w:right w:val="dotted" w:sz="4" w:space="0" w:color="auto"/>
            </w:tcBorders>
            <w:shd w:val="clear" w:color="000000" w:fill="FFFFFF"/>
            <w:vAlign w:val="center"/>
            <w:hideMark/>
          </w:tcPr>
          <w:p w14:paraId="021BCA5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-336,0</w:t>
            </w:r>
          </w:p>
        </w:tc>
        <w:tc>
          <w:tcPr>
            <w:tcW w:w="1251" w:type="dxa"/>
            <w:tcBorders>
              <w:top w:val="nil"/>
              <w:left w:val="nil"/>
              <w:bottom w:val="dotted" w:sz="4" w:space="0" w:color="auto"/>
              <w:right w:val="double" w:sz="6" w:space="0" w:color="auto"/>
            </w:tcBorders>
            <w:shd w:val="clear" w:color="000000" w:fill="FFFFFF"/>
            <w:vAlign w:val="center"/>
            <w:hideMark/>
          </w:tcPr>
          <w:p w14:paraId="7F2DCE7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-360,0</w:t>
            </w:r>
          </w:p>
        </w:tc>
      </w:tr>
      <w:tr w:rsidR="009B5DE5" w:rsidRPr="009B5DE5" w14:paraId="51795892" w14:textId="77777777" w:rsidTr="00396800">
        <w:trPr>
          <w:trHeight w:val="533"/>
        </w:trPr>
        <w:tc>
          <w:tcPr>
            <w:tcW w:w="6761" w:type="dxa"/>
            <w:tcBorders>
              <w:top w:val="nil"/>
              <w:left w:val="double" w:sz="6" w:space="0" w:color="auto"/>
              <w:bottom w:val="dotted" w:sz="4" w:space="0" w:color="auto"/>
              <w:right w:val="nil"/>
            </w:tcBorders>
            <w:shd w:val="clear" w:color="000000" w:fill="FFFFFF"/>
            <w:vAlign w:val="center"/>
            <w:hideMark/>
          </w:tcPr>
          <w:p w14:paraId="57B37A16"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9. Расходи за камате</w:t>
            </w:r>
          </w:p>
        </w:tc>
        <w:tc>
          <w:tcPr>
            <w:tcW w:w="823" w:type="dxa"/>
            <w:tcBorders>
              <w:top w:val="nil"/>
              <w:left w:val="nil"/>
              <w:bottom w:val="dotted" w:sz="4" w:space="0" w:color="auto"/>
              <w:right w:val="single" w:sz="8" w:space="0" w:color="auto"/>
            </w:tcBorders>
            <w:shd w:val="clear" w:color="000000" w:fill="FFFFFF"/>
            <w:vAlign w:val="center"/>
            <w:hideMark/>
          </w:tcPr>
          <w:p w14:paraId="1B5F7D0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77" w:type="dxa"/>
            <w:tcBorders>
              <w:top w:val="nil"/>
              <w:left w:val="nil"/>
              <w:bottom w:val="dotted" w:sz="4" w:space="0" w:color="auto"/>
              <w:right w:val="single" w:sz="8" w:space="0" w:color="auto"/>
            </w:tcBorders>
            <w:shd w:val="clear" w:color="000000" w:fill="FFFFFF"/>
            <w:vAlign w:val="center"/>
            <w:hideMark/>
          </w:tcPr>
          <w:p w14:paraId="394B4F2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EDP.D41 укљ. FISIM</w:t>
            </w:r>
          </w:p>
        </w:tc>
        <w:tc>
          <w:tcPr>
            <w:tcW w:w="1247" w:type="dxa"/>
            <w:tcBorders>
              <w:top w:val="nil"/>
              <w:left w:val="nil"/>
              <w:bottom w:val="dotted" w:sz="4" w:space="0" w:color="auto"/>
              <w:right w:val="dotted" w:sz="4" w:space="0" w:color="auto"/>
            </w:tcBorders>
            <w:shd w:val="clear" w:color="000000" w:fill="FFFFFF"/>
            <w:vAlign w:val="center"/>
            <w:hideMark/>
          </w:tcPr>
          <w:p w14:paraId="19276E9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149,3</w:t>
            </w:r>
          </w:p>
        </w:tc>
        <w:tc>
          <w:tcPr>
            <w:tcW w:w="1246" w:type="dxa"/>
            <w:tcBorders>
              <w:top w:val="nil"/>
              <w:left w:val="nil"/>
              <w:bottom w:val="dotted" w:sz="4" w:space="0" w:color="auto"/>
              <w:right w:val="dotted" w:sz="4" w:space="0" w:color="auto"/>
            </w:tcBorders>
            <w:shd w:val="clear" w:color="000000" w:fill="FFFFFF"/>
            <w:vAlign w:val="center"/>
            <w:hideMark/>
          </w:tcPr>
          <w:p w14:paraId="18C998C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187,6</w:t>
            </w:r>
          </w:p>
        </w:tc>
        <w:tc>
          <w:tcPr>
            <w:tcW w:w="1246" w:type="dxa"/>
            <w:tcBorders>
              <w:top w:val="nil"/>
              <w:left w:val="nil"/>
              <w:bottom w:val="dotted" w:sz="4" w:space="0" w:color="auto"/>
              <w:right w:val="dotted" w:sz="4" w:space="0" w:color="auto"/>
            </w:tcBorders>
            <w:shd w:val="clear" w:color="000000" w:fill="FFFFFF"/>
            <w:vAlign w:val="center"/>
            <w:hideMark/>
          </w:tcPr>
          <w:p w14:paraId="08F5E30F"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222,7</w:t>
            </w:r>
          </w:p>
        </w:tc>
        <w:tc>
          <w:tcPr>
            <w:tcW w:w="1246" w:type="dxa"/>
            <w:tcBorders>
              <w:top w:val="nil"/>
              <w:left w:val="nil"/>
              <w:bottom w:val="dotted" w:sz="4" w:space="0" w:color="auto"/>
              <w:right w:val="dotted" w:sz="4" w:space="0" w:color="auto"/>
            </w:tcBorders>
            <w:shd w:val="clear" w:color="000000" w:fill="FFFFFF"/>
            <w:vAlign w:val="center"/>
            <w:hideMark/>
          </w:tcPr>
          <w:p w14:paraId="5C1459B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235,6</w:t>
            </w:r>
          </w:p>
        </w:tc>
        <w:tc>
          <w:tcPr>
            <w:tcW w:w="1251" w:type="dxa"/>
            <w:tcBorders>
              <w:top w:val="nil"/>
              <w:left w:val="nil"/>
              <w:bottom w:val="dotted" w:sz="4" w:space="0" w:color="auto"/>
              <w:right w:val="double" w:sz="6" w:space="0" w:color="auto"/>
            </w:tcBorders>
            <w:shd w:val="clear" w:color="000000" w:fill="FFFFFF"/>
            <w:vAlign w:val="center"/>
            <w:hideMark/>
          </w:tcPr>
          <w:p w14:paraId="13C396B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236,5</w:t>
            </w:r>
          </w:p>
        </w:tc>
      </w:tr>
      <w:tr w:rsidR="009B5DE5" w:rsidRPr="009B5DE5" w14:paraId="45834D13" w14:textId="77777777" w:rsidTr="00396800">
        <w:trPr>
          <w:trHeight w:val="369"/>
        </w:trPr>
        <w:tc>
          <w:tcPr>
            <w:tcW w:w="6761" w:type="dxa"/>
            <w:tcBorders>
              <w:top w:val="nil"/>
              <w:left w:val="double" w:sz="6" w:space="0" w:color="auto"/>
              <w:bottom w:val="dotted" w:sz="4" w:space="0" w:color="auto"/>
              <w:right w:val="nil"/>
            </w:tcBorders>
            <w:shd w:val="clear" w:color="000000" w:fill="FFFFFF"/>
            <w:vAlign w:val="center"/>
            <w:hideMark/>
          </w:tcPr>
          <w:p w14:paraId="3747C96F"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10. Примарни резултат[2]</w:t>
            </w:r>
          </w:p>
        </w:tc>
        <w:tc>
          <w:tcPr>
            <w:tcW w:w="823" w:type="dxa"/>
            <w:tcBorders>
              <w:top w:val="nil"/>
              <w:left w:val="nil"/>
              <w:bottom w:val="dotted" w:sz="4" w:space="0" w:color="auto"/>
              <w:right w:val="single" w:sz="8" w:space="0" w:color="auto"/>
            </w:tcBorders>
            <w:shd w:val="clear" w:color="000000" w:fill="FFFFFF"/>
            <w:vAlign w:val="center"/>
            <w:hideMark/>
          </w:tcPr>
          <w:p w14:paraId="58076C7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77" w:type="dxa"/>
            <w:tcBorders>
              <w:top w:val="nil"/>
              <w:left w:val="nil"/>
              <w:bottom w:val="dotted" w:sz="4" w:space="0" w:color="auto"/>
              <w:right w:val="single" w:sz="8" w:space="0" w:color="auto"/>
            </w:tcBorders>
            <w:shd w:val="clear" w:color="000000" w:fill="FFFFFF"/>
            <w:vAlign w:val="center"/>
            <w:hideMark/>
          </w:tcPr>
          <w:p w14:paraId="2FD99DA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247" w:type="dxa"/>
            <w:tcBorders>
              <w:top w:val="nil"/>
              <w:left w:val="nil"/>
              <w:bottom w:val="dotted" w:sz="4" w:space="0" w:color="auto"/>
              <w:right w:val="dotted" w:sz="4" w:space="0" w:color="auto"/>
            </w:tcBorders>
            <w:shd w:val="clear" w:color="000000" w:fill="FFFFFF"/>
            <w:vAlign w:val="center"/>
            <w:hideMark/>
          </w:tcPr>
          <w:p w14:paraId="4A80CF0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-31,8</w:t>
            </w:r>
          </w:p>
        </w:tc>
        <w:tc>
          <w:tcPr>
            <w:tcW w:w="1246" w:type="dxa"/>
            <w:tcBorders>
              <w:top w:val="nil"/>
              <w:left w:val="nil"/>
              <w:bottom w:val="dotted" w:sz="4" w:space="0" w:color="auto"/>
              <w:right w:val="dotted" w:sz="4" w:space="0" w:color="auto"/>
            </w:tcBorders>
            <w:shd w:val="clear" w:color="000000" w:fill="FFFFFF"/>
            <w:vAlign w:val="center"/>
            <w:hideMark/>
          </w:tcPr>
          <w:p w14:paraId="4A93197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-75,4</w:t>
            </w:r>
          </w:p>
        </w:tc>
        <w:tc>
          <w:tcPr>
            <w:tcW w:w="1246" w:type="dxa"/>
            <w:tcBorders>
              <w:top w:val="nil"/>
              <w:left w:val="nil"/>
              <w:bottom w:val="dotted" w:sz="4" w:space="0" w:color="auto"/>
              <w:right w:val="dotted" w:sz="4" w:space="0" w:color="auto"/>
            </w:tcBorders>
            <w:shd w:val="clear" w:color="000000" w:fill="FFFFFF"/>
            <w:vAlign w:val="center"/>
            <w:hideMark/>
          </w:tcPr>
          <w:p w14:paraId="0844762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-91,3</w:t>
            </w:r>
          </w:p>
        </w:tc>
        <w:tc>
          <w:tcPr>
            <w:tcW w:w="1246" w:type="dxa"/>
            <w:tcBorders>
              <w:top w:val="nil"/>
              <w:left w:val="nil"/>
              <w:bottom w:val="dotted" w:sz="4" w:space="0" w:color="auto"/>
              <w:right w:val="dotted" w:sz="4" w:space="0" w:color="auto"/>
            </w:tcBorders>
            <w:shd w:val="clear" w:color="000000" w:fill="FFFFFF"/>
            <w:vAlign w:val="center"/>
            <w:hideMark/>
          </w:tcPr>
          <w:p w14:paraId="45753EB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-100,4</w:t>
            </w:r>
          </w:p>
        </w:tc>
        <w:tc>
          <w:tcPr>
            <w:tcW w:w="1251" w:type="dxa"/>
            <w:tcBorders>
              <w:top w:val="nil"/>
              <w:left w:val="nil"/>
              <w:bottom w:val="dotted" w:sz="4" w:space="0" w:color="auto"/>
              <w:right w:val="double" w:sz="6" w:space="0" w:color="auto"/>
            </w:tcBorders>
            <w:shd w:val="clear" w:color="000000" w:fill="FFFFFF"/>
            <w:vAlign w:val="center"/>
            <w:hideMark/>
          </w:tcPr>
          <w:p w14:paraId="3DF39AB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-123,5</w:t>
            </w:r>
          </w:p>
        </w:tc>
      </w:tr>
      <w:tr w:rsidR="009B5DE5" w:rsidRPr="009B5DE5" w14:paraId="407BC467" w14:textId="77777777" w:rsidTr="00396800">
        <w:trPr>
          <w:trHeight w:val="438"/>
        </w:trPr>
        <w:tc>
          <w:tcPr>
            <w:tcW w:w="6761" w:type="dxa"/>
            <w:tcBorders>
              <w:top w:val="nil"/>
              <w:left w:val="double" w:sz="6" w:space="0" w:color="auto"/>
              <w:bottom w:val="single" w:sz="8" w:space="0" w:color="auto"/>
              <w:right w:val="nil"/>
            </w:tcBorders>
            <w:shd w:val="clear" w:color="000000" w:fill="FFFFFF"/>
            <w:vAlign w:val="center"/>
            <w:hideMark/>
          </w:tcPr>
          <w:p w14:paraId="5930AFA3"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11. Једнократне и друге привремене мере [3]</w:t>
            </w:r>
          </w:p>
        </w:tc>
        <w:tc>
          <w:tcPr>
            <w:tcW w:w="823" w:type="dxa"/>
            <w:tcBorders>
              <w:top w:val="nil"/>
              <w:left w:val="nil"/>
              <w:bottom w:val="single" w:sz="8" w:space="0" w:color="auto"/>
              <w:right w:val="single" w:sz="8" w:space="0" w:color="auto"/>
            </w:tcBorders>
            <w:shd w:val="clear" w:color="000000" w:fill="FFFFFF"/>
            <w:vAlign w:val="center"/>
            <w:hideMark/>
          </w:tcPr>
          <w:p w14:paraId="3BCEE2F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77" w:type="dxa"/>
            <w:tcBorders>
              <w:top w:val="nil"/>
              <w:left w:val="nil"/>
              <w:bottom w:val="single" w:sz="8" w:space="0" w:color="auto"/>
              <w:right w:val="single" w:sz="8" w:space="0" w:color="auto"/>
            </w:tcBorders>
            <w:shd w:val="clear" w:color="000000" w:fill="FFFFFF"/>
            <w:vAlign w:val="center"/>
            <w:hideMark/>
          </w:tcPr>
          <w:p w14:paraId="0AE62D5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247" w:type="dxa"/>
            <w:tcBorders>
              <w:top w:val="nil"/>
              <w:left w:val="nil"/>
              <w:bottom w:val="single" w:sz="8" w:space="0" w:color="auto"/>
              <w:right w:val="dotted" w:sz="4" w:space="0" w:color="auto"/>
            </w:tcBorders>
            <w:shd w:val="clear" w:color="000000" w:fill="FFFFFF"/>
            <w:vAlign w:val="center"/>
            <w:hideMark/>
          </w:tcPr>
          <w:p w14:paraId="3B6750D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246" w:type="dxa"/>
            <w:tcBorders>
              <w:top w:val="nil"/>
              <w:left w:val="nil"/>
              <w:bottom w:val="single" w:sz="8" w:space="0" w:color="auto"/>
              <w:right w:val="dotted" w:sz="4" w:space="0" w:color="auto"/>
            </w:tcBorders>
            <w:shd w:val="clear" w:color="000000" w:fill="FFFFFF"/>
            <w:vAlign w:val="center"/>
            <w:hideMark/>
          </w:tcPr>
          <w:p w14:paraId="0595B60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246" w:type="dxa"/>
            <w:tcBorders>
              <w:top w:val="nil"/>
              <w:left w:val="nil"/>
              <w:bottom w:val="single" w:sz="8" w:space="0" w:color="auto"/>
              <w:right w:val="dotted" w:sz="4" w:space="0" w:color="auto"/>
            </w:tcBorders>
            <w:shd w:val="clear" w:color="000000" w:fill="FFFFFF"/>
            <w:vAlign w:val="center"/>
            <w:hideMark/>
          </w:tcPr>
          <w:p w14:paraId="5B74130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246" w:type="dxa"/>
            <w:tcBorders>
              <w:top w:val="nil"/>
              <w:left w:val="nil"/>
              <w:bottom w:val="single" w:sz="8" w:space="0" w:color="auto"/>
              <w:right w:val="dotted" w:sz="4" w:space="0" w:color="auto"/>
            </w:tcBorders>
            <w:shd w:val="clear" w:color="000000" w:fill="FFFFFF"/>
            <w:vAlign w:val="center"/>
            <w:hideMark/>
          </w:tcPr>
          <w:p w14:paraId="0F0B35D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251" w:type="dxa"/>
            <w:tcBorders>
              <w:top w:val="nil"/>
              <w:left w:val="nil"/>
              <w:bottom w:val="single" w:sz="8" w:space="0" w:color="auto"/>
              <w:right w:val="double" w:sz="6" w:space="0" w:color="auto"/>
            </w:tcBorders>
            <w:shd w:val="clear" w:color="000000" w:fill="FFFFFF"/>
            <w:vAlign w:val="center"/>
            <w:hideMark/>
          </w:tcPr>
          <w:p w14:paraId="3C1D05F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r>
      <w:tr w:rsidR="009B5DE5" w:rsidRPr="009B5DE5" w14:paraId="65DD2A15" w14:textId="77777777" w:rsidTr="00396800">
        <w:trPr>
          <w:trHeight w:val="533"/>
        </w:trPr>
        <w:tc>
          <w:tcPr>
            <w:tcW w:w="15001" w:type="dxa"/>
            <w:gridSpan w:val="8"/>
            <w:tcBorders>
              <w:top w:val="single" w:sz="8" w:space="0" w:color="auto"/>
              <w:left w:val="double" w:sz="6" w:space="0" w:color="auto"/>
              <w:bottom w:val="single" w:sz="8" w:space="0" w:color="auto"/>
              <w:right w:val="double" w:sz="6" w:space="0" w:color="000000"/>
            </w:tcBorders>
            <w:shd w:val="clear" w:color="000000" w:fill="FFFFFF"/>
            <w:vAlign w:val="center"/>
            <w:hideMark/>
          </w:tcPr>
          <w:p w14:paraId="672A892B"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Компоненте прихода</w:t>
            </w:r>
          </w:p>
        </w:tc>
      </w:tr>
      <w:tr w:rsidR="009B5DE5" w:rsidRPr="009B5DE5" w14:paraId="321E3C5A" w14:textId="77777777" w:rsidTr="00396800">
        <w:trPr>
          <w:trHeight w:val="397"/>
        </w:trPr>
        <w:tc>
          <w:tcPr>
            <w:tcW w:w="6761" w:type="dxa"/>
            <w:tcBorders>
              <w:top w:val="nil"/>
              <w:left w:val="double" w:sz="6" w:space="0" w:color="auto"/>
              <w:bottom w:val="dotted" w:sz="4" w:space="0" w:color="auto"/>
              <w:right w:val="nil"/>
            </w:tcBorders>
            <w:shd w:val="clear" w:color="000000" w:fill="FFFFFF"/>
            <w:vAlign w:val="center"/>
            <w:hideMark/>
          </w:tcPr>
          <w:p w14:paraId="70A4644F"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12. Укупни порези  (12 = 12a+12b+12c)</w:t>
            </w:r>
          </w:p>
        </w:tc>
        <w:tc>
          <w:tcPr>
            <w:tcW w:w="823" w:type="dxa"/>
            <w:tcBorders>
              <w:top w:val="nil"/>
              <w:left w:val="nil"/>
              <w:bottom w:val="dotted" w:sz="4" w:space="0" w:color="auto"/>
              <w:right w:val="single" w:sz="8" w:space="0" w:color="auto"/>
            </w:tcBorders>
            <w:shd w:val="clear" w:color="000000" w:fill="FFFFFF"/>
            <w:vAlign w:val="center"/>
            <w:hideMark/>
          </w:tcPr>
          <w:p w14:paraId="6DA90E2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77" w:type="dxa"/>
            <w:tcBorders>
              <w:top w:val="nil"/>
              <w:left w:val="nil"/>
              <w:bottom w:val="dotted" w:sz="4" w:space="0" w:color="auto"/>
              <w:right w:val="single" w:sz="8" w:space="0" w:color="auto"/>
            </w:tcBorders>
            <w:shd w:val="clear" w:color="000000" w:fill="FFFFFF"/>
            <w:vAlign w:val="center"/>
            <w:hideMark/>
          </w:tcPr>
          <w:p w14:paraId="098FE35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247" w:type="dxa"/>
            <w:tcBorders>
              <w:top w:val="nil"/>
              <w:left w:val="nil"/>
              <w:bottom w:val="dotted" w:sz="4" w:space="0" w:color="auto"/>
              <w:right w:val="dotted" w:sz="4" w:space="0" w:color="auto"/>
            </w:tcBorders>
            <w:shd w:val="clear" w:color="000000" w:fill="FFFFFF"/>
            <w:vAlign w:val="center"/>
            <w:hideMark/>
          </w:tcPr>
          <w:p w14:paraId="7010D12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2.017,9</w:t>
            </w:r>
          </w:p>
        </w:tc>
        <w:tc>
          <w:tcPr>
            <w:tcW w:w="1246" w:type="dxa"/>
            <w:tcBorders>
              <w:top w:val="nil"/>
              <w:left w:val="nil"/>
              <w:bottom w:val="dotted" w:sz="4" w:space="0" w:color="auto"/>
              <w:right w:val="dotted" w:sz="4" w:space="0" w:color="auto"/>
            </w:tcBorders>
            <w:shd w:val="clear" w:color="000000" w:fill="FFFFFF"/>
            <w:vAlign w:val="center"/>
            <w:hideMark/>
          </w:tcPr>
          <w:p w14:paraId="5035860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2.258,8</w:t>
            </w:r>
          </w:p>
        </w:tc>
        <w:tc>
          <w:tcPr>
            <w:tcW w:w="1246" w:type="dxa"/>
            <w:tcBorders>
              <w:top w:val="nil"/>
              <w:left w:val="nil"/>
              <w:bottom w:val="dotted" w:sz="4" w:space="0" w:color="auto"/>
              <w:right w:val="dotted" w:sz="4" w:space="0" w:color="auto"/>
            </w:tcBorders>
            <w:shd w:val="clear" w:color="000000" w:fill="FFFFFF"/>
            <w:vAlign w:val="center"/>
            <w:hideMark/>
          </w:tcPr>
          <w:p w14:paraId="3062F2D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2.405,4</w:t>
            </w:r>
          </w:p>
        </w:tc>
        <w:tc>
          <w:tcPr>
            <w:tcW w:w="1246" w:type="dxa"/>
            <w:tcBorders>
              <w:top w:val="nil"/>
              <w:left w:val="nil"/>
              <w:bottom w:val="dotted" w:sz="4" w:space="0" w:color="auto"/>
              <w:right w:val="dotted" w:sz="4" w:space="0" w:color="auto"/>
            </w:tcBorders>
            <w:shd w:val="clear" w:color="000000" w:fill="FFFFFF"/>
            <w:vAlign w:val="center"/>
            <w:hideMark/>
          </w:tcPr>
          <w:p w14:paraId="5F0ADC1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2.572,6</w:t>
            </w:r>
          </w:p>
        </w:tc>
        <w:tc>
          <w:tcPr>
            <w:tcW w:w="1251" w:type="dxa"/>
            <w:tcBorders>
              <w:top w:val="nil"/>
              <w:left w:val="nil"/>
              <w:bottom w:val="dotted" w:sz="4" w:space="0" w:color="auto"/>
              <w:right w:val="double" w:sz="6" w:space="0" w:color="auto"/>
            </w:tcBorders>
            <w:shd w:val="clear" w:color="000000" w:fill="FFFFFF"/>
            <w:vAlign w:val="center"/>
            <w:hideMark/>
          </w:tcPr>
          <w:p w14:paraId="3EAA9B8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2.756,4</w:t>
            </w:r>
          </w:p>
        </w:tc>
      </w:tr>
      <w:tr w:rsidR="009B5DE5" w:rsidRPr="009B5DE5" w14:paraId="4B75B35C" w14:textId="77777777" w:rsidTr="00396800">
        <w:trPr>
          <w:trHeight w:val="436"/>
        </w:trPr>
        <w:tc>
          <w:tcPr>
            <w:tcW w:w="6761" w:type="dxa"/>
            <w:tcBorders>
              <w:top w:val="nil"/>
              <w:left w:val="double" w:sz="6" w:space="0" w:color="auto"/>
              <w:bottom w:val="dotted" w:sz="4" w:space="0" w:color="auto"/>
              <w:right w:val="nil"/>
            </w:tcBorders>
            <w:shd w:val="clear" w:color="000000" w:fill="FFFFFF"/>
            <w:vAlign w:val="center"/>
            <w:hideMark/>
          </w:tcPr>
          <w:p w14:paraId="4CFE1127"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12a. Порези на производњу и увоз</w:t>
            </w:r>
          </w:p>
        </w:tc>
        <w:tc>
          <w:tcPr>
            <w:tcW w:w="823" w:type="dxa"/>
            <w:tcBorders>
              <w:top w:val="nil"/>
              <w:left w:val="nil"/>
              <w:bottom w:val="dotted" w:sz="4" w:space="0" w:color="auto"/>
              <w:right w:val="single" w:sz="8" w:space="0" w:color="auto"/>
            </w:tcBorders>
            <w:shd w:val="clear" w:color="000000" w:fill="FFFFFF"/>
            <w:vAlign w:val="center"/>
            <w:hideMark/>
          </w:tcPr>
          <w:p w14:paraId="49E4D17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77" w:type="dxa"/>
            <w:tcBorders>
              <w:top w:val="nil"/>
              <w:left w:val="nil"/>
              <w:bottom w:val="dotted" w:sz="4" w:space="0" w:color="auto"/>
              <w:right w:val="single" w:sz="8" w:space="0" w:color="auto"/>
            </w:tcBorders>
            <w:shd w:val="clear" w:color="000000" w:fill="FFFFFF"/>
            <w:vAlign w:val="center"/>
            <w:hideMark/>
          </w:tcPr>
          <w:p w14:paraId="6A43D8C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D2</w:t>
            </w:r>
          </w:p>
        </w:tc>
        <w:tc>
          <w:tcPr>
            <w:tcW w:w="1247" w:type="dxa"/>
            <w:tcBorders>
              <w:top w:val="nil"/>
              <w:left w:val="nil"/>
              <w:bottom w:val="dotted" w:sz="4" w:space="0" w:color="auto"/>
              <w:right w:val="dotted" w:sz="4" w:space="0" w:color="auto"/>
            </w:tcBorders>
            <w:shd w:val="clear" w:color="000000" w:fill="FFFFFF"/>
            <w:vAlign w:val="center"/>
            <w:hideMark/>
          </w:tcPr>
          <w:p w14:paraId="47E1413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1.340,4</w:t>
            </w:r>
          </w:p>
        </w:tc>
        <w:tc>
          <w:tcPr>
            <w:tcW w:w="1246" w:type="dxa"/>
            <w:tcBorders>
              <w:top w:val="nil"/>
              <w:left w:val="nil"/>
              <w:bottom w:val="dotted" w:sz="4" w:space="0" w:color="auto"/>
              <w:right w:val="dotted" w:sz="4" w:space="0" w:color="auto"/>
            </w:tcBorders>
            <w:shd w:val="clear" w:color="000000" w:fill="FFFFFF"/>
            <w:vAlign w:val="center"/>
            <w:hideMark/>
          </w:tcPr>
          <w:p w14:paraId="279071F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1.510,8</w:t>
            </w:r>
          </w:p>
        </w:tc>
        <w:tc>
          <w:tcPr>
            <w:tcW w:w="1246" w:type="dxa"/>
            <w:tcBorders>
              <w:top w:val="nil"/>
              <w:left w:val="nil"/>
              <w:bottom w:val="dotted" w:sz="4" w:space="0" w:color="auto"/>
              <w:right w:val="dotted" w:sz="4" w:space="0" w:color="auto"/>
            </w:tcBorders>
            <w:shd w:val="clear" w:color="000000" w:fill="FFFFFF"/>
            <w:vAlign w:val="center"/>
            <w:hideMark/>
          </w:tcPr>
          <w:p w14:paraId="6B6FE78A"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1.630,2</w:t>
            </w:r>
          </w:p>
        </w:tc>
        <w:tc>
          <w:tcPr>
            <w:tcW w:w="1246" w:type="dxa"/>
            <w:tcBorders>
              <w:top w:val="nil"/>
              <w:left w:val="nil"/>
              <w:bottom w:val="dotted" w:sz="4" w:space="0" w:color="auto"/>
              <w:right w:val="dotted" w:sz="4" w:space="0" w:color="auto"/>
            </w:tcBorders>
            <w:shd w:val="clear" w:color="000000" w:fill="FFFFFF"/>
            <w:vAlign w:val="center"/>
            <w:hideMark/>
          </w:tcPr>
          <w:p w14:paraId="3F1293CA"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1.741,8</w:t>
            </w:r>
          </w:p>
        </w:tc>
        <w:tc>
          <w:tcPr>
            <w:tcW w:w="1251" w:type="dxa"/>
            <w:tcBorders>
              <w:top w:val="nil"/>
              <w:left w:val="nil"/>
              <w:bottom w:val="dotted" w:sz="4" w:space="0" w:color="auto"/>
              <w:right w:val="double" w:sz="6" w:space="0" w:color="auto"/>
            </w:tcBorders>
            <w:shd w:val="clear" w:color="000000" w:fill="FFFFFF"/>
            <w:vAlign w:val="center"/>
            <w:hideMark/>
          </w:tcPr>
          <w:p w14:paraId="46BC938F"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1.866,6</w:t>
            </w:r>
          </w:p>
        </w:tc>
      </w:tr>
      <w:tr w:rsidR="009B5DE5" w:rsidRPr="009B5DE5" w14:paraId="7C13D69D" w14:textId="77777777" w:rsidTr="00396800">
        <w:trPr>
          <w:trHeight w:val="436"/>
        </w:trPr>
        <w:tc>
          <w:tcPr>
            <w:tcW w:w="6761" w:type="dxa"/>
            <w:tcBorders>
              <w:top w:val="nil"/>
              <w:left w:val="double" w:sz="6" w:space="0" w:color="auto"/>
              <w:bottom w:val="dotted" w:sz="4" w:space="0" w:color="auto"/>
              <w:right w:val="nil"/>
            </w:tcBorders>
            <w:shd w:val="clear" w:color="000000" w:fill="FFFFFF"/>
            <w:vAlign w:val="center"/>
            <w:hideMark/>
          </w:tcPr>
          <w:p w14:paraId="7D6EA52A"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12б. Текући порези на доходак и имовину</w:t>
            </w:r>
          </w:p>
        </w:tc>
        <w:tc>
          <w:tcPr>
            <w:tcW w:w="823" w:type="dxa"/>
            <w:tcBorders>
              <w:top w:val="nil"/>
              <w:left w:val="nil"/>
              <w:bottom w:val="dotted" w:sz="4" w:space="0" w:color="auto"/>
              <w:right w:val="single" w:sz="8" w:space="0" w:color="auto"/>
            </w:tcBorders>
            <w:shd w:val="clear" w:color="000000" w:fill="FFFFFF"/>
            <w:vAlign w:val="center"/>
            <w:hideMark/>
          </w:tcPr>
          <w:p w14:paraId="18C326C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77" w:type="dxa"/>
            <w:tcBorders>
              <w:top w:val="nil"/>
              <w:left w:val="nil"/>
              <w:bottom w:val="dotted" w:sz="4" w:space="0" w:color="auto"/>
              <w:right w:val="single" w:sz="8" w:space="0" w:color="auto"/>
            </w:tcBorders>
            <w:shd w:val="clear" w:color="000000" w:fill="FFFFFF"/>
            <w:vAlign w:val="center"/>
            <w:hideMark/>
          </w:tcPr>
          <w:p w14:paraId="11B4921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D5</w:t>
            </w:r>
          </w:p>
        </w:tc>
        <w:tc>
          <w:tcPr>
            <w:tcW w:w="1247" w:type="dxa"/>
            <w:tcBorders>
              <w:top w:val="nil"/>
              <w:left w:val="nil"/>
              <w:bottom w:val="dotted" w:sz="4" w:space="0" w:color="auto"/>
              <w:right w:val="dotted" w:sz="4" w:space="0" w:color="auto"/>
            </w:tcBorders>
            <w:shd w:val="clear" w:color="000000" w:fill="FFFFFF"/>
            <w:vAlign w:val="center"/>
            <w:hideMark/>
          </w:tcPr>
          <w:p w14:paraId="575458D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676,6</w:t>
            </w:r>
          </w:p>
        </w:tc>
        <w:tc>
          <w:tcPr>
            <w:tcW w:w="1246" w:type="dxa"/>
            <w:tcBorders>
              <w:top w:val="nil"/>
              <w:left w:val="nil"/>
              <w:bottom w:val="dotted" w:sz="4" w:space="0" w:color="auto"/>
              <w:right w:val="dotted" w:sz="4" w:space="0" w:color="auto"/>
            </w:tcBorders>
            <w:shd w:val="clear" w:color="000000" w:fill="FFFFFF"/>
            <w:vAlign w:val="center"/>
            <w:hideMark/>
          </w:tcPr>
          <w:p w14:paraId="59E1E31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747,0</w:t>
            </w:r>
          </w:p>
        </w:tc>
        <w:tc>
          <w:tcPr>
            <w:tcW w:w="1246" w:type="dxa"/>
            <w:tcBorders>
              <w:top w:val="nil"/>
              <w:left w:val="nil"/>
              <w:bottom w:val="dotted" w:sz="4" w:space="0" w:color="auto"/>
              <w:right w:val="dotted" w:sz="4" w:space="0" w:color="auto"/>
            </w:tcBorders>
            <w:shd w:val="clear" w:color="000000" w:fill="FFFFFF"/>
            <w:vAlign w:val="center"/>
            <w:hideMark/>
          </w:tcPr>
          <w:p w14:paraId="49D1A3C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773,9</w:t>
            </w:r>
          </w:p>
        </w:tc>
        <w:tc>
          <w:tcPr>
            <w:tcW w:w="1246" w:type="dxa"/>
            <w:tcBorders>
              <w:top w:val="nil"/>
              <w:left w:val="nil"/>
              <w:bottom w:val="dotted" w:sz="4" w:space="0" w:color="auto"/>
              <w:right w:val="dotted" w:sz="4" w:space="0" w:color="auto"/>
            </w:tcBorders>
            <w:shd w:val="clear" w:color="000000" w:fill="FFFFFF"/>
            <w:vAlign w:val="center"/>
            <w:hideMark/>
          </w:tcPr>
          <w:p w14:paraId="0A85BD0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829,3</w:t>
            </w:r>
          </w:p>
        </w:tc>
        <w:tc>
          <w:tcPr>
            <w:tcW w:w="1251" w:type="dxa"/>
            <w:tcBorders>
              <w:top w:val="nil"/>
              <w:left w:val="nil"/>
              <w:bottom w:val="dotted" w:sz="4" w:space="0" w:color="auto"/>
              <w:right w:val="double" w:sz="6" w:space="0" w:color="auto"/>
            </w:tcBorders>
            <w:shd w:val="clear" w:color="000000" w:fill="FFFFFF"/>
            <w:vAlign w:val="center"/>
            <w:hideMark/>
          </w:tcPr>
          <w:p w14:paraId="47B168F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887,9</w:t>
            </w:r>
          </w:p>
        </w:tc>
      </w:tr>
      <w:tr w:rsidR="009B5DE5" w:rsidRPr="009B5DE5" w14:paraId="71E1839F" w14:textId="77777777" w:rsidTr="00396800">
        <w:trPr>
          <w:trHeight w:val="436"/>
        </w:trPr>
        <w:tc>
          <w:tcPr>
            <w:tcW w:w="6761" w:type="dxa"/>
            <w:tcBorders>
              <w:top w:val="nil"/>
              <w:left w:val="double" w:sz="6" w:space="0" w:color="auto"/>
              <w:bottom w:val="dotted" w:sz="4" w:space="0" w:color="auto"/>
              <w:right w:val="nil"/>
            </w:tcBorders>
            <w:shd w:val="clear" w:color="000000" w:fill="FFFFFF"/>
            <w:vAlign w:val="center"/>
            <w:hideMark/>
          </w:tcPr>
          <w:p w14:paraId="201D48E9"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12ц. Порези на капитал</w:t>
            </w:r>
          </w:p>
        </w:tc>
        <w:tc>
          <w:tcPr>
            <w:tcW w:w="823" w:type="dxa"/>
            <w:tcBorders>
              <w:top w:val="nil"/>
              <w:left w:val="nil"/>
              <w:bottom w:val="dotted" w:sz="4" w:space="0" w:color="auto"/>
              <w:right w:val="single" w:sz="8" w:space="0" w:color="auto"/>
            </w:tcBorders>
            <w:shd w:val="clear" w:color="000000" w:fill="FFFFFF"/>
            <w:vAlign w:val="center"/>
            <w:hideMark/>
          </w:tcPr>
          <w:p w14:paraId="1E82E07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77" w:type="dxa"/>
            <w:tcBorders>
              <w:top w:val="nil"/>
              <w:left w:val="nil"/>
              <w:bottom w:val="dotted" w:sz="4" w:space="0" w:color="auto"/>
              <w:right w:val="single" w:sz="8" w:space="0" w:color="auto"/>
            </w:tcBorders>
            <w:shd w:val="clear" w:color="000000" w:fill="FFFFFF"/>
            <w:vAlign w:val="center"/>
            <w:hideMark/>
          </w:tcPr>
          <w:p w14:paraId="1DEB376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D91</w:t>
            </w:r>
          </w:p>
        </w:tc>
        <w:tc>
          <w:tcPr>
            <w:tcW w:w="1247" w:type="dxa"/>
            <w:tcBorders>
              <w:top w:val="nil"/>
              <w:left w:val="nil"/>
              <w:bottom w:val="dotted" w:sz="4" w:space="0" w:color="auto"/>
              <w:right w:val="dotted" w:sz="4" w:space="0" w:color="auto"/>
            </w:tcBorders>
            <w:shd w:val="clear" w:color="000000" w:fill="FFFFFF"/>
            <w:vAlign w:val="center"/>
            <w:hideMark/>
          </w:tcPr>
          <w:p w14:paraId="63B997BA"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0,9</w:t>
            </w:r>
          </w:p>
        </w:tc>
        <w:tc>
          <w:tcPr>
            <w:tcW w:w="1246" w:type="dxa"/>
            <w:tcBorders>
              <w:top w:val="nil"/>
              <w:left w:val="nil"/>
              <w:bottom w:val="dotted" w:sz="4" w:space="0" w:color="auto"/>
              <w:right w:val="dotted" w:sz="4" w:space="0" w:color="auto"/>
            </w:tcBorders>
            <w:shd w:val="clear" w:color="000000" w:fill="FFFFFF"/>
            <w:vAlign w:val="center"/>
            <w:hideMark/>
          </w:tcPr>
          <w:p w14:paraId="61FE999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1,0</w:t>
            </w:r>
          </w:p>
        </w:tc>
        <w:tc>
          <w:tcPr>
            <w:tcW w:w="1246" w:type="dxa"/>
            <w:tcBorders>
              <w:top w:val="nil"/>
              <w:left w:val="nil"/>
              <w:bottom w:val="dotted" w:sz="4" w:space="0" w:color="auto"/>
              <w:right w:val="dotted" w:sz="4" w:space="0" w:color="auto"/>
            </w:tcBorders>
            <w:shd w:val="clear" w:color="000000" w:fill="FFFFFF"/>
            <w:vAlign w:val="center"/>
            <w:hideMark/>
          </w:tcPr>
          <w:p w14:paraId="7F56A8E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1,3</w:t>
            </w:r>
          </w:p>
        </w:tc>
        <w:tc>
          <w:tcPr>
            <w:tcW w:w="1246" w:type="dxa"/>
            <w:tcBorders>
              <w:top w:val="nil"/>
              <w:left w:val="nil"/>
              <w:bottom w:val="dotted" w:sz="4" w:space="0" w:color="auto"/>
              <w:right w:val="dotted" w:sz="4" w:space="0" w:color="auto"/>
            </w:tcBorders>
            <w:shd w:val="clear" w:color="000000" w:fill="FFFFFF"/>
            <w:vAlign w:val="center"/>
            <w:hideMark/>
          </w:tcPr>
          <w:p w14:paraId="3A9A22C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1,6</w:t>
            </w:r>
          </w:p>
        </w:tc>
        <w:tc>
          <w:tcPr>
            <w:tcW w:w="1251" w:type="dxa"/>
            <w:tcBorders>
              <w:top w:val="nil"/>
              <w:left w:val="nil"/>
              <w:bottom w:val="dotted" w:sz="4" w:space="0" w:color="auto"/>
              <w:right w:val="double" w:sz="6" w:space="0" w:color="auto"/>
            </w:tcBorders>
            <w:shd w:val="clear" w:color="000000" w:fill="FFFFFF"/>
            <w:vAlign w:val="center"/>
            <w:hideMark/>
          </w:tcPr>
          <w:p w14:paraId="4634C7C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1,9</w:t>
            </w:r>
          </w:p>
        </w:tc>
      </w:tr>
      <w:tr w:rsidR="009B5DE5" w:rsidRPr="009B5DE5" w14:paraId="4EA83CC0" w14:textId="77777777" w:rsidTr="00396800">
        <w:trPr>
          <w:trHeight w:val="322"/>
        </w:trPr>
        <w:tc>
          <w:tcPr>
            <w:tcW w:w="6761" w:type="dxa"/>
            <w:tcBorders>
              <w:top w:val="nil"/>
              <w:left w:val="double" w:sz="6" w:space="0" w:color="auto"/>
              <w:bottom w:val="dotted" w:sz="4" w:space="0" w:color="auto"/>
              <w:right w:val="nil"/>
            </w:tcBorders>
            <w:shd w:val="clear" w:color="000000" w:fill="FFFFFF"/>
            <w:vAlign w:val="center"/>
            <w:hideMark/>
          </w:tcPr>
          <w:p w14:paraId="73835289"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lastRenderedPageBreak/>
              <w:t>13. Доприноси за социјално осигурање</w:t>
            </w:r>
          </w:p>
        </w:tc>
        <w:tc>
          <w:tcPr>
            <w:tcW w:w="823" w:type="dxa"/>
            <w:tcBorders>
              <w:top w:val="nil"/>
              <w:left w:val="nil"/>
              <w:bottom w:val="dotted" w:sz="4" w:space="0" w:color="auto"/>
              <w:right w:val="single" w:sz="8" w:space="0" w:color="auto"/>
            </w:tcBorders>
            <w:shd w:val="clear" w:color="000000" w:fill="FFFFFF"/>
            <w:vAlign w:val="center"/>
            <w:hideMark/>
          </w:tcPr>
          <w:p w14:paraId="100241A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77" w:type="dxa"/>
            <w:tcBorders>
              <w:top w:val="nil"/>
              <w:left w:val="nil"/>
              <w:bottom w:val="dotted" w:sz="4" w:space="0" w:color="auto"/>
              <w:right w:val="single" w:sz="8" w:space="0" w:color="auto"/>
            </w:tcBorders>
            <w:shd w:val="clear" w:color="000000" w:fill="FFFFFF"/>
            <w:vAlign w:val="center"/>
            <w:hideMark/>
          </w:tcPr>
          <w:p w14:paraId="419CEB6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D61</w:t>
            </w:r>
          </w:p>
        </w:tc>
        <w:tc>
          <w:tcPr>
            <w:tcW w:w="1247" w:type="dxa"/>
            <w:tcBorders>
              <w:top w:val="nil"/>
              <w:left w:val="nil"/>
              <w:bottom w:val="dotted" w:sz="4" w:space="0" w:color="auto"/>
              <w:right w:val="dotted" w:sz="4" w:space="0" w:color="auto"/>
            </w:tcBorders>
            <w:shd w:val="clear" w:color="000000" w:fill="FFFFFF"/>
            <w:vAlign w:val="center"/>
            <w:hideMark/>
          </w:tcPr>
          <w:p w14:paraId="3BFF721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1.060,9</w:t>
            </w:r>
          </w:p>
        </w:tc>
        <w:tc>
          <w:tcPr>
            <w:tcW w:w="1246" w:type="dxa"/>
            <w:tcBorders>
              <w:top w:val="nil"/>
              <w:left w:val="nil"/>
              <w:bottom w:val="dotted" w:sz="4" w:space="0" w:color="auto"/>
              <w:right w:val="dotted" w:sz="4" w:space="0" w:color="auto"/>
            </w:tcBorders>
            <w:shd w:val="clear" w:color="000000" w:fill="FFFFFF"/>
            <w:vAlign w:val="center"/>
            <w:hideMark/>
          </w:tcPr>
          <w:p w14:paraId="51C87B2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1.220,1</w:t>
            </w:r>
          </w:p>
        </w:tc>
        <w:tc>
          <w:tcPr>
            <w:tcW w:w="1246" w:type="dxa"/>
            <w:tcBorders>
              <w:top w:val="nil"/>
              <w:left w:val="nil"/>
              <w:bottom w:val="dotted" w:sz="4" w:space="0" w:color="auto"/>
              <w:right w:val="dotted" w:sz="4" w:space="0" w:color="auto"/>
            </w:tcBorders>
            <w:shd w:val="clear" w:color="000000" w:fill="FFFFFF"/>
            <w:vAlign w:val="center"/>
            <w:hideMark/>
          </w:tcPr>
          <w:p w14:paraId="132953BF"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1.344,6</w:t>
            </w:r>
          </w:p>
        </w:tc>
        <w:tc>
          <w:tcPr>
            <w:tcW w:w="1246" w:type="dxa"/>
            <w:tcBorders>
              <w:top w:val="nil"/>
              <w:left w:val="nil"/>
              <w:bottom w:val="dotted" w:sz="4" w:space="0" w:color="auto"/>
              <w:right w:val="dotted" w:sz="4" w:space="0" w:color="auto"/>
            </w:tcBorders>
            <w:shd w:val="clear" w:color="000000" w:fill="FFFFFF"/>
            <w:vAlign w:val="center"/>
            <w:hideMark/>
          </w:tcPr>
          <w:p w14:paraId="337E924A"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1.466,9</w:t>
            </w:r>
          </w:p>
        </w:tc>
        <w:tc>
          <w:tcPr>
            <w:tcW w:w="1251" w:type="dxa"/>
            <w:tcBorders>
              <w:top w:val="nil"/>
              <w:left w:val="nil"/>
              <w:bottom w:val="dotted" w:sz="4" w:space="0" w:color="auto"/>
              <w:right w:val="double" w:sz="6" w:space="0" w:color="auto"/>
            </w:tcBorders>
            <w:shd w:val="clear" w:color="000000" w:fill="FFFFFF"/>
            <w:vAlign w:val="center"/>
            <w:hideMark/>
          </w:tcPr>
          <w:p w14:paraId="19BEFAC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1.602,3</w:t>
            </w:r>
          </w:p>
        </w:tc>
      </w:tr>
      <w:tr w:rsidR="009B5DE5" w:rsidRPr="009B5DE5" w14:paraId="780114CB" w14:textId="77777777" w:rsidTr="00396800">
        <w:trPr>
          <w:trHeight w:val="191"/>
        </w:trPr>
        <w:tc>
          <w:tcPr>
            <w:tcW w:w="6761" w:type="dxa"/>
            <w:tcBorders>
              <w:top w:val="nil"/>
              <w:left w:val="double" w:sz="6" w:space="0" w:color="auto"/>
              <w:bottom w:val="dotted" w:sz="4" w:space="0" w:color="auto"/>
              <w:right w:val="nil"/>
            </w:tcBorders>
            <w:shd w:val="clear" w:color="000000" w:fill="FFFFFF"/>
            <w:vAlign w:val="center"/>
            <w:hideMark/>
          </w:tcPr>
          <w:p w14:paraId="272F6705"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14. Доходак од непокретне имовине</w:t>
            </w:r>
          </w:p>
        </w:tc>
        <w:tc>
          <w:tcPr>
            <w:tcW w:w="823" w:type="dxa"/>
            <w:tcBorders>
              <w:top w:val="nil"/>
              <w:left w:val="nil"/>
              <w:bottom w:val="dotted" w:sz="4" w:space="0" w:color="auto"/>
              <w:right w:val="single" w:sz="8" w:space="0" w:color="auto"/>
            </w:tcBorders>
            <w:shd w:val="clear" w:color="000000" w:fill="FFFFFF"/>
            <w:vAlign w:val="center"/>
            <w:hideMark/>
          </w:tcPr>
          <w:p w14:paraId="608FF96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77" w:type="dxa"/>
            <w:tcBorders>
              <w:top w:val="nil"/>
              <w:left w:val="nil"/>
              <w:bottom w:val="dotted" w:sz="4" w:space="0" w:color="auto"/>
              <w:right w:val="single" w:sz="8" w:space="0" w:color="auto"/>
            </w:tcBorders>
            <w:shd w:val="clear" w:color="000000" w:fill="FFFFFF"/>
            <w:vAlign w:val="center"/>
            <w:hideMark/>
          </w:tcPr>
          <w:p w14:paraId="0E60461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D4</w:t>
            </w:r>
          </w:p>
        </w:tc>
        <w:tc>
          <w:tcPr>
            <w:tcW w:w="1247" w:type="dxa"/>
            <w:tcBorders>
              <w:top w:val="nil"/>
              <w:left w:val="nil"/>
              <w:bottom w:val="dotted" w:sz="4" w:space="0" w:color="auto"/>
              <w:right w:val="dotted" w:sz="4" w:space="0" w:color="auto"/>
            </w:tcBorders>
            <w:shd w:val="clear" w:color="000000" w:fill="FFFFFF"/>
            <w:vAlign w:val="center"/>
            <w:hideMark/>
          </w:tcPr>
          <w:p w14:paraId="1E6E312F"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96,7</w:t>
            </w:r>
          </w:p>
        </w:tc>
        <w:tc>
          <w:tcPr>
            <w:tcW w:w="1246" w:type="dxa"/>
            <w:tcBorders>
              <w:top w:val="nil"/>
              <w:left w:val="nil"/>
              <w:bottom w:val="dotted" w:sz="4" w:space="0" w:color="auto"/>
              <w:right w:val="dotted" w:sz="4" w:space="0" w:color="auto"/>
            </w:tcBorders>
            <w:shd w:val="clear" w:color="000000" w:fill="FFFFFF"/>
            <w:vAlign w:val="center"/>
            <w:hideMark/>
          </w:tcPr>
          <w:p w14:paraId="0461947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120,4</w:t>
            </w:r>
          </w:p>
        </w:tc>
        <w:tc>
          <w:tcPr>
            <w:tcW w:w="1246" w:type="dxa"/>
            <w:tcBorders>
              <w:top w:val="nil"/>
              <w:left w:val="nil"/>
              <w:bottom w:val="dotted" w:sz="4" w:space="0" w:color="auto"/>
              <w:right w:val="dotted" w:sz="4" w:space="0" w:color="auto"/>
            </w:tcBorders>
            <w:shd w:val="clear" w:color="000000" w:fill="FFFFFF"/>
            <w:vAlign w:val="center"/>
            <w:hideMark/>
          </w:tcPr>
          <w:p w14:paraId="2E89828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116,5</w:t>
            </w:r>
          </w:p>
        </w:tc>
        <w:tc>
          <w:tcPr>
            <w:tcW w:w="1246" w:type="dxa"/>
            <w:tcBorders>
              <w:top w:val="nil"/>
              <w:left w:val="nil"/>
              <w:bottom w:val="dotted" w:sz="4" w:space="0" w:color="auto"/>
              <w:right w:val="dotted" w:sz="4" w:space="0" w:color="auto"/>
            </w:tcBorders>
            <w:shd w:val="clear" w:color="000000" w:fill="FFFFFF"/>
            <w:vAlign w:val="center"/>
            <w:hideMark/>
          </w:tcPr>
          <w:p w14:paraId="6C60709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127,0</w:t>
            </w:r>
          </w:p>
        </w:tc>
        <w:tc>
          <w:tcPr>
            <w:tcW w:w="1251" w:type="dxa"/>
            <w:tcBorders>
              <w:top w:val="nil"/>
              <w:left w:val="nil"/>
              <w:bottom w:val="dotted" w:sz="4" w:space="0" w:color="auto"/>
              <w:right w:val="double" w:sz="6" w:space="0" w:color="auto"/>
            </w:tcBorders>
            <w:shd w:val="clear" w:color="000000" w:fill="FFFFFF"/>
            <w:vAlign w:val="center"/>
            <w:hideMark/>
          </w:tcPr>
          <w:p w14:paraId="4ACB657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139,1</w:t>
            </w:r>
          </w:p>
        </w:tc>
      </w:tr>
      <w:tr w:rsidR="009B5DE5" w:rsidRPr="009B5DE5" w14:paraId="20A7D201" w14:textId="77777777" w:rsidTr="00396800">
        <w:trPr>
          <w:trHeight w:val="436"/>
        </w:trPr>
        <w:tc>
          <w:tcPr>
            <w:tcW w:w="6761" w:type="dxa"/>
            <w:tcBorders>
              <w:top w:val="nil"/>
              <w:left w:val="double" w:sz="6" w:space="0" w:color="auto"/>
              <w:bottom w:val="dotted" w:sz="4" w:space="0" w:color="auto"/>
              <w:right w:val="nil"/>
            </w:tcBorders>
            <w:shd w:val="clear" w:color="000000" w:fill="FFFFFF"/>
            <w:vAlign w:val="center"/>
            <w:hideMark/>
          </w:tcPr>
          <w:p w14:paraId="5C87AC47"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15. Друго (15 = 16-(12+13+14)) [4]</w:t>
            </w:r>
          </w:p>
        </w:tc>
        <w:tc>
          <w:tcPr>
            <w:tcW w:w="823" w:type="dxa"/>
            <w:tcBorders>
              <w:top w:val="nil"/>
              <w:left w:val="nil"/>
              <w:bottom w:val="dotted" w:sz="4" w:space="0" w:color="auto"/>
              <w:right w:val="single" w:sz="8" w:space="0" w:color="auto"/>
            </w:tcBorders>
            <w:shd w:val="clear" w:color="000000" w:fill="FFFFFF"/>
            <w:vAlign w:val="center"/>
            <w:hideMark/>
          </w:tcPr>
          <w:p w14:paraId="5BE8F56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77" w:type="dxa"/>
            <w:tcBorders>
              <w:top w:val="nil"/>
              <w:left w:val="nil"/>
              <w:bottom w:val="dotted" w:sz="4" w:space="0" w:color="auto"/>
              <w:right w:val="single" w:sz="8" w:space="0" w:color="auto"/>
            </w:tcBorders>
            <w:shd w:val="clear" w:color="000000" w:fill="FFFFFF"/>
            <w:vAlign w:val="center"/>
            <w:hideMark/>
          </w:tcPr>
          <w:p w14:paraId="131C94C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247" w:type="dxa"/>
            <w:tcBorders>
              <w:top w:val="nil"/>
              <w:left w:val="nil"/>
              <w:bottom w:val="dotted" w:sz="4" w:space="0" w:color="auto"/>
              <w:right w:val="dotted" w:sz="4" w:space="0" w:color="auto"/>
            </w:tcBorders>
            <w:shd w:val="clear" w:color="000000" w:fill="FFFFFF"/>
            <w:vAlign w:val="center"/>
            <w:hideMark/>
          </w:tcPr>
          <w:p w14:paraId="4A83FD3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297,9</w:t>
            </w:r>
          </w:p>
        </w:tc>
        <w:tc>
          <w:tcPr>
            <w:tcW w:w="1246" w:type="dxa"/>
            <w:tcBorders>
              <w:top w:val="nil"/>
              <w:left w:val="nil"/>
              <w:bottom w:val="dotted" w:sz="4" w:space="0" w:color="auto"/>
              <w:right w:val="dotted" w:sz="4" w:space="0" w:color="auto"/>
            </w:tcBorders>
            <w:shd w:val="clear" w:color="000000" w:fill="FFFFFF"/>
            <w:vAlign w:val="center"/>
            <w:hideMark/>
          </w:tcPr>
          <w:p w14:paraId="4495206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322,9</w:t>
            </w:r>
          </w:p>
        </w:tc>
        <w:tc>
          <w:tcPr>
            <w:tcW w:w="1246" w:type="dxa"/>
            <w:tcBorders>
              <w:top w:val="nil"/>
              <w:left w:val="nil"/>
              <w:bottom w:val="dotted" w:sz="4" w:space="0" w:color="auto"/>
              <w:right w:val="dotted" w:sz="4" w:space="0" w:color="auto"/>
            </w:tcBorders>
            <w:shd w:val="clear" w:color="000000" w:fill="FFFFFF"/>
            <w:vAlign w:val="center"/>
            <w:hideMark/>
          </w:tcPr>
          <w:p w14:paraId="28092D4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397,8</w:t>
            </w:r>
          </w:p>
        </w:tc>
        <w:tc>
          <w:tcPr>
            <w:tcW w:w="1246" w:type="dxa"/>
            <w:tcBorders>
              <w:top w:val="nil"/>
              <w:left w:val="nil"/>
              <w:bottom w:val="dotted" w:sz="4" w:space="0" w:color="auto"/>
              <w:right w:val="dotted" w:sz="4" w:space="0" w:color="auto"/>
            </w:tcBorders>
            <w:shd w:val="clear" w:color="000000" w:fill="FFFFFF"/>
            <w:vAlign w:val="center"/>
            <w:hideMark/>
          </w:tcPr>
          <w:p w14:paraId="031B653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367,5</w:t>
            </w:r>
          </w:p>
        </w:tc>
        <w:tc>
          <w:tcPr>
            <w:tcW w:w="1251" w:type="dxa"/>
            <w:tcBorders>
              <w:top w:val="nil"/>
              <w:left w:val="nil"/>
              <w:bottom w:val="dotted" w:sz="4" w:space="0" w:color="auto"/>
              <w:right w:val="double" w:sz="6" w:space="0" w:color="auto"/>
            </w:tcBorders>
            <w:shd w:val="clear" w:color="000000" w:fill="FFFFFF"/>
            <w:vAlign w:val="center"/>
            <w:hideMark/>
          </w:tcPr>
          <w:p w14:paraId="4D07006A"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357,0</w:t>
            </w:r>
          </w:p>
        </w:tc>
      </w:tr>
      <w:tr w:rsidR="009B5DE5" w:rsidRPr="009B5DE5" w14:paraId="15F68D76" w14:textId="77777777" w:rsidTr="00396800">
        <w:trPr>
          <w:trHeight w:val="436"/>
        </w:trPr>
        <w:tc>
          <w:tcPr>
            <w:tcW w:w="6761" w:type="dxa"/>
            <w:tcBorders>
              <w:top w:val="nil"/>
              <w:left w:val="double" w:sz="6" w:space="0" w:color="auto"/>
              <w:bottom w:val="dotted" w:sz="4" w:space="0" w:color="auto"/>
              <w:right w:val="nil"/>
            </w:tcBorders>
            <w:shd w:val="clear" w:color="000000" w:fill="FFFFFF"/>
            <w:vAlign w:val="center"/>
            <w:hideMark/>
          </w:tcPr>
          <w:p w14:paraId="613045A1"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16 = 6. Укупни приходи</w:t>
            </w:r>
          </w:p>
        </w:tc>
        <w:tc>
          <w:tcPr>
            <w:tcW w:w="823" w:type="dxa"/>
            <w:tcBorders>
              <w:top w:val="nil"/>
              <w:left w:val="nil"/>
              <w:bottom w:val="nil"/>
              <w:right w:val="single" w:sz="8" w:space="0" w:color="auto"/>
            </w:tcBorders>
            <w:shd w:val="clear" w:color="000000" w:fill="FFFFFF"/>
            <w:vAlign w:val="center"/>
            <w:hideMark/>
          </w:tcPr>
          <w:p w14:paraId="13EC267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77" w:type="dxa"/>
            <w:tcBorders>
              <w:top w:val="nil"/>
              <w:left w:val="nil"/>
              <w:bottom w:val="dotted" w:sz="4" w:space="0" w:color="auto"/>
              <w:right w:val="single" w:sz="8" w:space="0" w:color="auto"/>
            </w:tcBorders>
            <w:shd w:val="clear" w:color="000000" w:fill="FFFFFF"/>
            <w:vAlign w:val="center"/>
            <w:hideMark/>
          </w:tcPr>
          <w:p w14:paraId="658BF85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TR</w:t>
            </w:r>
          </w:p>
        </w:tc>
        <w:tc>
          <w:tcPr>
            <w:tcW w:w="1247" w:type="dxa"/>
            <w:tcBorders>
              <w:top w:val="nil"/>
              <w:left w:val="nil"/>
              <w:bottom w:val="dotted" w:sz="4" w:space="0" w:color="auto"/>
              <w:right w:val="dotted" w:sz="4" w:space="0" w:color="auto"/>
            </w:tcBorders>
            <w:shd w:val="clear" w:color="000000" w:fill="FFFFFF"/>
            <w:vAlign w:val="center"/>
            <w:hideMark/>
          </w:tcPr>
          <w:p w14:paraId="45C4323F"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3.473,3</w:t>
            </w:r>
          </w:p>
        </w:tc>
        <w:tc>
          <w:tcPr>
            <w:tcW w:w="1246" w:type="dxa"/>
            <w:tcBorders>
              <w:top w:val="nil"/>
              <w:left w:val="nil"/>
              <w:bottom w:val="dotted" w:sz="4" w:space="0" w:color="auto"/>
              <w:right w:val="dotted" w:sz="4" w:space="0" w:color="auto"/>
            </w:tcBorders>
            <w:shd w:val="clear" w:color="000000" w:fill="FFFFFF"/>
            <w:vAlign w:val="center"/>
            <w:hideMark/>
          </w:tcPr>
          <w:p w14:paraId="12C87DA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3.922,2</w:t>
            </w:r>
          </w:p>
        </w:tc>
        <w:tc>
          <w:tcPr>
            <w:tcW w:w="1246" w:type="dxa"/>
            <w:tcBorders>
              <w:top w:val="nil"/>
              <w:left w:val="nil"/>
              <w:bottom w:val="dotted" w:sz="4" w:space="0" w:color="auto"/>
              <w:right w:val="dotted" w:sz="4" w:space="0" w:color="auto"/>
            </w:tcBorders>
            <w:shd w:val="clear" w:color="000000" w:fill="FFFFFF"/>
            <w:vAlign w:val="center"/>
            <w:hideMark/>
          </w:tcPr>
          <w:p w14:paraId="3088E5D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4.264,3</w:t>
            </w:r>
          </w:p>
        </w:tc>
        <w:tc>
          <w:tcPr>
            <w:tcW w:w="1246" w:type="dxa"/>
            <w:tcBorders>
              <w:top w:val="nil"/>
              <w:left w:val="nil"/>
              <w:bottom w:val="dotted" w:sz="4" w:space="0" w:color="auto"/>
              <w:right w:val="dotted" w:sz="4" w:space="0" w:color="auto"/>
            </w:tcBorders>
            <w:shd w:val="clear" w:color="000000" w:fill="FFFFFF"/>
            <w:vAlign w:val="center"/>
            <w:hideMark/>
          </w:tcPr>
          <w:p w14:paraId="0EE6BDE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4.534,0</w:t>
            </w:r>
          </w:p>
        </w:tc>
        <w:tc>
          <w:tcPr>
            <w:tcW w:w="1251" w:type="dxa"/>
            <w:tcBorders>
              <w:top w:val="nil"/>
              <w:left w:val="nil"/>
              <w:bottom w:val="dotted" w:sz="4" w:space="0" w:color="auto"/>
              <w:right w:val="double" w:sz="6" w:space="0" w:color="auto"/>
            </w:tcBorders>
            <w:shd w:val="clear" w:color="000000" w:fill="FFFFFF"/>
            <w:vAlign w:val="center"/>
            <w:hideMark/>
          </w:tcPr>
          <w:p w14:paraId="45101B5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4.854,7</w:t>
            </w:r>
          </w:p>
        </w:tc>
      </w:tr>
      <w:tr w:rsidR="009B5DE5" w:rsidRPr="009B5DE5" w14:paraId="627E1ADF" w14:textId="77777777" w:rsidTr="00396800">
        <w:trPr>
          <w:trHeight w:val="436"/>
        </w:trPr>
        <w:tc>
          <w:tcPr>
            <w:tcW w:w="6761" w:type="dxa"/>
            <w:tcBorders>
              <w:top w:val="nil"/>
              <w:left w:val="double" w:sz="6" w:space="0" w:color="auto"/>
              <w:bottom w:val="single" w:sz="8" w:space="0" w:color="auto"/>
              <w:right w:val="nil"/>
            </w:tcBorders>
            <w:shd w:val="clear" w:color="auto" w:fill="auto"/>
            <w:noWrap/>
            <w:vAlign w:val="bottom"/>
            <w:hideMark/>
          </w:tcPr>
          <w:p w14:paraId="2E9DB711"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Информативно: Пореско оптерећење (D2+D5+D61+D91-D995) [5]</w:t>
            </w:r>
          </w:p>
        </w:tc>
        <w:tc>
          <w:tcPr>
            <w:tcW w:w="823" w:type="dxa"/>
            <w:tcBorders>
              <w:top w:val="dotted" w:sz="4" w:space="0" w:color="auto"/>
              <w:left w:val="nil"/>
              <w:bottom w:val="single" w:sz="8" w:space="0" w:color="auto"/>
              <w:right w:val="single" w:sz="8" w:space="0" w:color="auto"/>
            </w:tcBorders>
            <w:shd w:val="clear" w:color="000000" w:fill="FFFFFF"/>
            <w:vAlign w:val="center"/>
            <w:hideMark/>
          </w:tcPr>
          <w:p w14:paraId="7384E0C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77" w:type="dxa"/>
            <w:tcBorders>
              <w:top w:val="nil"/>
              <w:left w:val="nil"/>
              <w:bottom w:val="single" w:sz="8" w:space="0" w:color="000000"/>
              <w:right w:val="single" w:sz="8" w:space="0" w:color="auto"/>
            </w:tcBorders>
            <w:shd w:val="clear" w:color="000000" w:fill="FFFFFF"/>
            <w:vAlign w:val="center"/>
            <w:hideMark/>
          </w:tcPr>
          <w:p w14:paraId="4BB08883"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247" w:type="dxa"/>
            <w:tcBorders>
              <w:top w:val="nil"/>
              <w:left w:val="nil"/>
              <w:bottom w:val="single" w:sz="8" w:space="0" w:color="000000"/>
              <w:right w:val="dotted" w:sz="4" w:space="0" w:color="auto"/>
            </w:tcBorders>
            <w:shd w:val="clear" w:color="000000" w:fill="FFFFFF"/>
            <w:vAlign w:val="center"/>
            <w:hideMark/>
          </w:tcPr>
          <w:p w14:paraId="4E71EF6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3.078,7</w:t>
            </w:r>
          </w:p>
        </w:tc>
        <w:tc>
          <w:tcPr>
            <w:tcW w:w="1246" w:type="dxa"/>
            <w:tcBorders>
              <w:top w:val="nil"/>
              <w:left w:val="nil"/>
              <w:bottom w:val="single" w:sz="8" w:space="0" w:color="000000"/>
              <w:right w:val="dotted" w:sz="4" w:space="0" w:color="auto"/>
            </w:tcBorders>
            <w:shd w:val="clear" w:color="000000" w:fill="FFFFFF"/>
            <w:vAlign w:val="center"/>
            <w:hideMark/>
          </w:tcPr>
          <w:p w14:paraId="03FAAFF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3.478,9</w:t>
            </w:r>
          </w:p>
        </w:tc>
        <w:tc>
          <w:tcPr>
            <w:tcW w:w="1246" w:type="dxa"/>
            <w:tcBorders>
              <w:top w:val="nil"/>
              <w:left w:val="nil"/>
              <w:bottom w:val="single" w:sz="8" w:space="0" w:color="000000"/>
              <w:right w:val="dotted" w:sz="4" w:space="0" w:color="auto"/>
            </w:tcBorders>
            <w:shd w:val="clear" w:color="000000" w:fill="FFFFFF"/>
            <w:vAlign w:val="center"/>
            <w:hideMark/>
          </w:tcPr>
          <w:p w14:paraId="433C82BF"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3.750,0</w:t>
            </w:r>
          </w:p>
        </w:tc>
        <w:tc>
          <w:tcPr>
            <w:tcW w:w="1246" w:type="dxa"/>
            <w:tcBorders>
              <w:top w:val="nil"/>
              <w:left w:val="nil"/>
              <w:bottom w:val="single" w:sz="8" w:space="0" w:color="000000"/>
              <w:right w:val="dotted" w:sz="4" w:space="0" w:color="auto"/>
            </w:tcBorders>
            <w:shd w:val="clear" w:color="000000" w:fill="FFFFFF"/>
            <w:vAlign w:val="center"/>
            <w:hideMark/>
          </w:tcPr>
          <w:p w14:paraId="0370BD3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4.039,5</w:t>
            </w:r>
          </w:p>
        </w:tc>
        <w:tc>
          <w:tcPr>
            <w:tcW w:w="1251" w:type="dxa"/>
            <w:tcBorders>
              <w:top w:val="nil"/>
              <w:left w:val="nil"/>
              <w:bottom w:val="single" w:sz="8" w:space="0" w:color="auto"/>
              <w:right w:val="double" w:sz="6" w:space="0" w:color="auto"/>
            </w:tcBorders>
            <w:shd w:val="clear" w:color="000000" w:fill="FFFFFF"/>
            <w:vAlign w:val="center"/>
            <w:hideMark/>
          </w:tcPr>
          <w:p w14:paraId="1716D88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4.358,6</w:t>
            </w:r>
          </w:p>
        </w:tc>
      </w:tr>
      <w:tr w:rsidR="009B5DE5" w:rsidRPr="009B5DE5" w14:paraId="2D42DB21" w14:textId="77777777" w:rsidTr="00396800">
        <w:trPr>
          <w:trHeight w:val="533"/>
        </w:trPr>
        <w:tc>
          <w:tcPr>
            <w:tcW w:w="15001" w:type="dxa"/>
            <w:gridSpan w:val="8"/>
            <w:tcBorders>
              <w:top w:val="nil"/>
              <w:left w:val="double" w:sz="6" w:space="0" w:color="auto"/>
              <w:bottom w:val="single" w:sz="8" w:space="0" w:color="auto"/>
              <w:right w:val="double" w:sz="6" w:space="0" w:color="000000"/>
            </w:tcBorders>
            <w:shd w:val="clear" w:color="000000" w:fill="FFFFFF"/>
            <w:vAlign w:val="center"/>
            <w:hideMark/>
          </w:tcPr>
          <w:p w14:paraId="1AD9B6B4"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Изабране компоненте расхода</w:t>
            </w:r>
          </w:p>
        </w:tc>
      </w:tr>
      <w:tr w:rsidR="009B5DE5" w:rsidRPr="009B5DE5" w14:paraId="17B3068D" w14:textId="77777777" w:rsidTr="00396800">
        <w:trPr>
          <w:trHeight w:val="367"/>
        </w:trPr>
        <w:tc>
          <w:tcPr>
            <w:tcW w:w="6761" w:type="dxa"/>
            <w:tcBorders>
              <w:top w:val="nil"/>
              <w:left w:val="double" w:sz="6" w:space="0" w:color="auto"/>
              <w:bottom w:val="dotted" w:sz="4" w:space="0" w:color="auto"/>
              <w:right w:val="nil"/>
            </w:tcBorders>
            <w:shd w:val="clear" w:color="000000" w:fill="FFFFFF"/>
            <w:vAlign w:val="center"/>
            <w:hideMark/>
          </w:tcPr>
          <w:p w14:paraId="78DD3C41"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17. Колективна потрошња</w:t>
            </w:r>
          </w:p>
        </w:tc>
        <w:tc>
          <w:tcPr>
            <w:tcW w:w="823" w:type="dxa"/>
            <w:tcBorders>
              <w:top w:val="nil"/>
              <w:left w:val="nil"/>
              <w:bottom w:val="dotted" w:sz="4" w:space="0" w:color="auto"/>
              <w:right w:val="single" w:sz="8" w:space="0" w:color="auto"/>
            </w:tcBorders>
            <w:shd w:val="clear" w:color="000000" w:fill="FFFFFF"/>
            <w:vAlign w:val="center"/>
            <w:hideMark/>
          </w:tcPr>
          <w:p w14:paraId="5A5D7D73"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77" w:type="dxa"/>
            <w:tcBorders>
              <w:top w:val="nil"/>
              <w:left w:val="nil"/>
              <w:bottom w:val="dotted" w:sz="4" w:space="0" w:color="auto"/>
              <w:right w:val="single" w:sz="8" w:space="0" w:color="auto"/>
            </w:tcBorders>
            <w:shd w:val="clear" w:color="000000" w:fill="FFFFFF"/>
            <w:vAlign w:val="center"/>
            <w:hideMark/>
          </w:tcPr>
          <w:p w14:paraId="4FA29E1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P32</w:t>
            </w:r>
          </w:p>
        </w:tc>
        <w:tc>
          <w:tcPr>
            <w:tcW w:w="1247" w:type="dxa"/>
            <w:tcBorders>
              <w:top w:val="nil"/>
              <w:left w:val="nil"/>
              <w:bottom w:val="dotted" w:sz="4" w:space="0" w:color="auto"/>
              <w:right w:val="dotted" w:sz="4" w:space="0" w:color="auto"/>
            </w:tcBorders>
            <w:shd w:val="clear" w:color="000000" w:fill="FFFFFF"/>
            <w:vAlign w:val="center"/>
            <w:hideMark/>
          </w:tcPr>
          <w:p w14:paraId="2C978EC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1.403,0</w:t>
            </w:r>
          </w:p>
        </w:tc>
        <w:tc>
          <w:tcPr>
            <w:tcW w:w="1246" w:type="dxa"/>
            <w:tcBorders>
              <w:top w:val="nil"/>
              <w:left w:val="nil"/>
              <w:bottom w:val="dotted" w:sz="4" w:space="0" w:color="auto"/>
              <w:right w:val="dotted" w:sz="4" w:space="0" w:color="auto"/>
            </w:tcBorders>
            <w:shd w:val="clear" w:color="000000" w:fill="FFFFFF"/>
            <w:vAlign w:val="center"/>
            <w:hideMark/>
          </w:tcPr>
          <w:p w14:paraId="4D4C570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1.618,0</w:t>
            </w:r>
          </w:p>
        </w:tc>
        <w:tc>
          <w:tcPr>
            <w:tcW w:w="1246" w:type="dxa"/>
            <w:tcBorders>
              <w:top w:val="nil"/>
              <w:left w:val="nil"/>
              <w:bottom w:val="dotted" w:sz="4" w:space="0" w:color="auto"/>
              <w:right w:val="dotted" w:sz="4" w:space="0" w:color="auto"/>
            </w:tcBorders>
            <w:shd w:val="clear" w:color="000000" w:fill="FFFFFF"/>
            <w:vAlign w:val="center"/>
            <w:hideMark/>
          </w:tcPr>
          <w:p w14:paraId="04B2B9DA"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1.836,1</w:t>
            </w:r>
          </w:p>
        </w:tc>
        <w:tc>
          <w:tcPr>
            <w:tcW w:w="1246" w:type="dxa"/>
            <w:tcBorders>
              <w:top w:val="nil"/>
              <w:left w:val="nil"/>
              <w:bottom w:val="dotted" w:sz="4" w:space="0" w:color="auto"/>
              <w:right w:val="dotted" w:sz="4" w:space="0" w:color="auto"/>
            </w:tcBorders>
            <w:shd w:val="clear" w:color="000000" w:fill="FFFFFF"/>
            <w:vAlign w:val="center"/>
            <w:hideMark/>
          </w:tcPr>
          <w:p w14:paraId="579096A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1.952,5</w:t>
            </w:r>
          </w:p>
        </w:tc>
        <w:tc>
          <w:tcPr>
            <w:tcW w:w="1251" w:type="dxa"/>
            <w:tcBorders>
              <w:top w:val="nil"/>
              <w:left w:val="nil"/>
              <w:bottom w:val="dotted" w:sz="4" w:space="0" w:color="auto"/>
              <w:right w:val="double" w:sz="6" w:space="0" w:color="auto"/>
            </w:tcBorders>
            <w:shd w:val="clear" w:color="000000" w:fill="FFFFFF"/>
            <w:vAlign w:val="center"/>
            <w:hideMark/>
          </w:tcPr>
          <w:p w14:paraId="60F0F9F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2.105,0</w:t>
            </w:r>
          </w:p>
        </w:tc>
      </w:tr>
      <w:tr w:rsidR="009B5DE5" w:rsidRPr="009B5DE5" w14:paraId="17F59B25" w14:textId="77777777" w:rsidTr="00396800">
        <w:trPr>
          <w:trHeight w:val="533"/>
        </w:trPr>
        <w:tc>
          <w:tcPr>
            <w:tcW w:w="6761" w:type="dxa"/>
            <w:tcBorders>
              <w:top w:val="nil"/>
              <w:left w:val="double" w:sz="6" w:space="0" w:color="auto"/>
              <w:bottom w:val="dotted" w:sz="4" w:space="0" w:color="auto"/>
              <w:right w:val="nil"/>
            </w:tcBorders>
            <w:shd w:val="clear" w:color="000000" w:fill="FFFFFF"/>
            <w:vAlign w:val="center"/>
            <w:hideMark/>
          </w:tcPr>
          <w:p w14:paraId="4A0F0612"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18. Укупни социјални трансфери</w:t>
            </w:r>
          </w:p>
        </w:tc>
        <w:tc>
          <w:tcPr>
            <w:tcW w:w="823" w:type="dxa"/>
            <w:tcBorders>
              <w:top w:val="nil"/>
              <w:left w:val="nil"/>
              <w:bottom w:val="dotted" w:sz="4" w:space="0" w:color="auto"/>
              <w:right w:val="single" w:sz="8" w:space="0" w:color="auto"/>
            </w:tcBorders>
            <w:shd w:val="clear" w:color="000000" w:fill="FFFFFF"/>
            <w:vAlign w:val="center"/>
            <w:hideMark/>
          </w:tcPr>
          <w:p w14:paraId="3D68B8E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77" w:type="dxa"/>
            <w:tcBorders>
              <w:top w:val="nil"/>
              <w:left w:val="nil"/>
              <w:bottom w:val="dotted" w:sz="4" w:space="0" w:color="auto"/>
              <w:right w:val="single" w:sz="8" w:space="0" w:color="auto"/>
            </w:tcBorders>
            <w:shd w:val="clear" w:color="000000" w:fill="FFFFFF"/>
            <w:vAlign w:val="center"/>
            <w:hideMark/>
          </w:tcPr>
          <w:p w14:paraId="75896F7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D62 + D63</w:t>
            </w:r>
          </w:p>
        </w:tc>
        <w:tc>
          <w:tcPr>
            <w:tcW w:w="1247" w:type="dxa"/>
            <w:tcBorders>
              <w:top w:val="nil"/>
              <w:left w:val="nil"/>
              <w:bottom w:val="dotted" w:sz="4" w:space="0" w:color="auto"/>
              <w:right w:val="dotted" w:sz="4" w:space="0" w:color="auto"/>
            </w:tcBorders>
            <w:shd w:val="clear" w:color="000000" w:fill="FFFFFF"/>
            <w:vAlign w:val="center"/>
            <w:hideMark/>
          </w:tcPr>
          <w:p w14:paraId="34873A3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1.098,6</w:t>
            </w:r>
          </w:p>
        </w:tc>
        <w:tc>
          <w:tcPr>
            <w:tcW w:w="1246" w:type="dxa"/>
            <w:tcBorders>
              <w:top w:val="nil"/>
              <w:left w:val="nil"/>
              <w:bottom w:val="dotted" w:sz="4" w:space="0" w:color="auto"/>
              <w:right w:val="dotted" w:sz="4" w:space="0" w:color="auto"/>
            </w:tcBorders>
            <w:shd w:val="clear" w:color="000000" w:fill="FFFFFF"/>
            <w:vAlign w:val="center"/>
            <w:hideMark/>
          </w:tcPr>
          <w:p w14:paraId="42D1638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1.250,0</w:t>
            </w:r>
          </w:p>
        </w:tc>
        <w:tc>
          <w:tcPr>
            <w:tcW w:w="1246" w:type="dxa"/>
            <w:tcBorders>
              <w:top w:val="nil"/>
              <w:left w:val="nil"/>
              <w:bottom w:val="dotted" w:sz="4" w:space="0" w:color="auto"/>
              <w:right w:val="dotted" w:sz="4" w:space="0" w:color="auto"/>
            </w:tcBorders>
            <w:shd w:val="clear" w:color="000000" w:fill="FFFFFF"/>
            <w:vAlign w:val="center"/>
            <w:hideMark/>
          </w:tcPr>
          <w:p w14:paraId="75E38B6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1.344,3</w:t>
            </w:r>
          </w:p>
        </w:tc>
        <w:tc>
          <w:tcPr>
            <w:tcW w:w="1246" w:type="dxa"/>
            <w:tcBorders>
              <w:top w:val="nil"/>
              <w:left w:val="nil"/>
              <w:bottom w:val="dotted" w:sz="4" w:space="0" w:color="auto"/>
              <w:right w:val="dotted" w:sz="4" w:space="0" w:color="auto"/>
            </w:tcBorders>
            <w:shd w:val="clear" w:color="000000" w:fill="FFFFFF"/>
            <w:vAlign w:val="center"/>
            <w:hideMark/>
          </w:tcPr>
          <w:p w14:paraId="3566EC9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1.448,7</w:t>
            </w:r>
          </w:p>
        </w:tc>
        <w:tc>
          <w:tcPr>
            <w:tcW w:w="1251" w:type="dxa"/>
            <w:tcBorders>
              <w:top w:val="nil"/>
              <w:left w:val="nil"/>
              <w:bottom w:val="dotted" w:sz="4" w:space="0" w:color="auto"/>
              <w:right w:val="double" w:sz="6" w:space="0" w:color="auto"/>
            </w:tcBorders>
            <w:shd w:val="clear" w:color="000000" w:fill="FFFFFF"/>
            <w:vAlign w:val="center"/>
            <w:hideMark/>
          </w:tcPr>
          <w:p w14:paraId="488E58E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1.539,9</w:t>
            </w:r>
          </w:p>
        </w:tc>
      </w:tr>
      <w:tr w:rsidR="009B5DE5" w:rsidRPr="009B5DE5" w14:paraId="554570FA" w14:textId="77777777" w:rsidTr="00396800">
        <w:trPr>
          <w:trHeight w:val="533"/>
        </w:trPr>
        <w:tc>
          <w:tcPr>
            <w:tcW w:w="6761" w:type="dxa"/>
            <w:tcBorders>
              <w:top w:val="nil"/>
              <w:left w:val="double" w:sz="6" w:space="0" w:color="auto"/>
              <w:bottom w:val="dotted" w:sz="4" w:space="0" w:color="auto"/>
              <w:right w:val="nil"/>
            </w:tcBorders>
            <w:shd w:val="clear" w:color="000000" w:fill="FFFFFF"/>
            <w:vAlign w:val="center"/>
            <w:hideMark/>
          </w:tcPr>
          <w:p w14:paraId="444D8C45"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18a. Неновчани социјални трансфери</w:t>
            </w:r>
          </w:p>
        </w:tc>
        <w:tc>
          <w:tcPr>
            <w:tcW w:w="823" w:type="dxa"/>
            <w:tcBorders>
              <w:top w:val="nil"/>
              <w:left w:val="nil"/>
              <w:bottom w:val="dotted" w:sz="4" w:space="0" w:color="auto"/>
              <w:right w:val="single" w:sz="8" w:space="0" w:color="auto"/>
            </w:tcBorders>
            <w:shd w:val="clear" w:color="000000" w:fill="FFFFFF"/>
            <w:vAlign w:val="center"/>
            <w:hideMark/>
          </w:tcPr>
          <w:p w14:paraId="6E0B04E3"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77" w:type="dxa"/>
            <w:tcBorders>
              <w:top w:val="nil"/>
              <w:left w:val="nil"/>
              <w:bottom w:val="dotted" w:sz="4" w:space="0" w:color="auto"/>
              <w:right w:val="single" w:sz="8" w:space="0" w:color="auto"/>
            </w:tcBorders>
            <w:shd w:val="clear" w:color="000000" w:fill="FFFFFF"/>
            <w:vAlign w:val="center"/>
            <w:hideMark/>
          </w:tcPr>
          <w:p w14:paraId="37C75FC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P31 = D63</w:t>
            </w:r>
          </w:p>
        </w:tc>
        <w:tc>
          <w:tcPr>
            <w:tcW w:w="1247" w:type="dxa"/>
            <w:tcBorders>
              <w:top w:val="nil"/>
              <w:left w:val="nil"/>
              <w:bottom w:val="dotted" w:sz="4" w:space="0" w:color="auto"/>
              <w:right w:val="dotted" w:sz="4" w:space="0" w:color="auto"/>
            </w:tcBorders>
            <w:shd w:val="clear" w:color="000000" w:fill="FFFFFF"/>
            <w:vAlign w:val="center"/>
            <w:hideMark/>
          </w:tcPr>
          <w:p w14:paraId="76B2B4C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246" w:type="dxa"/>
            <w:tcBorders>
              <w:top w:val="nil"/>
              <w:left w:val="nil"/>
              <w:bottom w:val="dotted" w:sz="4" w:space="0" w:color="auto"/>
              <w:right w:val="dotted" w:sz="4" w:space="0" w:color="auto"/>
            </w:tcBorders>
            <w:shd w:val="clear" w:color="000000" w:fill="FFFFFF"/>
            <w:vAlign w:val="center"/>
            <w:hideMark/>
          </w:tcPr>
          <w:p w14:paraId="40CF164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246" w:type="dxa"/>
            <w:tcBorders>
              <w:top w:val="nil"/>
              <w:left w:val="nil"/>
              <w:bottom w:val="dotted" w:sz="4" w:space="0" w:color="auto"/>
              <w:right w:val="dotted" w:sz="4" w:space="0" w:color="auto"/>
            </w:tcBorders>
            <w:shd w:val="clear" w:color="000000" w:fill="FFFFFF"/>
            <w:vAlign w:val="center"/>
            <w:hideMark/>
          </w:tcPr>
          <w:p w14:paraId="639795A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246" w:type="dxa"/>
            <w:tcBorders>
              <w:top w:val="nil"/>
              <w:left w:val="nil"/>
              <w:bottom w:val="dotted" w:sz="4" w:space="0" w:color="auto"/>
              <w:right w:val="dotted" w:sz="4" w:space="0" w:color="auto"/>
            </w:tcBorders>
            <w:shd w:val="clear" w:color="000000" w:fill="FFFFFF"/>
            <w:vAlign w:val="center"/>
            <w:hideMark/>
          </w:tcPr>
          <w:p w14:paraId="495560B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251" w:type="dxa"/>
            <w:tcBorders>
              <w:top w:val="nil"/>
              <w:left w:val="nil"/>
              <w:bottom w:val="dotted" w:sz="4" w:space="0" w:color="auto"/>
              <w:right w:val="double" w:sz="6" w:space="0" w:color="auto"/>
            </w:tcBorders>
            <w:shd w:val="clear" w:color="000000" w:fill="FFFFFF"/>
            <w:vAlign w:val="center"/>
            <w:hideMark/>
          </w:tcPr>
          <w:p w14:paraId="6B6D258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r>
      <w:tr w:rsidR="009B5DE5" w:rsidRPr="009B5DE5" w14:paraId="003BEB43" w14:textId="77777777" w:rsidTr="00396800">
        <w:trPr>
          <w:trHeight w:val="320"/>
        </w:trPr>
        <w:tc>
          <w:tcPr>
            <w:tcW w:w="6761" w:type="dxa"/>
            <w:tcBorders>
              <w:top w:val="nil"/>
              <w:left w:val="double" w:sz="6" w:space="0" w:color="auto"/>
              <w:bottom w:val="dotted" w:sz="4" w:space="0" w:color="auto"/>
              <w:right w:val="nil"/>
            </w:tcBorders>
            <w:shd w:val="clear" w:color="000000" w:fill="FFFFFF"/>
            <w:vAlign w:val="center"/>
            <w:hideMark/>
          </w:tcPr>
          <w:p w14:paraId="640C04DA"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18б. Социјални трансфери осим неновчаних</w:t>
            </w:r>
          </w:p>
        </w:tc>
        <w:tc>
          <w:tcPr>
            <w:tcW w:w="823" w:type="dxa"/>
            <w:tcBorders>
              <w:top w:val="nil"/>
              <w:left w:val="nil"/>
              <w:bottom w:val="dotted" w:sz="4" w:space="0" w:color="auto"/>
              <w:right w:val="single" w:sz="8" w:space="0" w:color="auto"/>
            </w:tcBorders>
            <w:shd w:val="clear" w:color="000000" w:fill="FFFFFF"/>
            <w:vAlign w:val="center"/>
            <w:hideMark/>
          </w:tcPr>
          <w:p w14:paraId="3C231DD3"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77" w:type="dxa"/>
            <w:tcBorders>
              <w:top w:val="nil"/>
              <w:left w:val="nil"/>
              <w:bottom w:val="dotted" w:sz="4" w:space="0" w:color="auto"/>
              <w:right w:val="single" w:sz="8" w:space="0" w:color="auto"/>
            </w:tcBorders>
            <w:shd w:val="clear" w:color="000000" w:fill="FFFFFF"/>
            <w:vAlign w:val="center"/>
            <w:hideMark/>
          </w:tcPr>
          <w:p w14:paraId="2A3C007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D62</w:t>
            </w:r>
          </w:p>
        </w:tc>
        <w:tc>
          <w:tcPr>
            <w:tcW w:w="1247" w:type="dxa"/>
            <w:tcBorders>
              <w:top w:val="nil"/>
              <w:left w:val="nil"/>
              <w:bottom w:val="dotted" w:sz="4" w:space="0" w:color="auto"/>
              <w:right w:val="dotted" w:sz="4" w:space="0" w:color="auto"/>
            </w:tcBorders>
            <w:shd w:val="clear" w:color="000000" w:fill="FFFFFF"/>
            <w:vAlign w:val="center"/>
            <w:hideMark/>
          </w:tcPr>
          <w:p w14:paraId="5AE9D24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1.098,6</w:t>
            </w:r>
          </w:p>
        </w:tc>
        <w:tc>
          <w:tcPr>
            <w:tcW w:w="1246" w:type="dxa"/>
            <w:tcBorders>
              <w:top w:val="nil"/>
              <w:left w:val="nil"/>
              <w:bottom w:val="dotted" w:sz="4" w:space="0" w:color="auto"/>
              <w:right w:val="dotted" w:sz="4" w:space="0" w:color="auto"/>
            </w:tcBorders>
            <w:shd w:val="clear" w:color="000000" w:fill="FFFFFF"/>
            <w:vAlign w:val="center"/>
            <w:hideMark/>
          </w:tcPr>
          <w:p w14:paraId="5733F45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1.250,0</w:t>
            </w:r>
          </w:p>
        </w:tc>
        <w:tc>
          <w:tcPr>
            <w:tcW w:w="1246" w:type="dxa"/>
            <w:tcBorders>
              <w:top w:val="nil"/>
              <w:left w:val="nil"/>
              <w:bottom w:val="dotted" w:sz="4" w:space="0" w:color="auto"/>
              <w:right w:val="dotted" w:sz="4" w:space="0" w:color="auto"/>
            </w:tcBorders>
            <w:shd w:val="clear" w:color="000000" w:fill="FFFFFF"/>
            <w:vAlign w:val="center"/>
            <w:hideMark/>
          </w:tcPr>
          <w:p w14:paraId="7F31503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1.344,3</w:t>
            </w:r>
          </w:p>
        </w:tc>
        <w:tc>
          <w:tcPr>
            <w:tcW w:w="1246" w:type="dxa"/>
            <w:tcBorders>
              <w:top w:val="nil"/>
              <w:left w:val="nil"/>
              <w:bottom w:val="dotted" w:sz="4" w:space="0" w:color="auto"/>
              <w:right w:val="dotted" w:sz="4" w:space="0" w:color="auto"/>
            </w:tcBorders>
            <w:shd w:val="clear" w:color="000000" w:fill="FFFFFF"/>
            <w:vAlign w:val="center"/>
            <w:hideMark/>
          </w:tcPr>
          <w:p w14:paraId="21DF716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1.448,7</w:t>
            </w:r>
          </w:p>
        </w:tc>
        <w:tc>
          <w:tcPr>
            <w:tcW w:w="1251" w:type="dxa"/>
            <w:tcBorders>
              <w:top w:val="nil"/>
              <w:left w:val="nil"/>
              <w:bottom w:val="dotted" w:sz="4" w:space="0" w:color="auto"/>
              <w:right w:val="double" w:sz="6" w:space="0" w:color="auto"/>
            </w:tcBorders>
            <w:shd w:val="clear" w:color="000000" w:fill="FFFFFF"/>
            <w:vAlign w:val="center"/>
            <w:hideMark/>
          </w:tcPr>
          <w:p w14:paraId="140E360A"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1.539,9</w:t>
            </w:r>
          </w:p>
        </w:tc>
      </w:tr>
      <w:tr w:rsidR="009B5DE5" w:rsidRPr="009B5DE5" w14:paraId="31C8F4BA" w14:textId="77777777" w:rsidTr="00396800">
        <w:trPr>
          <w:trHeight w:val="533"/>
        </w:trPr>
        <w:tc>
          <w:tcPr>
            <w:tcW w:w="6761" w:type="dxa"/>
            <w:tcBorders>
              <w:top w:val="nil"/>
              <w:left w:val="double" w:sz="6" w:space="0" w:color="auto"/>
              <w:bottom w:val="dotted" w:sz="4" w:space="0" w:color="auto"/>
              <w:right w:val="nil"/>
            </w:tcBorders>
            <w:shd w:val="clear" w:color="000000" w:fill="FFFFFF"/>
            <w:vAlign w:val="center"/>
            <w:hideMark/>
          </w:tcPr>
          <w:p w14:paraId="15BD23B6"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 xml:space="preserve">19 = 9. Расходи за камате (укљ. FISIM) </w:t>
            </w:r>
          </w:p>
        </w:tc>
        <w:tc>
          <w:tcPr>
            <w:tcW w:w="823" w:type="dxa"/>
            <w:tcBorders>
              <w:top w:val="nil"/>
              <w:left w:val="nil"/>
              <w:bottom w:val="dotted" w:sz="4" w:space="0" w:color="auto"/>
              <w:right w:val="single" w:sz="8" w:space="0" w:color="auto"/>
            </w:tcBorders>
            <w:shd w:val="clear" w:color="000000" w:fill="FFFFFF"/>
            <w:vAlign w:val="center"/>
            <w:hideMark/>
          </w:tcPr>
          <w:p w14:paraId="140FC3B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77" w:type="dxa"/>
            <w:tcBorders>
              <w:top w:val="nil"/>
              <w:left w:val="nil"/>
              <w:bottom w:val="dotted" w:sz="4" w:space="0" w:color="auto"/>
              <w:right w:val="single" w:sz="8" w:space="0" w:color="auto"/>
            </w:tcBorders>
            <w:shd w:val="clear" w:color="000000" w:fill="FFFFFF"/>
            <w:vAlign w:val="center"/>
            <w:hideMark/>
          </w:tcPr>
          <w:p w14:paraId="3BD3964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EDP.D41 + FISIM</w:t>
            </w:r>
          </w:p>
        </w:tc>
        <w:tc>
          <w:tcPr>
            <w:tcW w:w="1247" w:type="dxa"/>
            <w:tcBorders>
              <w:top w:val="nil"/>
              <w:left w:val="nil"/>
              <w:bottom w:val="dotted" w:sz="4" w:space="0" w:color="auto"/>
              <w:right w:val="dotted" w:sz="4" w:space="0" w:color="auto"/>
            </w:tcBorders>
            <w:shd w:val="clear" w:color="000000" w:fill="FFFFFF"/>
            <w:vAlign w:val="center"/>
            <w:hideMark/>
          </w:tcPr>
          <w:p w14:paraId="3F39158A"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149,3</w:t>
            </w:r>
          </w:p>
        </w:tc>
        <w:tc>
          <w:tcPr>
            <w:tcW w:w="1246" w:type="dxa"/>
            <w:tcBorders>
              <w:top w:val="nil"/>
              <w:left w:val="nil"/>
              <w:bottom w:val="dotted" w:sz="4" w:space="0" w:color="auto"/>
              <w:right w:val="dotted" w:sz="4" w:space="0" w:color="auto"/>
            </w:tcBorders>
            <w:shd w:val="clear" w:color="000000" w:fill="FFFFFF"/>
            <w:vAlign w:val="center"/>
            <w:hideMark/>
          </w:tcPr>
          <w:p w14:paraId="0BFC22D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187,6</w:t>
            </w:r>
          </w:p>
        </w:tc>
        <w:tc>
          <w:tcPr>
            <w:tcW w:w="1246" w:type="dxa"/>
            <w:tcBorders>
              <w:top w:val="nil"/>
              <w:left w:val="nil"/>
              <w:bottom w:val="dotted" w:sz="4" w:space="0" w:color="auto"/>
              <w:right w:val="dotted" w:sz="4" w:space="0" w:color="auto"/>
            </w:tcBorders>
            <w:shd w:val="clear" w:color="000000" w:fill="FFFFFF"/>
            <w:vAlign w:val="center"/>
            <w:hideMark/>
          </w:tcPr>
          <w:p w14:paraId="62D0F4B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222,7</w:t>
            </w:r>
          </w:p>
        </w:tc>
        <w:tc>
          <w:tcPr>
            <w:tcW w:w="1246" w:type="dxa"/>
            <w:tcBorders>
              <w:top w:val="nil"/>
              <w:left w:val="nil"/>
              <w:bottom w:val="dotted" w:sz="4" w:space="0" w:color="auto"/>
              <w:right w:val="dotted" w:sz="4" w:space="0" w:color="auto"/>
            </w:tcBorders>
            <w:shd w:val="clear" w:color="000000" w:fill="FFFFFF"/>
            <w:vAlign w:val="center"/>
            <w:hideMark/>
          </w:tcPr>
          <w:p w14:paraId="0549A25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235,6</w:t>
            </w:r>
          </w:p>
        </w:tc>
        <w:tc>
          <w:tcPr>
            <w:tcW w:w="1251" w:type="dxa"/>
            <w:tcBorders>
              <w:top w:val="nil"/>
              <w:left w:val="nil"/>
              <w:bottom w:val="dotted" w:sz="4" w:space="0" w:color="auto"/>
              <w:right w:val="double" w:sz="6" w:space="0" w:color="auto"/>
            </w:tcBorders>
            <w:shd w:val="clear" w:color="000000" w:fill="FFFFFF"/>
            <w:vAlign w:val="center"/>
            <w:hideMark/>
          </w:tcPr>
          <w:p w14:paraId="74E5DFD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236,5</w:t>
            </w:r>
          </w:p>
        </w:tc>
      </w:tr>
      <w:tr w:rsidR="009B5DE5" w:rsidRPr="009B5DE5" w14:paraId="32EF67AB" w14:textId="77777777" w:rsidTr="00396800">
        <w:trPr>
          <w:trHeight w:val="367"/>
        </w:trPr>
        <w:tc>
          <w:tcPr>
            <w:tcW w:w="6761" w:type="dxa"/>
            <w:tcBorders>
              <w:top w:val="nil"/>
              <w:left w:val="double" w:sz="6" w:space="0" w:color="auto"/>
              <w:bottom w:val="dotted" w:sz="4" w:space="0" w:color="auto"/>
              <w:right w:val="nil"/>
            </w:tcBorders>
            <w:shd w:val="clear" w:color="000000" w:fill="FFFFFF"/>
            <w:vAlign w:val="center"/>
            <w:hideMark/>
          </w:tcPr>
          <w:p w14:paraId="05615146"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20. Субвенције</w:t>
            </w:r>
          </w:p>
        </w:tc>
        <w:tc>
          <w:tcPr>
            <w:tcW w:w="823" w:type="dxa"/>
            <w:tcBorders>
              <w:top w:val="nil"/>
              <w:left w:val="nil"/>
              <w:bottom w:val="dotted" w:sz="4" w:space="0" w:color="auto"/>
              <w:right w:val="single" w:sz="8" w:space="0" w:color="auto"/>
            </w:tcBorders>
            <w:shd w:val="clear" w:color="000000" w:fill="FFFFFF"/>
            <w:vAlign w:val="center"/>
            <w:hideMark/>
          </w:tcPr>
          <w:p w14:paraId="0177ABC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77" w:type="dxa"/>
            <w:tcBorders>
              <w:top w:val="nil"/>
              <w:left w:val="nil"/>
              <w:bottom w:val="dotted" w:sz="4" w:space="0" w:color="auto"/>
              <w:right w:val="single" w:sz="8" w:space="0" w:color="auto"/>
            </w:tcBorders>
            <w:shd w:val="clear" w:color="000000" w:fill="FFFFFF"/>
            <w:vAlign w:val="center"/>
            <w:hideMark/>
          </w:tcPr>
          <w:p w14:paraId="6705670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D3</w:t>
            </w:r>
          </w:p>
        </w:tc>
        <w:tc>
          <w:tcPr>
            <w:tcW w:w="1247" w:type="dxa"/>
            <w:tcBorders>
              <w:top w:val="nil"/>
              <w:left w:val="nil"/>
              <w:bottom w:val="dotted" w:sz="4" w:space="0" w:color="auto"/>
              <w:right w:val="dotted" w:sz="4" w:space="0" w:color="auto"/>
            </w:tcBorders>
            <w:shd w:val="clear" w:color="000000" w:fill="FFFFFF"/>
            <w:vAlign w:val="center"/>
            <w:hideMark/>
          </w:tcPr>
          <w:p w14:paraId="554E55C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213,8</w:t>
            </w:r>
          </w:p>
        </w:tc>
        <w:tc>
          <w:tcPr>
            <w:tcW w:w="1246" w:type="dxa"/>
            <w:tcBorders>
              <w:top w:val="nil"/>
              <w:left w:val="nil"/>
              <w:bottom w:val="dotted" w:sz="4" w:space="0" w:color="auto"/>
              <w:right w:val="dotted" w:sz="4" w:space="0" w:color="auto"/>
            </w:tcBorders>
            <w:shd w:val="clear" w:color="000000" w:fill="FFFFFF"/>
            <w:vAlign w:val="center"/>
            <w:hideMark/>
          </w:tcPr>
          <w:p w14:paraId="393E921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243,6</w:t>
            </w:r>
          </w:p>
        </w:tc>
        <w:tc>
          <w:tcPr>
            <w:tcW w:w="1246" w:type="dxa"/>
            <w:tcBorders>
              <w:top w:val="nil"/>
              <w:left w:val="nil"/>
              <w:bottom w:val="dotted" w:sz="4" w:space="0" w:color="auto"/>
              <w:right w:val="dotted" w:sz="4" w:space="0" w:color="auto"/>
            </w:tcBorders>
            <w:shd w:val="clear" w:color="000000" w:fill="FFFFFF"/>
            <w:vAlign w:val="center"/>
            <w:hideMark/>
          </w:tcPr>
          <w:p w14:paraId="3078009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245,7</w:t>
            </w:r>
          </w:p>
        </w:tc>
        <w:tc>
          <w:tcPr>
            <w:tcW w:w="1246" w:type="dxa"/>
            <w:tcBorders>
              <w:top w:val="nil"/>
              <w:left w:val="nil"/>
              <w:bottom w:val="dotted" w:sz="4" w:space="0" w:color="auto"/>
              <w:right w:val="dotted" w:sz="4" w:space="0" w:color="auto"/>
            </w:tcBorders>
            <w:shd w:val="clear" w:color="000000" w:fill="FFFFFF"/>
            <w:vAlign w:val="center"/>
            <w:hideMark/>
          </w:tcPr>
          <w:p w14:paraId="06BB27C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261,8</w:t>
            </w:r>
          </w:p>
        </w:tc>
        <w:tc>
          <w:tcPr>
            <w:tcW w:w="1251" w:type="dxa"/>
            <w:tcBorders>
              <w:top w:val="nil"/>
              <w:left w:val="nil"/>
              <w:bottom w:val="dotted" w:sz="4" w:space="0" w:color="auto"/>
              <w:right w:val="double" w:sz="6" w:space="0" w:color="auto"/>
            </w:tcBorders>
            <w:shd w:val="clear" w:color="000000" w:fill="FFFFFF"/>
            <w:vAlign w:val="center"/>
            <w:hideMark/>
          </w:tcPr>
          <w:p w14:paraId="54F0BF80"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268,6</w:t>
            </w:r>
          </w:p>
        </w:tc>
      </w:tr>
      <w:tr w:rsidR="009B5DE5" w:rsidRPr="009B5DE5" w14:paraId="54AC42DC" w14:textId="77777777" w:rsidTr="00396800">
        <w:trPr>
          <w:trHeight w:val="434"/>
        </w:trPr>
        <w:tc>
          <w:tcPr>
            <w:tcW w:w="6761" w:type="dxa"/>
            <w:tcBorders>
              <w:top w:val="nil"/>
              <w:left w:val="double" w:sz="6" w:space="0" w:color="auto"/>
              <w:bottom w:val="dotted" w:sz="4" w:space="0" w:color="auto"/>
              <w:right w:val="nil"/>
            </w:tcBorders>
            <w:shd w:val="clear" w:color="000000" w:fill="FFFFFF"/>
            <w:vAlign w:val="center"/>
            <w:hideMark/>
          </w:tcPr>
          <w:p w14:paraId="2568E09E"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21. Бруто инвестиције у основна средства</w:t>
            </w:r>
          </w:p>
        </w:tc>
        <w:tc>
          <w:tcPr>
            <w:tcW w:w="823" w:type="dxa"/>
            <w:tcBorders>
              <w:top w:val="nil"/>
              <w:left w:val="nil"/>
              <w:bottom w:val="dotted" w:sz="4" w:space="0" w:color="auto"/>
              <w:right w:val="single" w:sz="8" w:space="0" w:color="auto"/>
            </w:tcBorders>
            <w:shd w:val="clear" w:color="000000" w:fill="FFFFFF"/>
            <w:vAlign w:val="center"/>
            <w:hideMark/>
          </w:tcPr>
          <w:p w14:paraId="437DCA8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77" w:type="dxa"/>
            <w:tcBorders>
              <w:top w:val="nil"/>
              <w:left w:val="nil"/>
              <w:bottom w:val="dotted" w:sz="4" w:space="0" w:color="auto"/>
              <w:right w:val="single" w:sz="8" w:space="0" w:color="auto"/>
            </w:tcBorders>
            <w:shd w:val="clear" w:color="000000" w:fill="FFFFFF"/>
            <w:vAlign w:val="center"/>
            <w:hideMark/>
          </w:tcPr>
          <w:p w14:paraId="4BCFF25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P51</w:t>
            </w:r>
          </w:p>
        </w:tc>
        <w:tc>
          <w:tcPr>
            <w:tcW w:w="1247" w:type="dxa"/>
            <w:tcBorders>
              <w:top w:val="nil"/>
              <w:left w:val="nil"/>
              <w:bottom w:val="dotted" w:sz="4" w:space="0" w:color="auto"/>
              <w:right w:val="dotted" w:sz="4" w:space="0" w:color="auto"/>
            </w:tcBorders>
            <w:shd w:val="clear" w:color="000000" w:fill="FFFFFF"/>
            <w:vAlign w:val="center"/>
            <w:hideMark/>
          </w:tcPr>
          <w:p w14:paraId="0391B8A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568,6</w:t>
            </w:r>
          </w:p>
        </w:tc>
        <w:tc>
          <w:tcPr>
            <w:tcW w:w="1246" w:type="dxa"/>
            <w:tcBorders>
              <w:top w:val="nil"/>
              <w:left w:val="nil"/>
              <w:bottom w:val="dotted" w:sz="4" w:space="0" w:color="auto"/>
              <w:right w:val="dotted" w:sz="4" w:space="0" w:color="auto"/>
            </w:tcBorders>
            <w:shd w:val="clear" w:color="000000" w:fill="FFFFFF"/>
            <w:vAlign w:val="center"/>
            <w:hideMark/>
          </w:tcPr>
          <w:p w14:paraId="08656A2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706,3</w:t>
            </w:r>
          </w:p>
        </w:tc>
        <w:tc>
          <w:tcPr>
            <w:tcW w:w="1246" w:type="dxa"/>
            <w:tcBorders>
              <w:top w:val="nil"/>
              <w:left w:val="nil"/>
              <w:bottom w:val="dotted" w:sz="4" w:space="0" w:color="auto"/>
              <w:right w:val="dotted" w:sz="4" w:space="0" w:color="auto"/>
            </w:tcBorders>
            <w:shd w:val="clear" w:color="000000" w:fill="FFFFFF"/>
            <w:vAlign w:val="center"/>
            <w:hideMark/>
          </w:tcPr>
          <w:p w14:paraId="35A56C2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761,7</w:t>
            </w:r>
          </w:p>
        </w:tc>
        <w:tc>
          <w:tcPr>
            <w:tcW w:w="1246" w:type="dxa"/>
            <w:tcBorders>
              <w:top w:val="nil"/>
              <w:left w:val="nil"/>
              <w:bottom w:val="dotted" w:sz="4" w:space="0" w:color="auto"/>
              <w:right w:val="dotted" w:sz="4" w:space="0" w:color="auto"/>
            </w:tcBorders>
            <w:shd w:val="clear" w:color="000000" w:fill="FFFFFF"/>
            <w:vAlign w:val="center"/>
            <w:hideMark/>
          </w:tcPr>
          <w:p w14:paraId="2633BB50"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796,9</w:t>
            </w:r>
          </w:p>
        </w:tc>
        <w:tc>
          <w:tcPr>
            <w:tcW w:w="1251" w:type="dxa"/>
            <w:tcBorders>
              <w:top w:val="nil"/>
              <w:left w:val="nil"/>
              <w:bottom w:val="dotted" w:sz="4" w:space="0" w:color="auto"/>
              <w:right w:val="double" w:sz="6" w:space="0" w:color="auto"/>
            </w:tcBorders>
            <w:shd w:val="clear" w:color="000000" w:fill="FFFFFF"/>
            <w:vAlign w:val="center"/>
            <w:hideMark/>
          </w:tcPr>
          <w:p w14:paraId="29A5B20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884,2</w:t>
            </w:r>
          </w:p>
        </w:tc>
      </w:tr>
      <w:tr w:rsidR="009B5DE5" w:rsidRPr="009B5DE5" w14:paraId="5591591C" w14:textId="77777777" w:rsidTr="00396800">
        <w:trPr>
          <w:trHeight w:val="533"/>
        </w:trPr>
        <w:tc>
          <w:tcPr>
            <w:tcW w:w="6761" w:type="dxa"/>
            <w:tcBorders>
              <w:top w:val="nil"/>
              <w:left w:val="double" w:sz="6" w:space="0" w:color="auto"/>
              <w:bottom w:val="dotted" w:sz="4" w:space="0" w:color="auto"/>
              <w:right w:val="nil"/>
            </w:tcBorders>
            <w:shd w:val="clear" w:color="000000" w:fill="FFFFFF"/>
            <w:vAlign w:val="center"/>
            <w:hideMark/>
          </w:tcPr>
          <w:p w14:paraId="6F8DDD37"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22. Друго (21 = 22-(16+17+18+19+20)) [6]</w:t>
            </w:r>
          </w:p>
        </w:tc>
        <w:tc>
          <w:tcPr>
            <w:tcW w:w="823" w:type="dxa"/>
            <w:tcBorders>
              <w:top w:val="nil"/>
              <w:left w:val="nil"/>
              <w:bottom w:val="dotted" w:sz="4" w:space="0" w:color="auto"/>
              <w:right w:val="single" w:sz="8" w:space="0" w:color="auto"/>
            </w:tcBorders>
            <w:shd w:val="clear" w:color="000000" w:fill="FFFFFF"/>
            <w:vAlign w:val="center"/>
            <w:hideMark/>
          </w:tcPr>
          <w:p w14:paraId="306C8B6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77" w:type="dxa"/>
            <w:tcBorders>
              <w:top w:val="nil"/>
              <w:left w:val="nil"/>
              <w:bottom w:val="dotted" w:sz="4" w:space="0" w:color="auto"/>
              <w:right w:val="single" w:sz="8" w:space="0" w:color="auto"/>
            </w:tcBorders>
            <w:shd w:val="clear" w:color="000000" w:fill="FFFFFF"/>
            <w:vAlign w:val="center"/>
            <w:hideMark/>
          </w:tcPr>
          <w:p w14:paraId="4F2BE09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247" w:type="dxa"/>
            <w:tcBorders>
              <w:top w:val="nil"/>
              <w:left w:val="nil"/>
              <w:bottom w:val="dotted" w:sz="4" w:space="0" w:color="auto"/>
              <w:right w:val="dotted" w:sz="4" w:space="0" w:color="auto"/>
            </w:tcBorders>
            <w:shd w:val="clear" w:color="000000" w:fill="FFFFFF"/>
            <w:vAlign w:val="center"/>
            <w:hideMark/>
          </w:tcPr>
          <w:p w14:paraId="61536D8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221,1</w:t>
            </w:r>
          </w:p>
        </w:tc>
        <w:tc>
          <w:tcPr>
            <w:tcW w:w="1246" w:type="dxa"/>
            <w:tcBorders>
              <w:top w:val="nil"/>
              <w:left w:val="nil"/>
              <w:bottom w:val="dotted" w:sz="4" w:space="0" w:color="auto"/>
              <w:right w:val="dotted" w:sz="4" w:space="0" w:color="auto"/>
            </w:tcBorders>
            <w:shd w:val="clear" w:color="000000" w:fill="FFFFFF"/>
            <w:vAlign w:val="center"/>
            <w:hideMark/>
          </w:tcPr>
          <w:p w14:paraId="589D8CC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179,6</w:t>
            </w:r>
          </w:p>
        </w:tc>
        <w:tc>
          <w:tcPr>
            <w:tcW w:w="1246" w:type="dxa"/>
            <w:tcBorders>
              <w:top w:val="nil"/>
              <w:left w:val="nil"/>
              <w:bottom w:val="dotted" w:sz="4" w:space="0" w:color="auto"/>
              <w:right w:val="dotted" w:sz="4" w:space="0" w:color="auto"/>
            </w:tcBorders>
            <w:shd w:val="clear" w:color="000000" w:fill="FFFFFF"/>
            <w:vAlign w:val="center"/>
            <w:hideMark/>
          </w:tcPr>
          <w:p w14:paraId="2F2E01F0"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167,8</w:t>
            </w:r>
          </w:p>
        </w:tc>
        <w:tc>
          <w:tcPr>
            <w:tcW w:w="1246" w:type="dxa"/>
            <w:tcBorders>
              <w:top w:val="nil"/>
              <w:left w:val="nil"/>
              <w:bottom w:val="dotted" w:sz="4" w:space="0" w:color="auto"/>
              <w:right w:val="dotted" w:sz="4" w:space="0" w:color="auto"/>
            </w:tcBorders>
            <w:shd w:val="clear" w:color="000000" w:fill="FFFFFF"/>
            <w:vAlign w:val="center"/>
            <w:hideMark/>
          </w:tcPr>
          <w:p w14:paraId="130D19A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174,6</w:t>
            </w:r>
          </w:p>
        </w:tc>
        <w:tc>
          <w:tcPr>
            <w:tcW w:w="1251" w:type="dxa"/>
            <w:tcBorders>
              <w:top w:val="nil"/>
              <w:left w:val="nil"/>
              <w:bottom w:val="dotted" w:sz="4" w:space="0" w:color="auto"/>
              <w:right w:val="double" w:sz="6" w:space="0" w:color="auto"/>
            </w:tcBorders>
            <w:shd w:val="clear" w:color="000000" w:fill="FFFFFF"/>
            <w:vAlign w:val="center"/>
            <w:hideMark/>
          </w:tcPr>
          <w:p w14:paraId="789DB76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180,5</w:t>
            </w:r>
          </w:p>
        </w:tc>
      </w:tr>
      <w:tr w:rsidR="009B5DE5" w:rsidRPr="009B5DE5" w14:paraId="23095F11" w14:textId="77777777" w:rsidTr="00396800">
        <w:trPr>
          <w:trHeight w:val="371"/>
        </w:trPr>
        <w:tc>
          <w:tcPr>
            <w:tcW w:w="6761" w:type="dxa"/>
            <w:tcBorders>
              <w:top w:val="nil"/>
              <w:left w:val="double" w:sz="6" w:space="0" w:color="auto"/>
              <w:bottom w:val="dotted" w:sz="4" w:space="0" w:color="auto"/>
              <w:right w:val="nil"/>
            </w:tcBorders>
            <w:shd w:val="clear" w:color="000000" w:fill="FFFFFF"/>
            <w:vAlign w:val="center"/>
            <w:hideMark/>
          </w:tcPr>
          <w:p w14:paraId="441462A9"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23. Укупни расходи</w:t>
            </w:r>
          </w:p>
        </w:tc>
        <w:tc>
          <w:tcPr>
            <w:tcW w:w="823" w:type="dxa"/>
            <w:tcBorders>
              <w:top w:val="nil"/>
              <w:left w:val="nil"/>
              <w:bottom w:val="dotted" w:sz="4" w:space="0" w:color="auto"/>
              <w:right w:val="single" w:sz="8" w:space="0" w:color="auto"/>
            </w:tcBorders>
            <w:shd w:val="clear" w:color="000000" w:fill="FFFFFF"/>
            <w:vAlign w:val="center"/>
            <w:hideMark/>
          </w:tcPr>
          <w:p w14:paraId="5D19BEE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77" w:type="dxa"/>
            <w:tcBorders>
              <w:top w:val="nil"/>
              <w:left w:val="nil"/>
              <w:bottom w:val="dotted" w:sz="4" w:space="0" w:color="auto"/>
              <w:right w:val="single" w:sz="8" w:space="0" w:color="auto"/>
            </w:tcBorders>
            <w:shd w:val="clear" w:color="000000" w:fill="FFFFFF"/>
            <w:vAlign w:val="center"/>
            <w:hideMark/>
          </w:tcPr>
          <w:p w14:paraId="3FBE08D3"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TE [1]</w:t>
            </w:r>
          </w:p>
        </w:tc>
        <w:tc>
          <w:tcPr>
            <w:tcW w:w="1247" w:type="dxa"/>
            <w:tcBorders>
              <w:top w:val="nil"/>
              <w:left w:val="nil"/>
              <w:bottom w:val="dotted" w:sz="4" w:space="0" w:color="auto"/>
              <w:right w:val="dotted" w:sz="4" w:space="0" w:color="auto"/>
            </w:tcBorders>
            <w:shd w:val="clear" w:color="000000" w:fill="FFFFFF"/>
            <w:vAlign w:val="center"/>
            <w:hideMark/>
          </w:tcPr>
          <w:p w14:paraId="78655D1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3.654,4</w:t>
            </w:r>
          </w:p>
        </w:tc>
        <w:tc>
          <w:tcPr>
            <w:tcW w:w="1246" w:type="dxa"/>
            <w:tcBorders>
              <w:top w:val="nil"/>
              <w:left w:val="nil"/>
              <w:bottom w:val="dotted" w:sz="4" w:space="0" w:color="auto"/>
              <w:right w:val="dotted" w:sz="4" w:space="0" w:color="auto"/>
            </w:tcBorders>
            <w:shd w:val="clear" w:color="000000" w:fill="FFFFFF"/>
            <w:vAlign w:val="center"/>
            <w:hideMark/>
          </w:tcPr>
          <w:p w14:paraId="63B2394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4.185,2</w:t>
            </w:r>
          </w:p>
        </w:tc>
        <w:tc>
          <w:tcPr>
            <w:tcW w:w="1246" w:type="dxa"/>
            <w:tcBorders>
              <w:top w:val="nil"/>
              <w:left w:val="nil"/>
              <w:bottom w:val="dotted" w:sz="4" w:space="0" w:color="auto"/>
              <w:right w:val="dotted" w:sz="4" w:space="0" w:color="auto"/>
            </w:tcBorders>
            <w:shd w:val="clear" w:color="000000" w:fill="FFFFFF"/>
            <w:vAlign w:val="center"/>
            <w:hideMark/>
          </w:tcPr>
          <w:p w14:paraId="474BB8C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4.578,3</w:t>
            </w:r>
          </w:p>
        </w:tc>
        <w:tc>
          <w:tcPr>
            <w:tcW w:w="1246" w:type="dxa"/>
            <w:tcBorders>
              <w:top w:val="nil"/>
              <w:left w:val="nil"/>
              <w:bottom w:val="dotted" w:sz="4" w:space="0" w:color="auto"/>
              <w:right w:val="dotted" w:sz="4" w:space="0" w:color="auto"/>
            </w:tcBorders>
            <w:shd w:val="clear" w:color="000000" w:fill="FFFFFF"/>
            <w:vAlign w:val="center"/>
            <w:hideMark/>
          </w:tcPr>
          <w:p w14:paraId="3EFD54CF"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4.870,0</w:t>
            </w:r>
          </w:p>
        </w:tc>
        <w:tc>
          <w:tcPr>
            <w:tcW w:w="1251" w:type="dxa"/>
            <w:tcBorders>
              <w:top w:val="nil"/>
              <w:left w:val="nil"/>
              <w:bottom w:val="dotted" w:sz="4" w:space="0" w:color="auto"/>
              <w:right w:val="double" w:sz="6" w:space="0" w:color="auto"/>
            </w:tcBorders>
            <w:shd w:val="clear" w:color="000000" w:fill="FFFFFF"/>
            <w:vAlign w:val="center"/>
            <w:hideMark/>
          </w:tcPr>
          <w:p w14:paraId="17AB55D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5.214,7</w:t>
            </w:r>
          </w:p>
        </w:tc>
      </w:tr>
      <w:tr w:rsidR="009B5DE5" w:rsidRPr="009B5DE5" w14:paraId="419436DB" w14:textId="77777777" w:rsidTr="00396800">
        <w:trPr>
          <w:trHeight w:val="438"/>
        </w:trPr>
        <w:tc>
          <w:tcPr>
            <w:tcW w:w="6761" w:type="dxa"/>
            <w:tcBorders>
              <w:top w:val="nil"/>
              <w:left w:val="double" w:sz="6" w:space="0" w:color="auto"/>
              <w:bottom w:val="double" w:sz="6" w:space="0" w:color="auto"/>
              <w:right w:val="nil"/>
            </w:tcBorders>
            <w:shd w:val="clear" w:color="000000" w:fill="FFFFFF"/>
            <w:vAlign w:val="bottom"/>
            <w:hideMark/>
          </w:tcPr>
          <w:p w14:paraId="3990E4F8"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Информативно: Зараде и накнаде запосленима у јавном сектору</w:t>
            </w:r>
          </w:p>
        </w:tc>
        <w:tc>
          <w:tcPr>
            <w:tcW w:w="823" w:type="dxa"/>
            <w:tcBorders>
              <w:top w:val="nil"/>
              <w:left w:val="nil"/>
              <w:bottom w:val="double" w:sz="6" w:space="0" w:color="auto"/>
              <w:right w:val="single" w:sz="8" w:space="0" w:color="auto"/>
            </w:tcBorders>
            <w:shd w:val="clear" w:color="000000" w:fill="FFFFFF"/>
            <w:vAlign w:val="bottom"/>
            <w:hideMark/>
          </w:tcPr>
          <w:p w14:paraId="06ACD71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77" w:type="dxa"/>
            <w:tcBorders>
              <w:top w:val="nil"/>
              <w:left w:val="nil"/>
              <w:bottom w:val="double" w:sz="6" w:space="0" w:color="auto"/>
              <w:right w:val="single" w:sz="8" w:space="0" w:color="auto"/>
            </w:tcBorders>
            <w:shd w:val="clear" w:color="000000" w:fill="FFFFFF"/>
            <w:vAlign w:val="bottom"/>
            <w:hideMark/>
          </w:tcPr>
          <w:p w14:paraId="2FC51EE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D1</w:t>
            </w:r>
          </w:p>
        </w:tc>
        <w:tc>
          <w:tcPr>
            <w:tcW w:w="1247" w:type="dxa"/>
            <w:tcBorders>
              <w:top w:val="nil"/>
              <w:left w:val="nil"/>
              <w:bottom w:val="double" w:sz="6" w:space="0" w:color="auto"/>
              <w:right w:val="dotted" w:sz="4" w:space="0" w:color="auto"/>
            </w:tcBorders>
            <w:shd w:val="clear" w:color="000000" w:fill="FFFFFF"/>
            <w:vAlign w:val="bottom"/>
            <w:hideMark/>
          </w:tcPr>
          <w:p w14:paraId="383FFDB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774,9</w:t>
            </w:r>
          </w:p>
        </w:tc>
        <w:tc>
          <w:tcPr>
            <w:tcW w:w="1246" w:type="dxa"/>
            <w:tcBorders>
              <w:top w:val="nil"/>
              <w:left w:val="nil"/>
              <w:bottom w:val="double" w:sz="6" w:space="0" w:color="auto"/>
              <w:right w:val="dotted" w:sz="4" w:space="0" w:color="auto"/>
            </w:tcBorders>
            <w:shd w:val="clear" w:color="000000" w:fill="FFFFFF"/>
            <w:vAlign w:val="bottom"/>
            <w:hideMark/>
          </w:tcPr>
          <w:p w14:paraId="09F5B90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911,3</w:t>
            </w:r>
          </w:p>
        </w:tc>
        <w:tc>
          <w:tcPr>
            <w:tcW w:w="1246" w:type="dxa"/>
            <w:tcBorders>
              <w:top w:val="nil"/>
              <w:left w:val="nil"/>
              <w:bottom w:val="double" w:sz="6" w:space="0" w:color="auto"/>
              <w:right w:val="dotted" w:sz="4" w:space="0" w:color="auto"/>
            </w:tcBorders>
            <w:shd w:val="clear" w:color="000000" w:fill="FFFFFF"/>
            <w:vAlign w:val="bottom"/>
            <w:hideMark/>
          </w:tcPr>
          <w:p w14:paraId="32C880C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1.016,4</w:t>
            </w:r>
          </w:p>
        </w:tc>
        <w:tc>
          <w:tcPr>
            <w:tcW w:w="1246" w:type="dxa"/>
            <w:tcBorders>
              <w:top w:val="nil"/>
              <w:left w:val="nil"/>
              <w:bottom w:val="double" w:sz="6" w:space="0" w:color="auto"/>
              <w:right w:val="dotted" w:sz="4" w:space="0" w:color="auto"/>
            </w:tcBorders>
            <w:shd w:val="clear" w:color="000000" w:fill="FFFFFF"/>
            <w:vAlign w:val="bottom"/>
            <w:hideMark/>
          </w:tcPr>
          <w:p w14:paraId="5100814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1.088,2</w:t>
            </w:r>
          </w:p>
        </w:tc>
        <w:tc>
          <w:tcPr>
            <w:tcW w:w="1251" w:type="dxa"/>
            <w:tcBorders>
              <w:top w:val="nil"/>
              <w:left w:val="nil"/>
              <w:bottom w:val="double" w:sz="6" w:space="0" w:color="auto"/>
              <w:right w:val="double" w:sz="6" w:space="0" w:color="auto"/>
            </w:tcBorders>
            <w:shd w:val="clear" w:color="000000" w:fill="FFFFFF"/>
            <w:vAlign w:val="bottom"/>
            <w:hideMark/>
          </w:tcPr>
          <w:p w14:paraId="1B6D0CE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1.177,8</w:t>
            </w:r>
          </w:p>
        </w:tc>
      </w:tr>
    </w:tbl>
    <w:p w14:paraId="6E0959F4" w14:textId="77777777" w:rsidR="009B5DE5" w:rsidRPr="009B5DE5" w:rsidRDefault="009B5DE5" w:rsidP="009B5DE5">
      <w:pPr>
        <w:spacing w:after="0"/>
        <w:jc w:val="left"/>
        <w:rPr>
          <w:rFonts w:eastAsia="Times New Roman" w:cs="Times New Roman"/>
          <w:bCs/>
          <w:sz w:val="22"/>
        </w:rPr>
      </w:pPr>
    </w:p>
    <w:tbl>
      <w:tblPr>
        <w:tblW w:w="12683" w:type="dxa"/>
        <w:tblLook w:val="04A0" w:firstRow="1" w:lastRow="0" w:firstColumn="1" w:lastColumn="0" w:noHBand="0" w:noVBand="1"/>
      </w:tblPr>
      <w:tblGrid>
        <w:gridCol w:w="11878"/>
        <w:gridCol w:w="266"/>
        <w:gridCol w:w="266"/>
        <w:gridCol w:w="266"/>
        <w:gridCol w:w="266"/>
        <w:gridCol w:w="266"/>
        <w:gridCol w:w="266"/>
        <w:gridCol w:w="266"/>
      </w:tblGrid>
      <w:tr w:rsidR="009B5DE5" w:rsidRPr="009B5DE5" w14:paraId="0A32E5E0" w14:textId="77777777" w:rsidTr="009B5DE5">
        <w:trPr>
          <w:trHeight w:val="255"/>
        </w:trPr>
        <w:tc>
          <w:tcPr>
            <w:tcW w:w="12683" w:type="dxa"/>
            <w:gridSpan w:val="8"/>
            <w:tcBorders>
              <w:top w:val="nil"/>
              <w:left w:val="nil"/>
              <w:bottom w:val="nil"/>
              <w:right w:val="nil"/>
            </w:tcBorders>
            <w:shd w:val="clear" w:color="auto" w:fill="auto"/>
            <w:noWrap/>
            <w:vAlign w:val="bottom"/>
            <w:hideMark/>
          </w:tcPr>
          <w:p w14:paraId="77CCE324"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[1]   Коригован за следећи ток по основу свопова, тако да је TR-TE = EDP.B9.</w:t>
            </w:r>
          </w:p>
        </w:tc>
      </w:tr>
      <w:tr w:rsidR="009B5DE5" w:rsidRPr="009B5DE5" w14:paraId="490A4CDA" w14:textId="77777777" w:rsidTr="009B5DE5">
        <w:trPr>
          <w:trHeight w:val="255"/>
        </w:trPr>
        <w:tc>
          <w:tcPr>
            <w:tcW w:w="12568" w:type="dxa"/>
            <w:gridSpan w:val="7"/>
            <w:tcBorders>
              <w:top w:val="nil"/>
              <w:left w:val="nil"/>
              <w:bottom w:val="nil"/>
              <w:right w:val="nil"/>
            </w:tcBorders>
            <w:shd w:val="clear" w:color="000000" w:fill="FFFFFF"/>
            <w:noWrap/>
            <w:vAlign w:val="bottom"/>
            <w:hideMark/>
          </w:tcPr>
          <w:p w14:paraId="5DA97759"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[2]   Примарни резултат се израчунава као (EDP.B9, ставка 8) плус (EDP D41 + FISIM приказан као међуфазна потрошња, ставка 9).</w:t>
            </w:r>
          </w:p>
        </w:tc>
        <w:tc>
          <w:tcPr>
            <w:tcW w:w="115" w:type="dxa"/>
            <w:tcBorders>
              <w:top w:val="nil"/>
              <w:left w:val="nil"/>
              <w:bottom w:val="nil"/>
              <w:right w:val="nil"/>
            </w:tcBorders>
            <w:shd w:val="clear" w:color="000000" w:fill="FFFFFF"/>
            <w:noWrap/>
            <w:vAlign w:val="center"/>
            <w:hideMark/>
          </w:tcPr>
          <w:p w14:paraId="49547B48"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r>
      <w:tr w:rsidR="009B5DE5" w:rsidRPr="009B5DE5" w14:paraId="01758361" w14:textId="77777777" w:rsidTr="009B5DE5">
        <w:trPr>
          <w:trHeight w:val="255"/>
        </w:trPr>
        <w:tc>
          <w:tcPr>
            <w:tcW w:w="11993" w:type="dxa"/>
            <w:gridSpan w:val="2"/>
            <w:tcBorders>
              <w:top w:val="nil"/>
              <w:left w:val="nil"/>
              <w:bottom w:val="nil"/>
              <w:right w:val="nil"/>
            </w:tcBorders>
            <w:shd w:val="clear" w:color="000000" w:fill="FFFFFF"/>
            <w:noWrap/>
            <w:vAlign w:val="center"/>
            <w:hideMark/>
          </w:tcPr>
          <w:p w14:paraId="2B331CEA"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[3]   Позитиван знак значи једнократне мере за смањење дефицита.</w:t>
            </w:r>
          </w:p>
        </w:tc>
        <w:tc>
          <w:tcPr>
            <w:tcW w:w="115" w:type="dxa"/>
            <w:tcBorders>
              <w:top w:val="nil"/>
              <w:left w:val="nil"/>
              <w:bottom w:val="nil"/>
              <w:right w:val="nil"/>
            </w:tcBorders>
            <w:shd w:val="clear" w:color="000000" w:fill="FFFFFF"/>
            <w:noWrap/>
            <w:vAlign w:val="center"/>
            <w:hideMark/>
          </w:tcPr>
          <w:p w14:paraId="62E90F0D" w14:textId="77777777" w:rsidR="009B5DE5" w:rsidRPr="009B5DE5" w:rsidRDefault="009B5DE5" w:rsidP="009B5DE5">
            <w:pPr>
              <w:spacing w:after="0"/>
              <w:rPr>
                <w:rFonts w:eastAsia="Times New Roman" w:cs="Times New Roman"/>
                <w:sz w:val="16"/>
                <w:szCs w:val="16"/>
              </w:rPr>
            </w:pPr>
            <w:r w:rsidRPr="009B5DE5">
              <w:rPr>
                <w:rFonts w:eastAsia="Times New Roman" w:cs="Times New Roman"/>
                <w:sz w:val="16"/>
                <w:szCs w:val="16"/>
              </w:rPr>
              <w:t> </w:t>
            </w:r>
          </w:p>
        </w:tc>
        <w:tc>
          <w:tcPr>
            <w:tcW w:w="115" w:type="dxa"/>
            <w:tcBorders>
              <w:top w:val="nil"/>
              <w:left w:val="nil"/>
              <w:bottom w:val="nil"/>
              <w:right w:val="nil"/>
            </w:tcBorders>
            <w:shd w:val="clear" w:color="000000" w:fill="FFFFFF"/>
            <w:noWrap/>
            <w:vAlign w:val="center"/>
            <w:hideMark/>
          </w:tcPr>
          <w:p w14:paraId="21F361F5"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15" w:type="dxa"/>
            <w:tcBorders>
              <w:top w:val="nil"/>
              <w:left w:val="nil"/>
              <w:bottom w:val="nil"/>
              <w:right w:val="nil"/>
            </w:tcBorders>
            <w:shd w:val="clear" w:color="000000" w:fill="FFFFFF"/>
            <w:noWrap/>
            <w:vAlign w:val="center"/>
            <w:hideMark/>
          </w:tcPr>
          <w:p w14:paraId="1101ADA1"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15" w:type="dxa"/>
            <w:tcBorders>
              <w:top w:val="nil"/>
              <w:left w:val="nil"/>
              <w:bottom w:val="nil"/>
              <w:right w:val="nil"/>
            </w:tcBorders>
            <w:shd w:val="clear" w:color="000000" w:fill="FFFFFF"/>
            <w:noWrap/>
            <w:vAlign w:val="center"/>
            <w:hideMark/>
          </w:tcPr>
          <w:p w14:paraId="086EA0C1"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15" w:type="dxa"/>
            <w:tcBorders>
              <w:top w:val="nil"/>
              <w:left w:val="nil"/>
              <w:bottom w:val="nil"/>
              <w:right w:val="nil"/>
            </w:tcBorders>
            <w:shd w:val="clear" w:color="000000" w:fill="FFFFFF"/>
            <w:noWrap/>
            <w:vAlign w:val="center"/>
            <w:hideMark/>
          </w:tcPr>
          <w:p w14:paraId="1719C67C"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15" w:type="dxa"/>
            <w:tcBorders>
              <w:top w:val="nil"/>
              <w:left w:val="nil"/>
              <w:bottom w:val="nil"/>
              <w:right w:val="nil"/>
            </w:tcBorders>
            <w:shd w:val="clear" w:color="000000" w:fill="FFFFFF"/>
            <w:noWrap/>
            <w:vAlign w:val="center"/>
            <w:hideMark/>
          </w:tcPr>
          <w:p w14:paraId="52E049A1"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r>
      <w:tr w:rsidR="009B5DE5" w:rsidRPr="009B5DE5" w14:paraId="3AEAC62A" w14:textId="77777777" w:rsidTr="009B5DE5">
        <w:trPr>
          <w:trHeight w:val="255"/>
        </w:trPr>
        <w:tc>
          <w:tcPr>
            <w:tcW w:w="11878" w:type="dxa"/>
            <w:tcBorders>
              <w:top w:val="nil"/>
              <w:left w:val="nil"/>
              <w:bottom w:val="nil"/>
              <w:right w:val="nil"/>
            </w:tcBorders>
            <w:shd w:val="clear" w:color="000000" w:fill="FFFFFF"/>
            <w:noWrap/>
            <w:vAlign w:val="bottom"/>
            <w:hideMark/>
          </w:tcPr>
          <w:p w14:paraId="143DC435"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[4]   P.11+P.12+P.131+D.39+D.7+D.9 (осим D.91).</w:t>
            </w:r>
          </w:p>
        </w:tc>
        <w:tc>
          <w:tcPr>
            <w:tcW w:w="115" w:type="dxa"/>
            <w:tcBorders>
              <w:top w:val="nil"/>
              <w:left w:val="nil"/>
              <w:bottom w:val="nil"/>
              <w:right w:val="nil"/>
            </w:tcBorders>
            <w:shd w:val="clear" w:color="000000" w:fill="FFFFFF"/>
            <w:noWrap/>
            <w:vAlign w:val="center"/>
            <w:hideMark/>
          </w:tcPr>
          <w:p w14:paraId="209CDFED"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15" w:type="dxa"/>
            <w:tcBorders>
              <w:top w:val="nil"/>
              <w:left w:val="nil"/>
              <w:bottom w:val="nil"/>
              <w:right w:val="nil"/>
            </w:tcBorders>
            <w:shd w:val="clear" w:color="000000" w:fill="FFFFFF"/>
            <w:noWrap/>
            <w:vAlign w:val="center"/>
            <w:hideMark/>
          </w:tcPr>
          <w:p w14:paraId="3D474EB1"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15" w:type="dxa"/>
            <w:tcBorders>
              <w:top w:val="nil"/>
              <w:left w:val="nil"/>
              <w:bottom w:val="nil"/>
              <w:right w:val="nil"/>
            </w:tcBorders>
            <w:shd w:val="clear" w:color="000000" w:fill="FFFFFF"/>
            <w:noWrap/>
            <w:vAlign w:val="center"/>
            <w:hideMark/>
          </w:tcPr>
          <w:p w14:paraId="73A2B859"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15" w:type="dxa"/>
            <w:tcBorders>
              <w:top w:val="nil"/>
              <w:left w:val="nil"/>
              <w:bottom w:val="nil"/>
              <w:right w:val="nil"/>
            </w:tcBorders>
            <w:shd w:val="clear" w:color="000000" w:fill="FFFFFF"/>
            <w:noWrap/>
            <w:vAlign w:val="center"/>
            <w:hideMark/>
          </w:tcPr>
          <w:p w14:paraId="448720F9"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15" w:type="dxa"/>
            <w:tcBorders>
              <w:top w:val="nil"/>
              <w:left w:val="nil"/>
              <w:bottom w:val="nil"/>
              <w:right w:val="nil"/>
            </w:tcBorders>
            <w:shd w:val="clear" w:color="000000" w:fill="FFFFFF"/>
            <w:noWrap/>
            <w:vAlign w:val="center"/>
            <w:hideMark/>
          </w:tcPr>
          <w:p w14:paraId="0F08C701"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15" w:type="dxa"/>
            <w:tcBorders>
              <w:top w:val="nil"/>
              <w:left w:val="nil"/>
              <w:bottom w:val="nil"/>
              <w:right w:val="nil"/>
            </w:tcBorders>
            <w:shd w:val="clear" w:color="000000" w:fill="FFFFFF"/>
            <w:noWrap/>
            <w:vAlign w:val="center"/>
            <w:hideMark/>
          </w:tcPr>
          <w:p w14:paraId="5EC71CF8"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15" w:type="dxa"/>
            <w:tcBorders>
              <w:top w:val="nil"/>
              <w:left w:val="nil"/>
              <w:bottom w:val="nil"/>
              <w:right w:val="nil"/>
            </w:tcBorders>
            <w:shd w:val="clear" w:color="000000" w:fill="FFFFFF"/>
            <w:noWrap/>
            <w:vAlign w:val="center"/>
            <w:hideMark/>
          </w:tcPr>
          <w:p w14:paraId="17AF4B5C"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r>
      <w:tr w:rsidR="009B5DE5" w:rsidRPr="009B5DE5" w14:paraId="17238D7C" w14:textId="77777777" w:rsidTr="009B5DE5">
        <w:trPr>
          <w:trHeight w:val="255"/>
        </w:trPr>
        <w:tc>
          <w:tcPr>
            <w:tcW w:w="12683" w:type="dxa"/>
            <w:gridSpan w:val="8"/>
            <w:tcBorders>
              <w:top w:val="nil"/>
              <w:left w:val="nil"/>
              <w:bottom w:val="nil"/>
              <w:right w:val="nil"/>
            </w:tcBorders>
            <w:shd w:val="clear" w:color="000000" w:fill="FFFFFF"/>
            <w:noWrap/>
            <w:vAlign w:val="bottom"/>
            <w:hideMark/>
          </w:tcPr>
          <w:p w14:paraId="5BC10682"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[5]   Укључујући оне које наплаћује ЕУ и укључујући корекцију за ненаплаћене порезе и доприносе за социјално осигурање (D995), где је то случај.</w:t>
            </w:r>
          </w:p>
        </w:tc>
      </w:tr>
      <w:tr w:rsidR="009B5DE5" w:rsidRPr="009B5DE5" w14:paraId="401A720F" w14:textId="77777777" w:rsidTr="009B5DE5">
        <w:trPr>
          <w:trHeight w:val="255"/>
        </w:trPr>
        <w:tc>
          <w:tcPr>
            <w:tcW w:w="11878" w:type="dxa"/>
            <w:tcBorders>
              <w:top w:val="nil"/>
              <w:left w:val="nil"/>
              <w:bottom w:val="nil"/>
              <w:right w:val="nil"/>
            </w:tcBorders>
            <w:shd w:val="clear" w:color="000000" w:fill="FFFFFF"/>
            <w:noWrap/>
            <w:vAlign w:val="bottom"/>
            <w:hideMark/>
          </w:tcPr>
          <w:p w14:paraId="49F782DF"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[6]  D.29+D4 (осим D.41)+ D.5+D.7+D.9+P.52+P.53+K.2+D.8</w:t>
            </w:r>
          </w:p>
        </w:tc>
        <w:tc>
          <w:tcPr>
            <w:tcW w:w="115" w:type="dxa"/>
            <w:tcBorders>
              <w:top w:val="nil"/>
              <w:left w:val="nil"/>
              <w:bottom w:val="nil"/>
              <w:right w:val="nil"/>
            </w:tcBorders>
            <w:shd w:val="clear" w:color="000000" w:fill="FFFFFF"/>
            <w:noWrap/>
            <w:vAlign w:val="center"/>
            <w:hideMark/>
          </w:tcPr>
          <w:p w14:paraId="37648106"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15" w:type="dxa"/>
            <w:tcBorders>
              <w:top w:val="nil"/>
              <w:left w:val="nil"/>
              <w:bottom w:val="nil"/>
              <w:right w:val="nil"/>
            </w:tcBorders>
            <w:shd w:val="clear" w:color="000000" w:fill="FFFFFF"/>
            <w:noWrap/>
            <w:vAlign w:val="center"/>
            <w:hideMark/>
          </w:tcPr>
          <w:p w14:paraId="25B69F1E"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15" w:type="dxa"/>
            <w:tcBorders>
              <w:top w:val="nil"/>
              <w:left w:val="nil"/>
              <w:bottom w:val="nil"/>
              <w:right w:val="nil"/>
            </w:tcBorders>
            <w:shd w:val="clear" w:color="000000" w:fill="FFFFFF"/>
            <w:noWrap/>
            <w:vAlign w:val="center"/>
            <w:hideMark/>
          </w:tcPr>
          <w:p w14:paraId="6A0316DD"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15" w:type="dxa"/>
            <w:tcBorders>
              <w:top w:val="nil"/>
              <w:left w:val="nil"/>
              <w:bottom w:val="nil"/>
              <w:right w:val="nil"/>
            </w:tcBorders>
            <w:shd w:val="clear" w:color="000000" w:fill="FFFFFF"/>
            <w:noWrap/>
            <w:vAlign w:val="center"/>
            <w:hideMark/>
          </w:tcPr>
          <w:p w14:paraId="13911BBE"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15" w:type="dxa"/>
            <w:tcBorders>
              <w:top w:val="nil"/>
              <w:left w:val="nil"/>
              <w:bottom w:val="nil"/>
              <w:right w:val="nil"/>
            </w:tcBorders>
            <w:shd w:val="clear" w:color="000000" w:fill="FFFFFF"/>
            <w:noWrap/>
            <w:vAlign w:val="center"/>
            <w:hideMark/>
          </w:tcPr>
          <w:p w14:paraId="40E1FA60"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15" w:type="dxa"/>
            <w:tcBorders>
              <w:top w:val="nil"/>
              <w:left w:val="nil"/>
              <w:bottom w:val="nil"/>
              <w:right w:val="nil"/>
            </w:tcBorders>
            <w:shd w:val="clear" w:color="000000" w:fill="FFFFFF"/>
            <w:noWrap/>
            <w:vAlign w:val="center"/>
            <w:hideMark/>
          </w:tcPr>
          <w:p w14:paraId="384F111D"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15" w:type="dxa"/>
            <w:tcBorders>
              <w:top w:val="nil"/>
              <w:left w:val="nil"/>
              <w:bottom w:val="nil"/>
              <w:right w:val="nil"/>
            </w:tcBorders>
            <w:shd w:val="clear" w:color="000000" w:fill="FFFFFF"/>
            <w:noWrap/>
            <w:vAlign w:val="center"/>
            <w:hideMark/>
          </w:tcPr>
          <w:p w14:paraId="4C505003"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r>
    </w:tbl>
    <w:p w14:paraId="519683AA" w14:textId="77777777" w:rsidR="009B5DE5" w:rsidRPr="009B5DE5" w:rsidRDefault="009B5DE5" w:rsidP="009B5DE5">
      <w:pPr>
        <w:spacing w:after="0"/>
        <w:jc w:val="left"/>
        <w:rPr>
          <w:rFonts w:eastAsia="Times New Roman" w:cs="Times New Roman"/>
          <w:bCs/>
          <w:sz w:val="22"/>
        </w:rPr>
      </w:pPr>
    </w:p>
    <w:p w14:paraId="1645DEE9" w14:textId="77777777" w:rsidR="009B5DE5" w:rsidRPr="009B5DE5" w:rsidRDefault="009B5DE5" w:rsidP="009B5DE5">
      <w:pPr>
        <w:spacing w:after="0"/>
        <w:jc w:val="left"/>
        <w:rPr>
          <w:rFonts w:eastAsia="Times New Roman" w:cs="Times New Roman"/>
          <w:bCs/>
          <w:sz w:val="22"/>
        </w:rPr>
      </w:pPr>
      <w:r w:rsidRPr="009B5DE5">
        <w:rPr>
          <w:rFonts w:eastAsia="Times New Roman" w:cs="Times New Roman"/>
          <w:bCs/>
          <w:sz w:val="22"/>
        </w:rPr>
        <w:t>Табела 2c</w:t>
      </w:r>
      <w:r w:rsidR="00396800">
        <w:rPr>
          <w:rFonts w:eastAsia="Times New Roman" w:cs="Times New Roman"/>
          <w:bCs/>
          <w:sz w:val="22"/>
        </w:rPr>
        <w:t>:</w:t>
      </w:r>
      <w:r w:rsidRPr="009B5DE5">
        <w:rPr>
          <w:rFonts w:eastAsia="Times New Roman" w:cs="Times New Roman"/>
          <w:bCs/>
          <w:sz w:val="22"/>
        </w:rPr>
        <w:t xml:space="preserve"> дискреционе мере усвојене/најављене у складу са Програмом</w:t>
      </w:r>
    </w:p>
    <w:p w14:paraId="1185556F" w14:textId="77777777" w:rsidR="009B5DE5" w:rsidRPr="009B5DE5" w:rsidRDefault="009B5DE5" w:rsidP="009B5DE5">
      <w:pPr>
        <w:spacing w:after="0"/>
        <w:jc w:val="left"/>
        <w:rPr>
          <w:rFonts w:eastAsia="Times New Roman" w:cs="Times New Roman"/>
          <w:bCs/>
          <w:sz w:val="22"/>
        </w:rPr>
      </w:pPr>
    </w:p>
    <w:tbl>
      <w:tblPr>
        <w:tblW w:w="14949" w:type="dxa"/>
        <w:tblLook w:val="04A0" w:firstRow="1" w:lastRow="0" w:firstColumn="1" w:lastColumn="0" w:noHBand="0" w:noVBand="1"/>
      </w:tblPr>
      <w:tblGrid>
        <w:gridCol w:w="6510"/>
        <w:gridCol w:w="1624"/>
        <w:gridCol w:w="1280"/>
        <w:gridCol w:w="922"/>
        <w:gridCol w:w="922"/>
        <w:gridCol w:w="922"/>
        <w:gridCol w:w="922"/>
        <w:gridCol w:w="922"/>
        <w:gridCol w:w="925"/>
      </w:tblGrid>
      <w:tr w:rsidR="009B5DE5" w:rsidRPr="009B5DE5" w14:paraId="7E83776B" w14:textId="77777777" w:rsidTr="00396800">
        <w:trPr>
          <w:trHeight w:val="281"/>
          <w:tblHeader/>
        </w:trPr>
        <w:tc>
          <w:tcPr>
            <w:tcW w:w="6510" w:type="dxa"/>
            <w:tcBorders>
              <w:top w:val="double" w:sz="6" w:space="0" w:color="auto"/>
              <w:left w:val="double" w:sz="6" w:space="0" w:color="auto"/>
              <w:bottom w:val="double" w:sz="6" w:space="0" w:color="auto"/>
              <w:right w:val="nil"/>
            </w:tcBorders>
            <w:shd w:val="clear" w:color="auto" w:fill="auto"/>
            <w:noWrap/>
            <w:vAlign w:val="center"/>
            <w:hideMark/>
          </w:tcPr>
          <w:p w14:paraId="432B2D0F" w14:textId="77777777" w:rsidR="009B5DE5" w:rsidRPr="009B5DE5" w:rsidRDefault="009B5DE5" w:rsidP="009B5DE5">
            <w:pPr>
              <w:spacing w:after="0"/>
              <w:jc w:val="left"/>
              <w:rPr>
                <w:rFonts w:eastAsia="Times New Roman" w:cs="Times New Roman"/>
                <w:b/>
                <w:bCs/>
                <w:sz w:val="20"/>
                <w:szCs w:val="20"/>
              </w:rPr>
            </w:pPr>
          </w:p>
        </w:tc>
        <w:tc>
          <w:tcPr>
            <w:tcW w:w="1624" w:type="dxa"/>
            <w:tcBorders>
              <w:top w:val="double" w:sz="6" w:space="0" w:color="auto"/>
              <w:left w:val="double" w:sz="6" w:space="0" w:color="auto"/>
              <w:bottom w:val="double" w:sz="6" w:space="0" w:color="auto"/>
              <w:right w:val="nil"/>
            </w:tcBorders>
            <w:shd w:val="clear" w:color="auto" w:fill="auto"/>
            <w:noWrap/>
            <w:vAlign w:val="center"/>
            <w:hideMark/>
          </w:tcPr>
          <w:p w14:paraId="6A6C78F4" w14:textId="77777777" w:rsidR="009B5DE5" w:rsidRPr="009B5DE5" w:rsidRDefault="009B5DE5" w:rsidP="009B5DE5">
            <w:pPr>
              <w:spacing w:after="0"/>
              <w:jc w:val="left"/>
              <w:rPr>
                <w:rFonts w:eastAsia="Times New Roman" w:cs="Times New Roman"/>
                <w:b/>
                <w:bCs/>
                <w:sz w:val="20"/>
                <w:szCs w:val="20"/>
              </w:rPr>
            </w:pPr>
            <w:r w:rsidRPr="009B5DE5">
              <w:rPr>
                <w:rFonts w:eastAsia="Times New Roman" w:cs="Times New Roman"/>
                <w:b/>
                <w:bCs/>
                <w:sz w:val="20"/>
                <w:szCs w:val="20"/>
              </w:rPr>
              <w:t> </w:t>
            </w:r>
          </w:p>
        </w:tc>
        <w:tc>
          <w:tcPr>
            <w:tcW w:w="1279" w:type="dxa"/>
            <w:tcBorders>
              <w:top w:val="double" w:sz="6" w:space="0" w:color="auto"/>
              <w:left w:val="double" w:sz="6" w:space="0" w:color="auto"/>
              <w:bottom w:val="double" w:sz="6" w:space="0" w:color="auto"/>
              <w:right w:val="nil"/>
            </w:tcBorders>
            <w:shd w:val="clear" w:color="auto" w:fill="auto"/>
            <w:noWrap/>
            <w:vAlign w:val="center"/>
            <w:hideMark/>
          </w:tcPr>
          <w:p w14:paraId="5E69270B" w14:textId="77777777" w:rsidR="009B5DE5" w:rsidRPr="009B5DE5" w:rsidRDefault="009B5DE5" w:rsidP="009B5DE5">
            <w:pPr>
              <w:spacing w:after="0"/>
              <w:jc w:val="left"/>
              <w:rPr>
                <w:rFonts w:eastAsia="Times New Roman" w:cs="Times New Roman"/>
                <w:b/>
                <w:bCs/>
                <w:sz w:val="20"/>
                <w:szCs w:val="20"/>
              </w:rPr>
            </w:pPr>
            <w:r w:rsidRPr="009B5DE5">
              <w:rPr>
                <w:rFonts w:eastAsia="Times New Roman" w:cs="Times New Roman"/>
                <w:b/>
                <w:bCs/>
                <w:sz w:val="20"/>
                <w:szCs w:val="20"/>
              </w:rPr>
              <w:t> </w:t>
            </w:r>
          </w:p>
        </w:tc>
        <w:tc>
          <w:tcPr>
            <w:tcW w:w="922" w:type="dxa"/>
            <w:tcBorders>
              <w:top w:val="double" w:sz="6" w:space="0" w:color="auto"/>
              <w:left w:val="single" w:sz="8" w:space="0" w:color="auto"/>
              <w:bottom w:val="double" w:sz="6" w:space="0" w:color="auto"/>
              <w:right w:val="dashed" w:sz="4" w:space="0" w:color="auto"/>
            </w:tcBorders>
            <w:shd w:val="clear" w:color="auto" w:fill="auto"/>
            <w:noWrap/>
            <w:vAlign w:val="center"/>
            <w:hideMark/>
          </w:tcPr>
          <w:p w14:paraId="030BBB40"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2022</w:t>
            </w:r>
          </w:p>
        </w:tc>
        <w:tc>
          <w:tcPr>
            <w:tcW w:w="922" w:type="dxa"/>
            <w:tcBorders>
              <w:top w:val="double" w:sz="6" w:space="0" w:color="auto"/>
              <w:left w:val="nil"/>
              <w:bottom w:val="double" w:sz="6" w:space="0" w:color="auto"/>
              <w:right w:val="dashed" w:sz="4" w:space="0" w:color="auto"/>
            </w:tcBorders>
            <w:shd w:val="clear" w:color="auto" w:fill="auto"/>
            <w:noWrap/>
            <w:vAlign w:val="center"/>
            <w:hideMark/>
          </w:tcPr>
          <w:p w14:paraId="741B2917"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2023</w:t>
            </w:r>
          </w:p>
        </w:tc>
        <w:tc>
          <w:tcPr>
            <w:tcW w:w="922" w:type="dxa"/>
            <w:tcBorders>
              <w:top w:val="double" w:sz="6" w:space="0" w:color="auto"/>
              <w:left w:val="nil"/>
              <w:bottom w:val="double" w:sz="6" w:space="0" w:color="auto"/>
              <w:right w:val="dashed" w:sz="4" w:space="0" w:color="auto"/>
            </w:tcBorders>
            <w:shd w:val="clear" w:color="auto" w:fill="auto"/>
            <w:noWrap/>
            <w:vAlign w:val="center"/>
            <w:hideMark/>
          </w:tcPr>
          <w:p w14:paraId="510442F4"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2024</w:t>
            </w:r>
          </w:p>
        </w:tc>
        <w:tc>
          <w:tcPr>
            <w:tcW w:w="922" w:type="dxa"/>
            <w:tcBorders>
              <w:top w:val="double" w:sz="6" w:space="0" w:color="auto"/>
              <w:left w:val="nil"/>
              <w:bottom w:val="double" w:sz="6" w:space="0" w:color="auto"/>
              <w:right w:val="dashed" w:sz="4" w:space="0" w:color="auto"/>
            </w:tcBorders>
            <w:shd w:val="clear" w:color="auto" w:fill="auto"/>
            <w:noWrap/>
            <w:vAlign w:val="center"/>
            <w:hideMark/>
          </w:tcPr>
          <w:p w14:paraId="2B897544"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2025</w:t>
            </w:r>
          </w:p>
        </w:tc>
        <w:tc>
          <w:tcPr>
            <w:tcW w:w="922" w:type="dxa"/>
            <w:tcBorders>
              <w:top w:val="double" w:sz="6" w:space="0" w:color="auto"/>
              <w:left w:val="nil"/>
              <w:bottom w:val="double" w:sz="6" w:space="0" w:color="auto"/>
              <w:right w:val="dashed" w:sz="4" w:space="0" w:color="auto"/>
            </w:tcBorders>
            <w:shd w:val="clear" w:color="auto" w:fill="auto"/>
            <w:noWrap/>
            <w:vAlign w:val="center"/>
            <w:hideMark/>
          </w:tcPr>
          <w:p w14:paraId="53647763"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2026</w:t>
            </w:r>
          </w:p>
        </w:tc>
        <w:tc>
          <w:tcPr>
            <w:tcW w:w="922" w:type="dxa"/>
            <w:tcBorders>
              <w:top w:val="double" w:sz="6" w:space="0" w:color="auto"/>
              <w:left w:val="nil"/>
              <w:bottom w:val="double" w:sz="6" w:space="0" w:color="auto"/>
              <w:right w:val="double" w:sz="6" w:space="0" w:color="auto"/>
            </w:tcBorders>
            <w:shd w:val="clear" w:color="auto" w:fill="auto"/>
            <w:noWrap/>
            <w:vAlign w:val="center"/>
            <w:hideMark/>
          </w:tcPr>
          <w:p w14:paraId="5044E7F5"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2027</w:t>
            </w:r>
          </w:p>
        </w:tc>
      </w:tr>
      <w:tr w:rsidR="009B5DE5" w:rsidRPr="009B5DE5" w14:paraId="6498E083" w14:textId="77777777" w:rsidTr="00396800">
        <w:trPr>
          <w:trHeight w:val="831"/>
          <w:tblHeader/>
        </w:trPr>
        <w:tc>
          <w:tcPr>
            <w:tcW w:w="6510" w:type="dxa"/>
            <w:tcBorders>
              <w:top w:val="single" w:sz="8" w:space="0" w:color="auto"/>
              <w:left w:val="double" w:sz="6" w:space="0" w:color="auto"/>
              <w:bottom w:val="nil"/>
              <w:right w:val="nil"/>
            </w:tcBorders>
            <w:shd w:val="clear" w:color="auto" w:fill="auto"/>
            <w:vAlign w:val="center"/>
            <w:hideMark/>
          </w:tcPr>
          <w:p w14:paraId="148946C6" w14:textId="77777777" w:rsidR="009B5DE5" w:rsidRPr="009B5DE5" w:rsidRDefault="009B5DE5" w:rsidP="009B5DE5">
            <w:pPr>
              <w:spacing w:after="0"/>
              <w:jc w:val="center"/>
              <w:rPr>
                <w:rFonts w:eastAsia="Times New Roman" w:cs="Times New Roman"/>
                <w:b/>
                <w:bCs/>
                <w:sz w:val="20"/>
                <w:szCs w:val="20"/>
              </w:rPr>
            </w:pPr>
            <w:r w:rsidRPr="009B5DE5">
              <w:rPr>
                <w:rFonts w:eastAsia="Times New Roman" w:cs="Times New Roman"/>
                <w:b/>
                <w:bCs/>
                <w:sz w:val="20"/>
                <w:szCs w:val="20"/>
              </w:rPr>
              <w:t>Мере</w:t>
            </w:r>
          </w:p>
        </w:tc>
        <w:tc>
          <w:tcPr>
            <w:tcW w:w="1624" w:type="dxa"/>
            <w:tcBorders>
              <w:top w:val="single" w:sz="8" w:space="0" w:color="auto"/>
              <w:left w:val="single" w:sz="4" w:space="0" w:color="auto"/>
              <w:bottom w:val="nil"/>
              <w:right w:val="single" w:sz="4" w:space="0" w:color="auto"/>
            </w:tcBorders>
            <w:shd w:val="clear" w:color="auto" w:fill="auto"/>
            <w:vAlign w:val="center"/>
            <w:hideMark/>
          </w:tcPr>
          <w:p w14:paraId="716CD9FE" w14:textId="77777777" w:rsidR="009B5DE5" w:rsidRPr="009B5DE5" w:rsidRDefault="009B5DE5" w:rsidP="009B5DE5">
            <w:pPr>
              <w:spacing w:after="0"/>
              <w:jc w:val="center"/>
              <w:rPr>
                <w:rFonts w:eastAsia="Times New Roman" w:cs="Times New Roman"/>
                <w:b/>
                <w:bCs/>
                <w:sz w:val="20"/>
                <w:szCs w:val="20"/>
              </w:rPr>
            </w:pPr>
            <w:r w:rsidRPr="009B5DE5">
              <w:rPr>
                <w:rFonts w:eastAsia="Times New Roman" w:cs="Times New Roman"/>
                <w:b/>
                <w:bCs/>
                <w:sz w:val="20"/>
                <w:szCs w:val="20"/>
              </w:rPr>
              <w:t>ESA шифра (расходна / приходна компонента)</w:t>
            </w:r>
          </w:p>
        </w:tc>
        <w:tc>
          <w:tcPr>
            <w:tcW w:w="1279" w:type="dxa"/>
            <w:tcBorders>
              <w:top w:val="single" w:sz="8" w:space="0" w:color="auto"/>
              <w:left w:val="nil"/>
              <w:bottom w:val="nil"/>
              <w:right w:val="single" w:sz="8" w:space="0" w:color="auto"/>
            </w:tcBorders>
            <w:shd w:val="clear" w:color="auto" w:fill="auto"/>
            <w:vAlign w:val="center"/>
            <w:hideMark/>
          </w:tcPr>
          <w:p w14:paraId="77F3CAB9" w14:textId="77777777" w:rsidR="009B5DE5" w:rsidRPr="009B5DE5" w:rsidRDefault="009B5DE5" w:rsidP="009B5DE5">
            <w:pPr>
              <w:spacing w:after="0"/>
              <w:jc w:val="center"/>
              <w:rPr>
                <w:rFonts w:eastAsia="Times New Roman" w:cs="Times New Roman"/>
                <w:b/>
                <w:bCs/>
                <w:sz w:val="20"/>
                <w:szCs w:val="20"/>
              </w:rPr>
            </w:pPr>
            <w:r w:rsidRPr="009B5DE5">
              <w:rPr>
                <w:rFonts w:eastAsia="Times New Roman" w:cs="Times New Roman"/>
                <w:b/>
                <w:bCs/>
                <w:sz w:val="20"/>
                <w:szCs w:val="20"/>
              </w:rPr>
              <w:t xml:space="preserve">Датум усвајања </w:t>
            </w:r>
          </w:p>
        </w:tc>
        <w:tc>
          <w:tcPr>
            <w:tcW w:w="5536" w:type="dxa"/>
            <w:gridSpan w:val="6"/>
            <w:tcBorders>
              <w:top w:val="double" w:sz="6" w:space="0" w:color="auto"/>
              <w:left w:val="single" w:sz="8" w:space="0" w:color="auto"/>
              <w:bottom w:val="single" w:sz="8" w:space="0" w:color="auto"/>
              <w:right w:val="double" w:sz="6" w:space="0" w:color="000000"/>
            </w:tcBorders>
            <w:shd w:val="clear" w:color="auto" w:fill="auto"/>
            <w:vAlign w:val="center"/>
            <w:hideMark/>
          </w:tcPr>
          <w:p w14:paraId="5EB5194F" w14:textId="77777777" w:rsidR="009B5DE5" w:rsidRPr="009B5DE5" w:rsidRDefault="009B5DE5" w:rsidP="009B5DE5">
            <w:pPr>
              <w:spacing w:after="0"/>
              <w:jc w:val="center"/>
              <w:rPr>
                <w:rFonts w:eastAsia="Times New Roman" w:cs="Times New Roman"/>
                <w:b/>
                <w:bCs/>
                <w:sz w:val="20"/>
                <w:szCs w:val="20"/>
              </w:rPr>
            </w:pPr>
            <w:r w:rsidRPr="009B5DE5">
              <w:rPr>
                <w:rFonts w:eastAsia="Times New Roman" w:cs="Times New Roman"/>
                <w:b/>
                <w:bCs/>
                <w:sz w:val="20"/>
                <w:szCs w:val="20"/>
              </w:rPr>
              <w:t xml:space="preserve">Ефекат на буџет </w:t>
            </w:r>
            <w:r w:rsidRPr="009B5DE5">
              <w:rPr>
                <w:rFonts w:eastAsia="Times New Roman" w:cs="Times New Roman"/>
                <w:sz w:val="20"/>
                <w:szCs w:val="20"/>
              </w:rPr>
              <w:t xml:space="preserve">(млрд РСД) </w:t>
            </w:r>
          </w:p>
        </w:tc>
      </w:tr>
      <w:tr w:rsidR="009B5DE5" w:rsidRPr="009B5DE5" w14:paraId="40352763" w14:textId="77777777" w:rsidTr="00396800">
        <w:trPr>
          <w:trHeight w:val="245"/>
        </w:trPr>
        <w:tc>
          <w:tcPr>
            <w:tcW w:w="6510" w:type="dxa"/>
            <w:tcBorders>
              <w:top w:val="single" w:sz="8" w:space="0" w:color="auto"/>
              <w:left w:val="double" w:sz="6" w:space="0" w:color="auto"/>
              <w:bottom w:val="single" w:sz="4" w:space="0" w:color="auto"/>
              <w:right w:val="single" w:sz="4" w:space="0" w:color="auto"/>
            </w:tcBorders>
            <w:shd w:val="clear" w:color="auto" w:fill="auto"/>
            <w:vAlign w:val="center"/>
            <w:hideMark/>
          </w:tcPr>
          <w:p w14:paraId="57E9E23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i/>
                <w:iCs/>
                <w:sz w:val="28"/>
                <w:szCs w:val="28"/>
                <w:vertAlign w:val="superscript"/>
              </w:rPr>
              <w:t>Привремене мере</w:t>
            </w:r>
            <w:r w:rsidRPr="009B5DE5">
              <w:rPr>
                <w:rFonts w:eastAsia="Times New Roman" w:cs="Times New Roman"/>
                <w:sz w:val="28"/>
                <w:szCs w:val="28"/>
                <w:vertAlign w:val="superscript"/>
              </w:rPr>
              <w:t>1</w:t>
            </w:r>
          </w:p>
        </w:tc>
        <w:tc>
          <w:tcPr>
            <w:tcW w:w="1624" w:type="dxa"/>
            <w:tcBorders>
              <w:top w:val="single" w:sz="8" w:space="0" w:color="auto"/>
              <w:left w:val="nil"/>
              <w:bottom w:val="single" w:sz="4" w:space="0" w:color="auto"/>
              <w:right w:val="single" w:sz="4" w:space="0" w:color="auto"/>
            </w:tcBorders>
            <w:shd w:val="clear" w:color="auto" w:fill="auto"/>
            <w:noWrap/>
            <w:vAlign w:val="center"/>
            <w:hideMark/>
          </w:tcPr>
          <w:p w14:paraId="429970DD"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279" w:type="dxa"/>
            <w:tcBorders>
              <w:top w:val="single" w:sz="8" w:space="0" w:color="auto"/>
              <w:left w:val="nil"/>
              <w:bottom w:val="single" w:sz="4" w:space="0" w:color="auto"/>
              <w:right w:val="single" w:sz="8" w:space="0" w:color="auto"/>
            </w:tcBorders>
            <w:shd w:val="clear" w:color="auto" w:fill="auto"/>
            <w:noWrap/>
            <w:vAlign w:val="center"/>
            <w:hideMark/>
          </w:tcPr>
          <w:p w14:paraId="138BB04B"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single" w:sz="8" w:space="0" w:color="auto"/>
              <w:left w:val="nil"/>
              <w:bottom w:val="single" w:sz="4" w:space="0" w:color="auto"/>
              <w:right w:val="single" w:sz="4" w:space="0" w:color="auto"/>
            </w:tcBorders>
            <w:shd w:val="clear" w:color="auto" w:fill="auto"/>
            <w:noWrap/>
            <w:vAlign w:val="center"/>
            <w:hideMark/>
          </w:tcPr>
          <w:p w14:paraId="70F6F733"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single" w:sz="8" w:space="0" w:color="auto"/>
              <w:left w:val="nil"/>
              <w:bottom w:val="single" w:sz="4" w:space="0" w:color="auto"/>
              <w:right w:val="single" w:sz="4" w:space="0" w:color="auto"/>
            </w:tcBorders>
            <w:shd w:val="clear" w:color="auto" w:fill="auto"/>
            <w:noWrap/>
            <w:vAlign w:val="center"/>
            <w:hideMark/>
          </w:tcPr>
          <w:p w14:paraId="4D764415"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single" w:sz="8" w:space="0" w:color="auto"/>
              <w:left w:val="nil"/>
              <w:bottom w:val="single" w:sz="4" w:space="0" w:color="auto"/>
              <w:right w:val="nil"/>
            </w:tcBorders>
            <w:shd w:val="clear" w:color="auto" w:fill="auto"/>
            <w:noWrap/>
            <w:vAlign w:val="center"/>
            <w:hideMark/>
          </w:tcPr>
          <w:p w14:paraId="4D1EAA7A"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single" w:sz="8" w:space="0" w:color="auto"/>
              <w:left w:val="single" w:sz="4" w:space="0" w:color="auto"/>
              <w:bottom w:val="single" w:sz="4" w:space="0" w:color="auto"/>
              <w:right w:val="nil"/>
            </w:tcBorders>
            <w:shd w:val="clear" w:color="auto" w:fill="auto"/>
            <w:noWrap/>
            <w:vAlign w:val="center"/>
            <w:hideMark/>
          </w:tcPr>
          <w:p w14:paraId="2C7EE3C9"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single" w:sz="8" w:space="0" w:color="auto"/>
              <w:left w:val="single" w:sz="4" w:space="0" w:color="auto"/>
              <w:bottom w:val="single" w:sz="4" w:space="0" w:color="auto"/>
              <w:right w:val="nil"/>
            </w:tcBorders>
            <w:shd w:val="clear" w:color="auto" w:fill="auto"/>
            <w:noWrap/>
            <w:vAlign w:val="center"/>
            <w:hideMark/>
          </w:tcPr>
          <w:p w14:paraId="1AF56B37"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single" w:sz="8" w:space="0" w:color="auto"/>
              <w:left w:val="single" w:sz="4" w:space="0" w:color="auto"/>
              <w:bottom w:val="single" w:sz="4" w:space="0" w:color="auto"/>
              <w:right w:val="double" w:sz="6" w:space="0" w:color="auto"/>
            </w:tcBorders>
            <w:shd w:val="clear" w:color="auto" w:fill="auto"/>
            <w:noWrap/>
            <w:vAlign w:val="center"/>
            <w:hideMark/>
          </w:tcPr>
          <w:p w14:paraId="541EE49C"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r>
      <w:tr w:rsidR="009B5DE5" w:rsidRPr="009B5DE5" w14:paraId="70F25403" w14:textId="77777777" w:rsidTr="00396800">
        <w:trPr>
          <w:trHeight w:val="626"/>
        </w:trPr>
        <w:tc>
          <w:tcPr>
            <w:tcW w:w="6510" w:type="dxa"/>
            <w:tcBorders>
              <w:top w:val="nil"/>
              <w:left w:val="double" w:sz="6" w:space="0" w:color="auto"/>
              <w:bottom w:val="dotted" w:sz="4" w:space="0" w:color="auto"/>
              <w:right w:val="single" w:sz="4" w:space="0" w:color="auto"/>
            </w:tcBorders>
            <w:shd w:val="clear" w:color="auto" w:fill="auto"/>
            <w:vAlign w:val="center"/>
            <w:hideMark/>
          </w:tcPr>
          <w:p w14:paraId="5234DE53"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Помоћ пензионерима</w:t>
            </w:r>
          </w:p>
        </w:tc>
        <w:tc>
          <w:tcPr>
            <w:tcW w:w="1624" w:type="dxa"/>
            <w:tcBorders>
              <w:top w:val="nil"/>
              <w:left w:val="nil"/>
              <w:bottom w:val="dotted" w:sz="4" w:space="0" w:color="auto"/>
              <w:right w:val="single" w:sz="4" w:space="0" w:color="auto"/>
            </w:tcBorders>
            <w:shd w:val="clear" w:color="auto" w:fill="auto"/>
            <w:noWrap/>
            <w:vAlign w:val="center"/>
            <w:hideMark/>
          </w:tcPr>
          <w:p w14:paraId="5141FC6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D62</w:t>
            </w:r>
          </w:p>
        </w:tc>
        <w:tc>
          <w:tcPr>
            <w:tcW w:w="1279" w:type="dxa"/>
            <w:tcBorders>
              <w:top w:val="nil"/>
              <w:left w:val="single" w:sz="4" w:space="0" w:color="auto"/>
              <w:bottom w:val="dotted" w:sz="4" w:space="0" w:color="auto"/>
              <w:right w:val="single" w:sz="8" w:space="0" w:color="auto"/>
            </w:tcBorders>
            <w:shd w:val="clear" w:color="auto" w:fill="auto"/>
            <w:vAlign w:val="center"/>
            <w:hideMark/>
          </w:tcPr>
          <w:p w14:paraId="6B7DDF7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2020-04;2021-04;2021-11;2023-09</w:t>
            </w:r>
          </w:p>
        </w:tc>
        <w:tc>
          <w:tcPr>
            <w:tcW w:w="922" w:type="dxa"/>
            <w:tcBorders>
              <w:top w:val="nil"/>
              <w:left w:val="single" w:sz="4" w:space="0" w:color="auto"/>
              <w:bottom w:val="dotted" w:sz="4" w:space="0" w:color="auto"/>
              <w:right w:val="nil"/>
            </w:tcBorders>
            <w:shd w:val="clear" w:color="auto" w:fill="auto"/>
            <w:noWrap/>
            <w:vAlign w:val="center"/>
            <w:hideMark/>
          </w:tcPr>
          <w:p w14:paraId="56F32B27"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-33,6</w:t>
            </w:r>
          </w:p>
        </w:tc>
        <w:tc>
          <w:tcPr>
            <w:tcW w:w="922" w:type="dxa"/>
            <w:tcBorders>
              <w:top w:val="nil"/>
              <w:left w:val="single" w:sz="4" w:space="0" w:color="auto"/>
              <w:bottom w:val="dotted" w:sz="4" w:space="0" w:color="auto"/>
              <w:right w:val="nil"/>
            </w:tcBorders>
            <w:shd w:val="clear" w:color="auto" w:fill="auto"/>
            <w:noWrap/>
            <w:vAlign w:val="center"/>
            <w:hideMark/>
          </w:tcPr>
          <w:p w14:paraId="49CB5D4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-33,6</w:t>
            </w:r>
          </w:p>
        </w:tc>
        <w:tc>
          <w:tcPr>
            <w:tcW w:w="922" w:type="dxa"/>
            <w:tcBorders>
              <w:top w:val="nil"/>
              <w:left w:val="single" w:sz="4" w:space="0" w:color="auto"/>
              <w:bottom w:val="dotted" w:sz="4" w:space="0" w:color="auto"/>
              <w:right w:val="nil"/>
            </w:tcBorders>
            <w:shd w:val="clear" w:color="auto" w:fill="auto"/>
            <w:noWrap/>
            <w:vAlign w:val="center"/>
            <w:hideMark/>
          </w:tcPr>
          <w:p w14:paraId="19C6F631"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nil"/>
            </w:tcBorders>
            <w:shd w:val="clear" w:color="auto" w:fill="auto"/>
            <w:noWrap/>
            <w:vAlign w:val="center"/>
            <w:hideMark/>
          </w:tcPr>
          <w:p w14:paraId="00DF7784"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nil"/>
            </w:tcBorders>
            <w:shd w:val="clear" w:color="auto" w:fill="auto"/>
            <w:noWrap/>
            <w:vAlign w:val="center"/>
            <w:hideMark/>
          </w:tcPr>
          <w:p w14:paraId="17F8C1E5"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double" w:sz="6" w:space="0" w:color="auto"/>
            </w:tcBorders>
            <w:shd w:val="clear" w:color="auto" w:fill="auto"/>
            <w:noWrap/>
            <w:vAlign w:val="center"/>
            <w:hideMark/>
          </w:tcPr>
          <w:p w14:paraId="3D3337D9"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r>
      <w:tr w:rsidR="009B5DE5" w:rsidRPr="009B5DE5" w14:paraId="0BB5B02F" w14:textId="77777777" w:rsidTr="00396800">
        <w:trPr>
          <w:trHeight w:val="257"/>
        </w:trPr>
        <w:tc>
          <w:tcPr>
            <w:tcW w:w="6510" w:type="dxa"/>
            <w:tcBorders>
              <w:top w:val="nil"/>
              <w:left w:val="double" w:sz="6" w:space="0" w:color="auto"/>
              <w:bottom w:val="dotted" w:sz="4" w:space="0" w:color="auto"/>
              <w:right w:val="single" w:sz="4" w:space="0" w:color="auto"/>
            </w:tcBorders>
            <w:shd w:val="clear" w:color="auto" w:fill="auto"/>
            <w:vAlign w:val="center"/>
            <w:hideMark/>
          </w:tcPr>
          <w:p w14:paraId="1B8DE6E3"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Помоћ незапосленима</w:t>
            </w:r>
          </w:p>
        </w:tc>
        <w:tc>
          <w:tcPr>
            <w:tcW w:w="1624" w:type="dxa"/>
            <w:tcBorders>
              <w:top w:val="nil"/>
              <w:left w:val="nil"/>
              <w:bottom w:val="dotted" w:sz="4" w:space="0" w:color="auto"/>
              <w:right w:val="single" w:sz="4" w:space="0" w:color="auto"/>
            </w:tcBorders>
            <w:shd w:val="clear" w:color="auto" w:fill="auto"/>
            <w:noWrap/>
            <w:vAlign w:val="center"/>
            <w:hideMark/>
          </w:tcPr>
          <w:p w14:paraId="2DDF463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D62</w:t>
            </w:r>
          </w:p>
        </w:tc>
        <w:tc>
          <w:tcPr>
            <w:tcW w:w="1279" w:type="dxa"/>
            <w:tcBorders>
              <w:top w:val="nil"/>
              <w:left w:val="single" w:sz="4" w:space="0" w:color="auto"/>
              <w:bottom w:val="dotted" w:sz="4" w:space="0" w:color="auto"/>
              <w:right w:val="single" w:sz="8" w:space="0" w:color="auto"/>
            </w:tcBorders>
            <w:shd w:val="clear" w:color="auto" w:fill="auto"/>
            <w:noWrap/>
            <w:vAlign w:val="center"/>
            <w:hideMark/>
          </w:tcPr>
          <w:p w14:paraId="69967FB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2021-04</w:t>
            </w:r>
          </w:p>
        </w:tc>
        <w:tc>
          <w:tcPr>
            <w:tcW w:w="922" w:type="dxa"/>
            <w:tcBorders>
              <w:top w:val="nil"/>
              <w:left w:val="single" w:sz="4" w:space="0" w:color="auto"/>
              <w:bottom w:val="dotted" w:sz="4" w:space="0" w:color="auto"/>
              <w:right w:val="nil"/>
            </w:tcBorders>
            <w:shd w:val="clear" w:color="auto" w:fill="auto"/>
            <w:noWrap/>
            <w:vAlign w:val="center"/>
            <w:hideMark/>
          </w:tcPr>
          <w:p w14:paraId="4DAE0BA9"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nil"/>
            </w:tcBorders>
            <w:shd w:val="clear" w:color="auto" w:fill="auto"/>
            <w:noWrap/>
            <w:vAlign w:val="center"/>
            <w:hideMark/>
          </w:tcPr>
          <w:p w14:paraId="2902221F"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nil"/>
            </w:tcBorders>
            <w:shd w:val="clear" w:color="auto" w:fill="auto"/>
            <w:noWrap/>
            <w:vAlign w:val="center"/>
            <w:hideMark/>
          </w:tcPr>
          <w:p w14:paraId="51E3BCED"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nil"/>
            </w:tcBorders>
            <w:shd w:val="clear" w:color="auto" w:fill="auto"/>
            <w:noWrap/>
            <w:vAlign w:val="center"/>
            <w:hideMark/>
          </w:tcPr>
          <w:p w14:paraId="28D3BCBF"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nil"/>
            </w:tcBorders>
            <w:shd w:val="clear" w:color="auto" w:fill="auto"/>
            <w:noWrap/>
            <w:vAlign w:val="center"/>
            <w:hideMark/>
          </w:tcPr>
          <w:p w14:paraId="5DFCAD66"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double" w:sz="6" w:space="0" w:color="auto"/>
            </w:tcBorders>
            <w:shd w:val="clear" w:color="auto" w:fill="auto"/>
            <w:noWrap/>
            <w:vAlign w:val="center"/>
            <w:hideMark/>
          </w:tcPr>
          <w:p w14:paraId="4194FCDE"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r>
      <w:tr w:rsidR="009B5DE5" w:rsidRPr="009B5DE5" w14:paraId="53742B71" w14:textId="77777777" w:rsidTr="00396800">
        <w:trPr>
          <w:trHeight w:val="417"/>
        </w:trPr>
        <w:tc>
          <w:tcPr>
            <w:tcW w:w="6510" w:type="dxa"/>
            <w:tcBorders>
              <w:top w:val="nil"/>
              <w:left w:val="double" w:sz="6" w:space="0" w:color="auto"/>
              <w:bottom w:val="dotted" w:sz="4" w:space="0" w:color="auto"/>
              <w:right w:val="single" w:sz="4" w:space="0" w:color="auto"/>
            </w:tcBorders>
            <w:shd w:val="clear" w:color="auto" w:fill="auto"/>
            <w:vAlign w:val="center"/>
            <w:hideMark/>
          </w:tcPr>
          <w:p w14:paraId="5434C541"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Помоћ младима</w:t>
            </w:r>
          </w:p>
        </w:tc>
        <w:tc>
          <w:tcPr>
            <w:tcW w:w="1624" w:type="dxa"/>
            <w:tcBorders>
              <w:top w:val="nil"/>
              <w:left w:val="nil"/>
              <w:bottom w:val="dotted" w:sz="4" w:space="0" w:color="auto"/>
              <w:right w:val="single" w:sz="4" w:space="0" w:color="auto"/>
            </w:tcBorders>
            <w:shd w:val="clear" w:color="auto" w:fill="auto"/>
            <w:noWrap/>
            <w:vAlign w:val="center"/>
            <w:hideMark/>
          </w:tcPr>
          <w:p w14:paraId="078021B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D7</w:t>
            </w:r>
          </w:p>
        </w:tc>
        <w:tc>
          <w:tcPr>
            <w:tcW w:w="1279" w:type="dxa"/>
            <w:tcBorders>
              <w:top w:val="nil"/>
              <w:left w:val="single" w:sz="4" w:space="0" w:color="auto"/>
              <w:bottom w:val="dotted" w:sz="4" w:space="0" w:color="auto"/>
              <w:right w:val="single" w:sz="8" w:space="0" w:color="auto"/>
            </w:tcBorders>
            <w:shd w:val="clear" w:color="auto" w:fill="auto"/>
            <w:vAlign w:val="center"/>
            <w:hideMark/>
          </w:tcPr>
          <w:p w14:paraId="599A0773"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2022-02;2022-06;2022-12</w:t>
            </w:r>
          </w:p>
        </w:tc>
        <w:tc>
          <w:tcPr>
            <w:tcW w:w="922" w:type="dxa"/>
            <w:tcBorders>
              <w:top w:val="nil"/>
              <w:left w:val="single" w:sz="4" w:space="0" w:color="auto"/>
              <w:bottom w:val="dotted" w:sz="4" w:space="0" w:color="auto"/>
              <w:right w:val="nil"/>
            </w:tcBorders>
            <w:shd w:val="clear" w:color="auto" w:fill="auto"/>
            <w:noWrap/>
            <w:vAlign w:val="center"/>
            <w:hideMark/>
          </w:tcPr>
          <w:p w14:paraId="051CB9C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-30,6</w:t>
            </w:r>
          </w:p>
        </w:tc>
        <w:tc>
          <w:tcPr>
            <w:tcW w:w="922" w:type="dxa"/>
            <w:tcBorders>
              <w:top w:val="nil"/>
              <w:left w:val="single" w:sz="4" w:space="0" w:color="auto"/>
              <w:bottom w:val="dotted" w:sz="4" w:space="0" w:color="auto"/>
              <w:right w:val="nil"/>
            </w:tcBorders>
            <w:shd w:val="clear" w:color="auto" w:fill="auto"/>
            <w:noWrap/>
            <w:vAlign w:val="center"/>
            <w:hideMark/>
          </w:tcPr>
          <w:p w14:paraId="3A10739E"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nil"/>
            </w:tcBorders>
            <w:shd w:val="clear" w:color="auto" w:fill="auto"/>
            <w:noWrap/>
            <w:vAlign w:val="center"/>
            <w:hideMark/>
          </w:tcPr>
          <w:p w14:paraId="24304A31"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nil"/>
            </w:tcBorders>
            <w:shd w:val="clear" w:color="auto" w:fill="auto"/>
            <w:noWrap/>
            <w:vAlign w:val="center"/>
            <w:hideMark/>
          </w:tcPr>
          <w:p w14:paraId="6B9B12D0"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nil"/>
            </w:tcBorders>
            <w:shd w:val="clear" w:color="auto" w:fill="auto"/>
            <w:noWrap/>
            <w:vAlign w:val="center"/>
            <w:hideMark/>
          </w:tcPr>
          <w:p w14:paraId="372DADAC"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double" w:sz="6" w:space="0" w:color="auto"/>
            </w:tcBorders>
            <w:shd w:val="clear" w:color="auto" w:fill="auto"/>
            <w:noWrap/>
            <w:vAlign w:val="center"/>
            <w:hideMark/>
          </w:tcPr>
          <w:p w14:paraId="6E6C7FEA"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r>
      <w:tr w:rsidR="009B5DE5" w:rsidRPr="009B5DE5" w14:paraId="5C2BE237" w14:textId="77777777" w:rsidTr="00396800">
        <w:trPr>
          <w:trHeight w:val="417"/>
        </w:trPr>
        <w:tc>
          <w:tcPr>
            <w:tcW w:w="6510" w:type="dxa"/>
            <w:tcBorders>
              <w:top w:val="nil"/>
              <w:left w:val="double" w:sz="6" w:space="0" w:color="auto"/>
              <w:bottom w:val="dotted" w:sz="4" w:space="0" w:color="auto"/>
              <w:right w:val="single" w:sz="4" w:space="0" w:color="auto"/>
            </w:tcBorders>
            <w:shd w:val="clear" w:color="auto" w:fill="auto"/>
            <w:vAlign w:val="center"/>
            <w:hideMark/>
          </w:tcPr>
          <w:p w14:paraId="2AB37C92"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Помоћ запосленима у здравству, просвети и науци</w:t>
            </w:r>
          </w:p>
        </w:tc>
        <w:tc>
          <w:tcPr>
            <w:tcW w:w="1624" w:type="dxa"/>
            <w:tcBorders>
              <w:top w:val="nil"/>
              <w:left w:val="nil"/>
              <w:bottom w:val="dotted" w:sz="4" w:space="0" w:color="auto"/>
              <w:right w:val="single" w:sz="4" w:space="0" w:color="auto"/>
            </w:tcBorders>
            <w:shd w:val="clear" w:color="auto" w:fill="auto"/>
            <w:noWrap/>
            <w:vAlign w:val="center"/>
            <w:hideMark/>
          </w:tcPr>
          <w:p w14:paraId="42BEC3C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D1</w:t>
            </w:r>
          </w:p>
        </w:tc>
        <w:tc>
          <w:tcPr>
            <w:tcW w:w="1279" w:type="dxa"/>
            <w:tcBorders>
              <w:top w:val="nil"/>
              <w:left w:val="single" w:sz="4" w:space="0" w:color="auto"/>
              <w:bottom w:val="dotted" w:sz="4" w:space="0" w:color="auto"/>
              <w:right w:val="single" w:sz="8" w:space="0" w:color="auto"/>
            </w:tcBorders>
            <w:shd w:val="clear" w:color="auto" w:fill="auto"/>
            <w:vAlign w:val="center"/>
            <w:hideMark/>
          </w:tcPr>
          <w:p w14:paraId="2B6A9CB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2022-01;2022-04</w:t>
            </w:r>
          </w:p>
        </w:tc>
        <w:tc>
          <w:tcPr>
            <w:tcW w:w="922" w:type="dxa"/>
            <w:tcBorders>
              <w:top w:val="nil"/>
              <w:left w:val="single" w:sz="4" w:space="0" w:color="auto"/>
              <w:bottom w:val="dotted" w:sz="4" w:space="0" w:color="auto"/>
              <w:right w:val="nil"/>
            </w:tcBorders>
            <w:shd w:val="clear" w:color="auto" w:fill="auto"/>
            <w:noWrap/>
            <w:vAlign w:val="center"/>
            <w:hideMark/>
          </w:tcPr>
          <w:p w14:paraId="340ADB05"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-3,15</w:t>
            </w:r>
          </w:p>
        </w:tc>
        <w:tc>
          <w:tcPr>
            <w:tcW w:w="922" w:type="dxa"/>
            <w:tcBorders>
              <w:top w:val="nil"/>
              <w:left w:val="single" w:sz="4" w:space="0" w:color="auto"/>
              <w:bottom w:val="dotted" w:sz="4" w:space="0" w:color="auto"/>
              <w:right w:val="nil"/>
            </w:tcBorders>
            <w:shd w:val="clear" w:color="auto" w:fill="auto"/>
            <w:noWrap/>
            <w:vAlign w:val="center"/>
            <w:hideMark/>
          </w:tcPr>
          <w:p w14:paraId="1F810DAF"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nil"/>
            </w:tcBorders>
            <w:shd w:val="clear" w:color="auto" w:fill="auto"/>
            <w:noWrap/>
            <w:vAlign w:val="center"/>
            <w:hideMark/>
          </w:tcPr>
          <w:p w14:paraId="34F6B543"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nil"/>
            </w:tcBorders>
            <w:shd w:val="clear" w:color="auto" w:fill="auto"/>
            <w:noWrap/>
            <w:vAlign w:val="center"/>
            <w:hideMark/>
          </w:tcPr>
          <w:p w14:paraId="77949823"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nil"/>
            </w:tcBorders>
            <w:shd w:val="clear" w:color="auto" w:fill="auto"/>
            <w:noWrap/>
            <w:vAlign w:val="center"/>
            <w:hideMark/>
          </w:tcPr>
          <w:p w14:paraId="1A9D7DE3"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double" w:sz="6" w:space="0" w:color="auto"/>
            </w:tcBorders>
            <w:shd w:val="clear" w:color="auto" w:fill="auto"/>
            <w:noWrap/>
            <w:vAlign w:val="center"/>
            <w:hideMark/>
          </w:tcPr>
          <w:p w14:paraId="26F33B04"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r>
      <w:tr w:rsidR="009B5DE5" w:rsidRPr="009B5DE5" w14:paraId="722D1E39" w14:textId="77777777" w:rsidTr="00396800">
        <w:trPr>
          <w:trHeight w:val="257"/>
        </w:trPr>
        <w:tc>
          <w:tcPr>
            <w:tcW w:w="6510" w:type="dxa"/>
            <w:tcBorders>
              <w:top w:val="nil"/>
              <w:left w:val="double" w:sz="6" w:space="0" w:color="auto"/>
              <w:bottom w:val="dotted" w:sz="4" w:space="0" w:color="auto"/>
              <w:right w:val="single" w:sz="4" w:space="0" w:color="auto"/>
            </w:tcBorders>
            <w:shd w:val="clear" w:color="auto" w:fill="auto"/>
            <w:vAlign w:val="center"/>
            <w:hideMark/>
          </w:tcPr>
          <w:p w14:paraId="1A92490D"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Привремено смањење акциза на деривате нафте</w:t>
            </w:r>
          </w:p>
        </w:tc>
        <w:tc>
          <w:tcPr>
            <w:tcW w:w="1624" w:type="dxa"/>
            <w:tcBorders>
              <w:top w:val="dotted" w:sz="4" w:space="0" w:color="auto"/>
              <w:left w:val="nil"/>
              <w:bottom w:val="dotted" w:sz="4" w:space="0" w:color="auto"/>
              <w:right w:val="single" w:sz="4" w:space="0" w:color="auto"/>
            </w:tcBorders>
            <w:shd w:val="clear" w:color="auto" w:fill="auto"/>
            <w:noWrap/>
            <w:vAlign w:val="center"/>
            <w:hideMark/>
          </w:tcPr>
          <w:p w14:paraId="79092ED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D2</w:t>
            </w:r>
          </w:p>
        </w:tc>
        <w:tc>
          <w:tcPr>
            <w:tcW w:w="1279" w:type="dxa"/>
            <w:tcBorders>
              <w:top w:val="nil"/>
              <w:left w:val="single" w:sz="4" w:space="0" w:color="auto"/>
              <w:bottom w:val="dotted" w:sz="4" w:space="0" w:color="auto"/>
              <w:right w:val="single" w:sz="8" w:space="0" w:color="auto"/>
            </w:tcBorders>
            <w:shd w:val="clear" w:color="auto" w:fill="auto"/>
            <w:noWrap/>
            <w:vAlign w:val="center"/>
            <w:hideMark/>
          </w:tcPr>
          <w:p w14:paraId="7057EED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2022-04</w:t>
            </w:r>
          </w:p>
        </w:tc>
        <w:tc>
          <w:tcPr>
            <w:tcW w:w="922" w:type="dxa"/>
            <w:tcBorders>
              <w:top w:val="nil"/>
              <w:left w:val="single" w:sz="4" w:space="0" w:color="auto"/>
              <w:bottom w:val="dotted" w:sz="4" w:space="0" w:color="auto"/>
              <w:right w:val="nil"/>
            </w:tcBorders>
            <w:shd w:val="clear" w:color="auto" w:fill="auto"/>
            <w:noWrap/>
            <w:vAlign w:val="center"/>
            <w:hideMark/>
          </w:tcPr>
          <w:p w14:paraId="787363A2"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-16</w:t>
            </w:r>
          </w:p>
        </w:tc>
        <w:tc>
          <w:tcPr>
            <w:tcW w:w="922" w:type="dxa"/>
            <w:tcBorders>
              <w:top w:val="nil"/>
              <w:left w:val="single" w:sz="4" w:space="0" w:color="auto"/>
              <w:bottom w:val="dotted" w:sz="4" w:space="0" w:color="auto"/>
              <w:right w:val="nil"/>
            </w:tcBorders>
            <w:shd w:val="clear" w:color="auto" w:fill="auto"/>
            <w:noWrap/>
            <w:vAlign w:val="center"/>
            <w:hideMark/>
          </w:tcPr>
          <w:p w14:paraId="7DC22579"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-19</w:t>
            </w:r>
          </w:p>
        </w:tc>
        <w:tc>
          <w:tcPr>
            <w:tcW w:w="922" w:type="dxa"/>
            <w:tcBorders>
              <w:top w:val="nil"/>
              <w:left w:val="single" w:sz="4" w:space="0" w:color="auto"/>
              <w:bottom w:val="dotted" w:sz="4" w:space="0" w:color="auto"/>
              <w:right w:val="nil"/>
            </w:tcBorders>
            <w:shd w:val="clear" w:color="auto" w:fill="auto"/>
            <w:noWrap/>
            <w:vAlign w:val="center"/>
            <w:hideMark/>
          </w:tcPr>
          <w:p w14:paraId="1C249B41"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nil"/>
            </w:tcBorders>
            <w:shd w:val="clear" w:color="auto" w:fill="auto"/>
            <w:noWrap/>
            <w:vAlign w:val="center"/>
            <w:hideMark/>
          </w:tcPr>
          <w:p w14:paraId="4364CFAD"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nil"/>
            </w:tcBorders>
            <w:shd w:val="clear" w:color="auto" w:fill="auto"/>
            <w:noWrap/>
            <w:vAlign w:val="center"/>
            <w:hideMark/>
          </w:tcPr>
          <w:p w14:paraId="0D7FE922"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double" w:sz="6" w:space="0" w:color="auto"/>
            </w:tcBorders>
            <w:shd w:val="clear" w:color="auto" w:fill="auto"/>
            <w:noWrap/>
            <w:vAlign w:val="center"/>
            <w:hideMark/>
          </w:tcPr>
          <w:p w14:paraId="7F1F6330"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r>
      <w:tr w:rsidR="009B5DE5" w:rsidRPr="009B5DE5" w14:paraId="31C1B45B" w14:textId="77777777" w:rsidTr="00396800">
        <w:trPr>
          <w:trHeight w:val="257"/>
        </w:trPr>
        <w:tc>
          <w:tcPr>
            <w:tcW w:w="6510" w:type="dxa"/>
            <w:tcBorders>
              <w:top w:val="nil"/>
              <w:left w:val="double" w:sz="6" w:space="0" w:color="auto"/>
              <w:bottom w:val="dotted" w:sz="4" w:space="0" w:color="auto"/>
              <w:right w:val="single" w:sz="4" w:space="0" w:color="auto"/>
            </w:tcBorders>
            <w:shd w:val="clear" w:color="auto" w:fill="auto"/>
            <w:vAlign w:val="center"/>
            <w:hideMark/>
          </w:tcPr>
          <w:p w14:paraId="47ED5F3A"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Субвенције енергетском сектору</w:t>
            </w:r>
          </w:p>
        </w:tc>
        <w:tc>
          <w:tcPr>
            <w:tcW w:w="1624" w:type="dxa"/>
            <w:tcBorders>
              <w:top w:val="nil"/>
              <w:left w:val="nil"/>
              <w:bottom w:val="dotted" w:sz="4" w:space="0" w:color="auto"/>
              <w:right w:val="single" w:sz="4" w:space="0" w:color="auto"/>
            </w:tcBorders>
            <w:shd w:val="clear" w:color="auto" w:fill="auto"/>
            <w:noWrap/>
            <w:vAlign w:val="center"/>
            <w:hideMark/>
          </w:tcPr>
          <w:p w14:paraId="786B0AE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D3</w:t>
            </w:r>
          </w:p>
        </w:tc>
        <w:tc>
          <w:tcPr>
            <w:tcW w:w="1279" w:type="dxa"/>
            <w:tcBorders>
              <w:top w:val="nil"/>
              <w:left w:val="single" w:sz="4" w:space="0" w:color="auto"/>
              <w:bottom w:val="dotted" w:sz="4" w:space="0" w:color="auto"/>
              <w:right w:val="single" w:sz="8" w:space="0" w:color="auto"/>
            </w:tcBorders>
            <w:shd w:val="clear" w:color="auto" w:fill="auto"/>
            <w:noWrap/>
            <w:vAlign w:val="center"/>
            <w:hideMark/>
          </w:tcPr>
          <w:p w14:paraId="3D8E7A7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2022-11</w:t>
            </w:r>
          </w:p>
        </w:tc>
        <w:tc>
          <w:tcPr>
            <w:tcW w:w="922" w:type="dxa"/>
            <w:tcBorders>
              <w:top w:val="nil"/>
              <w:left w:val="single" w:sz="4" w:space="0" w:color="auto"/>
              <w:bottom w:val="dotted" w:sz="4" w:space="0" w:color="auto"/>
              <w:right w:val="single" w:sz="4" w:space="0" w:color="auto"/>
            </w:tcBorders>
            <w:shd w:val="clear" w:color="auto" w:fill="auto"/>
            <w:noWrap/>
            <w:vAlign w:val="center"/>
            <w:hideMark/>
          </w:tcPr>
          <w:p w14:paraId="1DFDF257"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-189</w:t>
            </w:r>
          </w:p>
        </w:tc>
        <w:tc>
          <w:tcPr>
            <w:tcW w:w="922" w:type="dxa"/>
            <w:tcBorders>
              <w:top w:val="nil"/>
              <w:left w:val="single" w:sz="4" w:space="0" w:color="auto"/>
              <w:bottom w:val="dotted" w:sz="4" w:space="0" w:color="auto"/>
              <w:right w:val="nil"/>
            </w:tcBorders>
            <w:shd w:val="clear" w:color="auto" w:fill="auto"/>
            <w:noWrap/>
            <w:vAlign w:val="center"/>
            <w:hideMark/>
          </w:tcPr>
          <w:p w14:paraId="3246C0C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-43</w:t>
            </w:r>
          </w:p>
        </w:tc>
        <w:tc>
          <w:tcPr>
            <w:tcW w:w="922" w:type="dxa"/>
            <w:tcBorders>
              <w:top w:val="nil"/>
              <w:left w:val="single" w:sz="4" w:space="0" w:color="auto"/>
              <w:bottom w:val="dotted" w:sz="4" w:space="0" w:color="auto"/>
              <w:right w:val="nil"/>
            </w:tcBorders>
            <w:shd w:val="clear" w:color="auto" w:fill="auto"/>
            <w:noWrap/>
            <w:vAlign w:val="center"/>
            <w:hideMark/>
          </w:tcPr>
          <w:p w14:paraId="5F5E95F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-16</w:t>
            </w:r>
          </w:p>
        </w:tc>
        <w:tc>
          <w:tcPr>
            <w:tcW w:w="922" w:type="dxa"/>
            <w:tcBorders>
              <w:top w:val="nil"/>
              <w:left w:val="single" w:sz="4" w:space="0" w:color="auto"/>
              <w:bottom w:val="dotted" w:sz="4" w:space="0" w:color="auto"/>
              <w:right w:val="nil"/>
            </w:tcBorders>
            <w:shd w:val="clear" w:color="auto" w:fill="auto"/>
            <w:noWrap/>
            <w:vAlign w:val="center"/>
            <w:hideMark/>
          </w:tcPr>
          <w:p w14:paraId="4AAB1DDC"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nil"/>
            </w:tcBorders>
            <w:shd w:val="clear" w:color="auto" w:fill="auto"/>
            <w:noWrap/>
            <w:vAlign w:val="center"/>
            <w:hideMark/>
          </w:tcPr>
          <w:p w14:paraId="21A55C90"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double" w:sz="6" w:space="0" w:color="auto"/>
            </w:tcBorders>
            <w:shd w:val="clear" w:color="auto" w:fill="auto"/>
            <w:noWrap/>
            <w:vAlign w:val="center"/>
            <w:hideMark/>
          </w:tcPr>
          <w:p w14:paraId="5FDCB968"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r>
      <w:tr w:rsidR="009B5DE5" w:rsidRPr="009B5DE5" w14:paraId="7FB5F313" w14:textId="77777777" w:rsidTr="00396800">
        <w:trPr>
          <w:trHeight w:val="257"/>
        </w:trPr>
        <w:tc>
          <w:tcPr>
            <w:tcW w:w="6510" w:type="dxa"/>
            <w:tcBorders>
              <w:top w:val="nil"/>
              <w:left w:val="double" w:sz="6" w:space="0" w:color="auto"/>
              <w:bottom w:val="dotted" w:sz="4" w:space="0" w:color="auto"/>
              <w:right w:val="single" w:sz="4" w:space="0" w:color="auto"/>
            </w:tcBorders>
            <w:shd w:val="clear" w:color="auto" w:fill="auto"/>
            <w:vAlign w:val="center"/>
            <w:hideMark/>
          </w:tcPr>
          <w:p w14:paraId="6F30DE46" w14:textId="77777777" w:rsidR="009B5DE5" w:rsidRPr="009B5DE5" w:rsidRDefault="009B5DE5" w:rsidP="009B5DE5">
            <w:pPr>
              <w:spacing w:after="0"/>
              <w:jc w:val="left"/>
              <w:outlineLvl w:val="0"/>
              <w:rPr>
                <w:rFonts w:eastAsia="Times New Roman" w:cs="Times New Roman"/>
                <w:sz w:val="20"/>
                <w:szCs w:val="20"/>
              </w:rPr>
            </w:pPr>
            <w:bookmarkStart w:id="65" w:name="_Toc185341528"/>
            <w:bookmarkStart w:id="66" w:name="_Toc185342344"/>
            <w:r w:rsidRPr="009B5DE5">
              <w:rPr>
                <w:rFonts w:eastAsia="Times New Roman" w:cs="Times New Roman"/>
                <w:sz w:val="20"/>
                <w:szCs w:val="20"/>
              </w:rPr>
              <w:t>Помоћ мајкама</w:t>
            </w:r>
            <w:bookmarkEnd w:id="65"/>
            <w:bookmarkEnd w:id="66"/>
          </w:p>
        </w:tc>
        <w:tc>
          <w:tcPr>
            <w:tcW w:w="1624" w:type="dxa"/>
            <w:tcBorders>
              <w:top w:val="nil"/>
              <w:left w:val="nil"/>
              <w:bottom w:val="dotted" w:sz="4" w:space="0" w:color="auto"/>
              <w:right w:val="single" w:sz="4" w:space="0" w:color="auto"/>
            </w:tcBorders>
            <w:shd w:val="clear" w:color="auto" w:fill="auto"/>
            <w:noWrap/>
            <w:vAlign w:val="center"/>
            <w:hideMark/>
          </w:tcPr>
          <w:p w14:paraId="40CC0DC1" w14:textId="77777777" w:rsidR="009B5DE5" w:rsidRPr="009B5DE5" w:rsidRDefault="009B5DE5" w:rsidP="009B5DE5">
            <w:pPr>
              <w:spacing w:after="0"/>
              <w:jc w:val="center"/>
              <w:outlineLvl w:val="0"/>
              <w:rPr>
                <w:rFonts w:eastAsia="Times New Roman" w:cs="Times New Roman"/>
                <w:sz w:val="20"/>
                <w:szCs w:val="20"/>
              </w:rPr>
            </w:pPr>
            <w:bookmarkStart w:id="67" w:name="_Toc185341529"/>
            <w:bookmarkStart w:id="68" w:name="_Toc185342345"/>
            <w:r w:rsidRPr="009B5DE5">
              <w:rPr>
                <w:rFonts w:eastAsia="Times New Roman" w:cs="Times New Roman"/>
                <w:sz w:val="20"/>
                <w:szCs w:val="20"/>
              </w:rPr>
              <w:t>D7</w:t>
            </w:r>
            <w:bookmarkEnd w:id="67"/>
            <w:bookmarkEnd w:id="68"/>
          </w:p>
        </w:tc>
        <w:tc>
          <w:tcPr>
            <w:tcW w:w="1279" w:type="dxa"/>
            <w:tcBorders>
              <w:top w:val="nil"/>
              <w:left w:val="single" w:sz="4" w:space="0" w:color="auto"/>
              <w:bottom w:val="dotted" w:sz="4" w:space="0" w:color="auto"/>
              <w:right w:val="single" w:sz="8" w:space="0" w:color="auto"/>
            </w:tcBorders>
            <w:shd w:val="clear" w:color="auto" w:fill="auto"/>
            <w:noWrap/>
            <w:vAlign w:val="center"/>
            <w:hideMark/>
          </w:tcPr>
          <w:p w14:paraId="6F38755C" w14:textId="77777777" w:rsidR="009B5DE5" w:rsidRPr="009B5DE5" w:rsidRDefault="009B5DE5" w:rsidP="009B5DE5">
            <w:pPr>
              <w:spacing w:after="0"/>
              <w:jc w:val="center"/>
              <w:outlineLvl w:val="0"/>
              <w:rPr>
                <w:rFonts w:eastAsia="Times New Roman" w:cs="Times New Roman"/>
                <w:sz w:val="20"/>
                <w:szCs w:val="20"/>
              </w:rPr>
            </w:pPr>
            <w:bookmarkStart w:id="69" w:name="_Toc185341530"/>
            <w:bookmarkStart w:id="70" w:name="_Toc185342346"/>
            <w:r w:rsidRPr="009B5DE5">
              <w:rPr>
                <w:rFonts w:eastAsia="Times New Roman" w:cs="Times New Roman"/>
                <w:sz w:val="20"/>
                <w:szCs w:val="20"/>
              </w:rPr>
              <w:t>2023-09</w:t>
            </w:r>
            <w:bookmarkEnd w:id="69"/>
            <w:bookmarkEnd w:id="70"/>
          </w:p>
        </w:tc>
        <w:tc>
          <w:tcPr>
            <w:tcW w:w="922" w:type="dxa"/>
            <w:tcBorders>
              <w:top w:val="nil"/>
              <w:left w:val="single" w:sz="4" w:space="0" w:color="auto"/>
              <w:bottom w:val="dotted" w:sz="4" w:space="0" w:color="auto"/>
              <w:right w:val="single" w:sz="4" w:space="0" w:color="auto"/>
            </w:tcBorders>
            <w:shd w:val="clear" w:color="auto" w:fill="auto"/>
            <w:noWrap/>
            <w:vAlign w:val="center"/>
            <w:hideMark/>
          </w:tcPr>
          <w:p w14:paraId="63FB38DD" w14:textId="77777777" w:rsidR="009B5DE5" w:rsidRPr="009B5DE5" w:rsidRDefault="009B5DE5" w:rsidP="009B5DE5">
            <w:pPr>
              <w:spacing w:after="0"/>
              <w:jc w:val="left"/>
              <w:outlineLvl w:val="0"/>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nil"/>
            </w:tcBorders>
            <w:shd w:val="clear" w:color="auto" w:fill="auto"/>
            <w:noWrap/>
            <w:vAlign w:val="center"/>
            <w:hideMark/>
          </w:tcPr>
          <w:p w14:paraId="37C16C99" w14:textId="77777777" w:rsidR="009B5DE5" w:rsidRPr="009B5DE5" w:rsidRDefault="009B5DE5" w:rsidP="009B5DE5">
            <w:pPr>
              <w:spacing w:after="0"/>
              <w:jc w:val="right"/>
              <w:outlineLvl w:val="0"/>
              <w:rPr>
                <w:rFonts w:eastAsia="Times New Roman" w:cs="Times New Roman"/>
                <w:sz w:val="20"/>
                <w:szCs w:val="20"/>
              </w:rPr>
            </w:pPr>
            <w:bookmarkStart w:id="71" w:name="_Toc185341531"/>
            <w:bookmarkStart w:id="72" w:name="_Toc185342347"/>
            <w:r w:rsidRPr="009B5DE5">
              <w:rPr>
                <w:rFonts w:eastAsia="Times New Roman" w:cs="Times New Roman"/>
                <w:sz w:val="20"/>
                <w:szCs w:val="20"/>
              </w:rPr>
              <w:t>-12</w:t>
            </w:r>
            <w:bookmarkEnd w:id="71"/>
            <w:bookmarkEnd w:id="72"/>
          </w:p>
        </w:tc>
        <w:tc>
          <w:tcPr>
            <w:tcW w:w="922" w:type="dxa"/>
            <w:tcBorders>
              <w:top w:val="nil"/>
              <w:left w:val="single" w:sz="4" w:space="0" w:color="auto"/>
              <w:bottom w:val="dotted" w:sz="4" w:space="0" w:color="auto"/>
              <w:right w:val="nil"/>
            </w:tcBorders>
            <w:shd w:val="clear" w:color="auto" w:fill="auto"/>
            <w:noWrap/>
            <w:vAlign w:val="center"/>
            <w:hideMark/>
          </w:tcPr>
          <w:p w14:paraId="126FFC28" w14:textId="77777777" w:rsidR="009B5DE5" w:rsidRPr="009B5DE5" w:rsidRDefault="009B5DE5" w:rsidP="009B5DE5">
            <w:pPr>
              <w:spacing w:after="0"/>
              <w:jc w:val="left"/>
              <w:outlineLvl w:val="0"/>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nil"/>
            </w:tcBorders>
            <w:shd w:val="clear" w:color="auto" w:fill="auto"/>
            <w:noWrap/>
            <w:vAlign w:val="center"/>
            <w:hideMark/>
          </w:tcPr>
          <w:p w14:paraId="6D294473" w14:textId="77777777" w:rsidR="009B5DE5" w:rsidRPr="009B5DE5" w:rsidRDefault="009B5DE5" w:rsidP="009B5DE5">
            <w:pPr>
              <w:spacing w:after="0"/>
              <w:jc w:val="left"/>
              <w:outlineLvl w:val="0"/>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nil"/>
            </w:tcBorders>
            <w:shd w:val="clear" w:color="auto" w:fill="auto"/>
            <w:noWrap/>
            <w:vAlign w:val="center"/>
            <w:hideMark/>
          </w:tcPr>
          <w:p w14:paraId="6333D946" w14:textId="77777777" w:rsidR="009B5DE5" w:rsidRPr="009B5DE5" w:rsidRDefault="009B5DE5" w:rsidP="009B5DE5">
            <w:pPr>
              <w:spacing w:after="0"/>
              <w:jc w:val="left"/>
              <w:outlineLvl w:val="0"/>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double" w:sz="6" w:space="0" w:color="auto"/>
            </w:tcBorders>
            <w:shd w:val="clear" w:color="auto" w:fill="auto"/>
            <w:noWrap/>
            <w:vAlign w:val="center"/>
            <w:hideMark/>
          </w:tcPr>
          <w:p w14:paraId="5723490A" w14:textId="77777777" w:rsidR="009B5DE5" w:rsidRPr="009B5DE5" w:rsidRDefault="009B5DE5" w:rsidP="009B5DE5">
            <w:pPr>
              <w:spacing w:after="0"/>
              <w:jc w:val="left"/>
              <w:outlineLvl w:val="0"/>
              <w:rPr>
                <w:rFonts w:eastAsia="Times New Roman" w:cs="Times New Roman"/>
                <w:sz w:val="20"/>
                <w:szCs w:val="20"/>
              </w:rPr>
            </w:pPr>
            <w:r w:rsidRPr="009B5DE5">
              <w:rPr>
                <w:rFonts w:eastAsia="Times New Roman" w:cs="Times New Roman"/>
                <w:sz w:val="20"/>
                <w:szCs w:val="20"/>
              </w:rPr>
              <w:t> </w:t>
            </w:r>
          </w:p>
        </w:tc>
      </w:tr>
      <w:tr w:rsidR="009B5DE5" w:rsidRPr="009B5DE5" w14:paraId="4F10CC35" w14:textId="77777777" w:rsidTr="00396800">
        <w:trPr>
          <w:trHeight w:val="257"/>
        </w:trPr>
        <w:tc>
          <w:tcPr>
            <w:tcW w:w="6510" w:type="dxa"/>
            <w:tcBorders>
              <w:top w:val="nil"/>
              <w:left w:val="double" w:sz="6" w:space="0" w:color="auto"/>
              <w:bottom w:val="dotted" w:sz="4" w:space="0" w:color="auto"/>
              <w:right w:val="single" w:sz="4" w:space="0" w:color="auto"/>
            </w:tcBorders>
            <w:shd w:val="clear" w:color="auto" w:fill="auto"/>
            <w:vAlign w:val="center"/>
            <w:hideMark/>
          </w:tcPr>
          <w:p w14:paraId="023B1612" w14:textId="77777777" w:rsidR="009B5DE5" w:rsidRPr="009B5DE5" w:rsidRDefault="009B5DE5" w:rsidP="009B5DE5">
            <w:pPr>
              <w:spacing w:after="0"/>
              <w:jc w:val="left"/>
              <w:outlineLvl w:val="0"/>
              <w:rPr>
                <w:rFonts w:eastAsia="Times New Roman" w:cs="Times New Roman"/>
                <w:sz w:val="20"/>
                <w:szCs w:val="20"/>
              </w:rPr>
            </w:pPr>
            <w:bookmarkStart w:id="73" w:name="_Toc185341532"/>
            <w:bookmarkStart w:id="74" w:name="_Toc185342348"/>
            <w:r w:rsidRPr="009B5DE5">
              <w:rPr>
                <w:rFonts w:eastAsia="Times New Roman" w:cs="Times New Roman"/>
                <w:sz w:val="20"/>
                <w:szCs w:val="20"/>
              </w:rPr>
              <w:t>Помоћ корисницима социјалне помоћи</w:t>
            </w:r>
            <w:bookmarkEnd w:id="73"/>
            <w:bookmarkEnd w:id="74"/>
          </w:p>
        </w:tc>
        <w:tc>
          <w:tcPr>
            <w:tcW w:w="1624" w:type="dxa"/>
            <w:tcBorders>
              <w:top w:val="nil"/>
              <w:left w:val="nil"/>
              <w:bottom w:val="dotted" w:sz="4" w:space="0" w:color="auto"/>
              <w:right w:val="single" w:sz="4" w:space="0" w:color="auto"/>
            </w:tcBorders>
            <w:shd w:val="clear" w:color="auto" w:fill="auto"/>
            <w:noWrap/>
            <w:vAlign w:val="center"/>
            <w:hideMark/>
          </w:tcPr>
          <w:p w14:paraId="2FCA4EE3" w14:textId="77777777" w:rsidR="009B5DE5" w:rsidRPr="009B5DE5" w:rsidRDefault="009B5DE5" w:rsidP="009B5DE5">
            <w:pPr>
              <w:spacing w:after="0"/>
              <w:jc w:val="center"/>
              <w:outlineLvl w:val="0"/>
              <w:rPr>
                <w:rFonts w:eastAsia="Times New Roman" w:cs="Times New Roman"/>
                <w:sz w:val="20"/>
                <w:szCs w:val="20"/>
              </w:rPr>
            </w:pPr>
            <w:bookmarkStart w:id="75" w:name="_Toc185341533"/>
            <w:bookmarkStart w:id="76" w:name="_Toc185342349"/>
            <w:r w:rsidRPr="009B5DE5">
              <w:rPr>
                <w:rFonts w:eastAsia="Times New Roman" w:cs="Times New Roman"/>
                <w:sz w:val="20"/>
                <w:szCs w:val="20"/>
              </w:rPr>
              <w:t>D62</w:t>
            </w:r>
            <w:bookmarkEnd w:id="75"/>
            <w:bookmarkEnd w:id="76"/>
          </w:p>
        </w:tc>
        <w:tc>
          <w:tcPr>
            <w:tcW w:w="1279" w:type="dxa"/>
            <w:tcBorders>
              <w:top w:val="nil"/>
              <w:left w:val="single" w:sz="4" w:space="0" w:color="auto"/>
              <w:bottom w:val="dotted" w:sz="4" w:space="0" w:color="auto"/>
              <w:right w:val="single" w:sz="8" w:space="0" w:color="auto"/>
            </w:tcBorders>
            <w:shd w:val="clear" w:color="auto" w:fill="auto"/>
            <w:noWrap/>
            <w:vAlign w:val="center"/>
            <w:hideMark/>
          </w:tcPr>
          <w:p w14:paraId="7F412398" w14:textId="77777777" w:rsidR="009B5DE5" w:rsidRPr="009B5DE5" w:rsidRDefault="009B5DE5" w:rsidP="009B5DE5">
            <w:pPr>
              <w:spacing w:after="0"/>
              <w:jc w:val="center"/>
              <w:outlineLvl w:val="0"/>
              <w:rPr>
                <w:rFonts w:eastAsia="Times New Roman" w:cs="Times New Roman"/>
                <w:sz w:val="20"/>
                <w:szCs w:val="20"/>
              </w:rPr>
            </w:pPr>
            <w:bookmarkStart w:id="77" w:name="_Toc185341534"/>
            <w:bookmarkStart w:id="78" w:name="_Toc185342350"/>
            <w:r w:rsidRPr="009B5DE5">
              <w:rPr>
                <w:rFonts w:eastAsia="Times New Roman" w:cs="Times New Roman"/>
                <w:sz w:val="20"/>
                <w:szCs w:val="20"/>
              </w:rPr>
              <w:t>2023-10</w:t>
            </w:r>
            <w:bookmarkEnd w:id="77"/>
            <w:bookmarkEnd w:id="78"/>
          </w:p>
        </w:tc>
        <w:tc>
          <w:tcPr>
            <w:tcW w:w="922" w:type="dxa"/>
            <w:tcBorders>
              <w:top w:val="nil"/>
              <w:left w:val="single" w:sz="4" w:space="0" w:color="auto"/>
              <w:bottom w:val="dotted" w:sz="4" w:space="0" w:color="auto"/>
              <w:right w:val="single" w:sz="4" w:space="0" w:color="auto"/>
            </w:tcBorders>
            <w:shd w:val="clear" w:color="auto" w:fill="auto"/>
            <w:noWrap/>
            <w:vAlign w:val="center"/>
            <w:hideMark/>
          </w:tcPr>
          <w:p w14:paraId="00FF79DB" w14:textId="77777777" w:rsidR="009B5DE5" w:rsidRPr="009B5DE5" w:rsidRDefault="009B5DE5" w:rsidP="009B5DE5">
            <w:pPr>
              <w:spacing w:after="0"/>
              <w:jc w:val="left"/>
              <w:outlineLvl w:val="0"/>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nil"/>
            </w:tcBorders>
            <w:shd w:val="clear" w:color="auto" w:fill="auto"/>
            <w:noWrap/>
            <w:vAlign w:val="center"/>
            <w:hideMark/>
          </w:tcPr>
          <w:p w14:paraId="63F26EF1" w14:textId="77777777" w:rsidR="009B5DE5" w:rsidRPr="009B5DE5" w:rsidRDefault="009B5DE5" w:rsidP="009B5DE5">
            <w:pPr>
              <w:spacing w:after="0"/>
              <w:jc w:val="right"/>
              <w:outlineLvl w:val="0"/>
              <w:rPr>
                <w:rFonts w:eastAsia="Times New Roman" w:cs="Times New Roman"/>
                <w:sz w:val="20"/>
                <w:szCs w:val="20"/>
              </w:rPr>
            </w:pPr>
            <w:bookmarkStart w:id="79" w:name="_Toc185341535"/>
            <w:bookmarkStart w:id="80" w:name="_Toc185342351"/>
            <w:r w:rsidRPr="009B5DE5">
              <w:rPr>
                <w:rFonts w:eastAsia="Times New Roman" w:cs="Times New Roman"/>
                <w:sz w:val="20"/>
                <w:szCs w:val="20"/>
              </w:rPr>
              <w:t>-2,5</w:t>
            </w:r>
            <w:bookmarkEnd w:id="79"/>
            <w:bookmarkEnd w:id="80"/>
          </w:p>
        </w:tc>
        <w:tc>
          <w:tcPr>
            <w:tcW w:w="922" w:type="dxa"/>
            <w:tcBorders>
              <w:top w:val="nil"/>
              <w:left w:val="single" w:sz="4" w:space="0" w:color="auto"/>
              <w:bottom w:val="dotted" w:sz="4" w:space="0" w:color="auto"/>
              <w:right w:val="nil"/>
            </w:tcBorders>
            <w:shd w:val="clear" w:color="auto" w:fill="auto"/>
            <w:noWrap/>
            <w:vAlign w:val="center"/>
            <w:hideMark/>
          </w:tcPr>
          <w:p w14:paraId="66971015" w14:textId="77777777" w:rsidR="009B5DE5" w:rsidRPr="009B5DE5" w:rsidRDefault="009B5DE5" w:rsidP="009B5DE5">
            <w:pPr>
              <w:spacing w:after="0"/>
              <w:jc w:val="left"/>
              <w:outlineLvl w:val="0"/>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nil"/>
            </w:tcBorders>
            <w:shd w:val="clear" w:color="auto" w:fill="auto"/>
            <w:noWrap/>
            <w:vAlign w:val="center"/>
            <w:hideMark/>
          </w:tcPr>
          <w:p w14:paraId="4C50D696" w14:textId="77777777" w:rsidR="009B5DE5" w:rsidRPr="009B5DE5" w:rsidRDefault="009B5DE5" w:rsidP="009B5DE5">
            <w:pPr>
              <w:spacing w:after="0"/>
              <w:jc w:val="left"/>
              <w:outlineLvl w:val="0"/>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nil"/>
            </w:tcBorders>
            <w:shd w:val="clear" w:color="auto" w:fill="auto"/>
            <w:noWrap/>
            <w:vAlign w:val="center"/>
            <w:hideMark/>
          </w:tcPr>
          <w:p w14:paraId="544513FB" w14:textId="77777777" w:rsidR="009B5DE5" w:rsidRPr="009B5DE5" w:rsidRDefault="009B5DE5" w:rsidP="009B5DE5">
            <w:pPr>
              <w:spacing w:after="0"/>
              <w:jc w:val="left"/>
              <w:outlineLvl w:val="0"/>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double" w:sz="6" w:space="0" w:color="auto"/>
            </w:tcBorders>
            <w:shd w:val="clear" w:color="auto" w:fill="auto"/>
            <w:noWrap/>
            <w:vAlign w:val="center"/>
            <w:hideMark/>
          </w:tcPr>
          <w:p w14:paraId="791C55B4" w14:textId="77777777" w:rsidR="009B5DE5" w:rsidRPr="009B5DE5" w:rsidRDefault="009B5DE5" w:rsidP="009B5DE5">
            <w:pPr>
              <w:spacing w:after="0"/>
              <w:jc w:val="left"/>
              <w:outlineLvl w:val="0"/>
              <w:rPr>
                <w:rFonts w:eastAsia="Times New Roman" w:cs="Times New Roman"/>
                <w:sz w:val="20"/>
                <w:szCs w:val="20"/>
              </w:rPr>
            </w:pPr>
            <w:r w:rsidRPr="009B5DE5">
              <w:rPr>
                <w:rFonts w:eastAsia="Times New Roman" w:cs="Times New Roman"/>
                <w:sz w:val="20"/>
                <w:szCs w:val="20"/>
              </w:rPr>
              <w:t> </w:t>
            </w:r>
          </w:p>
        </w:tc>
      </w:tr>
      <w:tr w:rsidR="009B5DE5" w:rsidRPr="009B5DE5" w14:paraId="79A44679" w14:textId="77777777" w:rsidTr="00396800">
        <w:trPr>
          <w:trHeight w:val="236"/>
        </w:trPr>
        <w:tc>
          <w:tcPr>
            <w:tcW w:w="6510" w:type="dxa"/>
            <w:tcBorders>
              <w:top w:val="nil"/>
              <w:left w:val="double" w:sz="6" w:space="0" w:color="auto"/>
              <w:bottom w:val="dotted" w:sz="4" w:space="0" w:color="auto"/>
              <w:right w:val="single" w:sz="4" w:space="0" w:color="auto"/>
            </w:tcBorders>
            <w:shd w:val="clear" w:color="auto" w:fill="auto"/>
            <w:vAlign w:val="center"/>
            <w:hideMark/>
          </w:tcPr>
          <w:p w14:paraId="5276E3CC" w14:textId="77777777" w:rsidR="009B5DE5" w:rsidRPr="009B5DE5" w:rsidRDefault="009B5DE5" w:rsidP="009B5DE5">
            <w:pPr>
              <w:spacing w:after="0"/>
              <w:jc w:val="left"/>
              <w:outlineLvl w:val="0"/>
              <w:rPr>
                <w:rFonts w:eastAsia="Times New Roman" w:cs="Times New Roman"/>
                <w:sz w:val="20"/>
                <w:szCs w:val="20"/>
              </w:rPr>
            </w:pPr>
            <w:bookmarkStart w:id="81" w:name="_Toc185341536"/>
            <w:bookmarkStart w:id="82" w:name="_Toc185342352"/>
            <w:r w:rsidRPr="009B5DE5">
              <w:rPr>
                <w:rFonts w:eastAsia="Times New Roman" w:cs="Times New Roman"/>
                <w:sz w:val="20"/>
                <w:szCs w:val="20"/>
              </w:rPr>
              <w:t>Повећање бруто инвестиција у основна средства</w:t>
            </w:r>
            <w:bookmarkEnd w:id="81"/>
            <w:bookmarkEnd w:id="82"/>
          </w:p>
        </w:tc>
        <w:tc>
          <w:tcPr>
            <w:tcW w:w="1624" w:type="dxa"/>
            <w:tcBorders>
              <w:top w:val="dotted" w:sz="4" w:space="0" w:color="auto"/>
              <w:left w:val="nil"/>
              <w:bottom w:val="dotted" w:sz="4" w:space="0" w:color="auto"/>
              <w:right w:val="single" w:sz="4" w:space="0" w:color="auto"/>
            </w:tcBorders>
            <w:shd w:val="clear" w:color="auto" w:fill="auto"/>
            <w:noWrap/>
            <w:vAlign w:val="center"/>
            <w:hideMark/>
          </w:tcPr>
          <w:p w14:paraId="360DDB15" w14:textId="77777777" w:rsidR="009B5DE5" w:rsidRPr="009B5DE5" w:rsidRDefault="009B5DE5" w:rsidP="009B5DE5">
            <w:pPr>
              <w:spacing w:after="0"/>
              <w:jc w:val="center"/>
              <w:outlineLvl w:val="0"/>
              <w:rPr>
                <w:rFonts w:eastAsia="Times New Roman" w:cs="Times New Roman"/>
                <w:sz w:val="20"/>
                <w:szCs w:val="20"/>
              </w:rPr>
            </w:pPr>
            <w:bookmarkStart w:id="83" w:name="_Toc185341537"/>
            <w:bookmarkStart w:id="84" w:name="_Toc185342353"/>
            <w:r w:rsidRPr="009B5DE5">
              <w:rPr>
                <w:rFonts w:eastAsia="Times New Roman" w:cs="Times New Roman"/>
                <w:sz w:val="20"/>
                <w:szCs w:val="20"/>
              </w:rPr>
              <w:t>Р51</w:t>
            </w:r>
            <w:bookmarkEnd w:id="83"/>
            <w:bookmarkEnd w:id="84"/>
          </w:p>
        </w:tc>
        <w:tc>
          <w:tcPr>
            <w:tcW w:w="1279" w:type="dxa"/>
            <w:tcBorders>
              <w:top w:val="nil"/>
              <w:left w:val="single" w:sz="4" w:space="0" w:color="auto"/>
              <w:bottom w:val="dotted" w:sz="4" w:space="0" w:color="auto"/>
              <w:right w:val="single" w:sz="8" w:space="0" w:color="auto"/>
            </w:tcBorders>
            <w:shd w:val="clear" w:color="auto" w:fill="auto"/>
            <w:noWrap/>
            <w:vAlign w:val="center"/>
            <w:hideMark/>
          </w:tcPr>
          <w:p w14:paraId="4C9A8387" w14:textId="77777777" w:rsidR="009B5DE5" w:rsidRPr="009B5DE5" w:rsidRDefault="009B5DE5" w:rsidP="009B5DE5">
            <w:pPr>
              <w:spacing w:after="0"/>
              <w:jc w:val="center"/>
              <w:outlineLvl w:val="0"/>
              <w:rPr>
                <w:rFonts w:eastAsia="Times New Roman" w:cs="Times New Roman"/>
                <w:sz w:val="20"/>
                <w:szCs w:val="20"/>
              </w:rPr>
            </w:pPr>
            <w:bookmarkStart w:id="85" w:name="_Toc185341538"/>
            <w:bookmarkStart w:id="86" w:name="_Toc185342354"/>
            <w:r w:rsidRPr="009B5DE5">
              <w:rPr>
                <w:rFonts w:eastAsia="Times New Roman" w:cs="Times New Roman"/>
                <w:sz w:val="20"/>
                <w:szCs w:val="20"/>
              </w:rPr>
              <w:t>2024-12</w:t>
            </w:r>
            <w:bookmarkEnd w:id="85"/>
            <w:bookmarkEnd w:id="86"/>
          </w:p>
        </w:tc>
        <w:tc>
          <w:tcPr>
            <w:tcW w:w="922" w:type="dxa"/>
            <w:tcBorders>
              <w:top w:val="nil"/>
              <w:left w:val="nil"/>
              <w:bottom w:val="dotted" w:sz="4" w:space="0" w:color="auto"/>
              <w:right w:val="single" w:sz="4" w:space="0" w:color="auto"/>
            </w:tcBorders>
            <w:shd w:val="clear" w:color="auto" w:fill="auto"/>
            <w:noWrap/>
            <w:vAlign w:val="center"/>
            <w:hideMark/>
          </w:tcPr>
          <w:p w14:paraId="5EB4B625" w14:textId="77777777" w:rsidR="009B5DE5" w:rsidRPr="009B5DE5" w:rsidRDefault="009B5DE5" w:rsidP="009B5DE5">
            <w:pPr>
              <w:spacing w:after="0"/>
              <w:jc w:val="left"/>
              <w:outlineLvl w:val="0"/>
              <w:rPr>
                <w:rFonts w:eastAsia="Times New Roman" w:cs="Times New Roman"/>
                <w:sz w:val="20"/>
                <w:szCs w:val="20"/>
              </w:rPr>
            </w:pPr>
            <w:r w:rsidRPr="009B5DE5">
              <w:rPr>
                <w:rFonts w:eastAsia="Times New Roman" w:cs="Times New Roman"/>
                <w:sz w:val="20"/>
                <w:szCs w:val="20"/>
              </w:rPr>
              <w:t> </w:t>
            </w:r>
          </w:p>
        </w:tc>
        <w:tc>
          <w:tcPr>
            <w:tcW w:w="922" w:type="dxa"/>
            <w:tcBorders>
              <w:top w:val="nil"/>
              <w:left w:val="nil"/>
              <w:bottom w:val="dotted" w:sz="4" w:space="0" w:color="auto"/>
              <w:right w:val="single" w:sz="4" w:space="0" w:color="auto"/>
            </w:tcBorders>
            <w:shd w:val="clear" w:color="auto" w:fill="auto"/>
            <w:noWrap/>
            <w:vAlign w:val="center"/>
            <w:hideMark/>
          </w:tcPr>
          <w:p w14:paraId="55BC9D0E" w14:textId="77777777" w:rsidR="009B5DE5" w:rsidRPr="009B5DE5" w:rsidRDefault="009B5DE5" w:rsidP="009B5DE5">
            <w:pPr>
              <w:spacing w:after="0"/>
              <w:jc w:val="left"/>
              <w:outlineLvl w:val="0"/>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nil"/>
            </w:tcBorders>
            <w:shd w:val="clear" w:color="auto" w:fill="auto"/>
            <w:noWrap/>
            <w:vAlign w:val="center"/>
            <w:hideMark/>
          </w:tcPr>
          <w:p w14:paraId="3FE20657" w14:textId="77777777" w:rsidR="009B5DE5" w:rsidRPr="009B5DE5" w:rsidRDefault="009B5DE5" w:rsidP="009B5DE5">
            <w:pPr>
              <w:spacing w:after="0"/>
              <w:jc w:val="right"/>
              <w:outlineLvl w:val="0"/>
              <w:rPr>
                <w:rFonts w:eastAsia="Times New Roman" w:cs="Times New Roman"/>
                <w:sz w:val="20"/>
                <w:szCs w:val="20"/>
              </w:rPr>
            </w:pPr>
            <w:bookmarkStart w:id="87" w:name="_Toc185341539"/>
            <w:bookmarkStart w:id="88" w:name="_Toc185342355"/>
            <w:r w:rsidRPr="009B5DE5">
              <w:rPr>
                <w:rFonts w:eastAsia="Times New Roman" w:cs="Times New Roman"/>
                <w:sz w:val="20"/>
                <w:szCs w:val="20"/>
              </w:rPr>
              <w:t>-49</w:t>
            </w:r>
            <w:bookmarkEnd w:id="87"/>
            <w:bookmarkEnd w:id="88"/>
          </w:p>
        </w:tc>
        <w:tc>
          <w:tcPr>
            <w:tcW w:w="922" w:type="dxa"/>
            <w:tcBorders>
              <w:top w:val="nil"/>
              <w:left w:val="single" w:sz="4" w:space="0" w:color="auto"/>
              <w:bottom w:val="dotted" w:sz="4" w:space="0" w:color="auto"/>
              <w:right w:val="nil"/>
            </w:tcBorders>
            <w:shd w:val="clear" w:color="auto" w:fill="auto"/>
            <w:noWrap/>
            <w:vAlign w:val="center"/>
            <w:hideMark/>
          </w:tcPr>
          <w:p w14:paraId="5D1A12CB" w14:textId="77777777" w:rsidR="009B5DE5" w:rsidRPr="009B5DE5" w:rsidRDefault="009B5DE5" w:rsidP="009B5DE5">
            <w:pPr>
              <w:spacing w:after="0"/>
              <w:jc w:val="right"/>
              <w:outlineLvl w:val="0"/>
              <w:rPr>
                <w:rFonts w:eastAsia="Times New Roman" w:cs="Times New Roman"/>
                <w:sz w:val="20"/>
                <w:szCs w:val="20"/>
              </w:rPr>
            </w:pPr>
            <w:bookmarkStart w:id="89" w:name="_Toc185341540"/>
            <w:bookmarkStart w:id="90" w:name="_Toc185342356"/>
            <w:r w:rsidRPr="009B5DE5">
              <w:rPr>
                <w:rFonts w:eastAsia="Times New Roman" w:cs="Times New Roman"/>
                <w:sz w:val="20"/>
                <w:szCs w:val="20"/>
              </w:rPr>
              <w:t>-72</w:t>
            </w:r>
            <w:bookmarkEnd w:id="89"/>
            <w:bookmarkEnd w:id="90"/>
          </w:p>
        </w:tc>
        <w:tc>
          <w:tcPr>
            <w:tcW w:w="922" w:type="dxa"/>
            <w:tcBorders>
              <w:top w:val="nil"/>
              <w:left w:val="single" w:sz="4" w:space="0" w:color="auto"/>
              <w:bottom w:val="dotted" w:sz="4" w:space="0" w:color="auto"/>
              <w:right w:val="nil"/>
            </w:tcBorders>
            <w:shd w:val="clear" w:color="auto" w:fill="auto"/>
            <w:noWrap/>
            <w:vAlign w:val="center"/>
            <w:hideMark/>
          </w:tcPr>
          <w:p w14:paraId="4C4FD1C2" w14:textId="77777777" w:rsidR="009B5DE5" w:rsidRPr="009B5DE5" w:rsidRDefault="009B5DE5" w:rsidP="009B5DE5">
            <w:pPr>
              <w:spacing w:after="0"/>
              <w:jc w:val="right"/>
              <w:outlineLvl w:val="0"/>
              <w:rPr>
                <w:rFonts w:eastAsia="Times New Roman" w:cs="Times New Roman"/>
                <w:sz w:val="20"/>
                <w:szCs w:val="20"/>
              </w:rPr>
            </w:pPr>
            <w:bookmarkStart w:id="91" w:name="_Toc185341541"/>
            <w:bookmarkStart w:id="92" w:name="_Toc185342357"/>
            <w:r w:rsidRPr="009B5DE5">
              <w:rPr>
                <w:rFonts w:eastAsia="Times New Roman" w:cs="Times New Roman"/>
                <w:sz w:val="20"/>
                <w:szCs w:val="20"/>
              </w:rPr>
              <w:t>-144</w:t>
            </w:r>
            <w:bookmarkEnd w:id="91"/>
            <w:bookmarkEnd w:id="92"/>
          </w:p>
        </w:tc>
        <w:tc>
          <w:tcPr>
            <w:tcW w:w="922" w:type="dxa"/>
            <w:tcBorders>
              <w:top w:val="nil"/>
              <w:left w:val="single" w:sz="4" w:space="0" w:color="auto"/>
              <w:bottom w:val="dotted" w:sz="4" w:space="0" w:color="auto"/>
              <w:right w:val="double" w:sz="6" w:space="0" w:color="auto"/>
            </w:tcBorders>
            <w:shd w:val="clear" w:color="auto" w:fill="auto"/>
            <w:noWrap/>
            <w:vAlign w:val="center"/>
            <w:hideMark/>
          </w:tcPr>
          <w:p w14:paraId="2D2EDB6A" w14:textId="77777777" w:rsidR="009B5DE5" w:rsidRPr="009B5DE5" w:rsidRDefault="009B5DE5" w:rsidP="009B5DE5">
            <w:pPr>
              <w:spacing w:after="0"/>
              <w:jc w:val="right"/>
              <w:outlineLvl w:val="0"/>
              <w:rPr>
                <w:rFonts w:eastAsia="Times New Roman" w:cs="Times New Roman"/>
                <w:sz w:val="20"/>
                <w:szCs w:val="20"/>
              </w:rPr>
            </w:pPr>
            <w:bookmarkStart w:id="93" w:name="_Toc185341542"/>
            <w:bookmarkStart w:id="94" w:name="_Toc185342358"/>
            <w:r w:rsidRPr="009B5DE5">
              <w:rPr>
                <w:rFonts w:eastAsia="Times New Roman" w:cs="Times New Roman"/>
                <w:sz w:val="20"/>
                <w:szCs w:val="20"/>
              </w:rPr>
              <w:t>-180</w:t>
            </w:r>
            <w:bookmarkEnd w:id="93"/>
            <w:bookmarkEnd w:id="94"/>
          </w:p>
        </w:tc>
      </w:tr>
      <w:tr w:rsidR="009B5DE5" w:rsidRPr="009B5DE5" w14:paraId="2AD7B132" w14:textId="77777777" w:rsidTr="00396800">
        <w:trPr>
          <w:trHeight w:val="257"/>
        </w:trPr>
        <w:tc>
          <w:tcPr>
            <w:tcW w:w="6510" w:type="dxa"/>
            <w:tcBorders>
              <w:top w:val="nil"/>
              <w:left w:val="double" w:sz="6" w:space="0" w:color="auto"/>
              <w:bottom w:val="dotted" w:sz="4" w:space="0" w:color="auto"/>
              <w:right w:val="single" w:sz="4" w:space="0" w:color="auto"/>
            </w:tcBorders>
            <w:shd w:val="clear" w:color="auto" w:fill="auto"/>
            <w:vAlign w:val="center"/>
            <w:hideMark/>
          </w:tcPr>
          <w:p w14:paraId="2E308F69" w14:textId="77777777" w:rsidR="009B5DE5" w:rsidRPr="009B5DE5" w:rsidRDefault="009B5DE5" w:rsidP="009B5DE5">
            <w:pPr>
              <w:spacing w:after="0"/>
              <w:jc w:val="left"/>
              <w:outlineLvl w:val="0"/>
              <w:rPr>
                <w:rFonts w:eastAsia="Times New Roman" w:cs="Times New Roman"/>
                <w:sz w:val="20"/>
                <w:szCs w:val="20"/>
              </w:rPr>
            </w:pPr>
            <w:r w:rsidRPr="009B5DE5">
              <w:rPr>
                <w:rFonts w:eastAsia="Times New Roman" w:cs="Times New Roman"/>
                <w:sz w:val="20"/>
                <w:szCs w:val="20"/>
              </w:rPr>
              <w:t> </w:t>
            </w:r>
          </w:p>
        </w:tc>
        <w:tc>
          <w:tcPr>
            <w:tcW w:w="1624" w:type="dxa"/>
            <w:tcBorders>
              <w:top w:val="nil"/>
              <w:left w:val="nil"/>
              <w:bottom w:val="dotted" w:sz="4" w:space="0" w:color="auto"/>
              <w:right w:val="single" w:sz="4" w:space="0" w:color="auto"/>
            </w:tcBorders>
            <w:shd w:val="clear" w:color="auto" w:fill="auto"/>
            <w:noWrap/>
            <w:vAlign w:val="center"/>
            <w:hideMark/>
          </w:tcPr>
          <w:p w14:paraId="17FA87F0" w14:textId="77777777" w:rsidR="009B5DE5" w:rsidRPr="009B5DE5" w:rsidRDefault="009B5DE5" w:rsidP="009B5DE5">
            <w:pPr>
              <w:spacing w:after="0"/>
              <w:jc w:val="center"/>
              <w:outlineLvl w:val="0"/>
              <w:rPr>
                <w:rFonts w:eastAsia="Times New Roman" w:cs="Times New Roman"/>
                <w:sz w:val="20"/>
                <w:szCs w:val="20"/>
              </w:rPr>
            </w:pPr>
            <w:r w:rsidRPr="009B5DE5">
              <w:rPr>
                <w:rFonts w:eastAsia="Times New Roman" w:cs="Times New Roman"/>
                <w:sz w:val="20"/>
                <w:szCs w:val="20"/>
              </w:rPr>
              <w:t> </w:t>
            </w:r>
          </w:p>
        </w:tc>
        <w:tc>
          <w:tcPr>
            <w:tcW w:w="1279" w:type="dxa"/>
            <w:tcBorders>
              <w:top w:val="nil"/>
              <w:left w:val="single" w:sz="4" w:space="0" w:color="auto"/>
              <w:bottom w:val="dotted" w:sz="4" w:space="0" w:color="auto"/>
              <w:right w:val="single" w:sz="8" w:space="0" w:color="auto"/>
            </w:tcBorders>
            <w:shd w:val="clear" w:color="auto" w:fill="auto"/>
            <w:noWrap/>
            <w:vAlign w:val="center"/>
            <w:hideMark/>
          </w:tcPr>
          <w:p w14:paraId="013DBF09" w14:textId="77777777" w:rsidR="009B5DE5" w:rsidRPr="009B5DE5" w:rsidRDefault="009B5DE5" w:rsidP="009B5DE5">
            <w:pPr>
              <w:spacing w:after="0"/>
              <w:jc w:val="center"/>
              <w:outlineLvl w:val="0"/>
              <w:rPr>
                <w:rFonts w:eastAsia="Times New Roman" w:cs="Times New Roman"/>
                <w:sz w:val="20"/>
                <w:szCs w:val="20"/>
              </w:rPr>
            </w:pPr>
            <w:r w:rsidRPr="009B5DE5">
              <w:rPr>
                <w:rFonts w:eastAsia="Times New Roman" w:cs="Times New Roman"/>
                <w:sz w:val="20"/>
                <w:szCs w:val="20"/>
              </w:rPr>
              <w:t> </w:t>
            </w:r>
          </w:p>
        </w:tc>
        <w:tc>
          <w:tcPr>
            <w:tcW w:w="922" w:type="dxa"/>
            <w:tcBorders>
              <w:top w:val="nil"/>
              <w:left w:val="nil"/>
              <w:bottom w:val="dotted" w:sz="4" w:space="0" w:color="auto"/>
              <w:right w:val="single" w:sz="4" w:space="0" w:color="auto"/>
            </w:tcBorders>
            <w:shd w:val="clear" w:color="auto" w:fill="auto"/>
            <w:noWrap/>
            <w:vAlign w:val="center"/>
            <w:hideMark/>
          </w:tcPr>
          <w:p w14:paraId="38D65C44" w14:textId="77777777" w:rsidR="009B5DE5" w:rsidRPr="009B5DE5" w:rsidRDefault="009B5DE5" w:rsidP="009B5DE5">
            <w:pPr>
              <w:spacing w:after="0"/>
              <w:jc w:val="left"/>
              <w:outlineLvl w:val="0"/>
              <w:rPr>
                <w:rFonts w:eastAsia="Times New Roman" w:cs="Times New Roman"/>
                <w:sz w:val="20"/>
                <w:szCs w:val="20"/>
              </w:rPr>
            </w:pPr>
            <w:r w:rsidRPr="009B5DE5">
              <w:rPr>
                <w:rFonts w:eastAsia="Times New Roman" w:cs="Times New Roman"/>
                <w:sz w:val="20"/>
                <w:szCs w:val="20"/>
              </w:rPr>
              <w:t> </w:t>
            </w:r>
          </w:p>
        </w:tc>
        <w:tc>
          <w:tcPr>
            <w:tcW w:w="922" w:type="dxa"/>
            <w:tcBorders>
              <w:top w:val="nil"/>
              <w:left w:val="nil"/>
              <w:bottom w:val="dotted" w:sz="4" w:space="0" w:color="auto"/>
              <w:right w:val="single" w:sz="4" w:space="0" w:color="auto"/>
            </w:tcBorders>
            <w:shd w:val="clear" w:color="auto" w:fill="auto"/>
            <w:noWrap/>
            <w:vAlign w:val="center"/>
            <w:hideMark/>
          </w:tcPr>
          <w:p w14:paraId="129E65B0" w14:textId="77777777" w:rsidR="009B5DE5" w:rsidRPr="009B5DE5" w:rsidRDefault="009B5DE5" w:rsidP="009B5DE5">
            <w:pPr>
              <w:spacing w:after="0"/>
              <w:jc w:val="left"/>
              <w:outlineLvl w:val="0"/>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nil"/>
            </w:tcBorders>
            <w:shd w:val="clear" w:color="auto" w:fill="auto"/>
            <w:noWrap/>
            <w:vAlign w:val="center"/>
            <w:hideMark/>
          </w:tcPr>
          <w:p w14:paraId="61AFCCBB" w14:textId="77777777" w:rsidR="009B5DE5" w:rsidRPr="009B5DE5" w:rsidRDefault="009B5DE5" w:rsidP="009B5DE5">
            <w:pPr>
              <w:spacing w:after="0"/>
              <w:jc w:val="left"/>
              <w:outlineLvl w:val="0"/>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nil"/>
            </w:tcBorders>
            <w:shd w:val="clear" w:color="auto" w:fill="auto"/>
            <w:noWrap/>
            <w:vAlign w:val="center"/>
            <w:hideMark/>
          </w:tcPr>
          <w:p w14:paraId="304DF9D3" w14:textId="77777777" w:rsidR="009B5DE5" w:rsidRPr="009B5DE5" w:rsidRDefault="009B5DE5" w:rsidP="009B5DE5">
            <w:pPr>
              <w:spacing w:after="0"/>
              <w:jc w:val="left"/>
              <w:outlineLvl w:val="0"/>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nil"/>
            </w:tcBorders>
            <w:shd w:val="clear" w:color="auto" w:fill="auto"/>
            <w:noWrap/>
            <w:vAlign w:val="center"/>
            <w:hideMark/>
          </w:tcPr>
          <w:p w14:paraId="3A75EFF7" w14:textId="77777777" w:rsidR="009B5DE5" w:rsidRPr="009B5DE5" w:rsidRDefault="009B5DE5" w:rsidP="009B5DE5">
            <w:pPr>
              <w:spacing w:after="0"/>
              <w:jc w:val="left"/>
              <w:outlineLvl w:val="0"/>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double" w:sz="6" w:space="0" w:color="auto"/>
            </w:tcBorders>
            <w:shd w:val="clear" w:color="auto" w:fill="auto"/>
            <w:noWrap/>
            <w:vAlign w:val="center"/>
            <w:hideMark/>
          </w:tcPr>
          <w:p w14:paraId="5983A82D" w14:textId="77777777" w:rsidR="009B5DE5" w:rsidRPr="009B5DE5" w:rsidRDefault="009B5DE5" w:rsidP="009B5DE5">
            <w:pPr>
              <w:spacing w:after="0"/>
              <w:jc w:val="left"/>
              <w:outlineLvl w:val="0"/>
              <w:rPr>
                <w:rFonts w:eastAsia="Times New Roman" w:cs="Times New Roman"/>
                <w:sz w:val="20"/>
                <w:szCs w:val="20"/>
              </w:rPr>
            </w:pPr>
            <w:r w:rsidRPr="009B5DE5">
              <w:rPr>
                <w:rFonts w:eastAsia="Times New Roman" w:cs="Times New Roman"/>
                <w:sz w:val="20"/>
                <w:szCs w:val="20"/>
              </w:rPr>
              <w:t> </w:t>
            </w:r>
          </w:p>
        </w:tc>
      </w:tr>
      <w:tr w:rsidR="009B5DE5" w:rsidRPr="009B5DE5" w14:paraId="4B297AEB" w14:textId="77777777" w:rsidTr="00396800">
        <w:trPr>
          <w:trHeight w:val="269"/>
        </w:trPr>
        <w:tc>
          <w:tcPr>
            <w:tcW w:w="6510" w:type="dxa"/>
            <w:tcBorders>
              <w:top w:val="nil"/>
              <w:left w:val="double" w:sz="6" w:space="0" w:color="auto"/>
              <w:bottom w:val="single" w:sz="8" w:space="0" w:color="auto"/>
              <w:right w:val="single" w:sz="4" w:space="0" w:color="auto"/>
            </w:tcBorders>
            <w:shd w:val="clear" w:color="auto" w:fill="auto"/>
            <w:vAlign w:val="center"/>
            <w:hideMark/>
          </w:tcPr>
          <w:p w14:paraId="2FB5A5C1" w14:textId="77777777" w:rsidR="009B5DE5" w:rsidRPr="009B5DE5" w:rsidRDefault="009B5DE5" w:rsidP="009B5DE5">
            <w:pPr>
              <w:spacing w:after="0"/>
              <w:jc w:val="left"/>
              <w:outlineLvl w:val="0"/>
              <w:rPr>
                <w:rFonts w:eastAsia="Times New Roman" w:cs="Times New Roman"/>
                <w:sz w:val="20"/>
                <w:szCs w:val="20"/>
              </w:rPr>
            </w:pPr>
            <w:r w:rsidRPr="009B5DE5">
              <w:rPr>
                <w:rFonts w:eastAsia="Times New Roman" w:cs="Times New Roman"/>
                <w:sz w:val="20"/>
                <w:szCs w:val="20"/>
              </w:rPr>
              <w:t> </w:t>
            </w:r>
          </w:p>
        </w:tc>
        <w:tc>
          <w:tcPr>
            <w:tcW w:w="1624" w:type="dxa"/>
            <w:tcBorders>
              <w:top w:val="nil"/>
              <w:left w:val="single" w:sz="4" w:space="0" w:color="auto"/>
              <w:bottom w:val="nil"/>
              <w:right w:val="single" w:sz="4" w:space="0" w:color="auto"/>
            </w:tcBorders>
            <w:shd w:val="clear" w:color="auto" w:fill="auto"/>
            <w:noWrap/>
            <w:vAlign w:val="center"/>
            <w:hideMark/>
          </w:tcPr>
          <w:p w14:paraId="66A4A7BD" w14:textId="77777777" w:rsidR="009B5DE5" w:rsidRPr="009B5DE5" w:rsidRDefault="009B5DE5" w:rsidP="009B5DE5">
            <w:pPr>
              <w:spacing w:after="0"/>
              <w:jc w:val="left"/>
              <w:outlineLvl w:val="0"/>
              <w:rPr>
                <w:rFonts w:eastAsia="Times New Roman" w:cs="Times New Roman"/>
                <w:sz w:val="20"/>
                <w:szCs w:val="20"/>
              </w:rPr>
            </w:pPr>
            <w:r w:rsidRPr="009B5DE5">
              <w:rPr>
                <w:rFonts w:eastAsia="Times New Roman" w:cs="Times New Roman"/>
                <w:sz w:val="20"/>
                <w:szCs w:val="20"/>
              </w:rPr>
              <w:t> </w:t>
            </w:r>
          </w:p>
        </w:tc>
        <w:tc>
          <w:tcPr>
            <w:tcW w:w="1279" w:type="dxa"/>
            <w:tcBorders>
              <w:top w:val="nil"/>
              <w:left w:val="nil"/>
              <w:bottom w:val="nil"/>
              <w:right w:val="single" w:sz="8" w:space="0" w:color="auto"/>
            </w:tcBorders>
            <w:shd w:val="clear" w:color="auto" w:fill="auto"/>
            <w:noWrap/>
            <w:vAlign w:val="center"/>
            <w:hideMark/>
          </w:tcPr>
          <w:p w14:paraId="55C3FA91" w14:textId="77777777" w:rsidR="009B5DE5" w:rsidRPr="009B5DE5" w:rsidRDefault="009B5DE5" w:rsidP="009B5DE5">
            <w:pPr>
              <w:spacing w:after="0"/>
              <w:jc w:val="center"/>
              <w:outlineLvl w:val="0"/>
              <w:rPr>
                <w:rFonts w:eastAsia="Times New Roman" w:cs="Times New Roman"/>
                <w:sz w:val="20"/>
                <w:szCs w:val="20"/>
              </w:rPr>
            </w:pPr>
            <w:r w:rsidRPr="009B5DE5">
              <w:rPr>
                <w:rFonts w:eastAsia="Times New Roman" w:cs="Times New Roman"/>
                <w:sz w:val="20"/>
                <w:szCs w:val="20"/>
              </w:rPr>
              <w:t> </w:t>
            </w:r>
          </w:p>
        </w:tc>
        <w:tc>
          <w:tcPr>
            <w:tcW w:w="922" w:type="dxa"/>
            <w:tcBorders>
              <w:top w:val="nil"/>
              <w:left w:val="nil"/>
              <w:bottom w:val="nil"/>
              <w:right w:val="single" w:sz="4" w:space="0" w:color="auto"/>
            </w:tcBorders>
            <w:shd w:val="clear" w:color="auto" w:fill="auto"/>
            <w:noWrap/>
            <w:vAlign w:val="center"/>
            <w:hideMark/>
          </w:tcPr>
          <w:p w14:paraId="5A705EA5" w14:textId="77777777" w:rsidR="009B5DE5" w:rsidRPr="009B5DE5" w:rsidRDefault="009B5DE5" w:rsidP="009B5DE5">
            <w:pPr>
              <w:spacing w:after="0"/>
              <w:jc w:val="left"/>
              <w:outlineLvl w:val="0"/>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nil"/>
              <w:right w:val="single" w:sz="4" w:space="0" w:color="auto"/>
            </w:tcBorders>
            <w:shd w:val="clear" w:color="auto" w:fill="auto"/>
            <w:noWrap/>
            <w:vAlign w:val="center"/>
            <w:hideMark/>
          </w:tcPr>
          <w:p w14:paraId="23EBD535" w14:textId="77777777" w:rsidR="009B5DE5" w:rsidRPr="009B5DE5" w:rsidRDefault="009B5DE5" w:rsidP="009B5DE5">
            <w:pPr>
              <w:spacing w:after="0"/>
              <w:jc w:val="left"/>
              <w:outlineLvl w:val="0"/>
              <w:rPr>
                <w:rFonts w:eastAsia="Times New Roman" w:cs="Times New Roman"/>
                <w:sz w:val="20"/>
                <w:szCs w:val="20"/>
              </w:rPr>
            </w:pPr>
            <w:r w:rsidRPr="009B5DE5">
              <w:rPr>
                <w:rFonts w:eastAsia="Times New Roman" w:cs="Times New Roman"/>
                <w:sz w:val="20"/>
                <w:szCs w:val="20"/>
              </w:rPr>
              <w:t> </w:t>
            </w:r>
          </w:p>
        </w:tc>
        <w:tc>
          <w:tcPr>
            <w:tcW w:w="922" w:type="dxa"/>
            <w:tcBorders>
              <w:top w:val="nil"/>
              <w:left w:val="nil"/>
              <w:bottom w:val="nil"/>
              <w:right w:val="nil"/>
            </w:tcBorders>
            <w:shd w:val="clear" w:color="auto" w:fill="auto"/>
            <w:noWrap/>
            <w:vAlign w:val="center"/>
            <w:hideMark/>
          </w:tcPr>
          <w:p w14:paraId="295F0FFF" w14:textId="77777777" w:rsidR="009B5DE5" w:rsidRPr="009B5DE5" w:rsidRDefault="009B5DE5" w:rsidP="009B5DE5">
            <w:pPr>
              <w:spacing w:after="0"/>
              <w:jc w:val="left"/>
              <w:outlineLvl w:val="0"/>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nil"/>
              <w:right w:val="nil"/>
            </w:tcBorders>
            <w:shd w:val="clear" w:color="auto" w:fill="auto"/>
            <w:noWrap/>
            <w:vAlign w:val="center"/>
            <w:hideMark/>
          </w:tcPr>
          <w:p w14:paraId="3EF576E3" w14:textId="77777777" w:rsidR="009B5DE5" w:rsidRPr="009B5DE5" w:rsidRDefault="009B5DE5" w:rsidP="009B5DE5">
            <w:pPr>
              <w:spacing w:after="0"/>
              <w:jc w:val="left"/>
              <w:outlineLvl w:val="0"/>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nil"/>
              <w:right w:val="nil"/>
            </w:tcBorders>
            <w:shd w:val="clear" w:color="auto" w:fill="auto"/>
            <w:noWrap/>
            <w:vAlign w:val="center"/>
            <w:hideMark/>
          </w:tcPr>
          <w:p w14:paraId="69DEC6B7" w14:textId="77777777" w:rsidR="009B5DE5" w:rsidRPr="009B5DE5" w:rsidRDefault="009B5DE5" w:rsidP="009B5DE5">
            <w:pPr>
              <w:spacing w:after="0"/>
              <w:jc w:val="left"/>
              <w:outlineLvl w:val="0"/>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nil"/>
              <w:right w:val="double" w:sz="6" w:space="0" w:color="auto"/>
            </w:tcBorders>
            <w:shd w:val="clear" w:color="auto" w:fill="auto"/>
            <w:noWrap/>
            <w:vAlign w:val="center"/>
            <w:hideMark/>
          </w:tcPr>
          <w:p w14:paraId="227A5C09" w14:textId="77777777" w:rsidR="009B5DE5" w:rsidRPr="009B5DE5" w:rsidRDefault="009B5DE5" w:rsidP="009B5DE5">
            <w:pPr>
              <w:spacing w:after="0"/>
              <w:jc w:val="left"/>
              <w:outlineLvl w:val="0"/>
              <w:rPr>
                <w:rFonts w:eastAsia="Times New Roman" w:cs="Times New Roman"/>
                <w:sz w:val="20"/>
                <w:szCs w:val="20"/>
              </w:rPr>
            </w:pPr>
            <w:r w:rsidRPr="009B5DE5">
              <w:rPr>
                <w:rFonts w:eastAsia="Times New Roman" w:cs="Times New Roman"/>
                <w:sz w:val="20"/>
                <w:szCs w:val="20"/>
              </w:rPr>
              <w:t> </w:t>
            </w:r>
          </w:p>
        </w:tc>
      </w:tr>
      <w:tr w:rsidR="009B5DE5" w:rsidRPr="009B5DE5" w14:paraId="576ADBB9" w14:textId="77777777" w:rsidTr="00396800">
        <w:trPr>
          <w:trHeight w:val="257"/>
        </w:trPr>
        <w:tc>
          <w:tcPr>
            <w:tcW w:w="6510" w:type="dxa"/>
            <w:tcBorders>
              <w:top w:val="nil"/>
              <w:left w:val="double" w:sz="6" w:space="0" w:color="auto"/>
              <w:bottom w:val="single" w:sz="8" w:space="0" w:color="auto"/>
              <w:right w:val="single" w:sz="4" w:space="0" w:color="auto"/>
            </w:tcBorders>
            <w:shd w:val="clear" w:color="auto" w:fill="auto"/>
            <w:vAlign w:val="center"/>
            <w:hideMark/>
          </w:tcPr>
          <w:p w14:paraId="115D6550"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2904" w:type="dxa"/>
            <w:gridSpan w:val="2"/>
            <w:tcBorders>
              <w:top w:val="single" w:sz="8" w:space="0" w:color="auto"/>
              <w:left w:val="nil"/>
              <w:bottom w:val="single" w:sz="8" w:space="0" w:color="auto"/>
              <w:right w:val="single" w:sz="8" w:space="0" w:color="000000"/>
            </w:tcBorders>
            <w:shd w:val="clear" w:color="auto" w:fill="auto"/>
            <w:vAlign w:val="center"/>
            <w:hideMark/>
          </w:tcPr>
          <w:p w14:paraId="47045CA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Међузбир</w:t>
            </w:r>
          </w:p>
        </w:tc>
        <w:tc>
          <w:tcPr>
            <w:tcW w:w="922" w:type="dxa"/>
            <w:tcBorders>
              <w:top w:val="single" w:sz="8" w:space="0" w:color="auto"/>
              <w:left w:val="nil"/>
              <w:bottom w:val="single" w:sz="8" w:space="0" w:color="auto"/>
              <w:right w:val="single" w:sz="4" w:space="0" w:color="auto"/>
            </w:tcBorders>
            <w:shd w:val="clear" w:color="auto" w:fill="auto"/>
            <w:noWrap/>
            <w:vAlign w:val="center"/>
            <w:hideMark/>
          </w:tcPr>
          <w:p w14:paraId="0D63E537"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-272,4</w:t>
            </w:r>
          </w:p>
        </w:tc>
        <w:tc>
          <w:tcPr>
            <w:tcW w:w="922" w:type="dxa"/>
            <w:tcBorders>
              <w:top w:val="single" w:sz="8" w:space="0" w:color="auto"/>
              <w:left w:val="nil"/>
              <w:bottom w:val="single" w:sz="8" w:space="0" w:color="auto"/>
              <w:right w:val="single" w:sz="4" w:space="0" w:color="auto"/>
            </w:tcBorders>
            <w:shd w:val="clear" w:color="auto" w:fill="auto"/>
            <w:noWrap/>
            <w:vAlign w:val="center"/>
            <w:hideMark/>
          </w:tcPr>
          <w:p w14:paraId="4C5D2155"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-110,1</w:t>
            </w:r>
          </w:p>
        </w:tc>
        <w:tc>
          <w:tcPr>
            <w:tcW w:w="922" w:type="dxa"/>
            <w:tcBorders>
              <w:top w:val="single" w:sz="8" w:space="0" w:color="auto"/>
              <w:left w:val="nil"/>
              <w:bottom w:val="single" w:sz="8" w:space="0" w:color="auto"/>
              <w:right w:val="nil"/>
            </w:tcBorders>
            <w:shd w:val="clear" w:color="auto" w:fill="auto"/>
            <w:noWrap/>
            <w:vAlign w:val="center"/>
            <w:hideMark/>
          </w:tcPr>
          <w:p w14:paraId="2BD4961E"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-65</w:t>
            </w:r>
          </w:p>
        </w:tc>
        <w:tc>
          <w:tcPr>
            <w:tcW w:w="922" w:type="dxa"/>
            <w:tcBorders>
              <w:top w:val="single" w:sz="8" w:space="0" w:color="auto"/>
              <w:left w:val="single" w:sz="4" w:space="0" w:color="auto"/>
              <w:bottom w:val="single" w:sz="8" w:space="0" w:color="auto"/>
              <w:right w:val="nil"/>
            </w:tcBorders>
            <w:shd w:val="clear" w:color="auto" w:fill="auto"/>
            <w:noWrap/>
            <w:vAlign w:val="center"/>
            <w:hideMark/>
          </w:tcPr>
          <w:p w14:paraId="158FC761"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-72</w:t>
            </w:r>
          </w:p>
        </w:tc>
        <w:tc>
          <w:tcPr>
            <w:tcW w:w="922" w:type="dxa"/>
            <w:tcBorders>
              <w:top w:val="single" w:sz="8" w:space="0" w:color="auto"/>
              <w:left w:val="single" w:sz="4" w:space="0" w:color="auto"/>
              <w:bottom w:val="single" w:sz="8" w:space="0" w:color="auto"/>
              <w:right w:val="nil"/>
            </w:tcBorders>
            <w:shd w:val="clear" w:color="auto" w:fill="auto"/>
            <w:noWrap/>
            <w:vAlign w:val="center"/>
            <w:hideMark/>
          </w:tcPr>
          <w:p w14:paraId="47E09CD8"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-144</w:t>
            </w:r>
          </w:p>
        </w:tc>
        <w:tc>
          <w:tcPr>
            <w:tcW w:w="922" w:type="dxa"/>
            <w:tcBorders>
              <w:top w:val="single" w:sz="8" w:space="0" w:color="auto"/>
              <w:left w:val="single" w:sz="4" w:space="0" w:color="auto"/>
              <w:bottom w:val="single" w:sz="8" w:space="0" w:color="auto"/>
              <w:right w:val="double" w:sz="6" w:space="0" w:color="auto"/>
            </w:tcBorders>
            <w:shd w:val="clear" w:color="auto" w:fill="auto"/>
            <w:noWrap/>
            <w:vAlign w:val="center"/>
            <w:hideMark/>
          </w:tcPr>
          <w:p w14:paraId="0EEDE4B0"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-180</w:t>
            </w:r>
          </w:p>
        </w:tc>
      </w:tr>
      <w:tr w:rsidR="009B5DE5" w:rsidRPr="009B5DE5" w14:paraId="7ACE7639" w14:textId="77777777" w:rsidTr="00396800">
        <w:trPr>
          <w:trHeight w:val="257"/>
        </w:trPr>
        <w:tc>
          <w:tcPr>
            <w:tcW w:w="6510" w:type="dxa"/>
            <w:tcBorders>
              <w:top w:val="nil"/>
              <w:left w:val="double" w:sz="6" w:space="0" w:color="auto"/>
              <w:bottom w:val="single" w:sz="4" w:space="0" w:color="auto"/>
              <w:right w:val="single" w:sz="4" w:space="0" w:color="auto"/>
            </w:tcBorders>
            <w:shd w:val="clear" w:color="auto" w:fill="auto"/>
            <w:vAlign w:val="center"/>
            <w:hideMark/>
          </w:tcPr>
          <w:p w14:paraId="397C335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i/>
                <w:iCs/>
                <w:sz w:val="20"/>
                <w:szCs w:val="20"/>
              </w:rPr>
              <w:t>Мере које нису привремене</w:t>
            </w:r>
            <w:r w:rsidRPr="009B5DE5">
              <w:rPr>
                <w:rFonts w:eastAsia="Times New Roman" w:cs="Times New Roman"/>
                <w:sz w:val="20"/>
                <w:szCs w:val="20"/>
                <w:vertAlign w:val="superscript"/>
              </w:rPr>
              <w:t>1</w:t>
            </w:r>
          </w:p>
        </w:tc>
        <w:tc>
          <w:tcPr>
            <w:tcW w:w="1624" w:type="dxa"/>
            <w:tcBorders>
              <w:top w:val="nil"/>
              <w:left w:val="single" w:sz="4" w:space="0" w:color="auto"/>
              <w:bottom w:val="nil"/>
              <w:right w:val="single" w:sz="4" w:space="0" w:color="auto"/>
            </w:tcBorders>
            <w:shd w:val="clear" w:color="auto" w:fill="auto"/>
            <w:noWrap/>
            <w:vAlign w:val="center"/>
            <w:hideMark/>
          </w:tcPr>
          <w:p w14:paraId="6CCAFA28"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279" w:type="dxa"/>
            <w:tcBorders>
              <w:top w:val="nil"/>
              <w:left w:val="single" w:sz="4" w:space="0" w:color="auto"/>
              <w:bottom w:val="single" w:sz="4" w:space="0" w:color="auto"/>
              <w:right w:val="single" w:sz="8" w:space="0" w:color="auto"/>
            </w:tcBorders>
            <w:shd w:val="clear" w:color="auto" w:fill="auto"/>
            <w:noWrap/>
            <w:vAlign w:val="center"/>
            <w:hideMark/>
          </w:tcPr>
          <w:p w14:paraId="41EBB10A"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nil"/>
              <w:bottom w:val="nil"/>
              <w:right w:val="single" w:sz="4" w:space="0" w:color="auto"/>
            </w:tcBorders>
            <w:shd w:val="clear" w:color="auto" w:fill="auto"/>
            <w:noWrap/>
            <w:vAlign w:val="center"/>
            <w:hideMark/>
          </w:tcPr>
          <w:p w14:paraId="09F3A4AD"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nil"/>
              <w:bottom w:val="nil"/>
              <w:right w:val="single" w:sz="4" w:space="0" w:color="auto"/>
            </w:tcBorders>
            <w:shd w:val="clear" w:color="auto" w:fill="auto"/>
            <w:noWrap/>
            <w:vAlign w:val="center"/>
            <w:hideMark/>
          </w:tcPr>
          <w:p w14:paraId="630144BB"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nil"/>
              <w:right w:val="nil"/>
            </w:tcBorders>
            <w:shd w:val="clear" w:color="auto" w:fill="auto"/>
            <w:noWrap/>
            <w:vAlign w:val="center"/>
            <w:hideMark/>
          </w:tcPr>
          <w:p w14:paraId="42B6A981"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nil"/>
              <w:right w:val="nil"/>
            </w:tcBorders>
            <w:shd w:val="clear" w:color="auto" w:fill="auto"/>
            <w:noWrap/>
            <w:vAlign w:val="center"/>
            <w:hideMark/>
          </w:tcPr>
          <w:p w14:paraId="74917F18"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nil"/>
              <w:right w:val="nil"/>
            </w:tcBorders>
            <w:shd w:val="clear" w:color="auto" w:fill="auto"/>
            <w:noWrap/>
            <w:vAlign w:val="center"/>
            <w:hideMark/>
          </w:tcPr>
          <w:p w14:paraId="0CC5B5A1"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nil"/>
              <w:right w:val="double" w:sz="6" w:space="0" w:color="auto"/>
            </w:tcBorders>
            <w:shd w:val="clear" w:color="auto" w:fill="auto"/>
            <w:noWrap/>
            <w:vAlign w:val="center"/>
            <w:hideMark/>
          </w:tcPr>
          <w:p w14:paraId="17D5A959"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r>
      <w:tr w:rsidR="009B5DE5" w:rsidRPr="009B5DE5" w14:paraId="33A06C04" w14:textId="77777777" w:rsidTr="00396800">
        <w:trPr>
          <w:trHeight w:val="626"/>
        </w:trPr>
        <w:tc>
          <w:tcPr>
            <w:tcW w:w="6510" w:type="dxa"/>
            <w:tcBorders>
              <w:top w:val="nil"/>
              <w:left w:val="double" w:sz="6" w:space="0" w:color="auto"/>
              <w:bottom w:val="dotted" w:sz="4" w:space="0" w:color="auto"/>
              <w:right w:val="single" w:sz="4" w:space="0" w:color="auto"/>
            </w:tcBorders>
            <w:shd w:val="clear" w:color="auto" w:fill="auto"/>
            <w:vAlign w:val="center"/>
            <w:hideMark/>
          </w:tcPr>
          <w:p w14:paraId="5D9A6011"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xml:space="preserve">Смањење доприноса за пио и повећање неопорезивог цензуса </w:t>
            </w:r>
          </w:p>
        </w:tc>
        <w:tc>
          <w:tcPr>
            <w:tcW w:w="1624" w:type="dxa"/>
            <w:tcBorders>
              <w:top w:val="single" w:sz="4" w:space="0" w:color="auto"/>
              <w:left w:val="nil"/>
              <w:bottom w:val="dotted" w:sz="4" w:space="0" w:color="auto"/>
              <w:right w:val="single" w:sz="4" w:space="0" w:color="auto"/>
            </w:tcBorders>
            <w:shd w:val="clear" w:color="auto" w:fill="auto"/>
            <w:noWrap/>
            <w:vAlign w:val="center"/>
            <w:hideMark/>
          </w:tcPr>
          <w:p w14:paraId="066453A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D5, D61</w:t>
            </w:r>
          </w:p>
        </w:tc>
        <w:tc>
          <w:tcPr>
            <w:tcW w:w="1279" w:type="dxa"/>
            <w:tcBorders>
              <w:top w:val="nil"/>
              <w:left w:val="single" w:sz="4" w:space="0" w:color="auto"/>
              <w:bottom w:val="dotted" w:sz="4" w:space="0" w:color="auto"/>
              <w:right w:val="single" w:sz="8" w:space="0" w:color="auto"/>
            </w:tcBorders>
            <w:shd w:val="clear" w:color="auto" w:fill="auto"/>
            <w:vAlign w:val="center"/>
            <w:hideMark/>
          </w:tcPr>
          <w:p w14:paraId="51EA019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2019-11;2020-11;2021-11;2022-11</w:t>
            </w:r>
          </w:p>
        </w:tc>
        <w:tc>
          <w:tcPr>
            <w:tcW w:w="922" w:type="dxa"/>
            <w:tcBorders>
              <w:top w:val="single" w:sz="4" w:space="0" w:color="auto"/>
              <w:left w:val="single" w:sz="4" w:space="0" w:color="auto"/>
              <w:bottom w:val="dotted" w:sz="4" w:space="0" w:color="auto"/>
              <w:right w:val="nil"/>
            </w:tcBorders>
            <w:shd w:val="clear" w:color="auto" w:fill="auto"/>
            <w:noWrap/>
            <w:vAlign w:val="center"/>
            <w:hideMark/>
          </w:tcPr>
          <w:p w14:paraId="194BC21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-16,2</w:t>
            </w:r>
          </w:p>
        </w:tc>
        <w:tc>
          <w:tcPr>
            <w:tcW w:w="922" w:type="dxa"/>
            <w:tcBorders>
              <w:top w:val="single" w:sz="4" w:space="0" w:color="auto"/>
              <w:left w:val="single" w:sz="4" w:space="0" w:color="auto"/>
              <w:bottom w:val="dotted" w:sz="4" w:space="0" w:color="auto"/>
              <w:right w:val="single" w:sz="4" w:space="0" w:color="auto"/>
            </w:tcBorders>
            <w:shd w:val="clear" w:color="auto" w:fill="auto"/>
            <w:noWrap/>
            <w:vAlign w:val="center"/>
            <w:hideMark/>
          </w:tcPr>
          <w:p w14:paraId="0A62BE9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-41</w:t>
            </w:r>
          </w:p>
        </w:tc>
        <w:tc>
          <w:tcPr>
            <w:tcW w:w="922" w:type="dxa"/>
            <w:tcBorders>
              <w:top w:val="single" w:sz="4" w:space="0" w:color="auto"/>
              <w:left w:val="nil"/>
              <w:bottom w:val="dotted" w:sz="4" w:space="0" w:color="auto"/>
              <w:right w:val="nil"/>
            </w:tcBorders>
            <w:shd w:val="clear" w:color="auto" w:fill="auto"/>
            <w:noWrap/>
            <w:vAlign w:val="center"/>
            <w:hideMark/>
          </w:tcPr>
          <w:p w14:paraId="09363120"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single" w:sz="4" w:space="0" w:color="auto"/>
              <w:left w:val="single" w:sz="4" w:space="0" w:color="auto"/>
              <w:bottom w:val="dotted" w:sz="4" w:space="0" w:color="auto"/>
              <w:right w:val="nil"/>
            </w:tcBorders>
            <w:shd w:val="clear" w:color="auto" w:fill="auto"/>
            <w:noWrap/>
            <w:vAlign w:val="center"/>
            <w:hideMark/>
          </w:tcPr>
          <w:p w14:paraId="7F0747AD"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single" w:sz="4" w:space="0" w:color="auto"/>
              <w:left w:val="single" w:sz="4" w:space="0" w:color="auto"/>
              <w:bottom w:val="dotted" w:sz="4" w:space="0" w:color="auto"/>
              <w:right w:val="nil"/>
            </w:tcBorders>
            <w:shd w:val="clear" w:color="auto" w:fill="auto"/>
            <w:noWrap/>
            <w:vAlign w:val="center"/>
            <w:hideMark/>
          </w:tcPr>
          <w:p w14:paraId="5555BABF"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single" w:sz="4" w:space="0" w:color="auto"/>
              <w:left w:val="single" w:sz="4" w:space="0" w:color="auto"/>
              <w:bottom w:val="dotted" w:sz="4" w:space="0" w:color="auto"/>
              <w:right w:val="double" w:sz="6" w:space="0" w:color="auto"/>
            </w:tcBorders>
            <w:shd w:val="clear" w:color="auto" w:fill="auto"/>
            <w:noWrap/>
            <w:vAlign w:val="center"/>
            <w:hideMark/>
          </w:tcPr>
          <w:p w14:paraId="54EA17D0"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r>
      <w:tr w:rsidR="009B5DE5" w:rsidRPr="009B5DE5" w14:paraId="293F2194" w14:textId="77777777" w:rsidTr="00396800">
        <w:trPr>
          <w:trHeight w:val="257"/>
        </w:trPr>
        <w:tc>
          <w:tcPr>
            <w:tcW w:w="6510" w:type="dxa"/>
            <w:tcBorders>
              <w:top w:val="nil"/>
              <w:left w:val="double" w:sz="6" w:space="0" w:color="auto"/>
              <w:bottom w:val="dotted" w:sz="4" w:space="0" w:color="auto"/>
              <w:right w:val="single" w:sz="4" w:space="0" w:color="auto"/>
            </w:tcBorders>
            <w:shd w:val="clear" w:color="auto" w:fill="auto"/>
            <w:vAlign w:val="center"/>
            <w:hideMark/>
          </w:tcPr>
          <w:p w14:paraId="2C5CAD0C"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Измене демографске политике</w:t>
            </w:r>
          </w:p>
        </w:tc>
        <w:tc>
          <w:tcPr>
            <w:tcW w:w="1624" w:type="dxa"/>
            <w:tcBorders>
              <w:top w:val="nil"/>
              <w:left w:val="nil"/>
              <w:bottom w:val="dotted" w:sz="4" w:space="0" w:color="auto"/>
              <w:right w:val="single" w:sz="4" w:space="0" w:color="auto"/>
            </w:tcBorders>
            <w:shd w:val="clear" w:color="auto" w:fill="auto"/>
            <w:noWrap/>
            <w:vAlign w:val="center"/>
            <w:hideMark/>
          </w:tcPr>
          <w:p w14:paraId="7A6765C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D62</w:t>
            </w:r>
          </w:p>
        </w:tc>
        <w:tc>
          <w:tcPr>
            <w:tcW w:w="1279" w:type="dxa"/>
            <w:tcBorders>
              <w:top w:val="nil"/>
              <w:left w:val="single" w:sz="4" w:space="0" w:color="auto"/>
              <w:bottom w:val="dotted" w:sz="4" w:space="0" w:color="auto"/>
              <w:right w:val="single" w:sz="8" w:space="0" w:color="auto"/>
            </w:tcBorders>
            <w:shd w:val="clear" w:color="auto" w:fill="auto"/>
            <w:noWrap/>
            <w:vAlign w:val="center"/>
            <w:hideMark/>
          </w:tcPr>
          <w:p w14:paraId="6BB9250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2021-12</w:t>
            </w:r>
          </w:p>
        </w:tc>
        <w:tc>
          <w:tcPr>
            <w:tcW w:w="922" w:type="dxa"/>
            <w:tcBorders>
              <w:top w:val="nil"/>
              <w:left w:val="single" w:sz="4" w:space="0" w:color="auto"/>
              <w:bottom w:val="dotted" w:sz="4" w:space="0" w:color="auto"/>
              <w:right w:val="nil"/>
            </w:tcBorders>
            <w:shd w:val="clear" w:color="auto" w:fill="auto"/>
            <w:noWrap/>
            <w:vAlign w:val="center"/>
            <w:hideMark/>
          </w:tcPr>
          <w:p w14:paraId="38CEDA0F"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-15</w:t>
            </w:r>
          </w:p>
        </w:tc>
        <w:tc>
          <w:tcPr>
            <w:tcW w:w="922" w:type="dxa"/>
            <w:tcBorders>
              <w:top w:val="nil"/>
              <w:left w:val="single" w:sz="4" w:space="0" w:color="auto"/>
              <w:bottom w:val="dotted" w:sz="4" w:space="0" w:color="auto"/>
              <w:right w:val="nil"/>
            </w:tcBorders>
            <w:shd w:val="clear" w:color="auto" w:fill="auto"/>
            <w:noWrap/>
            <w:vAlign w:val="center"/>
            <w:hideMark/>
          </w:tcPr>
          <w:p w14:paraId="72903ACD"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-10</w:t>
            </w:r>
          </w:p>
        </w:tc>
        <w:tc>
          <w:tcPr>
            <w:tcW w:w="922" w:type="dxa"/>
            <w:tcBorders>
              <w:top w:val="nil"/>
              <w:left w:val="single" w:sz="4" w:space="0" w:color="auto"/>
              <w:bottom w:val="dotted" w:sz="4" w:space="0" w:color="auto"/>
              <w:right w:val="nil"/>
            </w:tcBorders>
            <w:shd w:val="clear" w:color="auto" w:fill="auto"/>
            <w:noWrap/>
            <w:vAlign w:val="center"/>
            <w:hideMark/>
          </w:tcPr>
          <w:p w14:paraId="222CC402"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nil"/>
            </w:tcBorders>
            <w:shd w:val="clear" w:color="auto" w:fill="auto"/>
            <w:noWrap/>
            <w:vAlign w:val="center"/>
            <w:hideMark/>
          </w:tcPr>
          <w:p w14:paraId="2A684C2E"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nil"/>
            </w:tcBorders>
            <w:shd w:val="clear" w:color="auto" w:fill="auto"/>
            <w:noWrap/>
            <w:vAlign w:val="center"/>
            <w:hideMark/>
          </w:tcPr>
          <w:p w14:paraId="7E3F572D"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double" w:sz="6" w:space="0" w:color="auto"/>
            </w:tcBorders>
            <w:shd w:val="clear" w:color="auto" w:fill="auto"/>
            <w:noWrap/>
            <w:vAlign w:val="center"/>
            <w:hideMark/>
          </w:tcPr>
          <w:p w14:paraId="5F004AB6"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r>
      <w:tr w:rsidR="009B5DE5" w:rsidRPr="009B5DE5" w14:paraId="4C830CD7" w14:textId="77777777" w:rsidTr="00396800">
        <w:trPr>
          <w:trHeight w:val="257"/>
        </w:trPr>
        <w:tc>
          <w:tcPr>
            <w:tcW w:w="6510" w:type="dxa"/>
            <w:tcBorders>
              <w:top w:val="nil"/>
              <w:left w:val="double" w:sz="6" w:space="0" w:color="auto"/>
              <w:bottom w:val="dotted" w:sz="4" w:space="0" w:color="auto"/>
              <w:right w:val="single" w:sz="4" w:space="0" w:color="auto"/>
            </w:tcBorders>
            <w:shd w:val="clear" w:color="auto" w:fill="auto"/>
            <w:vAlign w:val="center"/>
            <w:hideMark/>
          </w:tcPr>
          <w:p w14:paraId="75F7EF19"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Повећање неопорезивог цензуса</w:t>
            </w:r>
          </w:p>
        </w:tc>
        <w:tc>
          <w:tcPr>
            <w:tcW w:w="1624" w:type="dxa"/>
            <w:tcBorders>
              <w:top w:val="nil"/>
              <w:left w:val="nil"/>
              <w:bottom w:val="dotted" w:sz="4" w:space="0" w:color="auto"/>
              <w:right w:val="single" w:sz="4" w:space="0" w:color="auto"/>
            </w:tcBorders>
            <w:shd w:val="clear" w:color="auto" w:fill="auto"/>
            <w:noWrap/>
            <w:vAlign w:val="center"/>
            <w:hideMark/>
          </w:tcPr>
          <w:p w14:paraId="439C851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D5,D61</w:t>
            </w:r>
          </w:p>
        </w:tc>
        <w:tc>
          <w:tcPr>
            <w:tcW w:w="1279" w:type="dxa"/>
            <w:tcBorders>
              <w:top w:val="nil"/>
              <w:left w:val="single" w:sz="4" w:space="0" w:color="auto"/>
              <w:bottom w:val="dotted" w:sz="4" w:space="0" w:color="auto"/>
              <w:right w:val="single" w:sz="8" w:space="0" w:color="auto"/>
            </w:tcBorders>
            <w:shd w:val="clear" w:color="auto" w:fill="auto"/>
            <w:noWrap/>
            <w:vAlign w:val="center"/>
            <w:hideMark/>
          </w:tcPr>
          <w:p w14:paraId="66AAE30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2023-10</w:t>
            </w:r>
          </w:p>
        </w:tc>
        <w:tc>
          <w:tcPr>
            <w:tcW w:w="922" w:type="dxa"/>
            <w:tcBorders>
              <w:top w:val="nil"/>
              <w:left w:val="single" w:sz="4" w:space="0" w:color="auto"/>
              <w:bottom w:val="dotted" w:sz="4" w:space="0" w:color="auto"/>
              <w:right w:val="single" w:sz="4" w:space="0" w:color="auto"/>
            </w:tcBorders>
            <w:shd w:val="clear" w:color="auto" w:fill="auto"/>
            <w:noWrap/>
            <w:vAlign w:val="center"/>
            <w:hideMark/>
          </w:tcPr>
          <w:p w14:paraId="44D4604E"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nil"/>
            </w:tcBorders>
            <w:shd w:val="clear" w:color="auto" w:fill="auto"/>
            <w:noWrap/>
            <w:vAlign w:val="center"/>
            <w:hideMark/>
          </w:tcPr>
          <w:p w14:paraId="227F653B"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nil"/>
            </w:tcBorders>
            <w:shd w:val="clear" w:color="auto" w:fill="auto"/>
            <w:noWrap/>
            <w:vAlign w:val="center"/>
            <w:hideMark/>
          </w:tcPr>
          <w:p w14:paraId="0C5B5A8F"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-14</w:t>
            </w:r>
          </w:p>
        </w:tc>
        <w:tc>
          <w:tcPr>
            <w:tcW w:w="922" w:type="dxa"/>
            <w:tcBorders>
              <w:top w:val="nil"/>
              <w:left w:val="single" w:sz="4" w:space="0" w:color="auto"/>
              <w:bottom w:val="dotted" w:sz="4" w:space="0" w:color="auto"/>
              <w:right w:val="nil"/>
            </w:tcBorders>
            <w:shd w:val="clear" w:color="auto" w:fill="auto"/>
            <w:noWrap/>
            <w:vAlign w:val="center"/>
            <w:hideMark/>
          </w:tcPr>
          <w:p w14:paraId="27ADD66D"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-14,5</w:t>
            </w:r>
          </w:p>
        </w:tc>
        <w:tc>
          <w:tcPr>
            <w:tcW w:w="922" w:type="dxa"/>
            <w:tcBorders>
              <w:top w:val="nil"/>
              <w:left w:val="single" w:sz="4" w:space="0" w:color="auto"/>
              <w:bottom w:val="dotted" w:sz="4" w:space="0" w:color="auto"/>
              <w:right w:val="nil"/>
            </w:tcBorders>
            <w:shd w:val="clear" w:color="auto" w:fill="auto"/>
            <w:noWrap/>
            <w:vAlign w:val="center"/>
            <w:hideMark/>
          </w:tcPr>
          <w:p w14:paraId="5307C918"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double" w:sz="6" w:space="0" w:color="auto"/>
            </w:tcBorders>
            <w:shd w:val="clear" w:color="auto" w:fill="auto"/>
            <w:noWrap/>
            <w:vAlign w:val="center"/>
            <w:hideMark/>
          </w:tcPr>
          <w:p w14:paraId="6CBA9214"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r>
      <w:tr w:rsidR="009B5DE5" w:rsidRPr="009B5DE5" w14:paraId="66BA7A7C" w14:textId="77777777" w:rsidTr="00396800">
        <w:trPr>
          <w:trHeight w:val="257"/>
        </w:trPr>
        <w:tc>
          <w:tcPr>
            <w:tcW w:w="6510" w:type="dxa"/>
            <w:tcBorders>
              <w:top w:val="nil"/>
              <w:left w:val="double" w:sz="6" w:space="0" w:color="auto"/>
              <w:bottom w:val="dotted" w:sz="4" w:space="0" w:color="auto"/>
              <w:right w:val="single" w:sz="4" w:space="0" w:color="auto"/>
            </w:tcBorders>
            <w:shd w:val="clear" w:color="auto" w:fill="auto"/>
            <w:vAlign w:val="center"/>
            <w:hideMark/>
          </w:tcPr>
          <w:p w14:paraId="5A906C72"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624" w:type="dxa"/>
            <w:tcBorders>
              <w:top w:val="nil"/>
              <w:left w:val="nil"/>
              <w:bottom w:val="dotted" w:sz="4" w:space="0" w:color="auto"/>
              <w:right w:val="single" w:sz="4" w:space="0" w:color="auto"/>
            </w:tcBorders>
            <w:shd w:val="clear" w:color="auto" w:fill="auto"/>
            <w:noWrap/>
            <w:vAlign w:val="center"/>
            <w:hideMark/>
          </w:tcPr>
          <w:p w14:paraId="719D312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279" w:type="dxa"/>
            <w:tcBorders>
              <w:top w:val="nil"/>
              <w:left w:val="single" w:sz="4" w:space="0" w:color="auto"/>
              <w:bottom w:val="dotted" w:sz="4" w:space="0" w:color="auto"/>
              <w:right w:val="single" w:sz="8" w:space="0" w:color="auto"/>
            </w:tcBorders>
            <w:shd w:val="clear" w:color="auto" w:fill="auto"/>
            <w:noWrap/>
            <w:vAlign w:val="center"/>
            <w:hideMark/>
          </w:tcPr>
          <w:p w14:paraId="3674441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22" w:type="dxa"/>
            <w:tcBorders>
              <w:top w:val="nil"/>
              <w:left w:val="nil"/>
              <w:bottom w:val="dotted" w:sz="4" w:space="0" w:color="auto"/>
              <w:right w:val="single" w:sz="4" w:space="0" w:color="auto"/>
            </w:tcBorders>
            <w:shd w:val="clear" w:color="auto" w:fill="auto"/>
            <w:noWrap/>
            <w:vAlign w:val="center"/>
            <w:hideMark/>
          </w:tcPr>
          <w:p w14:paraId="25642D59"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nil"/>
              <w:bottom w:val="dotted" w:sz="4" w:space="0" w:color="auto"/>
              <w:right w:val="single" w:sz="4" w:space="0" w:color="auto"/>
            </w:tcBorders>
            <w:shd w:val="clear" w:color="auto" w:fill="auto"/>
            <w:noWrap/>
            <w:vAlign w:val="center"/>
            <w:hideMark/>
          </w:tcPr>
          <w:p w14:paraId="0F2C7BC3"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nil"/>
            </w:tcBorders>
            <w:shd w:val="clear" w:color="auto" w:fill="auto"/>
            <w:noWrap/>
            <w:vAlign w:val="center"/>
            <w:hideMark/>
          </w:tcPr>
          <w:p w14:paraId="3894A5CE"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nil"/>
            </w:tcBorders>
            <w:shd w:val="clear" w:color="auto" w:fill="auto"/>
            <w:noWrap/>
            <w:vAlign w:val="center"/>
            <w:hideMark/>
          </w:tcPr>
          <w:p w14:paraId="39A9B1FE"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nil"/>
            </w:tcBorders>
            <w:shd w:val="clear" w:color="auto" w:fill="auto"/>
            <w:noWrap/>
            <w:vAlign w:val="center"/>
            <w:hideMark/>
          </w:tcPr>
          <w:p w14:paraId="3E1E352A"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922" w:type="dxa"/>
            <w:tcBorders>
              <w:top w:val="nil"/>
              <w:left w:val="single" w:sz="4" w:space="0" w:color="auto"/>
              <w:bottom w:val="dotted" w:sz="4" w:space="0" w:color="auto"/>
              <w:right w:val="double" w:sz="6" w:space="0" w:color="auto"/>
            </w:tcBorders>
            <w:shd w:val="clear" w:color="auto" w:fill="auto"/>
            <w:noWrap/>
            <w:vAlign w:val="center"/>
            <w:hideMark/>
          </w:tcPr>
          <w:p w14:paraId="27EA6892"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r>
      <w:tr w:rsidR="009B5DE5" w:rsidRPr="009B5DE5" w14:paraId="46275F5E" w14:textId="77777777" w:rsidTr="00396800">
        <w:trPr>
          <w:trHeight w:val="257"/>
        </w:trPr>
        <w:tc>
          <w:tcPr>
            <w:tcW w:w="6510" w:type="dxa"/>
            <w:tcBorders>
              <w:top w:val="single" w:sz="8" w:space="0" w:color="auto"/>
              <w:left w:val="double" w:sz="6" w:space="0" w:color="auto"/>
              <w:bottom w:val="single" w:sz="8" w:space="0" w:color="auto"/>
              <w:right w:val="single" w:sz="4" w:space="0" w:color="auto"/>
            </w:tcBorders>
            <w:shd w:val="clear" w:color="auto" w:fill="auto"/>
            <w:vAlign w:val="center"/>
            <w:hideMark/>
          </w:tcPr>
          <w:p w14:paraId="1AF9D1E6"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2904" w:type="dxa"/>
            <w:gridSpan w:val="2"/>
            <w:tcBorders>
              <w:top w:val="single" w:sz="8" w:space="0" w:color="auto"/>
              <w:left w:val="nil"/>
              <w:bottom w:val="single" w:sz="8" w:space="0" w:color="auto"/>
              <w:right w:val="single" w:sz="8" w:space="0" w:color="000000"/>
            </w:tcBorders>
            <w:shd w:val="clear" w:color="auto" w:fill="auto"/>
            <w:vAlign w:val="center"/>
            <w:hideMark/>
          </w:tcPr>
          <w:p w14:paraId="7CF618C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Међузбир</w:t>
            </w:r>
          </w:p>
        </w:tc>
        <w:tc>
          <w:tcPr>
            <w:tcW w:w="922" w:type="dxa"/>
            <w:tcBorders>
              <w:top w:val="single" w:sz="8" w:space="0" w:color="auto"/>
              <w:left w:val="nil"/>
              <w:bottom w:val="single" w:sz="8" w:space="0" w:color="auto"/>
              <w:right w:val="single" w:sz="8" w:space="0" w:color="auto"/>
            </w:tcBorders>
            <w:shd w:val="clear" w:color="auto" w:fill="auto"/>
            <w:vAlign w:val="center"/>
            <w:hideMark/>
          </w:tcPr>
          <w:p w14:paraId="08217B4A"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-31,2</w:t>
            </w:r>
          </w:p>
        </w:tc>
        <w:tc>
          <w:tcPr>
            <w:tcW w:w="922"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07837611"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-51</w:t>
            </w:r>
          </w:p>
        </w:tc>
        <w:tc>
          <w:tcPr>
            <w:tcW w:w="922" w:type="dxa"/>
            <w:tcBorders>
              <w:top w:val="single" w:sz="8" w:space="0" w:color="auto"/>
              <w:left w:val="nil"/>
              <w:bottom w:val="single" w:sz="8" w:space="0" w:color="auto"/>
              <w:right w:val="nil"/>
            </w:tcBorders>
            <w:shd w:val="clear" w:color="auto" w:fill="auto"/>
            <w:noWrap/>
            <w:vAlign w:val="center"/>
            <w:hideMark/>
          </w:tcPr>
          <w:p w14:paraId="595515C8"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-14</w:t>
            </w:r>
          </w:p>
        </w:tc>
        <w:tc>
          <w:tcPr>
            <w:tcW w:w="922" w:type="dxa"/>
            <w:tcBorders>
              <w:top w:val="single" w:sz="8" w:space="0" w:color="auto"/>
              <w:left w:val="single" w:sz="4" w:space="0" w:color="auto"/>
              <w:bottom w:val="single" w:sz="8" w:space="0" w:color="auto"/>
              <w:right w:val="nil"/>
            </w:tcBorders>
            <w:shd w:val="clear" w:color="auto" w:fill="auto"/>
            <w:noWrap/>
            <w:vAlign w:val="center"/>
            <w:hideMark/>
          </w:tcPr>
          <w:p w14:paraId="30318EEC"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-14,5</w:t>
            </w:r>
          </w:p>
        </w:tc>
        <w:tc>
          <w:tcPr>
            <w:tcW w:w="922" w:type="dxa"/>
            <w:tcBorders>
              <w:top w:val="single" w:sz="8" w:space="0" w:color="auto"/>
              <w:left w:val="single" w:sz="4" w:space="0" w:color="auto"/>
              <w:bottom w:val="single" w:sz="8" w:space="0" w:color="auto"/>
              <w:right w:val="nil"/>
            </w:tcBorders>
            <w:shd w:val="clear" w:color="auto" w:fill="auto"/>
            <w:noWrap/>
            <w:vAlign w:val="center"/>
            <w:hideMark/>
          </w:tcPr>
          <w:p w14:paraId="7844B179"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0</w:t>
            </w:r>
          </w:p>
        </w:tc>
        <w:tc>
          <w:tcPr>
            <w:tcW w:w="922" w:type="dxa"/>
            <w:tcBorders>
              <w:top w:val="single" w:sz="8" w:space="0" w:color="auto"/>
              <w:left w:val="single" w:sz="4" w:space="0" w:color="auto"/>
              <w:bottom w:val="single" w:sz="8" w:space="0" w:color="auto"/>
              <w:right w:val="double" w:sz="6" w:space="0" w:color="auto"/>
            </w:tcBorders>
            <w:shd w:val="clear" w:color="auto" w:fill="auto"/>
            <w:noWrap/>
            <w:vAlign w:val="center"/>
            <w:hideMark/>
          </w:tcPr>
          <w:p w14:paraId="7E596291"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0</w:t>
            </w:r>
          </w:p>
        </w:tc>
      </w:tr>
      <w:tr w:rsidR="009B5DE5" w:rsidRPr="009B5DE5" w14:paraId="68E8D708" w14:textId="77777777" w:rsidTr="00396800">
        <w:trPr>
          <w:trHeight w:val="269"/>
        </w:trPr>
        <w:tc>
          <w:tcPr>
            <w:tcW w:w="6510" w:type="dxa"/>
            <w:tcBorders>
              <w:top w:val="nil"/>
              <w:left w:val="double" w:sz="6" w:space="0" w:color="auto"/>
              <w:bottom w:val="double" w:sz="6" w:space="0" w:color="auto"/>
              <w:right w:val="nil"/>
            </w:tcBorders>
            <w:shd w:val="clear" w:color="auto" w:fill="auto"/>
            <w:noWrap/>
            <w:vAlign w:val="bottom"/>
            <w:hideMark/>
          </w:tcPr>
          <w:p w14:paraId="6F827B60"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2904" w:type="dxa"/>
            <w:gridSpan w:val="2"/>
            <w:tcBorders>
              <w:top w:val="nil"/>
              <w:left w:val="nil"/>
              <w:bottom w:val="double" w:sz="6" w:space="0" w:color="auto"/>
              <w:right w:val="single" w:sz="8" w:space="0" w:color="000000"/>
            </w:tcBorders>
            <w:shd w:val="clear" w:color="auto" w:fill="auto"/>
            <w:noWrap/>
            <w:vAlign w:val="center"/>
            <w:hideMark/>
          </w:tcPr>
          <w:p w14:paraId="7BC41718" w14:textId="77777777" w:rsidR="009B5DE5" w:rsidRPr="009B5DE5" w:rsidRDefault="009B5DE5" w:rsidP="009B5DE5">
            <w:pPr>
              <w:spacing w:after="0"/>
              <w:jc w:val="left"/>
              <w:rPr>
                <w:rFonts w:eastAsia="Times New Roman" w:cs="Times New Roman"/>
                <w:b/>
                <w:bCs/>
                <w:sz w:val="20"/>
                <w:szCs w:val="20"/>
              </w:rPr>
            </w:pPr>
            <w:r w:rsidRPr="009B5DE5">
              <w:rPr>
                <w:rFonts w:eastAsia="Times New Roman" w:cs="Times New Roman"/>
                <w:b/>
                <w:bCs/>
                <w:sz w:val="20"/>
                <w:szCs w:val="20"/>
              </w:rPr>
              <w:t xml:space="preserve">               Укупно</w:t>
            </w:r>
          </w:p>
        </w:tc>
        <w:tc>
          <w:tcPr>
            <w:tcW w:w="922" w:type="dxa"/>
            <w:tcBorders>
              <w:top w:val="nil"/>
              <w:left w:val="nil"/>
              <w:bottom w:val="double" w:sz="6" w:space="0" w:color="auto"/>
              <w:right w:val="single" w:sz="4" w:space="0" w:color="auto"/>
            </w:tcBorders>
            <w:shd w:val="clear" w:color="auto" w:fill="auto"/>
            <w:noWrap/>
            <w:vAlign w:val="center"/>
            <w:hideMark/>
          </w:tcPr>
          <w:p w14:paraId="2CB6F26D"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-303,6</w:t>
            </w:r>
          </w:p>
        </w:tc>
        <w:tc>
          <w:tcPr>
            <w:tcW w:w="922" w:type="dxa"/>
            <w:tcBorders>
              <w:top w:val="nil"/>
              <w:left w:val="nil"/>
              <w:bottom w:val="double" w:sz="6" w:space="0" w:color="auto"/>
              <w:right w:val="single" w:sz="4" w:space="0" w:color="auto"/>
            </w:tcBorders>
            <w:shd w:val="clear" w:color="auto" w:fill="auto"/>
            <w:noWrap/>
            <w:vAlign w:val="center"/>
            <w:hideMark/>
          </w:tcPr>
          <w:p w14:paraId="017EF912"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-161,1</w:t>
            </w:r>
          </w:p>
        </w:tc>
        <w:tc>
          <w:tcPr>
            <w:tcW w:w="922" w:type="dxa"/>
            <w:tcBorders>
              <w:top w:val="nil"/>
              <w:left w:val="nil"/>
              <w:bottom w:val="double" w:sz="6" w:space="0" w:color="auto"/>
              <w:right w:val="single" w:sz="4" w:space="0" w:color="auto"/>
            </w:tcBorders>
            <w:shd w:val="clear" w:color="auto" w:fill="auto"/>
            <w:noWrap/>
            <w:vAlign w:val="center"/>
            <w:hideMark/>
          </w:tcPr>
          <w:p w14:paraId="7F25E739"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-79</w:t>
            </w:r>
          </w:p>
        </w:tc>
        <w:tc>
          <w:tcPr>
            <w:tcW w:w="922" w:type="dxa"/>
            <w:tcBorders>
              <w:top w:val="nil"/>
              <w:left w:val="nil"/>
              <w:bottom w:val="double" w:sz="6" w:space="0" w:color="auto"/>
              <w:right w:val="single" w:sz="4" w:space="0" w:color="auto"/>
            </w:tcBorders>
            <w:shd w:val="clear" w:color="auto" w:fill="auto"/>
            <w:noWrap/>
            <w:vAlign w:val="center"/>
            <w:hideMark/>
          </w:tcPr>
          <w:p w14:paraId="6C24850B"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-86,5</w:t>
            </w:r>
          </w:p>
        </w:tc>
        <w:tc>
          <w:tcPr>
            <w:tcW w:w="922" w:type="dxa"/>
            <w:tcBorders>
              <w:top w:val="nil"/>
              <w:left w:val="nil"/>
              <w:bottom w:val="double" w:sz="6" w:space="0" w:color="auto"/>
              <w:right w:val="single" w:sz="4" w:space="0" w:color="auto"/>
            </w:tcBorders>
            <w:shd w:val="clear" w:color="auto" w:fill="auto"/>
            <w:noWrap/>
            <w:vAlign w:val="center"/>
            <w:hideMark/>
          </w:tcPr>
          <w:p w14:paraId="5010EECE"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-144</w:t>
            </w:r>
          </w:p>
        </w:tc>
        <w:tc>
          <w:tcPr>
            <w:tcW w:w="922" w:type="dxa"/>
            <w:tcBorders>
              <w:top w:val="nil"/>
              <w:left w:val="nil"/>
              <w:bottom w:val="double" w:sz="6" w:space="0" w:color="auto"/>
              <w:right w:val="double" w:sz="6" w:space="0" w:color="auto"/>
            </w:tcBorders>
            <w:shd w:val="clear" w:color="auto" w:fill="auto"/>
            <w:noWrap/>
            <w:vAlign w:val="center"/>
            <w:hideMark/>
          </w:tcPr>
          <w:p w14:paraId="34A63FC2"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-180</w:t>
            </w:r>
          </w:p>
        </w:tc>
      </w:tr>
    </w:tbl>
    <w:p w14:paraId="478E3AC7" w14:textId="77777777" w:rsidR="009B5DE5" w:rsidRPr="009B5DE5" w:rsidRDefault="009B5DE5" w:rsidP="009B5DE5">
      <w:pPr>
        <w:spacing w:after="0"/>
        <w:jc w:val="left"/>
        <w:rPr>
          <w:rFonts w:eastAsia="Times New Roman" w:cs="Times New Roman"/>
          <w:bCs/>
          <w:sz w:val="22"/>
        </w:rPr>
      </w:pPr>
    </w:p>
    <w:p w14:paraId="3671BB36" w14:textId="77777777" w:rsidR="009B5DE5" w:rsidRPr="009B5DE5" w:rsidRDefault="009B5DE5" w:rsidP="009B5DE5">
      <w:pPr>
        <w:spacing w:after="0"/>
        <w:jc w:val="left"/>
        <w:rPr>
          <w:rFonts w:eastAsia="Times New Roman" w:cs="Times New Roman"/>
          <w:sz w:val="16"/>
          <w:szCs w:val="16"/>
        </w:rPr>
      </w:pPr>
      <w:r w:rsidRPr="009B5DE5">
        <w:rPr>
          <w:rFonts w:eastAsia="Times New Roman" w:cs="Times New Roman"/>
          <w:sz w:val="16"/>
          <w:szCs w:val="16"/>
        </w:rPr>
        <w:t xml:space="preserve">[1] За потребе ове табеле, привремене мере се односе на оне дискреционе мере које немају ефекат на буџет после 2024. године. Супротно томе мере које су усвојене или најављене у 2024. години и које имају фискални ефекат једнак или већи од 0,1% БДП бар закључно са 2026. годином се сматрају мерама које нису привремене за потребе ове табеле.   </w:t>
      </w:r>
    </w:p>
    <w:p w14:paraId="4427D511" w14:textId="77777777" w:rsidR="009B5DE5" w:rsidRPr="00396800" w:rsidRDefault="009B5DE5" w:rsidP="009B5DE5">
      <w:pPr>
        <w:spacing w:after="0"/>
        <w:jc w:val="left"/>
        <w:rPr>
          <w:rFonts w:eastAsia="Times New Roman" w:cs="Times New Roman"/>
          <w:bCs/>
          <w:sz w:val="22"/>
          <w:lang w:val="sr-Cyrl-RS"/>
        </w:rPr>
      </w:pPr>
      <w:r w:rsidRPr="009B5DE5">
        <w:rPr>
          <w:rFonts w:eastAsia="Times New Roman" w:cs="Times New Roman"/>
          <w:bCs/>
          <w:sz w:val="22"/>
        </w:rPr>
        <w:lastRenderedPageBreak/>
        <w:t>Табела 2c</w:t>
      </w:r>
      <w:r w:rsidR="00396800">
        <w:rPr>
          <w:rFonts w:eastAsia="Times New Roman" w:cs="Times New Roman"/>
          <w:bCs/>
          <w:sz w:val="22"/>
        </w:rPr>
        <w:t>:</w:t>
      </w:r>
      <w:r w:rsidRPr="009B5DE5">
        <w:rPr>
          <w:rFonts w:eastAsia="Times New Roman" w:cs="Times New Roman"/>
          <w:bCs/>
          <w:sz w:val="22"/>
        </w:rPr>
        <w:t xml:space="preserve"> дискреционе мере усвојене/најављене у складу са Програмом</w:t>
      </w:r>
      <w:r w:rsidR="00396800">
        <w:rPr>
          <w:rFonts w:eastAsia="Times New Roman" w:cs="Times New Roman"/>
          <w:bCs/>
          <w:sz w:val="22"/>
        </w:rPr>
        <w:t xml:space="preserve"> (</w:t>
      </w:r>
      <w:r w:rsidR="00396800">
        <w:rPr>
          <w:rFonts w:eastAsia="Times New Roman" w:cs="Times New Roman"/>
          <w:bCs/>
          <w:sz w:val="22"/>
          <w:lang w:val="sr-Cyrl-RS"/>
        </w:rPr>
        <w:t>у БДП)</w:t>
      </w:r>
    </w:p>
    <w:p w14:paraId="4725CDD5" w14:textId="77777777" w:rsidR="009B5DE5" w:rsidRPr="009B5DE5" w:rsidRDefault="009B5DE5" w:rsidP="009B5DE5">
      <w:pPr>
        <w:spacing w:after="0"/>
        <w:jc w:val="left"/>
        <w:rPr>
          <w:rFonts w:eastAsia="Times New Roman" w:cs="Times New Roman"/>
          <w:bCs/>
          <w:sz w:val="22"/>
        </w:rPr>
      </w:pPr>
    </w:p>
    <w:tbl>
      <w:tblPr>
        <w:tblW w:w="15017" w:type="dxa"/>
        <w:tblLook w:val="04A0" w:firstRow="1" w:lastRow="0" w:firstColumn="1" w:lastColumn="0" w:noHBand="0" w:noVBand="1"/>
      </w:tblPr>
      <w:tblGrid>
        <w:gridCol w:w="1531"/>
        <w:gridCol w:w="5786"/>
        <w:gridCol w:w="1757"/>
        <w:gridCol w:w="984"/>
        <w:gridCol w:w="984"/>
        <w:gridCol w:w="984"/>
        <w:gridCol w:w="984"/>
        <w:gridCol w:w="984"/>
        <w:gridCol w:w="1023"/>
      </w:tblGrid>
      <w:tr w:rsidR="009B5DE5" w:rsidRPr="009B5DE5" w14:paraId="06EAF38C" w14:textId="77777777" w:rsidTr="00396800">
        <w:trPr>
          <w:trHeight w:val="1145"/>
        </w:trPr>
        <w:tc>
          <w:tcPr>
            <w:tcW w:w="7317" w:type="dxa"/>
            <w:gridSpan w:val="2"/>
            <w:vMerge w:val="restart"/>
            <w:tcBorders>
              <w:top w:val="double" w:sz="6" w:space="0" w:color="auto"/>
              <w:left w:val="double" w:sz="6" w:space="0" w:color="auto"/>
              <w:bottom w:val="single" w:sz="8" w:space="0" w:color="000000"/>
              <w:right w:val="single" w:sz="4" w:space="0" w:color="000000"/>
            </w:tcBorders>
            <w:shd w:val="clear" w:color="auto" w:fill="auto"/>
            <w:vAlign w:val="center"/>
            <w:hideMark/>
          </w:tcPr>
          <w:p w14:paraId="10564A5C"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Мере</w:t>
            </w:r>
          </w:p>
        </w:tc>
        <w:tc>
          <w:tcPr>
            <w:tcW w:w="1757" w:type="dxa"/>
            <w:vMerge w:val="restart"/>
            <w:tcBorders>
              <w:top w:val="double" w:sz="6" w:space="0" w:color="auto"/>
              <w:left w:val="single" w:sz="4" w:space="0" w:color="auto"/>
              <w:bottom w:val="single" w:sz="8" w:space="0" w:color="000000"/>
              <w:right w:val="single" w:sz="4" w:space="0" w:color="auto"/>
            </w:tcBorders>
            <w:shd w:val="clear" w:color="auto" w:fill="auto"/>
            <w:vAlign w:val="center"/>
            <w:hideMark/>
          </w:tcPr>
          <w:p w14:paraId="596F6710"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ESA шифра (расходна / приходна компонента)</w:t>
            </w:r>
          </w:p>
        </w:tc>
        <w:tc>
          <w:tcPr>
            <w:tcW w:w="5943" w:type="dxa"/>
            <w:gridSpan w:val="6"/>
            <w:tcBorders>
              <w:top w:val="double" w:sz="6" w:space="0" w:color="auto"/>
              <w:left w:val="single" w:sz="8" w:space="0" w:color="auto"/>
              <w:bottom w:val="single" w:sz="4" w:space="0" w:color="auto"/>
              <w:right w:val="double" w:sz="6" w:space="0" w:color="000000"/>
            </w:tcBorders>
            <w:shd w:val="clear" w:color="auto" w:fill="auto"/>
            <w:vAlign w:val="center"/>
            <w:hideMark/>
          </w:tcPr>
          <w:p w14:paraId="21D1C122"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Фискални ефекат (% БДП - промена у односу на претходну годину)</w:t>
            </w:r>
          </w:p>
        </w:tc>
      </w:tr>
      <w:tr w:rsidR="009B5DE5" w:rsidRPr="009B5DE5" w14:paraId="64F31C2C" w14:textId="77777777" w:rsidTr="00396800">
        <w:trPr>
          <w:trHeight w:val="598"/>
        </w:trPr>
        <w:tc>
          <w:tcPr>
            <w:tcW w:w="7317" w:type="dxa"/>
            <w:gridSpan w:val="2"/>
            <w:vMerge/>
            <w:tcBorders>
              <w:top w:val="double" w:sz="6" w:space="0" w:color="auto"/>
              <w:left w:val="double" w:sz="6" w:space="0" w:color="auto"/>
              <w:bottom w:val="single" w:sz="8" w:space="0" w:color="000000"/>
              <w:right w:val="single" w:sz="4" w:space="0" w:color="000000"/>
            </w:tcBorders>
            <w:vAlign w:val="center"/>
            <w:hideMark/>
          </w:tcPr>
          <w:p w14:paraId="7E8DEC31" w14:textId="77777777" w:rsidR="009B5DE5" w:rsidRPr="009B5DE5" w:rsidRDefault="009B5DE5" w:rsidP="009B5DE5">
            <w:pPr>
              <w:spacing w:after="0"/>
              <w:jc w:val="left"/>
              <w:rPr>
                <w:rFonts w:eastAsia="Times New Roman" w:cs="Times New Roman"/>
                <w:b/>
                <w:bCs/>
                <w:szCs w:val="24"/>
              </w:rPr>
            </w:pPr>
          </w:p>
        </w:tc>
        <w:tc>
          <w:tcPr>
            <w:tcW w:w="1757" w:type="dxa"/>
            <w:vMerge/>
            <w:tcBorders>
              <w:top w:val="double" w:sz="6" w:space="0" w:color="auto"/>
              <w:left w:val="single" w:sz="4" w:space="0" w:color="auto"/>
              <w:bottom w:val="single" w:sz="8" w:space="0" w:color="000000"/>
              <w:right w:val="single" w:sz="4" w:space="0" w:color="auto"/>
            </w:tcBorders>
            <w:vAlign w:val="center"/>
            <w:hideMark/>
          </w:tcPr>
          <w:p w14:paraId="25AB05B2" w14:textId="77777777" w:rsidR="009B5DE5" w:rsidRPr="009B5DE5" w:rsidRDefault="009B5DE5" w:rsidP="009B5DE5">
            <w:pPr>
              <w:spacing w:after="0"/>
              <w:jc w:val="left"/>
              <w:rPr>
                <w:rFonts w:eastAsia="Times New Roman" w:cs="Times New Roman"/>
                <w:b/>
                <w:bCs/>
                <w:szCs w:val="24"/>
              </w:rPr>
            </w:pPr>
          </w:p>
        </w:tc>
        <w:tc>
          <w:tcPr>
            <w:tcW w:w="984" w:type="dxa"/>
            <w:tcBorders>
              <w:top w:val="nil"/>
              <w:left w:val="nil"/>
              <w:bottom w:val="single" w:sz="8" w:space="0" w:color="auto"/>
              <w:right w:val="single" w:sz="4" w:space="0" w:color="auto"/>
            </w:tcBorders>
            <w:shd w:val="clear" w:color="auto" w:fill="auto"/>
            <w:noWrap/>
            <w:vAlign w:val="bottom"/>
            <w:hideMark/>
          </w:tcPr>
          <w:p w14:paraId="2D0634BD"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2022</w:t>
            </w:r>
          </w:p>
        </w:tc>
        <w:tc>
          <w:tcPr>
            <w:tcW w:w="984" w:type="dxa"/>
            <w:tcBorders>
              <w:top w:val="nil"/>
              <w:left w:val="nil"/>
              <w:bottom w:val="single" w:sz="8" w:space="0" w:color="auto"/>
              <w:right w:val="single" w:sz="4" w:space="0" w:color="auto"/>
            </w:tcBorders>
            <w:shd w:val="clear" w:color="auto" w:fill="auto"/>
            <w:noWrap/>
            <w:vAlign w:val="bottom"/>
            <w:hideMark/>
          </w:tcPr>
          <w:p w14:paraId="6221FD8A"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2023</w:t>
            </w:r>
          </w:p>
        </w:tc>
        <w:tc>
          <w:tcPr>
            <w:tcW w:w="984" w:type="dxa"/>
            <w:tcBorders>
              <w:top w:val="nil"/>
              <w:left w:val="nil"/>
              <w:bottom w:val="single" w:sz="8" w:space="0" w:color="auto"/>
              <w:right w:val="nil"/>
            </w:tcBorders>
            <w:shd w:val="clear" w:color="auto" w:fill="auto"/>
            <w:noWrap/>
            <w:vAlign w:val="bottom"/>
            <w:hideMark/>
          </w:tcPr>
          <w:p w14:paraId="4D0890E4"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2024</w:t>
            </w:r>
          </w:p>
        </w:tc>
        <w:tc>
          <w:tcPr>
            <w:tcW w:w="984" w:type="dxa"/>
            <w:tcBorders>
              <w:top w:val="nil"/>
              <w:left w:val="single" w:sz="4" w:space="0" w:color="auto"/>
              <w:bottom w:val="single" w:sz="8" w:space="0" w:color="auto"/>
              <w:right w:val="nil"/>
            </w:tcBorders>
            <w:shd w:val="clear" w:color="auto" w:fill="auto"/>
            <w:noWrap/>
            <w:vAlign w:val="bottom"/>
            <w:hideMark/>
          </w:tcPr>
          <w:p w14:paraId="5CAB5B09"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2025</w:t>
            </w:r>
          </w:p>
        </w:tc>
        <w:tc>
          <w:tcPr>
            <w:tcW w:w="984" w:type="dxa"/>
            <w:tcBorders>
              <w:top w:val="nil"/>
              <w:left w:val="single" w:sz="4" w:space="0" w:color="auto"/>
              <w:bottom w:val="single" w:sz="8" w:space="0" w:color="auto"/>
              <w:right w:val="nil"/>
            </w:tcBorders>
            <w:shd w:val="clear" w:color="auto" w:fill="auto"/>
            <w:noWrap/>
            <w:vAlign w:val="bottom"/>
            <w:hideMark/>
          </w:tcPr>
          <w:p w14:paraId="34D04ACD"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2026</w:t>
            </w:r>
          </w:p>
        </w:tc>
        <w:tc>
          <w:tcPr>
            <w:tcW w:w="1019" w:type="dxa"/>
            <w:tcBorders>
              <w:top w:val="nil"/>
              <w:left w:val="single" w:sz="4" w:space="0" w:color="auto"/>
              <w:bottom w:val="single" w:sz="8" w:space="0" w:color="auto"/>
              <w:right w:val="double" w:sz="6" w:space="0" w:color="auto"/>
            </w:tcBorders>
            <w:shd w:val="clear" w:color="auto" w:fill="auto"/>
            <w:noWrap/>
            <w:vAlign w:val="bottom"/>
            <w:hideMark/>
          </w:tcPr>
          <w:p w14:paraId="35D26ED8"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2027</w:t>
            </w:r>
          </w:p>
        </w:tc>
      </w:tr>
      <w:tr w:rsidR="009B5DE5" w:rsidRPr="009B5DE5" w14:paraId="2557D005" w14:textId="77777777" w:rsidTr="00396800">
        <w:trPr>
          <w:trHeight w:val="342"/>
        </w:trPr>
        <w:tc>
          <w:tcPr>
            <w:tcW w:w="1531" w:type="dxa"/>
            <w:vMerge w:val="restart"/>
            <w:tcBorders>
              <w:top w:val="nil"/>
              <w:left w:val="double" w:sz="6" w:space="0" w:color="auto"/>
              <w:bottom w:val="nil"/>
              <w:right w:val="single" w:sz="4" w:space="0" w:color="auto"/>
            </w:tcBorders>
            <w:shd w:val="clear" w:color="auto" w:fill="auto"/>
            <w:vAlign w:val="center"/>
            <w:hideMark/>
          </w:tcPr>
          <w:p w14:paraId="5D8CBDAB" w14:textId="77777777" w:rsidR="009B5DE5" w:rsidRPr="009B5DE5" w:rsidRDefault="009B5DE5" w:rsidP="009B5DE5">
            <w:pPr>
              <w:spacing w:after="0"/>
              <w:jc w:val="center"/>
              <w:rPr>
                <w:rFonts w:eastAsia="Times New Roman" w:cs="Times New Roman"/>
                <w:i/>
                <w:iCs/>
                <w:sz w:val="22"/>
              </w:rPr>
            </w:pPr>
            <w:r w:rsidRPr="009B5DE5">
              <w:rPr>
                <w:rFonts w:eastAsia="Times New Roman" w:cs="Times New Roman"/>
                <w:i/>
                <w:iCs/>
                <w:sz w:val="22"/>
              </w:rPr>
              <w:t>Привремене мере[1]</w:t>
            </w:r>
          </w:p>
        </w:tc>
        <w:tc>
          <w:tcPr>
            <w:tcW w:w="5786" w:type="dxa"/>
            <w:tcBorders>
              <w:top w:val="nil"/>
              <w:left w:val="nil"/>
              <w:bottom w:val="single" w:sz="4" w:space="0" w:color="auto"/>
              <w:right w:val="single" w:sz="4" w:space="0" w:color="auto"/>
            </w:tcBorders>
            <w:shd w:val="clear" w:color="auto" w:fill="auto"/>
            <w:noWrap/>
            <w:vAlign w:val="center"/>
            <w:hideMark/>
          </w:tcPr>
          <w:p w14:paraId="7B55225B"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Помоћ пензионерима</w:t>
            </w:r>
          </w:p>
        </w:tc>
        <w:tc>
          <w:tcPr>
            <w:tcW w:w="1757" w:type="dxa"/>
            <w:tcBorders>
              <w:top w:val="nil"/>
              <w:left w:val="nil"/>
              <w:bottom w:val="single" w:sz="4" w:space="0" w:color="auto"/>
              <w:right w:val="single" w:sz="4" w:space="0" w:color="auto"/>
            </w:tcBorders>
            <w:shd w:val="clear" w:color="auto" w:fill="auto"/>
            <w:noWrap/>
            <w:vAlign w:val="center"/>
            <w:hideMark/>
          </w:tcPr>
          <w:p w14:paraId="0C140A1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D62</w:t>
            </w:r>
          </w:p>
        </w:tc>
        <w:tc>
          <w:tcPr>
            <w:tcW w:w="984" w:type="dxa"/>
            <w:tcBorders>
              <w:top w:val="nil"/>
              <w:left w:val="nil"/>
              <w:bottom w:val="single" w:sz="4" w:space="0" w:color="auto"/>
              <w:right w:val="single" w:sz="4" w:space="0" w:color="auto"/>
            </w:tcBorders>
            <w:shd w:val="clear" w:color="auto" w:fill="auto"/>
            <w:noWrap/>
            <w:vAlign w:val="center"/>
            <w:hideMark/>
          </w:tcPr>
          <w:p w14:paraId="77D34F0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-0,3</w:t>
            </w:r>
          </w:p>
        </w:tc>
        <w:tc>
          <w:tcPr>
            <w:tcW w:w="984" w:type="dxa"/>
            <w:tcBorders>
              <w:top w:val="nil"/>
              <w:left w:val="nil"/>
              <w:bottom w:val="single" w:sz="4" w:space="0" w:color="auto"/>
              <w:right w:val="single" w:sz="4" w:space="0" w:color="auto"/>
            </w:tcBorders>
            <w:shd w:val="clear" w:color="auto" w:fill="auto"/>
            <w:noWrap/>
            <w:vAlign w:val="center"/>
            <w:hideMark/>
          </w:tcPr>
          <w:p w14:paraId="008C588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0,1</w:t>
            </w:r>
          </w:p>
        </w:tc>
        <w:tc>
          <w:tcPr>
            <w:tcW w:w="984" w:type="dxa"/>
            <w:tcBorders>
              <w:top w:val="nil"/>
              <w:left w:val="nil"/>
              <w:bottom w:val="single" w:sz="4" w:space="0" w:color="auto"/>
              <w:right w:val="single" w:sz="4" w:space="0" w:color="auto"/>
            </w:tcBorders>
            <w:shd w:val="clear" w:color="auto" w:fill="auto"/>
            <w:noWrap/>
            <w:vAlign w:val="center"/>
            <w:hideMark/>
          </w:tcPr>
          <w:p w14:paraId="232CEC8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984" w:type="dxa"/>
            <w:tcBorders>
              <w:top w:val="nil"/>
              <w:left w:val="nil"/>
              <w:bottom w:val="single" w:sz="4" w:space="0" w:color="auto"/>
              <w:right w:val="single" w:sz="4" w:space="0" w:color="auto"/>
            </w:tcBorders>
            <w:shd w:val="clear" w:color="auto" w:fill="auto"/>
            <w:noWrap/>
            <w:vAlign w:val="center"/>
            <w:hideMark/>
          </w:tcPr>
          <w:p w14:paraId="0D7A43A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984" w:type="dxa"/>
            <w:tcBorders>
              <w:top w:val="nil"/>
              <w:left w:val="nil"/>
              <w:bottom w:val="single" w:sz="4" w:space="0" w:color="auto"/>
              <w:right w:val="single" w:sz="4" w:space="0" w:color="auto"/>
            </w:tcBorders>
            <w:shd w:val="clear" w:color="auto" w:fill="auto"/>
            <w:noWrap/>
            <w:vAlign w:val="center"/>
            <w:hideMark/>
          </w:tcPr>
          <w:p w14:paraId="2681DF0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019" w:type="dxa"/>
            <w:tcBorders>
              <w:top w:val="nil"/>
              <w:left w:val="nil"/>
              <w:bottom w:val="single" w:sz="4" w:space="0" w:color="auto"/>
              <w:right w:val="double" w:sz="6" w:space="0" w:color="auto"/>
            </w:tcBorders>
            <w:shd w:val="clear" w:color="auto" w:fill="auto"/>
            <w:noWrap/>
            <w:vAlign w:val="center"/>
            <w:hideMark/>
          </w:tcPr>
          <w:p w14:paraId="5F56F09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r>
      <w:tr w:rsidR="009B5DE5" w:rsidRPr="009B5DE5" w14:paraId="5AC3F5A8" w14:textId="77777777" w:rsidTr="00396800">
        <w:trPr>
          <w:trHeight w:val="342"/>
        </w:trPr>
        <w:tc>
          <w:tcPr>
            <w:tcW w:w="1531" w:type="dxa"/>
            <w:vMerge/>
            <w:tcBorders>
              <w:top w:val="nil"/>
              <w:left w:val="double" w:sz="6" w:space="0" w:color="auto"/>
              <w:bottom w:val="nil"/>
              <w:right w:val="single" w:sz="4" w:space="0" w:color="auto"/>
            </w:tcBorders>
            <w:vAlign w:val="center"/>
            <w:hideMark/>
          </w:tcPr>
          <w:p w14:paraId="34D409D0" w14:textId="77777777" w:rsidR="009B5DE5" w:rsidRPr="009B5DE5" w:rsidRDefault="009B5DE5" w:rsidP="009B5DE5">
            <w:pPr>
              <w:spacing w:after="0"/>
              <w:jc w:val="left"/>
              <w:rPr>
                <w:rFonts w:eastAsia="Times New Roman" w:cs="Times New Roman"/>
                <w:i/>
                <w:iCs/>
                <w:sz w:val="22"/>
              </w:rPr>
            </w:pPr>
          </w:p>
        </w:tc>
        <w:tc>
          <w:tcPr>
            <w:tcW w:w="5786" w:type="dxa"/>
            <w:tcBorders>
              <w:top w:val="nil"/>
              <w:left w:val="nil"/>
              <w:bottom w:val="single" w:sz="4" w:space="0" w:color="auto"/>
              <w:right w:val="single" w:sz="4" w:space="0" w:color="auto"/>
            </w:tcBorders>
            <w:shd w:val="clear" w:color="auto" w:fill="auto"/>
            <w:noWrap/>
            <w:vAlign w:val="center"/>
            <w:hideMark/>
          </w:tcPr>
          <w:p w14:paraId="45893AAB"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Помоћ незапосленима</w:t>
            </w:r>
          </w:p>
        </w:tc>
        <w:tc>
          <w:tcPr>
            <w:tcW w:w="1757" w:type="dxa"/>
            <w:tcBorders>
              <w:top w:val="nil"/>
              <w:left w:val="nil"/>
              <w:bottom w:val="single" w:sz="4" w:space="0" w:color="auto"/>
              <w:right w:val="single" w:sz="4" w:space="0" w:color="auto"/>
            </w:tcBorders>
            <w:shd w:val="clear" w:color="auto" w:fill="auto"/>
            <w:noWrap/>
            <w:vAlign w:val="center"/>
            <w:hideMark/>
          </w:tcPr>
          <w:p w14:paraId="3C9C7E40"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D62</w:t>
            </w:r>
          </w:p>
        </w:tc>
        <w:tc>
          <w:tcPr>
            <w:tcW w:w="984" w:type="dxa"/>
            <w:tcBorders>
              <w:top w:val="nil"/>
              <w:left w:val="nil"/>
              <w:bottom w:val="single" w:sz="4" w:space="0" w:color="auto"/>
              <w:right w:val="single" w:sz="4" w:space="0" w:color="auto"/>
            </w:tcBorders>
            <w:shd w:val="clear" w:color="auto" w:fill="auto"/>
            <w:noWrap/>
            <w:vAlign w:val="center"/>
            <w:hideMark/>
          </w:tcPr>
          <w:p w14:paraId="5AA425B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984" w:type="dxa"/>
            <w:tcBorders>
              <w:top w:val="nil"/>
              <w:left w:val="nil"/>
              <w:bottom w:val="single" w:sz="4" w:space="0" w:color="auto"/>
              <w:right w:val="single" w:sz="4" w:space="0" w:color="auto"/>
            </w:tcBorders>
            <w:shd w:val="clear" w:color="auto" w:fill="auto"/>
            <w:noWrap/>
            <w:vAlign w:val="center"/>
            <w:hideMark/>
          </w:tcPr>
          <w:p w14:paraId="66475D0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984" w:type="dxa"/>
            <w:tcBorders>
              <w:top w:val="nil"/>
              <w:left w:val="nil"/>
              <w:bottom w:val="single" w:sz="4" w:space="0" w:color="auto"/>
              <w:right w:val="nil"/>
            </w:tcBorders>
            <w:shd w:val="clear" w:color="auto" w:fill="auto"/>
            <w:noWrap/>
            <w:vAlign w:val="center"/>
            <w:hideMark/>
          </w:tcPr>
          <w:p w14:paraId="5AC8D24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984" w:type="dxa"/>
            <w:tcBorders>
              <w:top w:val="nil"/>
              <w:left w:val="single" w:sz="4" w:space="0" w:color="auto"/>
              <w:bottom w:val="single" w:sz="4" w:space="0" w:color="auto"/>
              <w:right w:val="nil"/>
            </w:tcBorders>
            <w:shd w:val="clear" w:color="auto" w:fill="auto"/>
            <w:noWrap/>
            <w:vAlign w:val="center"/>
            <w:hideMark/>
          </w:tcPr>
          <w:p w14:paraId="6538980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984" w:type="dxa"/>
            <w:tcBorders>
              <w:top w:val="nil"/>
              <w:left w:val="single" w:sz="4" w:space="0" w:color="auto"/>
              <w:bottom w:val="single" w:sz="4" w:space="0" w:color="auto"/>
              <w:right w:val="nil"/>
            </w:tcBorders>
            <w:shd w:val="clear" w:color="auto" w:fill="auto"/>
            <w:noWrap/>
            <w:vAlign w:val="center"/>
            <w:hideMark/>
          </w:tcPr>
          <w:p w14:paraId="472C5BD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019" w:type="dxa"/>
            <w:tcBorders>
              <w:top w:val="nil"/>
              <w:left w:val="single" w:sz="4" w:space="0" w:color="auto"/>
              <w:bottom w:val="single" w:sz="4" w:space="0" w:color="auto"/>
              <w:right w:val="double" w:sz="6" w:space="0" w:color="auto"/>
            </w:tcBorders>
            <w:shd w:val="clear" w:color="auto" w:fill="auto"/>
            <w:noWrap/>
            <w:vAlign w:val="center"/>
            <w:hideMark/>
          </w:tcPr>
          <w:p w14:paraId="0BCD370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r>
      <w:tr w:rsidR="009B5DE5" w:rsidRPr="009B5DE5" w14:paraId="1C800BCA" w14:textId="77777777" w:rsidTr="00396800">
        <w:trPr>
          <w:trHeight w:val="342"/>
        </w:trPr>
        <w:tc>
          <w:tcPr>
            <w:tcW w:w="1531" w:type="dxa"/>
            <w:vMerge/>
            <w:tcBorders>
              <w:top w:val="nil"/>
              <w:left w:val="double" w:sz="6" w:space="0" w:color="auto"/>
              <w:bottom w:val="nil"/>
              <w:right w:val="single" w:sz="4" w:space="0" w:color="auto"/>
            </w:tcBorders>
            <w:vAlign w:val="center"/>
            <w:hideMark/>
          </w:tcPr>
          <w:p w14:paraId="2AB41522" w14:textId="77777777" w:rsidR="009B5DE5" w:rsidRPr="009B5DE5" w:rsidRDefault="009B5DE5" w:rsidP="009B5DE5">
            <w:pPr>
              <w:spacing w:after="0"/>
              <w:jc w:val="left"/>
              <w:rPr>
                <w:rFonts w:eastAsia="Times New Roman" w:cs="Times New Roman"/>
                <w:i/>
                <w:iCs/>
                <w:sz w:val="22"/>
              </w:rPr>
            </w:pPr>
          </w:p>
        </w:tc>
        <w:tc>
          <w:tcPr>
            <w:tcW w:w="5786" w:type="dxa"/>
            <w:tcBorders>
              <w:top w:val="nil"/>
              <w:left w:val="nil"/>
              <w:bottom w:val="single" w:sz="4" w:space="0" w:color="auto"/>
              <w:right w:val="single" w:sz="4" w:space="0" w:color="auto"/>
            </w:tcBorders>
            <w:shd w:val="clear" w:color="auto" w:fill="auto"/>
            <w:noWrap/>
            <w:vAlign w:val="center"/>
            <w:hideMark/>
          </w:tcPr>
          <w:p w14:paraId="599B90CB"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Помоћ младима</w:t>
            </w:r>
          </w:p>
        </w:tc>
        <w:tc>
          <w:tcPr>
            <w:tcW w:w="1757" w:type="dxa"/>
            <w:tcBorders>
              <w:top w:val="nil"/>
              <w:left w:val="nil"/>
              <w:bottom w:val="single" w:sz="4" w:space="0" w:color="auto"/>
              <w:right w:val="single" w:sz="4" w:space="0" w:color="auto"/>
            </w:tcBorders>
            <w:shd w:val="clear" w:color="auto" w:fill="auto"/>
            <w:noWrap/>
            <w:vAlign w:val="center"/>
            <w:hideMark/>
          </w:tcPr>
          <w:p w14:paraId="400E949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D7</w:t>
            </w:r>
          </w:p>
        </w:tc>
        <w:tc>
          <w:tcPr>
            <w:tcW w:w="984" w:type="dxa"/>
            <w:tcBorders>
              <w:top w:val="nil"/>
              <w:left w:val="nil"/>
              <w:bottom w:val="single" w:sz="4" w:space="0" w:color="auto"/>
              <w:right w:val="single" w:sz="4" w:space="0" w:color="auto"/>
            </w:tcBorders>
            <w:shd w:val="clear" w:color="auto" w:fill="auto"/>
            <w:noWrap/>
            <w:vAlign w:val="center"/>
            <w:hideMark/>
          </w:tcPr>
          <w:p w14:paraId="0A680ED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-0,4</w:t>
            </w:r>
          </w:p>
        </w:tc>
        <w:tc>
          <w:tcPr>
            <w:tcW w:w="984" w:type="dxa"/>
            <w:tcBorders>
              <w:top w:val="nil"/>
              <w:left w:val="nil"/>
              <w:bottom w:val="single" w:sz="4" w:space="0" w:color="auto"/>
              <w:right w:val="single" w:sz="4" w:space="0" w:color="auto"/>
            </w:tcBorders>
            <w:shd w:val="clear" w:color="auto" w:fill="auto"/>
            <w:noWrap/>
            <w:vAlign w:val="center"/>
            <w:hideMark/>
          </w:tcPr>
          <w:p w14:paraId="550E5D1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984" w:type="dxa"/>
            <w:tcBorders>
              <w:top w:val="nil"/>
              <w:left w:val="nil"/>
              <w:bottom w:val="single" w:sz="4" w:space="0" w:color="auto"/>
              <w:right w:val="nil"/>
            </w:tcBorders>
            <w:shd w:val="clear" w:color="auto" w:fill="auto"/>
            <w:noWrap/>
            <w:vAlign w:val="center"/>
            <w:hideMark/>
          </w:tcPr>
          <w:p w14:paraId="231544E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984" w:type="dxa"/>
            <w:tcBorders>
              <w:top w:val="nil"/>
              <w:left w:val="single" w:sz="4" w:space="0" w:color="auto"/>
              <w:bottom w:val="single" w:sz="4" w:space="0" w:color="auto"/>
              <w:right w:val="nil"/>
            </w:tcBorders>
            <w:shd w:val="clear" w:color="auto" w:fill="auto"/>
            <w:noWrap/>
            <w:vAlign w:val="center"/>
            <w:hideMark/>
          </w:tcPr>
          <w:p w14:paraId="0200D85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984" w:type="dxa"/>
            <w:tcBorders>
              <w:top w:val="nil"/>
              <w:left w:val="single" w:sz="4" w:space="0" w:color="auto"/>
              <w:bottom w:val="single" w:sz="4" w:space="0" w:color="auto"/>
              <w:right w:val="nil"/>
            </w:tcBorders>
            <w:shd w:val="clear" w:color="auto" w:fill="auto"/>
            <w:noWrap/>
            <w:vAlign w:val="center"/>
            <w:hideMark/>
          </w:tcPr>
          <w:p w14:paraId="7579331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019" w:type="dxa"/>
            <w:tcBorders>
              <w:top w:val="nil"/>
              <w:left w:val="single" w:sz="4" w:space="0" w:color="auto"/>
              <w:bottom w:val="single" w:sz="4" w:space="0" w:color="auto"/>
              <w:right w:val="double" w:sz="6" w:space="0" w:color="auto"/>
            </w:tcBorders>
            <w:shd w:val="clear" w:color="auto" w:fill="auto"/>
            <w:noWrap/>
            <w:vAlign w:val="center"/>
            <w:hideMark/>
          </w:tcPr>
          <w:p w14:paraId="45A9C1E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r>
      <w:tr w:rsidR="009B5DE5" w:rsidRPr="009B5DE5" w14:paraId="4994BCBC" w14:textId="77777777" w:rsidTr="00396800">
        <w:trPr>
          <w:trHeight w:val="342"/>
        </w:trPr>
        <w:tc>
          <w:tcPr>
            <w:tcW w:w="1531" w:type="dxa"/>
            <w:vMerge/>
            <w:tcBorders>
              <w:top w:val="nil"/>
              <w:left w:val="double" w:sz="6" w:space="0" w:color="auto"/>
              <w:bottom w:val="nil"/>
              <w:right w:val="single" w:sz="4" w:space="0" w:color="auto"/>
            </w:tcBorders>
            <w:vAlign w:val="center"/>
            <w:hideMark/>
          </w:tcPr>
          <w:p w14:paraId="7751148E" w14:textId="77777777" w:rsidR="009B5DE5" w:rsidRPr="009B5DE5" w:rsidRDefault="009B5DE5" w:rsidP="009B5DE5">
            <w:pPr>
              <w:spacing w:after="0"/>
              <w:jc w:val="left"/>
              <w:rPr>
                <w:rFonts w:eastAsia="Times New Roman" w:cs="Times New Roman"/>
                <w:i/>
                <w:iCs/>
                <w:sz w:val="22"/>
              </w:rPr>
            </w:pPr>
          </w:p>
        </w:tc>
        <w:tc>
          <w:tcPr>
            <w:tcW w:w="5786" w:type="dxa"/>
            <w:tcBorders>
              <w:top w:val="nil"/>
              <w:left w:val="nil"/>
              <w:bottom w:val="single" w:sz="4" w:space="0" w:color="auto"/>
              <w:right w:val="single" w:sz="4" w:space="0" w:color="auto"/>
            </w:tcBorders>
            <w:shd w:val="clear" w:color="auto" w:fill="auto"/>
            <w:noWrap/>
            <w:vAlign w:val="center"/>
            <w:hideMark/>
          </w:tcPr>
          <w:p w14:paraId="7C8E730F"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Помоћ запосленима у здравству, просвети и науци</w:t>
            </w:r>
          </w:p>
        </w:tc>
        <w:tc>
          <w:tcPr>
            <w:tcW w:w="1757" w:type="dxa"/>
            <w:tcBorders>
              <w:top w:val="nil"/>
              <w:left w:val="nil"/>
              <w:bottom w:val="single" w:sz="4" w:space="0" w:color="auto"/>
              <w:right w:val="single" w:sz="4" w:space="0" w:color="auto"/>
            </w:tcBorders>
            <w:shd w:val="clear" w:color="auto" w:fill="auto"/>
            <w:noWrap/>
            <w:vAlign w:val="center"/>
            <w:hideMark/>
          </w:tcPr>
          <w:p w14:paraId="7FE100C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D1</w:t>
            </w:r>
          </w:p>
        </w:tc>
        <w:tc>
          <w:tcPr>
            <w:tcW w:w="984" w:type="dxa"/>
            <w:tcBorders>
              <w:top w:val="nil"/>
              <w:left w:val="nil"/>
              <w:bottom w:val="single" w:sz="4" w:space="0" w:color="auto"/>
              <w:right w:val="single" w:sz="4" w:space="0" w:color="auto"/>
            </w:tcBorders>
            <w:shd w:val="clear" w:color="auto" w:fill="auto"/>
            <w:noWrap/>
            <w:vAlign w:val="center"/>
            <w:hideMark/>
          </w:tcPr>
          <w:p w14:paraId="75E8D080"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0,0</w:t>
            </w:r>
          </w:p>
        </w:tc>
        <w:tc>
          <w:tcPr>
            <w:tcW w:w="984" w:type="dxa"/>
            <w:tcBorders>
              <w:top w:val="nil"/>
              <w:left w:val="nil"/>
              <w:bottom w:val="single" w:sz="4" w:space="0" w:color="auto"/>
              <w:right w:val="single" w:sz="4" w:space="0" w:color="auto"/>
            </w:tcBorders>
            <w:shd w:val="clear" w:color="auto" w:fill="auto"/>
            <w:noWrap/>
            <w:vAlign w:val="center"/>
            <w:hideMark/>
          </w:tcPr>
          <w:p w14:paraId="7F93AD7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984" w:type="dxa"/>
            <w:tcBorders>
              <w:top w:val="nil"/>
              <w:left w:val="nil"/>
              <w:bottom w:val="single" w:sz="4" w:space="0" w:color="auto"/>
              <w:right w:val="nil"/>
            </w:tcBorders>
            <w:shd w:val="clear" w:color="auto" w:fill="auto"/>
            <w:noWrap/>
            <w:vAlign w:val="center"/>
            <w:hideMark/>
          </w:tcPr>
          <w:p w14:paraId="5F72AEE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984" w:type="dxa"/>
            <w:tcBorders>
              <w:top w:val="nil"/>
              <w:left w:val="single" w:sz="4" w:space="0" w:color="auto"/>
              <w:bottom w:val="single" w:sz="4" w:space="0" w:color="auto"/>
              <w:right w:val="nil"/>
            </w:tcBorders>
            <w:shd w:val="clear" w:color="auto" w:fill="auto"/>
            <w:noWrap/>
            <w:vAlign w:val="center"/>
            <w:hideMark/>
          </w:tcPr>
          <w:p w14:paraId="4DABE94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984" w:type="dxa"/>
            <w:tcBorders>
              <w:top w:val="nil"/>
              <w:left w:val="single" w:sz="4" w:space="0" w:color="auto"/>
              <w:bottom w:val="single" w:sz="4" w:space="0" w:color="auto"/>
              <w:right w:val="nil"/>
            </w:tcBorders>
            <w:shd w:val="clear" w:color="auto" w:fill="auto"/>
            <w:noWrap/>
            <w:vAlign w:val="center"/>
            <w:hideMark/>
          </w:tcPr>
          <w:p w14:paraId="5721D03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019" w:type="dxa"/>
            <w:tcBorders>
              <w:top w:val="nil"/>
              <w:left w:val="single" w:sz="4" w:space="0" w:color="auto"/>
              <w:bottom w:val="single" w:sz="4" w:space="0" w:color="auto"/>
              <w:right w:val="double" w:sz="6" w:space="0" w:color="auto"/>
            </w:tcBorders>
            <w:shd w:val="clear" w:color="auto" w:fill="auto"/>
            <w:noWrap/>
            <w:vAlign w:val="center"/>
            <w:hideMark/>
          </w:tcPr>
          <w:p w14:paraId="473EA6E0"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r>
      <w:tr w:rsidR="009B5DE5" w:rsidRPr="009B5DE5" w14:paraId="328D8E6D" w14:textId="77777777" w:rsidTr="00396800">
        <w:trPr>
          <w:trHeight w:val="342"/>
        </w:trPr>
        <w:tc>
          <w:tcPr>
            <w:tcW w:w="1531" w:type="dxa"/>
            <w:vMerge/>
            <w:tcBorders>
              <w:top w:val="nil"/>
              <w:left w:val="double" w:sz="6" w:space="0" w:color="auto"/>
              <w:bottom w:val="nil"/>
              <w:right w:val="single" w:sz="4" w:space="0" w:color="auto"/>
            </w:tcBorders>
            <w:vAlign w:val="center"/>
            <w:hideMark/>
          </w:tcPr>
          <w:p w14:paraId="6A195E92" w14:textId="77777777" w:rsidR="009B5DE5" w:rsidRPr="009B5DE5" w:rsidRDefault="009B5DE5" w:rsidP="009B5DE5">
            <w:pPr>
              <w:spacing w:after="0"/>
              <w:jc w:val="left"/>
              <w:rPr>
                <w:rFonts w:eastAsia="Times New Roman" w:cs="Times New Roman"/>
                <w:i/>
                <w:iCs/>
                <w:sz w:val="22"/>
              </w:rPr>
            </w:pPr>
          </w:p>
        </w:tc>
        <w:tc>
          <w:tcPr>
            <w:tcW w:w="5786" w:type="dxa"/>
            <w:tcBorders>
              <w:top w:val="nil"/>
              <w:left w:val="nil"/>
              <w:bottom w:val="single" w:sz="4" w:space="0" w:color="auto"/>
              <w:right w:val="single" w:sz="4" w:space="0" w:color="auto"/>
            </w:tcBorders>
            <w:shd w:val="clear" w:color="auto" w:fill="auto"/>
            <w:noWrap/>
            <w:vAlign w:val="center"/>
            <w:hideMark/>
          </w:tcPr>
          <w:p w14:paraId="6A4E04EB"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Привремено смањење акциза на деривате нафте</w:t>
            </w:r>
          </w:p>
        </w:tc>
        <w:tc>
          <w:tcPr>
            <w:tcW w:w="1757" w:type="dxa"/>
            <w:tcBorders>
              <w:top w:val="nil"/>
              <w:left w:val="nil"/>
              <w:bottom w:val="single" w:sz="4" w:space="0" w:color="auto"/>
              <w:right w:val="single" w:sz="4" w:space="0" w:color="auto"/>
            </w:tcBorders>
            <w:shd w:val="clear" w:color="auto" w:fill="auto"/>
            <w:noWrap/>
            <w:vAlign w:val="center"/>
            <w:hideMark/>
          </w:tcPr>
          <w:p w14:paraId="4E1F8B3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D2</w:t>
            </w:r>
          </w:p>
        </w:tc>
        <w:tc>
          <w:tcPr>
            <w:tcW w:w="984" w:type="dxa"/>
            <w:tcBorders>
              <w:top w:val="nil"/>
              <w:left w:val="nil"/>
              <w:bottom w:val="single" w:sz="4" w:space="0" w:color="auto"/>
              <w:right w:val="single" w:sz="4" w:space="0" w:color="auto"/>
            </w:tcBorders>
            <w:shd w:val="clear" w:color="auto" w:fill="auto"/>
            <w:noWrap/>
            <w:vAlign w:val="center"/>
            <w:hideMark/>
          </w:tcPr>
          <w:p w14:paraId="2B2C2FF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-0,2</w:t>
            </w:r>
          </w:p>
        </w:tc>
        <w:tc>
          <w:tcPr>
            <w:tcW w:w="984" w:type="dxa"/>
            <w:tcBorders>
              <w:top w:val="nil"/>
              <w:left w:val="nil"/>
              <w:bottom w:val="single" w:sz="4" w:space="0" w:color="auto"/>
              <w:right w:val="single" w:sz="4" w:space="0" w:color="auto"/>
            </w:tcBorders>
            <w:shd w:val="clear" w:color="auto" w:fill="auto"/>
            <w:noWrap/>
            <w:vAlign w:val="center"/>
            <w:hideMark/>
          </w:tcPr>
          <w:p w14:paraId="5938198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0,0</w:t>
            </w:r>
          </w:p>
        </w:tc>
        <w:tc>
          <w:tcPr>
            <w:tcW w:w="984" w:type="dxa"/>
            <w:tcBorders>
              <w:top w:val="nil"/>
              <w:left w:val="nil"/>
              <w:bottom w:val="single" w:sz="4" w:space="0" w:color="auto"/>
              <w:right w:val="nil"/>
            </w:tcBorders>
            <w:shd w:val="clear" w:color="auto" w:fill="auto"/>
            <w:noWrap/>
            <w:vAlign w:val="center"/>
            <w:hideMark/>
          </w:tcPr>
          <w:p w14:paraId="583815E0"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984" w:type="dxa"/>
            <w:tcBorders>
              <w:top w:val="nil"/>
              <w:left w:val="single" w:sz="4" w:space="0" w:color="auto"/>
              <w:bottom w:val="single" w:sz="4" w:space="0" w:color="auto"/>
              <w:right w:val="nil"/>
            </w:tcBorders>
            <w:shd w:val="clear" w:color="auto" w:fill="auto"/>
            <w:noWrap/>
            <w:vAlign w:val="center"/>
            <w:hideMark/>
          </w:tcPr>
          <w:p w14:paraId="7AAC174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984" w:type="dxa"/>
            <w:tcBorders>
              <w:top w:val="nil"/>
              <w:left w:val="single" w:sz="4" w:space="0" w:color="auto"/>
              <w:bottom w:val="single" w:sz="4" w:space="0" w:color="auto"/>
              <w:right w:val="nil"/>
            </w:tcBorders>
            <w:shd w:val="clear" w:color="auto" w:fill="auto"/>
            <w:noWrap/>
            <w:vAlign w:val="center"/>
            <w:hideMark/>
          </w:tcPr>
          <w:p w14:paraId="3706D88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019" w:type="dxa"/>
            <w:tcBorders>
              <w:top w:val="nil"/>
              <w:left w:val="single" w:sz="4" w:space="0" w:color="auto"/>
              <w:bottom w:val="single" w:sz="4" w:space="0" w:color="auto"/>
              <w:right w:val="double" w:sz="6" w:space="0" w:color="auto"/>
            </w:tcBorders>
            <w:shd w:val="clear" w:color="auto" w:fill="auto"/>
            <w:noWrap/>
            <w:vAlign w:val="center"/>
            <w:hideMark/>
          </w:tcPr>
          <w:p w14:paraId="1CACF70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r>
      <w:tr w:rsidR="009B5DE5" w:rsidRPr="009B5DE5" w14:paraId="26732B81" w14:textId="77777777" w:rsidTr="00396800">
        <w:trPr>
          <w:trHeight w:val="342"/>
        </w:trPr>
        <w:tc>
          <w:tcPr>
            <w:tcW w:w="1531" w:type="dxa"/>
            <w:vMerge/>
            <w:tcBorders>
              <w:top w:val="nil"/>
              <w:left w:val="double" w:sz="6" w:space="0" w:color="auto"/>
              <w:bottom w:val="nil"/>
              <w:right w:val="single" w:sz="4" w:space="0" w:color="auto"/>
            </w:tcBorders>
            <w:vAlign w:val="center"/>
            <w:hideMark/>
          </w:tcPr>
          <w:p w14:paraId="7B9DBEFD" w14:textId="77777777" w:rsidR="009B5DE5" w:rsidRPr="009B5DE5" w:rsidRDefault="009B5DE5" w:rsidP="009B5DE5">
            <w:pPr>
              <w:spacing w:after="0"/>
              <w:jc w:val="left"/>
              <w:rPr>
                <w:rFonts w:eastAsia="Times New Roman" w:cs="Times New Roman"/>
                <w:i/>
                <w:iCs/>
                <w:sz w:val="22"/>
              </w:rPr>
            </w:pPr>
          </w:p>
        </w:tc>
        <w:tc>
          <w:tcPr>
            <w:tcW w:w="5786" w:type="dxa"/>
            <w:tcBorders>
              <w:top w:val="nil"/>
              <w:left w:val="nil"/>
              <w:bottom w:val="single" w:sz="4" w:space="0" w:color="auto"/>
              <w:right w:val="single" w:sz="4" w:space="0" w:color="auto"/>
            </w:tcBorders>
            <w:shd w:val="clear" w:color="auto" w:fill="auto"/>
            <w:noWrap/>
            <w:vAlign w:val="center"/>
            <w:hideMark/>
          </w:tcPr>
          <w:p w14:paraId="6DB4F67B"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Субвенције енергетском сектору</w:t>
            </w:r>
          </w:p>
        </w:tc>
        <w:tc>
          <w:tcPr>
            <w:tcW w:w="1757" w:type="dxa"/>
            <w:tcBorders>
              <w:top w:val="nil"/>
              <w:left w:val="nil"/>
              <w:bottom w:val="single" w:sz="4" w:space="0" w:color="auto"/>
              <w:right w:val="single" w:sz="4" w:space="0" w:color="auto"/>
            </w:tcBorders>
            <w:shd w:val="clear" w:color="auto" w:fill="auto"/>
            <w:noWrap/>
            <w:vAlign w:val="center"/>
            <w:hideMark/>
          </w:tcPr>
          <w:p w14:paraId="5260AF3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D3</w:t>
            </w:r>
          </w:p>
        </w:tc>
        <w:tc>
          <w:tcPr>
            <w:tcW w:w="984" w:type="dxa"/>
            <w:tcBorders>
              <w:top w:val="nil"/>
              <w:left w:val="nil"/>
              <w:bottom w:val="single" w:sz="4" w:space="0" w:color="auto"/>
              <w:right w:val="single" w:sz="4" w:space="0" w:color="auto"/>
            </w:tcBorders>
            <w:shd w:val="clear" w:color="auto" w:fill="auto"/>
            <w:noWrap/>
            <w:vAlign w:val="center"/>
            <w:hideMark/>
          </w:tcPr>
          <w:p w14:paraId="622EA56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-2,7</w:t>
            </w:r>
          </w:p>
        </w:tc>
        <w:tc>
          <w:tcPr>
            <w:tcW w:w="984" w:type="dxa"/>
            <w:tcBorders>
              <w:top w:val="nil"/>
              <w:left w:val="nil"/>
              <w:bottom w:val="single" w:sz="4" w:space="0" w:color="auto"/>
              <w:right w:val="single" w:sz="4" w:space="0" w:color="auto"/>
            </w:tcBorders>
            <w:shd w:val="clear" w:color="auto" w:fill="auto"/>
            <w:noWrap/>
            <w:vAlign w:val="center"/>
            <w:hideMark/>
          </w:tcPr>
          <w:p w14:paraId="328D154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w:t>
            </w:r>
          </w:p>
        </w:tc>
        <w:tc>
          <w:tcPr>
            <w:tcW w:w="984" w:type="dxa"/>
            <w:tcBorders>
              <w:top w:val="nil"/>
              <w:left w:val="nil"/>
              <w:bottom w:val="single" w:sz="4" w:space="0" w:color="auto"/>
              <w:right w:val="nil"/>
            </w:tcBorders>
            <w:shd w:val="clear" w:color="auto" w:fill="auto"/>
            <w:noWrap/>
            <w:vAlign w:val="center"/>
            <w:hideMark/>
          </w:tcPr>
          <w:p w14:paraId="6975EDA0"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0,3</w:t>
            </w:r>
          </w:p>
        </w:tc>
        <w:tc>
          <w:tcPr>
            <w:tcW w:w="984" w:type="dxa"/>
            <w:tcBorders>
              <w:top w:val="nil"/>
              <w:left w:val="single" w:sz="4" w:space="0" w:color="auto"/>
              <w:bottom w:val="single" w:sz="4" w:space="0" w:color="auto"/>
              <w:right w:val="nil"/>
            </w:tcBorders>
            <w:shd w:val="clear" w:color="auto" w:fill="auto"/>
            <w:noWrap/>
            <w:vAlign w:val="center"/>
            <w:hideMark/>
          </w:tcPr>
          <w:p w14:paraId="6C2A131A"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984" w:type="dxa"/>
            <w:tcBorders>
              <w:top w:val="nil"/>
              <w:left w:val="single" w:sz="4" w:space="0" w:color="auto"/>
              <w:bottom w:val="single" w:sz="4" w:space="0" w:color="auto"/>
              <w:right w:val="nil"/>
            </w:tcBorders>
            <w:shd w:val="clear" w:color="auto" w:fill="auto"/>
            <w:noWrap/>
            <w:vAlign w:val="center"/>
            <w:hideMark/>
          </w:tcPr>
          <w:p w14:paraId="252BAF9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019" w:type="dxa"/>
            <w:tcBorders>
              <w:top w:val="nil"/>
              <w:left w:val="single" w:sz="4" w:space="0" w:color="auto"/>
              <w:bottom w:val="single" w:sz="4" w:space="0" w:color="auto"/>
              <w:right w:val="double" w:sz="6" w:space="0" w:color="auto"/>
            </w:tcBorders>
            <w:shd w:val="clear" w:color="auto" w:fill="auto"/>
            <w:noWrap/>
            <w:vAlign w:val="center"/>
            <w:hideMark/>
          </w:tcPr>
          <w:p w14:paraId="17FB803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r>
      <w:tr w:rsidR="009B5DE5" w:rsidRPr="009B5DE5" w14:paraId="0B92B2E4" w14:textId="77777777" w:rsidTr="00396800">
        <w:trPr>
          <w:trHeight w:val="342"/>
        </w:trPr>
        <w:tc>
          <w:tcPr>
            <w:tcW w:w="1531" w:type="dxa"/>
            <w:vMerge/>
            <w:tcBorders>
              <w:top w:val="nil"/>
              <w:left w:val="double" w:sz="6" w:space="0" w:color="auto"/>
              <w:bottom w:val="nil"/>
              <w:right w:val="single" w:sz="4" w:space="0" w:color="auto"/>
            </w:tcBorders>
            <w:vAlign w:val="center"/>
            <w:hideMark/>
          </w:tcPr>
          <w:p w14:paraId="2B58C610" w14:textId="77777777" w:rsidR="009B5DE5" w:rsidRPr="009B5DE5" w:rsidRDefault="009B5DE5" w:rsidP="009B5DE5">
            <w:pPr>
              <w:spacing w:after="0"/>
              <w:jc w:val="left"/>
              <w:outlineLvl w:val="0"/>
              <w:rPr>
                <w:rFonts w:eastAsia="Times New Roman" w:cs="Times New Roman"/>
                <w:i/>
                <w:iCs/>
                <w:sz w:val="22"/>
              </w:rPr>
            </w:pPr>
          </w:p>
        </w:tc>
        <w:tc>
          <w:tcPr>
            <w:tcW w:w="5786" w:type="dxa"/>
            <w:tcBorders>
              <w:top w:val="nil"/>
              <w:left w:val="nil"/>
              <w:bottom w:val="single" w:sz="4" w:space="0" w:color="auto"/>
              <w:right w:val="single" w:sz="4" w:space="0" w:color="auto"/>
            </w:tcBorders>
            <w:shd w:val="clear" w:color="auto" w:fill="auto"/>
            <w:noWrap/>
            <w:vAlign w:val="center"/>
            <w:hideMark/>
          </w:tcPr>
          <w:p w14:paraId="07B31142" w14:textId="77777777" w:rsidR="009B5DE5" w:rsidRPr="009B5DE5" w:rsidRDefault="009B5DE5" w:rsidP="009B5DE5">
            <w:pPr>
              <w:spacing w:after="0"/>
              <w:jc w:val="left"/>
              <w:outlineLvl w:val="0"/>
              <w:rPr>
                <w:rFonts w:eastAsia="Times New Roman" w:cs="Times New Roman"/>
                <w:szCs w:val="24"/>
              </w:rPr>
            </w:pPr>
            <w:bookmarkStart w:id="95" w:name="_Toc185341543"/>
            <w:bookmarkStart w:id="96" w:name="_Toc185342359"/>
            <w:r w:rsidRPr="009B5DE5">
              <w:rPr>
                <w:rFonts w:eastAsia="Times New Roman" w:cs="Times New Roman"/>
                <w:szCs w:val="24"/>
              </w:rPr>
              <w:t>Помоћ мајкама</w:t>
            </w:r>
            <w:bookmarkEnd w:id="95"/>
            <w:bookmarkEnd w:id="96"/>
          </w:p>
        </w:tc>
        <w:tc>
          <w:tcPr>
            <w:tcW w:w="1757" w:type="dxa"/>
            <w:tcBorders>
              <w:top w:val="nil"/>
              <w:left w:val="nil"/>
              <w:bottom w:val="single" w:sz="4" w:space="0" w:color="auto"/>
              <w:right w:val="single" w:sz="4" w:space="0" w:color="auto"/>
            </w:tcBorders>
            <w:shd w:val="clear" w:color="auto" w:fill="auto"/>
            <w:noWrap/>
            <w:vAlign w:val="center"/>
            <w:hideMark/>
          </w:tcPr>
          <w:p w14:paraId="7BA9C25A" w14:textId="77777777" w:rsidR="009B5DE5" w:rsidRPr="009B5DE5" w:rsidRDefault="009B5DE5" w:rsidP="009B5DE5">
            <w:pPr>
              <w:spacing w:after="0"/>
              <w:jc w:val="center"/>
              <w:outlineLvl w:val="0"/>
              <w:rPr>
                <w:rFonts w:eastAsia="Times New Roman" w:cs="Times New Roman"/>
                <w:szCs w:val="24"/>
              </w:rPr>
            </w:pPr>
            <w:bookmarkStart w:id="97" w:name="_Toc185341544"/>
            <w:bookmarkStart w:id="98" w:name="_Toc185342360"/>
            <w:r w:rsidRPr="009B5DE5">
              <w:rPr>
                <w:rFonts w:eastAsia="Times New Roman" w:cs="Times New Roman"/>
                <w:szCs w:val="24"/>
              </w:rPr>
              <w:t>D7</w:t>
            </w:r>
            <w:bookmarkEnd w:id="97"/>
            <w:bookmarkEnd w:id="98"/>
          </w:p>
        </w:tc>
        <w:tc>
          <w:tcPr>
            <w:tcW w:w="984" w:type="dxa"/>
            <w:tcBorders>
              <w:top w:val="nil"/>
              <w:left w:val="nil"/>
              <w:bottom w:val="single" w:sz="4" w:space="0" w:color="auto"/>
              <w:right w:val="single" w:sz="4" w:space="0" w:color="auto"/>
            </w:tcBorders>
            <w:shd w:val="clear" w:color="auto" w:fill="auto"/>
            <w:noWrap/>
            <w:vAlign w:val="center"/>
            <w:hideMark/>
          </w:tcPr>
          <w:p w14:paraId="3A91EB6F" w14:textId="77777777" w:rsidR="009B5DE5" w:rsidRPr="009B5DE5" w:rsidRDefault="009B5DE5" w:rsidP="009B5DE5">
            <w:pPr>
              <w:spacing w:after="0"/>
              <w:jc w:val="center"/>
              <w:outlineLvl w:val="0"/>
              <w:rPr>
                <w:rFonts w:eastAsia="Times New Roman" w:cs="Times New Roman"/>
                <w:szCs w:val="24"/>
              </w:rPr>
            </w:pPr>
            <w:bookmarkStart w:id="99" w:name="_Toc185341545"/>
            <w:bookmarkStart w:id="100" w:name="_Toc185342361"/>
            <w:r w:rsidRPr="009B5DE5">
              <w:rPr>
                <w:rFonts w:eastAsia="Times New Roman" w:cs="Times New Roman"/>
                <w:szCs w:val="24"/>
              </w:rPr>
              <w:t>:</w:t>
            </w:r>
            <w:bookmarkEnd w:id="99"/>
            <w:bookmarkEnd w:id="100"/>
          </w:p>
        </w:tc>
        <w:tc>
          <w:tcPr>
            <w:tcW w:w="984" w:type="dxa"/>
            <w:tcBorders>
              <w:top w:val="nil"/>
              <w:left w:val="nil"/>
              <w:bottom w:val="single" w:sz="4" w:space="0" w:color="auto"/>
              <w:right w:val="single" w:sz="4" w:space="0" w:color="auto"/>
            </w:tcBorders>
            <w:shd w:val="clear" w:color="auto" w:fill="auto"/>
            <w:noWrap/>
            <w:vAlign w:val="center"/>
            <w:hideMark/>
          </w:tcPr>
          <w:p w14:paraId="0B01DB2B" w14:textId="77777777" w:rsidR="009B5DE5" w:rsidRPr="009B5DE5" w:rsidRDefault="009B5DE5" w:rsidP="009B5DE5">
            <w:pPr>
              <w:spacing w:after="0"/>
              <w:jc w:val="center"/>
              <w:outlineLvl w:val="0"/>
              <w:rPr>
                <w:rFonts w:eastAsia="Times New Roman" w:cs="Times New Roman"/>
                <w:szCs w:val="24"/>
              </w:rPr>
            </w:pPr>
            <w:bookmarkStart w:id="101" w:name="_Toc185341546"/>
            <w:bookmarkStart w:id="102" w:name="_Toc185342362"/>
            <w:r w:rsidRPr="009B5DE5">
              <w:rPr>
                <w:rFonts w:eastAsia="Times New Roman" w:cs="Times New Roman"/>
                <w:szCs w:val="24"/>
              </w:rPr>
              <w:t>-0,1</w:t>
            </w:r>
            <w:bookmarkEnd w:id="101"/>
            <w:bookmarkEnd w:id="102"/>
          </w:p>
        </w:tc>
        <w:tc>
          <w:tcPr>
            <w:tcW w:w="984" w:type="dxa"/>
            <w:tcBorders>
              <w:top w:val="nil"/>
              <w:left w:val="nil"/>
              <w:bottom w:val="single" w:sz="4" w:space="0" w:color="auto"/>
              <w:right w:val="nil"/>
            </w:tcBorders>
            <w:shd w:val="clear" w:color="auto" w:fill="auto"/>
            <w:noWrap/>
            <w:vAlign w:val="center"/>
            <w:hideMark/>
          </w:tcPr>
          <w:p w14:paraId="6141ABEE" w14:textId="77777777" w:rsidR="009B5DE5" w:rsidRPr="009B5DE5" w:rsidRDefault="009B5DE5" w:rsidP="009B5DE5">
            <w:pPr>
              <w:spacing w:after="0"/>
              <w:jc w:val="center"/>
              <w:outlineLvl w:val="0"/>
              <w:rPr>
                <w:rFonts w:eastAsia="Times New Roman" w:cs="Times New Roman"/>
                <w:szCs w:val="24"/>
              </w:rPr>
            </w:pPr>
            <w:bookmarkStart w:id="103" w:name="_Toc185341547"/>
            <w:bookmarkStart w:id="104" w:name="_Toc185342363"/>
            <w:r w:rsidRPr="009B5DE5">
              <w:rPr>
                <w:rFonts w:eastAsia="Times New Roman" w:cs="Times New Roman"/>
                <w:szCs w:val="24"/>
              </w:rPr>
              <w:t>:</w:t>
            </w:r>
            <w:bookmarkEnd w:id="103"/>
            <w:bookmarkEnd w:id="104"/>
          </w:p>
        </w:tc>
        <w:tc>
          <w:tcPr>
            <w:tcW w:w="984" w:type="dxa"/>
            <w:tcBorders>
              <w:top w:val="nil"/>
              <w:left w:val="single" w:sz="4" w:space="0" w:color="auto"/>
              <w:bottom w:val="single" w:sz="4" w:space="0" w:color="auto"/>
              <w:right w:val="nil"/>
            </w:tcBorders>
            <w:shd w:val="clear" w:color="auto" w:fill="auto"/>
            <w:noWrap/>
            <w:vAlign w:val="center"/>
            <w:hideMark/>
          </w:tcPr>
          <w:p w14:paraId="2F6DA2DA" w14:textId="77777777" w:rsidR="009B5DE5" w:rsidRPr="009B5DE5" w:rsidRDefault="009B5DE5" w:rsidP="009B5DE5">
            <w:pPr>
              <w:spacing w:after="0"/>
              <w:jc w:val="center"/>
              <w:outlineLvl w:val="0"/>
              <w:rPr>
                <w:rFonts w:eastAsia="Times New Roman" w:cs="Times New Roman"/>
                <w:szCs w:val="24"/>
              </w:rPr>
            </w:pPr>
            <w:bookmarkStart w:id="105" w:name="_Toc185341548"/>
            <w:bookmarkStart w:id="106" w:name="_Toc185342364"/>
            <w:r w:rsidRPr="009B5DE5">
              <w:rPr>
                <w:rFonts w:eastAsia="Times New Roman" w:cs="Times New Roman"/>
                <w:szCs w:val="24"/>
              </w:rPr>
              <w:t>:</w:t>
            </w:r>
            <w:bookmarkEnd w:id="105"/>
            <w:bookmarkEnd w:id="106"/>
          </w:p>
        </w:tc>
        <w:tc>
          <w:tcPr>
            <w:tcW w:w="984" w:type="dxa"/>
            <w:tcBorders>
              <w:top w:val="nil"/>
              <w:left w:val="single" w:sz="4" w:space="0" w:color="auto"/>
              <w:bottom w:val="single" w:sz="4" w:space="0" w:color="auto"/>
              <w:right w:val="nil"/>
            </w:tcBorders>
            <w:shd w:val="clear" w:color="auto" w:fill="auto"/>
            <w:noWrap/>
            <w:vAlign w:val="center"/>
            <w:hideMark/>
          </w:tcPr>
          <w:p w14:paraId="1C0D536C" w14:textId="77777777" w:rsidR="009B5DE5" w:rsidRPr="009B5DE5" w:rsidRDefault="009B5DE5" w:rsidP="009B5DE5">
            <w:pPr>
              <w:spacing w:after="0"/>
              <w:jc w:val="center"/>
              <w:outlineLvl w:val="0"/>
              <w:rPr>
                <w:rFonts w:eastAsia="Times New Roman" w:cs="Times New Roman"/>
                <w:szCs w:val="24"/>
              </w:rPr>
            </w:pPr>
            <w:bookmarkStart w:id="107" w:name="_Toc185341549"/>
            <w:bookmarkStart w:id="108" w:name="_Toc185342365"/>
            <w:r w:rsidRPr="009B5DE5">
              <w:rPr>
                <w:rFonts w:eastAsia="Times New Roman" w:cs="Times New Roman"/>
                <w:szCs w:val="24"/>
              </w:rPr>
              <w:t>:</w:t>
            </w:r>
            <w:bookmarkEnd w:id="107"/>
            <w:bookmarkEnd w:id="108"/>
          </w:p>
        </w:tc>
        <w:tc>
          <w:tcPr>
            <w:tcW w:w="1019" w:type="dxa"/>
            <w:tcBorders>
              <w:top w:val="nil"/>
              <w:left w:val="single" w:sz="4" w:space="0" w:color="auto"/>
              <w:bottom w:val="single" w:sz="4" w:space="0" w:color="auto"/>
              <w:right w:val="double" w:sz="6" w:space="0" w:color="auto"/>
            </w:tcBorders>
            <w:shd w:val="clear" w:color="auto" w:fill="auto"/>
            <w:noWrap/>
            <w:vAlign w:val="center"/>
            <w:hideMark/>
          </w:tcPr>
          <w:p w14:paraId="464621FD" w14:textId="77777777" w:rsidR="009B5DE5" w:rsidRPr="009B5DE5" w:rsidRDefault="009B5DE5" w:rsidP="009B5DE5">
            <w:pPr>
              <w:spacing w:after="0"/>
              <w:jc w:val="center"/>
              <w:outlineLvl w:val="0"/>
              <w:rPr>
                <w:rFonts w:eastAsia="Times New Roman" w:cs="Times New Roman"/>
                <w:szCs w:val="24"/>
              </w:rPr>
            </w:pPr>
            <w:bookmarkStart w:id="109" w:name="_Toc185341550"/>
            <w:bookmarkStart w:id="110" w:name="_Toc185342366"/>
            <w:r w:rsidRPr="009B5DE5">
              <w:rPr>
                <w:rFonts w:eastAsia="Times New Roman" w:cs="Times New Roman"/>
                <w:szCs w:val="24"/>
              </w:rPr>
              <w:t>:</w:t>
            </w:r>
            <w:bookmarkEnd w:id="109"/>
            <w:bookmarkEnd w:id="110"/>
          </w:p>
        </w:tc>
      </w:tr>
      <w:tr w:rsidR="009B5DE5" w:rsidRPr="009B5DE5" w14:paraId="46B50731" w14:textId="77777777" w:rsidTr="00396800">
        <w:trPr>
          <w:trHeight w:val="342"/>
        </w:trPr>
        <w:tc>
          <w:tcPr>
            <w:tcW w:w="1531" w:type="dxa"/>
            <w:vMerge/>
            <w:tcBorders>
              <w:top w:val="nil"/>
              <w:left w:val="double" w:sz="6" w:space="0" w:color="auto"/>
              <w:bottom w:val="nil"/>
              <w:right w:val="single" w:sz="4" w:space="0" w:color="auto"/>
            </w:tcBorders>
            <w:vAlign w:val="center"/>
            <w:hideMark/>
          </w:tcPr>
          <w:p w14:paraId="15E58F5A" w14:textId="77777777" w:rsidR="009B5DE5" w:rsidRPr="009B5DE5" w:rsidRDefault="009B5DE5" w:rsidP="009B5DE5">
            <w:pPr>
              <w:spacing w:after="0"/>
              <w:jc w:val="left"/>
              <w:outlineLvl w:val="0"/>
              <w:rPr>
                <w:rFonts w:eastAsia="Times New Roman" w:cs="Times New Roman"/>
                <w:i/>
                <w:iCs/>
                <w:sz w:val="22"/>
              </w:rPr>
            </w:pPr>
          </w:p>
        </w:tc>
        <w:tc>
          <w:tcPr>
            <w:tcW w:w="5786" w:type="dxa"/>
            <w:tcBorders>
              <w:top w:val="nil"/>
              <w:left w:val="nil"/>
              <w:bottom w:val="single" w:sz="4" w:space="0" w:color="auto"/>
              <w:right w:val="single" w:sz="4" w:space="0" w:color="auto"/>
            </w:tcBorders>
            <w:shd w:val="clear" w:color="auto" w:fill="auto"/>
            <w:noWrap/>
            <w:vAlign w:val="center"/>
            <w:hideMark/>
          </w:tcPr>
          <w:p w14:paraId="22B91DDA" w14:textId="77777777" w:rsidR="009B5DE5" w:rsidRPr="009B5DE5" w:rsidRDefault="009B5DE5" w:rsidP="009B5DE5">
            <w:pPr>
              <w:spacing w:after="0"/>
              <w:jc w:val="left"/>
              <w:outlineLvl w:val="0"/>
              <w:rPr>
                <w:rFonts w:eastAsia="Times New Roman" w:cs="Times New Roman"/>
                <w:szCs w:val="24"/>
              </w:rPr>
            </w:pPr>
            <w:bookmarkStart w:id="111" w:name="_Toc185341551"/>
            <w:bookmarkStart w:id="112" w:name="_Toc185342367"/>
            <w:r w:rsidRPr="009B5DE5">
              <w:rPr>
                <w:rFonts w:eastAsia="Times New Roman" w:cs="Times New Roman"/>
                <w:szCs w:val="24"/>
              </w:rPr>
              <w:t>Помоћ корисницима социјалне помоћи</w:t>
            </w:r>
            <w:bookmarkEnd w:id="111"/>
            <w:bookmarkEnd w:id="112"/>
          </w:p>
        </w:tc>
        <w:tc>
          <w:tcPr>
            <w:tcW w:w="1757" w:type="dxa"/>
            <w:tcBorders>
              <w:top w:val="nil"/>
              <w:left w:val="nil"/>
              <w:bottom w:val="single" w:sz="4" w:space="0" w:color="auto"/>
              <w:right w:val="single" w:sz="4" w:space="0" w:color="auto"/>
            </w:tcBorders>
            <w:shd w:val="clear" w:color="auto" w:fill="auto"/>
            <w:noWrap/>
            <w:vAlign w:val="center"/>
            <w:hideMark/>
          </w:tcPr>
          <w:p w14:paraId="32BB09D7" w14:textId="77777777" w:rsidR="009B5DE5" w:rsidRPr="009B5DE5" w:rsidRDefault="009B5DE5" w:rsidP="009B5DE5">
            <w:pPr>
              <w:spacing w:after="0"/>
              <w:jc w:val="center"/>
              <w:outlineLvl w:val="0"/>
              <w:rPr>
                <w:rFonts w:eastAsia="Times New Roman" w:cs="Times New Roman"/>
                <w:szCs w:val="24"/>
              </w:rPr>
            </w:pPr>
            <w:bookmarkStart w:id="113" w:name="_Toc185341552"/>
            <w:bookmarkStart w:id="114" w:name="_Toc185342368"/>
            <w:r w:rsidRPr="009B5DE5">
              <w:rPr>
                <w:rFonts w:eastAsia="Times New Roman" w:cs="Times New Roman"/>
                <w:szCs w:val="24"/>
              </w:rPr>
              <w:t>D62</w:t>
            </w:r>
            <w:bookmarkEnd w:id="113"/>
            <w:bookmarkEnd w:id="114"/>
          </w:p>
        </w:tc>
        <w:tc>
          <w:tcPr>
            <w:tcW w:w="984" w:type="dxa"/>
            <w:tcBorders>
              <w:top w:val="nil"/>
              <w:left w:val="nil"/>
              <w:bottom w:val="single" w:sz="4" w:space="0" w:color="auto"/>
              <w:right w:val="single" w:sz="4" w:space="0" w:color="auto"/>
            </w:tcBorders>
            <w:shd w:val="clear" w:color="auto" w:fill="auto"/>
            <w:noWrap/>
            <w:vAlign w:val="center"/>
            <w:hideMark/>
          </w:tcPr>
          <w:p w14:paraId="4C75482F" w14:textId="77777777" w:rsidR="009B5DE5" w:rsidRPr="009B5DE5" w:rsidRDefault="009B5DE5" w:rsidP="009B5DE5">
            <w:pPr>
              <w:spacing w:after="0"/>
              <w:jc w:val="center"/>
              <w:outlineLvl w:val="0"/>
              <w:rPr>
                <w:rFonts w:eastAsia="Times New Roman" w:cs="Times New Roman"/>
                <w:szCs w:val="24"/>
              </w:rPr>
            </w:pPr>
            <w:bookmarkStart w:id="115" w:name="_Toc185341553"/>
            <w:bookmarkStart w:id="116" w:name="_Toc185342369"/>
            <w:r w:rsidRPr="009B5DE5">
              <w:rPr>
                <w:rFonts w:eastAsia="Times New Roman" w:cs="Times New Roman"/>
                <w:szCs w:val="24"/>
              </w:rPr>
              <w:t>:</w:t>
            </w:r>
            <w:bookmarkEnd w:id="115"/>
            <w:bookmarkEnd w:id="116"/>
          </w:p>
        </w:tc>
        <w:tc>
          <w:tcPr>
            <w:tcW w:w="984" w:type="dxa"/>
            <w:tcBorders>
              <w:top w:val="nil"/>
              <w:left w:val="nil"/>
              <w:bottom w:val="single" w:sz="4" w:space="0" w:color="auto"/>
              <w:right w:val="single" w:sz="4" w:space="0" w:color="auto"/>
            </w:tcBorders>
            <w:shd w:val="clear" w:color="auto" w:fill="auto"/>
            <w:noWrap/>
            <w:vAlign w:val="center"/>
            <w:hideMark/>
          </w:tcPr>
          <w:p w14:paraId="4A5F0D10" w14:textId="77777777" w:rsidR="009B5DE5" w:rsidRPr="009B5DE5" w:rsidRDefault="009B5DE5" w:rsidP="009B5DE5">
            <w:pPr>
              <w:spacing w:after="0"/>
              <w:jc w:val="center"/>
              <w:outlineLvl w:val="0"/>
              <w:rPr>
                <w:rFonts w:eastAsia="Times New Roman" w:cs="Times New Roman"/>
                <w:szCs w:val="24"/>
              </w:rPr>
            </w:pPr>
            <w:bookmarkStart w:id="117" w:name="_Toc185341554"/>
            <w:bookmarkStart w:id="118" w:name="_Toc185342370"/>
            <w:r w:rsidRPr="009B5DE5">
              <w:rPr>
                <w:rFonts w:eastAsia="Times New Roman" w:cs="Times New Roman"/>
                <w:szCs w:val="24"/>
              </w:rPr>
              <w:t>0,0</w:t>
            </w:r>
            <w:bookmarkEnd w:id="117"/>
            <w:bookmarkEnd w:id="118"/>
          </w:p>
        </w:tc>
        <w:tc>
          <w:tcPr>
            <w:tcW w:w="984" w:type="dxa"/>
            <w:tcBorders>
              <w:top w:val="nil"/>
              <w:left w:val="nil"/>
              <w:bottom w:val="single" w:sz="4" w:space="0" w:color="auto"/>
              <w:right w:val="nil"/>
            </w:tcBorders>
            <w:shd w:val="clear" w:color="auto" w:fill="auto"/>
            <w:noWrap/>
            <w:vAlign w:val="center"/>
            <w:hideMark/>
          </w:tcPr>
          <w:p w14:paraId="3B84FE6C" w14:textId="77777777" w:rsidR="009B5DE5" w:rsidRPr="009B5DE5" w:rsidRDefault="009B5DE5" w:rsidP="009B5DE5">
            <w:pPr>
              <w:spacing w:after="0"/>
              <w:jc w:val="center"/>
              <w:outlineLvl w:val="0"/>
              <w:rPr>
                <w:rFonts w:eastAsia="Times New Roman" w:cs="Times New Roman"/>
                <w:szCs w:val="24"/>
              </w:rPr>
            </w:pPr>
            <w:bookmarkStart w:id="119" w:name="_Toc185341555"/>
            <w:bookmarkStart w:id="120" w:name="_Toc185342371"/>
            <w:r w:rsidRPr="009B5DE5">
              <w:rPr>
                <w:rFonts w:eastAsia="Times New Roman" w:cs="Times New Roman"/>
                <w:szCs w:val="24"/>
              </w:rPr>
              <w:t>:</w:t>
            </w:r>
            <w:bookmarkEnd w:id="119"/>
            <w:bookmarkEnd w:id="120"/>
          </w:p>
        </w:tc>
        <w:tc>
          <w:tcPr>
            <w:tcW w:w="984" w:type="dxa"/>
            <w:tcBorders>
              <w:top w:val="nil"/>
              <w:left w:val="single" w:sz="4" w:space="0" w:color="auto"/>
              <w:bottom w:val="single" w:sz="4" w:space="0" w:color="auto"/>
              <w:right w:val="nil"/>
            </w:tcBorders>
            <w:shd w:val="clear" w:color="auto" w:fill="auto"/>
            <w:noWrap/>
            <w:vAlign w:val="center"/>
            <w:hideMark/>
          </w:tcPr>
          <w:p w14:paraId="78214661" w14:textId="77777777" w:rsidR="009B5DE5" w:rsidRPr="009B5DE5" w:rsidRDefault="009B5DE5" w:rsidP="009B5DE5">
            <w:pPr>
              <w:spacing w:after="0"/>
              <w:jc w:val="center"/>
              <w:outlineLvl w:val="0"/>
              <w:rPr>
                <w:rFonts w:eastAsia="Times New Roman" w:cs="Times New Roman"/>
                <w:szCs w:val="24"/>
              </w:rPr>
            </w:pPr>
            <w:bookmarkStart w:id="121" w:name="_Toc185341556"/>
            <w:bookmarkStart w:id="122" w:name="_Toc185342372"/>
            <w:r w:rsidRPr="009B5DE5">
              <w:rPr>
                <w:rFonts w:eastAsia="Times New Roman" w:cs="Times New Roman"/>
                <w:szCs w:val="24"/>
              </w:rPr>
              <w:t>:</w:t>
            </w:r>
            <w:bookmarkEnd w:id="121"/>
            <w:bookmarkEnd w:id="122"/>
          </w:p>
        </w:tc>
        <w:tc>
          <w:tcPr>
            <w:tcW w:w="984" w:type="dxa"/>
            <w:tcBorders>
              <w:top w:val="nil"/>
              <w:left w:val="single" w:sz="4" w:space="0" w:color="auto"/>
              <w:bottom w:val="single" w:sz="4" w:space="0" w:color="auto"/>
              <w:right w:val="nil"/>
            </w:tcBorders>
            <w:shd w:val="clear" w:color="auto" w:fill="auto"/>
            <w:noWrap/>
            <w:vAlign w:val="center"/>
            <w:hideMark/>
          </w:tcPr>
          <w:p w14:paraId="2F95EC94" w14:textId="77777777" w:rsidR="009B5DE5" w:rsidRPr="009B5DE5" w:rsidRDefault="009B5DE5" w:rsidP="009B5DE5">
            <w:pPr>
              <w:spacing w:after="0"/>
              <w:jc w:val="center"/>
              <w:outlineLvl w:val="0"/>
              <w:rPr>
                <w:rFonts w:eastAsia="Times New Roman" w:cs="Times New Roman"/>
                <w:szCs w:val="24"/>
              </w:rPr>
            </w:pPr>
            <w:bookmarkStart w:id="123" w:name="_Toc185341557"/>
            <w:bookmarkStart w:id="124" w:name="_Toc185342373"/>
            <w:r w:rsidRPr="009B5DE5">
              <w:rPr>
                <w:rFonts w:eastAsia="Times New Roman" w:cs="Times New Roman"/>
                <w:szCs w:val="24"/>
              </w:rPr>
              <w:t>:</w:t>
            </w:r>
            <w:bookmarkEnd w:id="123"/>
            <w:bookmarkEnd w:id="124"/>
          </w:p>
        </w:tc>
        <w:tc>
          <w:tcPr>
            <w:tcW w:w="1019" w:type="dxa"/>
            <w:tcBorders>
              <w:top w:val="nil"/>
              <w:left w:val="single" w:sz="4" w:space="0" w:color="auto"/>
              <w:bottom w:val="single" w:sz="4" w:space="0" w:color="auto"/>
              <w:right w:val="double" w:sz="6" w:space="0" w:color="auto"/>
            </w:tcBorders>
            <w:shd w:val="clear" w:color="auto" w:fill="auto"/>
            <w:noWrap/>
            <w:vAlign w:val="center"/>
            <w:hideMark/>
          </w:tcPr>
          <w:p w14:paraId="25A1AEA0" w14:textId="77777777" w:rsidR="009B5DE5" w:rsidRPr="009B5DE5" w:rsidRDefault="009B5DE5" w:rsidP="009B5DE5">
            <w:pPr>
              <w:spacing w:after="0"/>
              <w:jc w:val="center"/>
              <w:outlineLvl w:val="0"/>
              <w:rPr>
                <w:rFonts w:eastAsia="Times New Roman" w:cs="Times New Roman"/>
                <w:szCs w:val="24"/>
              </w:rPr>
            </w:pPr>
            <w:bookmarkStart w:id="125" w:name="_Toc185341558"/>
            <w:bookmarkStart w:id="126" w:name="_Toc185342374"/>
            <w:r w:rsidRPr="009B5DE5">
              <w:rPr>
                <w:rFonts w:eastAsia="Times New Roman" w:cs="Times New Roman"/>
                <w:szCs w:val="24"/>
              </w:rPr>
              <w:t>:</w:t>
            </w:r>
            <w:bookmarkEnd w:id="125"/>
            <w:bookmarkEnd w:id="126"/>
          </w:p>
        </w:tc>
      </w:tr>
      <w:tr w:rsidR="009B5DE5" w:rsidRPr="009B5DE5" w14:paraId="17627EBC" w14:textId="77777777" w:rsidTr="00396800">
        <w:trPr>
          <w:trHeight w:val="359"/>
        </w:trPr>
        <w:tc>
          <w:tcPr>
            <w:tcW w:w="1531" w:type="dxa"/>
            <w:vMerge/>
            <w:tcBorders>
              <w:top w:val="nil"/>
              <w:left w:val="double" w:sz="6" w:space="0" w:color="auto"/>
              <w:bottom w:val="nil"/>
              <w:right w:val="single" w:sz="4" w:space="0" w:color="auto"/>
            </w:tcBorders>
            <w:vAlign w:val="center"/>
            <w:hideMark/>
          </w:tcPr>
          <w:p w14:paraId="29E1BF30" w14:textId="77777777" w:rsidR="009B5DE5" w:rsidRPr="009B5DE5" w:rsidRDefault="009B5DE5" w:rsidP="009B5DE5">
            <w:pPr>
              <w:spacing w:after="0"/>
              <w:jc w:val="left"/>
              <w:outlineLvl w:val="0"/>
              <w:rPr>
                <w:rFonts w:eastAsia="Times New Roman" w:cs="Times New Roman"/>
                <w:i/>
                <w:iCs/>
                <w:sz w:val="22"/>
              </w:rPr>
            </w:pPr>
          </w:p>
        </w:tc>
        <w:tc>
          <w:tcPr>
            <w:tcW w:w="5786" w:type="dxa"/>
            <w:tcBorders>
              <w:top w:val="nil"/>
              <w:left w:val="nil"/>
              <w:bottom w:val="single" w:sz="4" w:space="0" w:color="auto"/>
              <w:right w:val="single" w:sz="4" w:space="0" w:color="auto"/>
            </w:tcBorders>
            <w:shd w:val="clear" w:color="auto" w:fill="auto"/>
            <w:noWrap/>
            <w:vAlign w:val="center"/>
            <w:hideMark/>
          </w:tcPr>
          <w:p w14:paraId="54706CDA" w14:textId="77777777" w:rsidR="009B5DE5" w:rsidRPr="009B5DE5" w:rsidRDefault="009B5DE5" w:rsidP="009B5DE5">
            <w:pPr>
              <w:spacing w:after="0"/>
              <w:jc w:val="left"/>
              <w:outlineLvl w:val="0"/>
              <w:rPr>
                <w:rFonts w:eastAsia="Times New Roman" w:cs="Times New Roman"/>
                <w:szCs w:val="24"/>
              </w:rPr>
            </w:pPr>
            <w:bookmarkStart w:id="127" w:name="_Toc185341559"/>
            <w:bookmarkStart w:id="128" w:name="_Toc185342375"/>
            <w:r w:rsidRPr="009B5DE5">
              <w:rPr>
                <w:rFonts w:eastAsia="Times New Roman" w:cs="Times New Roman"/>
                <w:szCs w:val="24"/>
              </w:rPr>
              <w:t>Повећање бруто инвестиција у основна средства</w:t>
            </w:r>
            <w:bookmarkEnd w:id="127"/>
            <w:bookmarkEnd w:id="128"/>
          </w:p>
        </w:tc>
        <w:tc>
          <w:tcPr>
            <w:tcW w:w="1757" w:type="dxa"/>
            <w:tcBorders>
              <w:top w:val="nil"/>
              <w:left w:val="nil"/>
              <w:bottom w:val="single" w:sz="4" w:space="0" w:color="auto"/>
              <w:right w:val="single" w:sz="4" w:space="0" w:color="auto"/>
            </w:tcBorders>
            <w:shd w:val="clear" w:color="auto" w:fill="auto"/>
            <w:noWrap/>
            <w:vAlign w:val="center"/>
            <w:hideMark/>
          </w:tcPr>
          <w:p w14:paraId="780CCDEB" w14:textId="77777777" w:rsidR="009B5DE5" w:rsidRPr="009B5DE5" w:rsidRDefault="009B5DE5" w:rsidP="009B5DE5">
            <w:pPr>
              <w:spacing w:after="0"/>
              <w:jc w:val="center"/>
              <w:outlineLvl w:val="0"/>
              <w:rPr>
                <w:rFonts w:eastAsia="Times New Roman" w:cs="Times New Roman"/>
                <w:szCs w:val="24"/>
              </w:rPr>
            </w:pPr>
            <w:bookmarkStart w:id="129" w:name="_Toc185341560"/>
            <w:bookmarkStart w:id="130" w:name="_Toc185342376"/>
            <w:r w:rsidRPr="009B5DE5">
              <w:rPr>
                <w:rFonts w:eastAsia="Times New Roman" w:cs="Times New Roman"/>
                <w:szCs w:val="24"/>
              </w:rPr>
              <w:t>Р51</w:t>
            </w:r>
            <w:bookmarkEnd w:id="129"/>
            <w:bookmarkEnd w:id="130"/>
          </w:p>
        </w:tc>
        <w:tc>
          <w:tcPr>
            <w:tcW w:w="984" w:type="dxa"/>
            <w:tcBorders>
              <w:top w:val="nil"/>
              <w:left w:val="nil"/>
              <w:bottom w:val="single" w:sz="4" w:space="0" w:color="auto"/>
              <w:right w:val="single" w:sz="4" w:space="0" w:color="auto"/>
            </w:tcBorders>
            <w:shd w:val="clear" w:color="auto" w:fill="auto"/>
            <w:noWrap/>
            <w:vAlign w:val="center"/>
            <w:hideMark/>
          </w:tcPr>
          <w:p w14:paraId="1E44B1B3" w14:textId="77777777" w:rsidR="009B5DE5" w:rsidRPr="009B5DE5" w:rsidRDefault="009B5DE5" w:rsidP="009B5DE5">
            <w:pPr>
              <w:spacing w:after="0"/>
              <w:jc w:val="center"/>
              <w:outlineLvl w:val="0"/>
              <w:rPr>
                <w:rFonts w:eastAsia="Times New Roman" w:cs="Times New Roman"/>
                <w:szCs w:val="24"/>
              </w:rPr>
            </w:pPr>
            <w:bookmarkStart w:id="131" w:name="_Toc185341561"/>
            <w:bookmarkStart w:id="132" w:name="_Toc185342377"/>
            <w:r w:rsidRPr="009B5DE5">
              <w:rPr>
                <w:rFonts w:eastAsia="Times New Roman" w:cs="Times New Roman"/>
                <w:szCs w:val="24"/>
              </w:rPr>
              <w:t>:</w:t>
            </w:r>
            <w:bookmarkEnd w:id="131"/>
            <w:bookmarkEnd w:id="132"/>
          </w:p>
        </w:tc>
        <w:tc>
          <w:tcPr>
            <w:tcW w:w="984" w:type="dxa"/>
            <w:tcBorders>
              <w:top w:val="nil"/>
              <w:left w:val="nil"/>
              <w:bottom w:val="single" w:sz="4" w:space="0" w:color="auto"/>
              <w:right w:val="single" w:sz="4" w:space="0" w:color="auto"/>
            </w:tcBorders>
            <w:shd w:val="clear" w:color="auto" w:fill="auto"/>
            <w:noWrap/>
            <w:vAlign w:val="center"/>
            <w:hideMark/>
          </w:tcPr>
          <w:p w14:paraId="4C61E749" w14:textId="77777777" w:rsidR="009B5DE5" w:rsidRPr="009B5DE5" w:rsidRDefault="009B5DE5" w:rsidP="009B5DE5">
            <w:pPr>
              <w:spacing w:after="0"/>
              <w:jc w:val="center"/>
              <w:outlineLvl w:val="0"/>
              <w:rPr>
                <w:rFonts w:eastAsia="Times New Roman" w:cs="Times New Roman"/>
                <w:szCs w:val="24"/>
              </w:rPr>
            </w:pPr>
            <w:bookmarkStart w:id="133" w:name="_Toc185341562"/>
            <w:bookmarkStart w:id="134" w:name="_Toc185342378"/>
            <w:r w:rsidRPr="009B5DE5">
              <w:rPr>
                <w:rFonts w:eastAsia="Times New Roman" w:cs="Times New Roman"/>
                <w:szCs w:val="24"/>
              </w:rPr>
              <w:t>:</w:t>
            </w:r>
            <w:bookmarkEnd w:id="133"/>
            <w:bookmarkEnd w:id="134"/>
          </w:p>
        </w:tc>
        <w:tc>
          <w:tcPr>
            <w:tcW w:w="984" w:type="dxa"/>
            <w:tcBorders>
              <w:top w:val="nil"/>
              <w:left w:val="nil"/>
              <w:bottom w:val="single" w:sz="4" w:space="0" w:color="auto"/>
              <w:right w:val="nil"/>
            </w:tcBorders>
            <w:shd w:val="clear" w:color="auto" w:fill="auto"/>
            <w:noWrap/>
            <w:vAlign w:val="center"/>
            <w:hideMark/>
          </w:tcPr>
          <w:p w14:paraId="62F2AB64" w14:textId="77777777" w:rsidR="009B5DE5" w:rsidRPr="009B5DE5" w:rsidRDefault="009B5DE5" w:rsidP="009B5DE5">
            <w:pPr>
              <w:spacing w:after="0"/>
              <w:jc w:val="center"/>
              <w:outlineLvl w:val="0"/>
              <w:rPr>
                <w:rFonts w:eastAsia="Times New Roman" w:cs="Times New Roman"/>
                <w:szCs w:val="24"/>
              </w:rPr>
            </w:pPr>
            <w:bookmarkStart w:id="135" w:name="_Toc185341563"/>
            <w:bookmarkStart w:id="136" w:name="_Toc185342379"/>
            <w:r w:rsidRPr="009B5DE5">
              <w:rPr>
                <w:rFonts w:eastAsia="Times New Roman" w:cs="Times New Roman"/>
                <w:szCs w:val="24"/>
              </w:rPr>
              <w:t>-0,5</w:t>
            </w:r>
            <w:bookmarkEnd w:id="135"/>
            <w:bookmarkEnd w:id="136"/>
          </w:p>
        </w:tc>
        <w:tc>
          <w:tcPr>
            <w:tcW w:w="984" w:type="dxa"/>
            <w:tcBorders>
              <w:top w:val="nil"/>
              <w:left w:val="single" w:sz="4" w:space="0" w:color="auto"/>
              <w:bottom w:val="single" w:sz="4" w:space="0" w:color="auto"/>
              <w:right w:val="nil"/>
            </w:tcBorders>
            <w:shd w:val="clear" w:color="auto" w:fill="auto"/>
            <w:noWrap/>
            <w:vAlign w:val="center"/>
            <w:hideMark/>
          </w:tcPr>
          <w:p w14:paraId="12A60D4C" w14:textId="77777777" w:rsidR="009B5DE5" w:rsidRPr="009B5DE5" w:rsidRDefault="009B5DE5" w:rsidP="009B5DE5">
            <w:pPr>
              <w:spacing w:after="0"/>
              <w:jc w:val="center"/>
              <w:outlineLvl w:val="0"/>
              <w:rPr>
                <w:rFonts w:eastAsia="Times New Roman" w:cs="Times New Roman"/>
                <w:szCs w:val="24"/>
              </w:rPr>
            </w:pPr>
            <w:bookmarkStart w:id="137" w:name="_Toc185341564"/>
            <w:bookmarkStart w:id="138" w:name="_Toc185342380"/>
            <w:r w:rsidRPr="009B5DE5">
              <w:rPr>
                <w:rFonts w:eastAsia="Times New Roman" w:cs="Times New Roman"/>
                <w:szCs w:val="24"/>
              </w:rPr>
              <w:t>-0,2</w:t>
            </w:r>
            <w:bookmarkEnd w:id="137"/>
            <w:bookmarkEnd w:id="138"/>
          </w:p>
        </w:tc>
        <w:tc>
          <w:tcPr>
            <w:tcW w:w="984" w:type="dxa"/>
            <w:tcBorders>
              <w:top w:val="nil"/>
              <w:left w:val="single" w:sz="4" w:space="0" w:color="auto"/>
              <w:bottom w:val="single" w:sz="4" w:space="0" w:color="auto"/>
              <w:right w:val="nil"/>
            </w:tcBorders>
            <w:shd w:val="clear" w:color="auto" w:fill="auto"/>
            <w:noWrap/>
            <w:vAlign w:val="center"/>
            <w:hideMark/>
          </w:tcPr>
          <w:p w14:paraId="0758DAA7" w14:textId="77777777" w:rsidR="009B5DE5" w:rsidRPr="009B5DE5" w:rsidRDefault="009B5DE5" w:rsidP="009B5DE5">
            <w:pPr>
              <w:spacing w:after="0"/>
              <w:jc w:val="center"/>
              <w:outlineLvl w:val="0"/>
              <w:rPr>
                <w:rFonts w:eastAsia="Times New Roman" w:cs="Times New Roman"/>
                <w:szCs w:val="24"/>
              </w:rPr>
            </w:pPr>
            <w:bookmarkStart w:id="139" w:name="_Toc185341565"/>
            <w:bookmarkStart w:id="140" w:name="_Toc185342381"/>
            <w:r w:rsidRPr="009B5DE5">
              <w:rPr>
                <w:rFonts w:eastAsia="Times New Roman" w:cs="Times New Roman"/>
                <w:szCs w:val="24"/>
              </w:rPr>
              <w:t>-0,6</w:t>
            </w:r>
            <w:bookmarkEnd w:id="139"/>
            <w:bookmarkEnd w:id="140"/>
          </w:p>
        </w:tc>
        <w:tc>
          <w:tcPr>
            <w:tcW w:w="1019" w:type="dxa"/>
            <w:tcBorders>
              <w:top w:val="nil"/>
              <w:left w:val="single" w:sz="4" w:space="0" w:color="auto"/>
              <w:bottom w:val="single" w:sz="4" w:space="0" w:color="auto"/>
              <w:right w:val="double" w:sz="6" w:space="0" w:color="auto"/>
            </w:tcBorders>
            <w:shd w:val="clear" w:color="auto" w:fill="auto"/>
            <w:noWrap/>
            <w:vAlign w:val="center"/>
            <w:hideMark/>
          </w:tcPr>
          <w:p w14:paraId="76C8FB6D" w14:textId="77777777" w:rsidR="009B5DE5" w:rsidRPr="009B5DE5" w:rsidRDefault="009B5DE5" w:rsidP="009B5DE5">
            <w:pPr>
              <w:spacing w:after="0"/>
              <w:jc w:val="center"/>
              <w:outlineLvl w:val="0"/>
              <w:rPr>
                <w:rFonts w:eastAsia="Times New Roman" w:cs="Times New Roman"/>
                <w:szCs w:val="24"/>
              </w:rPr>
            </w:pPr>
            <w:bookmarkStart w:id="141" w:name="_Toc185341566"/>
            <w:bookmarkStart w:id="142" w:name="_Toc185342382"/>
            <w:r w:rsidRPr="009B5DE5">
              <w:rPr>
                <w:rFonts w:eastAsia="Times New Roman" w:cs="Times New Roman"/>
                <w:szCs w:val="24"/>
              </w:rPr>
              <w:t>-0,2</w:t>
            </w:r>
            <w:bookmarkEnd w:id="141"/>
            <w:bookmarkEnd w:id="142"/>
          </w:p>
        </w:tc>
      </w:tr>
      <w:tr w:rsidR="009B5DE5" w:rsidRPr="009B5DE5" w14:paraId="12738C2E" w14:textId="77777777" w:rsidTr="00396800">
        <w:trPr>
          <w:trHeight w:val="329"/>
        </w:trPr>
        <w:tc>
          <w:tcPr>
            <w:tcW w:w="1531" w:type="dxa"/>
            <w:vMerge/>
            <w:tcBorders>
              <w:top w:val="nil"/>
              <w:left w:val="double" w:sz="6" w:space="0" w:color="auto"/>
              <w:bottom w:val="nil"/>
              <w:right w:val="single" w:sz="4" w:space="0" w:color="auto"/>
            </w:tcBorders>
            <w:vAlign w:val="center"/>
            <w:hideMark/>
          </w:tcPr>
          <w:p w14:paraId="38A4A8C5" w14:textId="77777777" w:rsidR="009B5DE5" w:rsidRPr="009B5DE5" w:rsidRDefault="009B5DE5" w:rsidP="009B5DE5">
            <w:pPr>
              <w:spacing w:after="0"/>
              <w:jc w:val="left"/>
              <w:outlineLvl w:val="0"/>
              <w:rPr>
                <w:rFonts w:eastAsia="Times New Roman" w:cs="Times New Roman"/>
                <w:i/>
                <w:iCs/>
                <w:sz w:val="22"/>
              </w:rPr>
            </w:pPr>
          </w:p>
        </w:tc>
        <w:tc>
          <w:tcPr>
            <w:tcW w:w="5786" w:type="dxa"/>
            <w:tcBorders>
              <w:top w:val="nil"/>
              <w:left w:val="nil"/>
              <w:bottom w:val="single" w:sz="4" w:space="0" w:color="auto"/>
              <w:right w:val="single" w:sz="4" w:space="0" w:color="auto"/>
            </w:tcBorders>
            <w:shd w:val="clear" w:color="auto" w:fill="auto"/>
            <w:noWrap/>
            <w:vAlign w:val="center"/>
            <w:hideMark/>
          </w:tcPr>
          <w:p w14:paraId="1FEB696E" w14:textId="77777777" w:rsidR="009B5DE5" w:rsidRPr="009B5DE5" w:rsidRDefault="009B5DE5" w:rsidP="009B5DE5">
            <w:pPr>
              <w:spacing w:after="0"/>
              <w:jc w:val="left"/>
              <w:outlineLvl w:val="0"/>
              <w:rPr>
                <w:rFonts w:eastAsia="Times New Roman" w:cs="Times New Roman"/>
                <w:szCs w:val="24"/>
              </w:rPr>
            </w:pPr>
            <w:bookmarkStart w:id="143" w:name="_Toc185341567"/>
            <w:bookmarkStart w:id="144" w:name="_Toc185342383"/>
            <w:r w:rsidRPr="009B5DE5">
              <w:rPr>
                <w:rFonts w:eastAsia="Times New Roman" w:cs="Times New Roman"/>
                <w:szCs w:val="24"/>
              </w:rPr>
              <w:t>:</w:t>
            </w:r>
            <w:bookmarkEnd w:id="143"/>
            <w:bookmarkEnd w:id="144"/>
          </w:p>
        </w:tc>
        <w:tc>
          <w:tcPr>
            <w:tcW w:w="1757" w:type="dxa"/>
            <w:tcBorders>
              <w:top w:val="nil"/>
              <w:left w:val="nil"/>
              <w:bottom w:val="single" w:sz="4" w:space="0" w:color="auto"/>
              <w:right w:val="single" w:sz="4" w:space="0" w:color="auto"/>
            </w:tcBorders>
            <w:shd w:val="clear" w:color="auto" w:fill="auto"/>
            <w:noWrap/>
            <w:vAlign w:val="center"/>
            <w:hideMark/>
          </w:tcPr>
          <w:p w14:paraId="25386EF7" w14:textId="77777777" w:rsidR="009B5DE5" w:rsidRPr="009B5DE5" w:rsidRDefault="009B5DE5" w:rsidP="009B5DE5">
            <w:pPr>
              <w:spacing w:after="0"/>
              <w:jc w:val="center"/>
              <w:outlineLvl w:val="0"/>
              <w:rPr>
                <w:rFonts w:eastAsia="Times New Roman" w:cs="Times New Roman"/>
                <w:szCs w:val="24"/>
              </w:rPr>
            </w:pPr>
            <w:bookmarkStart w:id="145" w:name="_Toc185341568"/>
            <w:bookmarkStart w:id="146" w:name="_Toc185342384"/>
            <w:r w:rsidRPr="009B5DE5">
              <w:rPr>
                <w:rFonts w:eastAsia="Times New Roman" w:cs="Times New Roman"/>
                <w:szCs w:val="24"/>
              </w:rPr>
              <w:t>:</w:t>
            </w:r>
            <w:bookmarkEnd w:id="145"/>
            <w:bookmarkEnd w:id="146"/>
          </w:p>
        </w:tc>
        <w:tc>
          <w:tcPr>
            <w:tcW w:w="984" w:type="dxa"/>
            <w:tcBorders>
              <w:top w:val="nil"/>
              <w:left w:val="nil"/>
              <w:bottom w:val="single" w:sz="4" w:space="0" w:color="auto"/>
              <w:right w:val="single" w:sz="4" w:space="0" w:color="auto"/>
            </w:tcBorders>
            <w:shd w:val="clear" w:color="auto" w:fill="auto"/>
            <w:noWrap/>
            <w:vAlign w:val="center"/>
            <w:hideMark/>
          </w:tcPr>
          <w:p w14:paraId="0105B095" w14:textId="77777777" w:rsidR="009B5DE5" w:rsidRPr="009B5DE5" w:rsidRDefault="009B5DE5" w:rsidP="009B5DE5">
            <w:pPr>
              <w:spacing w:after="0"/>
              <w:jc w:val="center"/>
              <w:outlineLvl w:val="0"/>
              <w:rPr>
                <w:rFonts w:eastAsia="Times New Roman" w:cs="Times New Roman"/>
                <w:szCs w:val="24"/>
              </w:rPr>
            </w:pPr>
            <w:bookmarkStart w:id="147" w:name="_Toc185341569"/>
            <w:bookmarkStart w:id="148" w:name="_Toc185342385"/>
            <w:r w:rsidRPr="009B5DE5">
              <w:rPr>
                <w:rFonts w:eastAsia="Times New Roman" w:cs="Times New Roman"/>
                <w:szCs w:val="24"/>
              </w:rPr>
              <w:t>:</w:t>
            </w:r>
            <w:bookmarkEnd w:id="147"/>
            <w:bookmarkEnd w:id="148"/>
          </w:p>
        </w:tc>
        <w:tc>
          <w:tcPr>
            <w:tcW w:w="984" w:type="dxa"/>
            <w:tcBorders>
              <w:top w:val="nil"/>
              <w:left w:val="nil"/>
              <w:bottom w:val="single" w:sz="4" w:space="0" w:color="auto"/>
              <w:right w:val="single" w:sz="4" w:space="0" w:color="auto"/>
            </w:tcBorders>
            <w:shd w:val="clear" w:color="auto" w:fill="auto"/>
            <w:noWrap/>
            <w:vAlign w:val="center"/>
            <w:hideMark/>
          </w:tcPr>
          <w:p w14:paraId="5253F61B" w14:textId="77777777" w:rsidR="009B5DE5" w:rsidRPr="009B5DE5" w:rsidRDefault="009B5DE5" w:rsidP="009B5DE5">
            <w:pPr>
              <w:spacing w:after="0"/>
              <w:jc w:val="center"/>
              <w:outlineLvl w:val="0"/>
              <w:rPr>
                <w:rFonts w:eastAsia="Times New Roman" w:cs="Times New Roman"/>
                <w:szCs w:val="24"/>
              </w:rPr>
            </w:pPr>
            <w:bookmarkStart w:id="149" w:name="_Toc185341570"/>
            <w:bookmarkStart w:id="150" w:name="_Toc185342386"/>
            <w:r w:rsidRPr="009B5DE5">
              <w:rPr>
                <w:rFonts w:eastAsia="Times New Roman" w:cs="Times New Roman"/>
                <w:szCs w:val="24"/>
              </w:rPr>
              <w:t>:</w:t>
            </w:r>
            <w:bookmarkEnd w:id="149"/>
            <w:bookmarkEnd w:id="150"/>
          </w:p>
        </w:tc>
        <w:tc>
          <w:tcPr>
            <w:tcW w:w="984" w:type="dxa"/>
            <w:tcBorders>
              <w:top w:val="nil"/>
              <w:left w:val="nil"/>
              <w:bottom w:val="single" w:sz="4" w:space="0" w:color="auto"/>
              <w:right w:val="nil"/>
            </w:tcBorders>
            <w:shd w:val="clear" w:color="auto" w:fill="auto"/>
            <w:noWrap/>
            <w:vAlign w:val="center"/>
            <w:hideMark/>
          </w:tcPr>
          <w:p w14:paraId="7A154991" w14:textId="77777777" w:rsidR="009B5DE5" w:rsidRPr="009B5DE5" w:rsidRDefault="009B5DE5" w:rsidP="009B5DE5">
            <w:pPr>
              <w:spacing w:after="0"/>
              <w:jc w:val="center"/>
              <w:outlineLvl w:val="0"/>
              <w:rPr>
                <w:rFonts w:eastAsia="Times New Roman" w:cs="Times New Roman"/>
                <w:szCs w:val="24"/>
              </w:rPr>
            </w:pPr>
            <w:bookmarkStart w:id="151" w:name="_Toc185341571"/>
            <w:bookmarkStart w:id="152" w:name="_Toc185342387"/>
            <w:r w:rsidRPr="009B5DE5">
              <w:rPr>
                <w:rFonts w:eastAsia="Times New Roman" w:cs="Times New Roman"/>
                <w:szCs w:val="24"/>
              </w:rPr>
              <w:t>:</w:t>
            </w:r>
            <w:bookmarkEnd w:id="151"/>
            <w:bookmarkEnd w:id="152"/>
          </w:p>
        </w:tc>
        <w:tc>
          <w:tcPr>
            <w:tcW w:w="984" w:type="dxa"/>
            <w:tcBorders>
              <w:top w:val="nil"/>
              <w:left w:val="single" w:sz="4" w:space="0" w:color="auto"/>
              <w:bottom w:val="single" w:sz="4" w:space="0" w:color="auto"/>
              <w:right w:val="nil"/>
            </w:tcBorders>
            <w:shd w:val="clear" w:color="auto" w:fill="auto"/>
            <w:noWrap/>
            <w:vAlign w:val="center"/>
            <w:hideMark/>
          </w:tcPr>
          <w:p w14:paraId="1DB42A3A" w14:textId="77777777" w:rsidR="009B5DE5" w:rsidRPr="009B5DE5" w:rsidRDefault="009B5DE5" w:rsidP="009B5DE5">
            <w:pPr>
              <w:spacing w:after="0"/>
              <w:jc w:val="center"/>
              <w:outlineLvl w:val="0"/>
              <w:rPr>
                <w:rFonts w:eastAsia="Times New Roman" w:cs="Times New Roman"/>
                <w:szCs w:val="24"/>
              </w:rPr>
            </w:pPr>
            <w:bookmarkStart w:id="153" w:name="_Toc185341572"/>
            <w:bookmarkStart w:id="154" w:name="_Toc185342388"/>
            <w:r w:rsidRPr="009B5DE5">
              <w:rPr>
                <w:rFonts w:eastAsia="Times New Roman" w:cs="Times New Roman"/>
                <w:szCs w:val="24"/>
              </w:rPr>
              <w:t>:</w:t>
            </w:r>
            <w:bookmarkEnd w:id="153"/>
            <w:bookmarkEnd w:id="154"/>
          </w:p>
        </w:tc>
        <w:tc>
          <w:tcPr>
            <w:tcW w:w="984" w:type="dxa"/>
            <w:tcBorders>
              <w:top w:val="nil"/>
              <w:left w:val="single" w:sz="4" w:space="0" w:color="auto"/>
              <w:bottom w:val="single" w:sz="4" w:space="0" w:color="auto"/>
              <w:right w:val="nil"/>
            </w:tcBorders>
            <w:shd w:val="clear" w:color="auto" w:fill="auto"/>
            <w:noWrap/>
            <w:vAlign w:val="center"/>
            <w:hideMark/>
          </w:tcPr>
          <w:p w14:paraId="23C4B1F0" w14:textId="77777777" w:rsidR="009B5DE5" w:rsidRPr="009B5DE5" w:rsidRDefault="009B5DE5" w:rsidP="009B5DE5">
            <w:pPr>
              <w:spacing w:after="0"/>
              <w:jc w:val="center"/>
              <w:outlineLvl w:val="0"/>
              <w:rPr>
                <w:rFonts w:eastAsia="Times New Roman" w:cs="Times New Roman"/>
                <w:szCs w:val="24"/>
              </w:rPr>
            </w:pPr>
            <w:bookmarkStart w:id="155" w:name="_Toc185341573"/>
            <w:bookmarkStart w:id="156" w:name="_Toc185342389"/>
            <w:r w:rsidRPr="009B5DE5">
              <w:rPr>
                <w:rFonts w:eastAsia="Times New Roman" w:cs="Times New Roman"/>
                <w:szCs w:val="24"/>
              </w:rPr>
              <w:t>:</w:t>
            </w:r>
            <w:bookmarkEnd w:id="155"/>
            <w:bookmarkEnd w:id="156"/>
          </w:p>
        </w:tc>
        <w:tc>
          <w:tcPr>
            <w:tcW w:w="1019" w:type="dxa"/>
            <w:tcBorders>
              <w:top w:val="nil"/>
              <w:left w:val="single" w:sz="4" w:space="0" w:color="auto"/>
              <w:bottom w:val="single" w:sz="4" w:space="0" w:color="auto"/>
              <w:right w:val="double" w:sz="6" w:space="0" w:color="auto"/>
            </w:tcBorders>
            <w:shd w:val="clear" w:color="auto" w:fill="auto"/>
            <w:noWrap/>
            <w:vAlign w:val="center"/>
            <w:hideMark/>
          </w:tcPr>
          <w:p w14:paraId="4BEB06E0" w14:textId="77777777" w:rsidR="009B5DE5" w:rsidRPr="009B5DE5" w:rsidRDefault="009B5DE5" w:rsidP="009B5DE5">
            <w:pPr>
              <w:spacing w:after="0"/>
              <w:jc w:val="center"/>
              <w:outlineLvl w:val="0"/>
              <w:rPr>
                <w:rFonts w:eastAsia="Times New Roman" w:cs="Times New Roman"/>
                <w:szCs w:val="24"/>
              </w:rPr>
            </w:pPr>
            <w:bookmarkStart w:id="157" w:name="_Toc185341574"/>
            <w:bookmarkStart w:id="158" w:name="_Toc185342390"/>
            <w:r w:rsidRPr="009B5DE5">
              <w:rPr>
                <w:rFonts w:eastAsia="Times New Roman" w:cs="Times New Roman"/>
                <w:szCs w:val="24"/>
              </w:rPr>
              <w:t>:</w:t>
            </w:r>
            <w:bookmarkEnd w:id="157"/>
            <w:bookmarkEnd w:id="158"/>
          </w:p>
        </w:tc>
      </w:tr>
      <w:tr w:rsidR="009B5DE5" w:rsidRPr="009B5DE5" w14:paraId="2CD5921E" w14:textId="77777777" w:rsidTr="00396800">
        <w:trPr>
          <w:trHeight w:val="359"/>
        </w:trPr>
        <w:tc>
          <w:tcPr>
            <w:tcW w:w="1531" w:type="dxa"/>
            <w:vMerge/>
            <w:tcBorders>
              <w:top w:val="nil"/>
              <w:left w:val="double" w:sz="6" w:space="0" w:color="auto"/>
              <w:bottom w:val="nil"/>
              <w:right w:val="single" w:sz="4" w:space="0" w:color="auto"/>
            </w:tcBorders>
            <w:vAlign w:val="center"/>
            <w:hideMark/>
          </w:tcPr>
          <w:p w14:paraId="75D57B27" w14:textId="77777777" w:rsidR="009B5DE5" w:rsidRPr="009B5DE5" w:rsidRDefault="009B5DE5" w:rsidP="009B5DE5">
            <w:pPr>
              <w:spacing w:after="0"/>
              <w:jc w:val="left"/>
              <w:rPr>
                <w:rFonts w:eastAsia="Times New Roman" w:cs="Times New Roman"/>
                <w:i/>
                <w:iCs/>
                <w:sz w:val="22"/>
              </w:rPr>
            </w:pPr>
          </w:p>
        </w:tc>
        <w:tc>
          <w:tcPr>
            <w:tcW w:w="7543" w:type="dxa"/>
            <w:gridSpan w:val="2"/>
            <w:tcBorders>
              <w:top w:val="single" w:sz="8" w:space="0" w:color="auto"/>
              <w:left w:val="nil"/>
              <w:bottom w:val="single" w:sz="8" w:space="0" w:color="auto"/>
              <w:right w:val="nil"/>
            </w:tcBorders>
            <w:shd w:val="clear" w:color="000000" w:fill="FFFFFF"/>
            <w:vAlign w:val="center"/>
            <w:hideMark/>
          </w:tcPr>
          <w:p w14:paraId="19E27B16"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Међузбир</w:t>
            </w:r>
          </w:p>
        </w:tc>
        <w:tc>
          <w:tcPr>
            <w:tcW w:w="984" w:type="dxa"/>
            <w:tcBorders>
              <w:top w:val="single" w:sz="8" w:space="0" w:color="auto"/>
              <w:left w:val="nil"/>
              <w:bottom w:val="single" w:sz="8" w:space="0" w:color="auto"/>
              <w:right w:val="single" w:sz="4" w:space="0" w:color="auto"/>
            </w:tcBorders>
            <w:shd w:val="clear" w:color="000000" w:fill="FFFFFF"/>
            <w:noWrap/>
            <w:vAlign w:val="center"/>
            <w:hideMark/>
          </w:tcPr>
          <w:p w14:paraId="2098AE78"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-3,7</w:t>
            </w:r>
          </w:p>
        </w:tc>
        <w:tc>
          <w:tcPr>
            <w:tcW w:w="984" w:type="dxa"/>
            <w:tcBorders>
              <w:top w:val="single" w:sz="8" w:space="0" w:color="auto"/>
              <w:left w:val="nil"/>
              <w:bottom w:val="single" w:sz="8" w:space="0" w:color="auto"/>
              <w:right w:val="single" w:sz="4" w:space="0" w:color="auto"/>
            </w:tcBorders>
            <w:shd w:val="clear" w:color="000000" w:fill="FFFFFF"/>
            <w:noWrap/>
            <w:vAlign w:val="center"/>
            <w:hideMark/>
          </w:tcPr>
          <w:p w14:paraId="1C6A0345"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2,0</w:t>
            </w:r>
          </w:p>
        </w:tc>
        <w:tc>
          <w:tcPr>
            <w:tcW w:w="984" w:type="dxa"/>
            <w:tcBorders>
              <w:top w:val="single" w:sz="8" w:space="0" w:color="auto"/>
              <w:left w:val="nil"/>
              <w:bottom w:val="single" w:sz="8" w:space="0" w:color="auto"/>
              <w:right w:val="nil"/>
            </w:tcBorders>
            <w:shd w:val="clear" w:color="000000" w:fill="FFFFFF"/>
            <w:noWrap/>
            <w:vAlign w:val="center"/>
            <w:hideMark/>
          </w:tcPr>
          <w:p w14:paraId="2A0C2118"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-0,2</w:t>
            </w:r>
          </w:p>
        </w:tc>
        <w:tc>
          <w:tcPr>
            <w:tcW w:w="984" w:type="dxa"/>
            <w:tcBorders>
              <w:top w:val="single" w:sz="8" w:space="0" w:color="auto"/>
              <w:left w:val="single" w:sz="4" w:space="0" w:color="auto"/>
              <w:bottom w:val="single" w:sz="8" w:space="0" w:color="auto"/>
              <w:right w:val="nil"/>
            </w:tcBorders>
            <w:shd w:val="clear" w:color="000000" w:fill="FFFFFF"/>
            <w:noWrap/>
            <w:vAlign w:val="center"/>
            <w:hideMark/>
          </w:tcPr>
          <w:p w14:paraId="2E5E63F2"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-0,2</w:t>
            </w:r>
          </w:p>
        </w:tc>
        <w:tc>
          <w:tcPr>
            <w:tcW w:w="984" w:type="dxa"/>
            <w:tcBorders>
              <w:top w:val="single" w:sz="8" w:space="0" w:color="auto"/>
              <w:left w:val="single" w:sz="4" w:space="0" w:color="auto"/>
              <w:bottom w:val="single" w:sz="8" w:space="0" w:color="auto"/>
              <w:right w:val="nil"/>
            </w:tcBorders>
            <w:shd w:val="clear" w:color="000000" w:fill="FFFFFF"/>
            <w:noWrap/>
            <w:vAlign w:val="center"/>
            <w:hideMark/>
          </w:tcPr>
          <w:p w14:paraId="762D06AA"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-0,6</w:t>
            </w:r>
          </w:p>
        </w:tc>
        <w:tc>
          <w:tcPr>
            <w:tcW w:w="1019" w:type="dxa"/>
            <w:tcBorders>
              <w:top w:val="single" w:sz="8" w:space="0" w:color="auto"/>
              <w:left w:val="single" w:sz="4" w:space="0" w:color="auto"/>
              <w:bottom w:val="single" w:sz="8" w:space="0" w:color="auto"/>
              <w:right w:val="double" w:sz="6" w:space="0" w:color="auto"/>
            </w:tcBorders>
            <w:shd w:val="clear" w:color="000000" w:fill="FFFFFF"/>
            <w:noWrap/>
            <w:vAlign w:val="center"/>
            <w:hideMark/>
          </w:tcPr>
          <w:p w14:paraId="38659A19"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-0,2</w:t>
            </w:r>
          </w:p>
        </w:tc>
      </w:tr>
      <w:tr w:rsidR="009B5DE5" w:rsidRPr="009B5DE5" w14:paraId="5678AA39" w14:textId="77777777" w:rsidTr="00396800">
        <w:trPr>
          <w:trHeight w:val="632"/>
        </w:trPr>
        <w:tc>
          <w:tcPr>
            <w:tcW w:w="1531" w:type="dxa"/>
            <w:vMerge w:val="restart"/>
            <w:tcBorders>
              <w:top w:val="nil"/>
              <w:left w:val="double" w:sz="6" w:space="0" w:color="auto"/>
              <w:bottom w:val="nil"/>
              <w:right w:val="single" w:sz="4" w:space="0" w:color="auto"/>
            </w:tcBorders>
            <w:shd w:val="clear" w:color="auto" w:fill="auto"/>
            <w:vAlign w:val="center"/>
            <w:hideMark/>
          </w:tcPr>
          <w:p w14:paraId="185344FE" w14:textId="77777777" w:rsidR="009B5DE5" w:rsidRPr="009B5DE5" w:rsidRDefault="009B5DE5" w:rsidP="009B5DE5">
            <w:pPr>
              <w:spacing w:after="0"/>
              <w:jc w:val="center"/>
              <w:rPr>
                <w:rFonts w:eastAsia="Times New Roman" w:cs="Times New Roman"/>
                <w:i/>
                <w:iCs/>
                <w:szCs w:val="24"/>
              </w:rPr>
            </w:pPr>
            <w:r w:rsidRPr="009B5DE5">
              <w:rPr>
                <w:rFonts w:eastAsia="Times New Roman" w:cs="Times New Roman"/>
                <w:i/>
                <w:iCs/>
                <w:szCs w:val="24"/>
              </w:rPr>
              <w:t>Мере које нису привремене</w:t>
            </w:r>
          </w:p>
        </w:tc>
        <w:tc>
          <w:tcPr>
            <w:tcW w:w="5786" w:type="dxa"/>
            <w:tcBorders>
              <w:top w:val="single" w:sz="4" w:space="0" w:color="auto"/>
              <w:left w:val="nil"/>
              <w:bottom w:val="single" w:sz="4" w:space="0" w:color="auto"/>
              <w:right w:val="single" w:sz="4" w:space="0" w:color="auto"/>
            </w:tcBorders>
            <w:shd w:val="clear" w:color="auto" w:fill="auto"/>
            <w:vAlign w:val="center"/>
            <w:hideMark/>
          </w:tcPr>
          <w:p w14:paraId="4D8A91AD"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 xml:space="preserve">Смањење доприноса за пио и повећање неопорезивог цензуса </w:t>
            </w:r>
          </w:p>
        </w:tc>
        <w:tc>
          <w:tcPr>
            <w:tcW w:w="1757" w:type="dxa"/>
            <w:tcBorders>
              <w:top w:val="single" w:sz="4" w:space="0" w:color="auto"/>
              <w:left w:val="nil"/>
              <w:bottom w:val="single" w:sz="4" w:space="0" w:color="auto"/>
              <w:right w:val="single" w:sz="4" w:space="0" w:color="auto"/>
            </w:tcBorders>
            <w:shd w:val="clear" w:color="auto" w:fill="auto"/>
            <w:noWrap/>
            <w:vAlign w:val="center"/>
            <w:hideMark/>
          </w:tcPr>
          <w:p w14:paraId="580365A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D5, D61</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14:paraId="156070C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-0,1</w:t>
            </w:r>
          </w:p>
        </w:tc>
        <w:tc>
          <w:tcPr>
            <w:tcW w:w="984" w:type="dxa"/>
            <w:tcBorders>
              <w:top w:val="single" w:sz="4" w:space="0" w:color="auto"/>
              <w:left w:val="nil"/>
              <w:bottom w:val="single" w:sz="4" w:space="0" w:color="auto"/>
              <w:right w:val="single" w:sz="4" w:space="0" w:color="auto"/>
            </w:tcBorders>
            <w:shd w:val="clear" w:color="auto" w:fill="auto"/>
            <w:noWrap/>
            <w:vAlign w:val="center"/>
            <w:hideMark/>
          </w:tcPr>
          <w:p w14:paraId="2FD3F88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-0,2</w:t>
            </w:r>
          </w:p>
        </w:tc>
        <w:tc>
          <w:tcPr>
            <w:tcW w:w="984" w:type="dxa"/>
            <w:tcBorders>
              <w:top w:val="single" w:sz="4" w:space="0" w:color="auto"/>
              <w:left w:val="nil"/>
              <w:bottom w:val="single" w:sz="4" w:space="0" w:color="auto"/>
              <w:right w:val="nil"/>
            </w:tcBorders>
            <w:shd w:val="clear" w:color="auto" w:fill="auto"/>
            <w:noWrap/>
            <w:vAlign w:val="center"/>
            <w:hideMark/>
          </w:tcPr>
          <w:p w14:paraId="71F1681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984" w:type="dxa"/>
            <w:tcBorders>
              <w:top w:val="single" w:sz="4" w:space="0" w:color="auto"/>
              <w:left w:val="single" w:sz="4" w:space="0" w:color="auto"/>
              <w:bottom w:val="single" w:sz="4" w:space="0" w:color="auto"/>
              <w:right w:val="nil"/>
            </w:tcBorders>
            <w:shd w:val="clear" w:color="auto" w:fill="auto"/>
            <w:noWrap/>
            <w:vAlign w:val="center"/>
            <w:hideMark/>
          </w:tcPr>
          <w:p w14:paraId="55343F6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984" w:type="dxa"/>
            <w:tcBorders>
              <w:top w:val="single" w:sz="4" w:space="0" w:color="auto"/>
              <w:left w:val="single" w:sz="4" w:space="0" w:color="auto"/>
              <w:bottom w:val="single" w:sz="4" w:space="0" w:color="auto"/>
              <w:right w:val="nil"/>
            </w:tcBorders>
            <w:shd w:val="clear" w:color="auto" w:fill="auto"/>
            <w:noWrap/>
            <w:vAlign w:val="center"/>
            <w:hideMark/>
          </w:tcPr>
          <w:p w14:paraId="50706F70"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019"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046FF78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r>
      <w:tr w:rsidR="009B5DE5" w:rsidRPr="009B5DE5" w14:paraId="179E95EE" w14:textId="77777777" w:rsidTr="00396800">
        <w:trPr>
          <w:trHeight w:val="359"/>
        </w:trPr>
        <w:tc>
          <w:tcPr>
            <w:tcW w:w="1531" w:type="dxa"/>
            <w:vMerge/>
            <w:tcBorders>
              <w:top w:val="nil"/>
              <w:left w:val="double" w:sz="6" w:space="0" w:color="auto"/>
              <w:bottom w:val="nil"/>
              <w:right w:val="single" w:sz="4" w:space="0" w:color="auto"/>
            </w:tcBorders>
            <w:vAlign w:val="center"/>
            <w:hideMark/>
          </w:tcPr>
          <w:p w14:paraId="6E2729EA" w14:textId="77777777" w:rsidR="009B5DE5" w:rsidRPr="009B5DE5" w:rsidRDefault="009B5DE5" w:rsidP="009B5DE5">
            <w:pPr>
              <w:spacing w:after="0"/>
              <w:jc w:val="left"/>
              <w:rPr>
                <w:rFonts w:eastAsia="Times New Roman" w:cs="Times New Roman"/>
                <w:i/>
                <w:iCs/>
                <w:szCs w:val="24"/>
              </w:rPr>
            </w:pPr>
          </w:p>
        </w:tc>
        <w:tc>
          <w:tcPr>
            <w:tcW w:w="5786" w:type="dxa"/>
            <w:tcBorders>
              <w:top w:val="nil"/>
              <w:left w:val="nil"/>
              <w:bottom w:val="single" w:sz="4" w:space="0" w:color="auto"/>
              <w:right w:val="single" w:sz="4" w:space="0" w:color="auto"/>
            </w:tcBorders>
            <w:shd w:val="clear" w:color="auto" w:fill="auto"/>
            <w:noWrap/>
            <w:vAlign w:val="center"/>
            <w:hideMark/>
          </w:tcPr>
          <w:p w14:paraId="6F7FF4B6"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Измене демографске политике</w:t>
            </w:r>
          </w:p>
        </w:tc>
        <w:tc>
          <w:tcPr>
            <w:tcW w:w="1757" w:type="dxa"/>
            <w:tcBorders>
              <w:top w:val="nil"/>
              <w:left w:val="nil"/>
              <w:bottom w:val="single" w:sz="4" w:space="0" w:color="auto"/>
              <w:right w:val="single" w:sz="4" w:space="0" w:color="auto"/>
            </w:tcBorders>
            <w:shd w:val="clear" w:color="auto" w:fill="auto"/>
            <w:noWrap/>
            <w:vAlign w:val="center"/>
            <w:hideMark/>
          </w:tcPr>
          <w:p w14:paraId="1ADBC9F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D62</w:t>
            </w:r>
          </w:p>
        </w:tc>
        <w:tc>
          <w:tcPr>
            <w:tcW w:w="984" w:type="dxa"/>
            <w:tcBorders>
              <w:top w:val="nil"/>
              <w:left w:val="nil"/>
              <w:bottom w:val="single" w:sz="4" w:space="0" w:color="auto"/>
              <w:right w:val="single" w:sz="4" w:space="0" w:color="auto"/>
            </w:tcBorders>
            <w:shd w:val="clear" w:color="auto" w:fill="auto"/>
            <w:noWrap/>
            <w:vAlign w:val="center"/>
            <w:hideMark/>
          </w:tcPr>
          <w:p w14:paraId="7CDF556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-0,2</w:t>
            </w:r>
          </w:p>
        </w:tc>
        <w:tc>
          <w:tcPr>
            <w:tcW w:w="984" w:type="dxa"/>
            <w:tcBorders>
              <w:top w:val="nil"/>
              <w:left w:val="nil"/>
              <w:bottom w:val="single" w:sz="4" w:space="0" w:color="auto"/>
              <w:right w:val="single" w:sz="4" w:space="0" w:color="auto"/>
            </w:tcBorders>
            <w:shd w:val="clear" w:color="auto" w:fill="auto"/>
            <w:noWrap/>
            <w:vAlign w:val="center"/>
            <w:hideMark/>
          </w:tcPr>
          <w:p w14:paraId="1EDC405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0,1</w:t>
            </w:r>
          </w:p>
        </w:tc>
        <w:tc>
          <w:tcPr>
            <w:tcW w:w="984" w:type="dxa"/>
            <w:tcBorders>
              <w:top w:val="nil"/>
              <w:left w:val="nil"/>
              <w:bottom w:val="single" w:sz="4" w:space="0" w:color="auto"/>
              <w:right w:val="nil"/>
            </w:tcBorders>
            <w:shd w:val="clear" w:color="auto" w:fill="auto"/>
            <w:noWrap/>
            <w:vAlign w:val="center"/>
            <w:hideMark/>
          </w:tcPr>
          <w:p w14:paraId="029DF1A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984" w:type="dxa"/>
            <w:tcBorders>
              <w:top w:val="nil"/>
              <w:left w:val="single" w:sz="4" w:space="0" w:color="auto"/>
              <w:bottom w:val="single" w:sz="4" w:space="0" w:color="auto"/>
              <w:right w:val="nil"/>
            </w:tcBorders>
            <w:shd w:val="clear" w:color="auto" w:fill="auto"/>
            <w:noWrap/>
            <w:vAlign w:val="center"/>
            <w:hideMark/>
          </w:tcPr>
          <w:p w14:paraId="004C3A2F"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984" w:type="dxa"/>
            <w:tcBorders>
              <w:top w:val="nil"/>
              <w:left w:val="single" w:sz="4" w:space="0" w:color="auto"/>
              <w:bottom w:val="single" w:sz="4" w:space="0" w:color="auto"/>
              <w:right w:val="nil"/>
            </w:tcBorders>
            <w:shd w:val="clear" w:color="auto" w:fill="auto"/>
            <w:noWrap/>
            <w:vAlign w:val="center"/>
            <w:hideMark/>
          </w:tcPr>
          <w:p w14:paraId="0760DE7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019" w:type="dxa"/>
            <w:tcBorders>
              <w:top w:val="nil"/>
              <w:left w:val="single" w:sz="4" w:space="0" w:color="auto"/>
              <w:bottom w:val="single" w:sz="4" w:space="0" w:color="auto"/>
              <w:right w:val="double" w:sz="6" w:space="0" w:color="auto"/>
            </w:tcBorders>
            <w:shd w:val="clear" w:color="auto" w:fill="auto"/>
            <w:noWrap/>
            <w:vAlign w:val="center"/>
            <w:hideMark/>
          </w:tcPr>
          <w:p w14:paraId="2A4441D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r>
      <w:tr w:rsidR="009B5DE5" w:rsidRPr="009B5DE5" w14:paraId="7196EA61" w14:textId="77777777" w:rsidTr="00396800">
        <w:trPr>
          <w:trHeight w:val="359"/>
        </w:trPr>
        <w:tc>
          <w:tcPr>
            <w:tcW w:w="1531" w:type="dxa"/>
            <w:vMerge/>
            <w:tcBorders>
              <w:top w:val="nil"/>
              <w:left w:val="double" w:sz="6" w:space="0" w:color="auto"/>
              <w:bottom w:val="nil"/>
              <w:right w:val="single" w:sz="4" w:space="0" w:color="auto"/>
            </w:tcBorders>
            <w:vAlign w:val="center"/>
            <w:hideMark/>
          </w:tcPr>
          <w:p w14:paraId="39EA92C2" w14:textId="77777777" w:rsidR="009B5DE5" w:rsidRPr="009B5DE5" w:rsidRDefault="009B5DE5" w:rsidP="009B5DE5">
            <w:pPr>
              <w:spacing w:after="0"/>
              <w:jc w:val="left"/>
              <w:rPr>
                <w:rFonts w:eastAsia="Times New Roman" w:cs="Times New Roman"/>
                <w:i/>
                <w:iCs/>
                <w:szCs w:val="24"/>
              </w:rPr>
            </w:pPr>
          </w:p>
        </w:tc>
        <w:tc>
          <w:tcPr>
            <w:tcW w:w="5786" w:type="dxa"/>
            <w:tcBorders>
              <w:top w:val="nil"/>
              <w:left w:val="nil"/>
              <w:bottom w:val="single" w:sz="4" w:space="0" w:color="auto"/>
              <w:right w:val="single" w:sz="4" w:space="0" w:color="auto"/>
            </w:tcBorders>
            <w:shd w:val="clear" w:color="auto" w:fill="auto"/>
            <w:noWrap/>
            <w:vAlign w:val="center"/>
            <w:hideMark/>
          </w:tcPr>
          <w:p w14:paraId="770CDCA6"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Повећање неопорезивог цензуса</w:t>
            </w:r>
          </w:p>
        </w:tc>
        <w:tc>
          <w:tcPr>
            <w:tcW w:w="1757" w:type="dxa"/>
            <w:tcBorders>
              <w:top w:val="nil"/>
              <w:left w:val="nil"/>
              <w:bottom w:val="single" w:sz="4" w:space="0" w:color="auto"/>
              <w:right w:val="single" w:sz="4" w:space="0" w:color="auto"/>
            </w:tcBorders>
            <w:shd w:val="clear" w:color="auto" w:fill="auto"/>
            <w:noWrap/>
            <w:vAlign w:val="center"/>
            <w:hideMark/>
          </w:tcPr>
          <w:p w14:paraId="4379CF6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D5,D61</w:t>
            </w:r>
          </w:p>
        </w:tc>
        <w:tc>
          <w:tcPr>
            <w:tcW w:w="984" w:type="dxa"/>
            <w:tcBorders>
              <w:top w:val="nil"/>
              <w:left w:val="nil"/>
              <w:bottom w:val="single" w:sz="4" w:space="0" w:color="auto"/>
              <w:right w:val="single" w:sz="4" w:space="0" w:color="auto"/>
            </w:tcBorders>
            <w:shd w:val="clear" w:color="auto" w:fill="auto"/>
            <w:noWrap/>
            <w:vAlign w:val="center"/>
            <w:hideMark/>
          </w:tcPr>
          <w:p w14:paraId="3317840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984" w:type="dxa"/>
            <w:tcBorders>
              <w:top w:val="nil"/>
              <w:left w:val="nil"/>
              <w:bottom w:val="single" w:sz="4" w:space="0" w:color="auto"/>
              <w:right w:val="single" w:sz="4" w:space="0" w:color="auto"/>
            </w:tcBorders>
            <w:shd w:val="clear" w:color="auto" w:fill="auto"/>
            <w:noWrap/>
            <w:vAlign w:val="center"/>
            <w:hideMark/>
          </w:tcPr>
          <w:p w14:paraId="282FFA6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984" w:type="dxa"/>
            <w:tcBorders>
              <w:top w:val="nil"/>
              <w:left w:val="nil"/>
              <w:bottom w:val="single" w:sz="4" w:space="0" w:color="auto"/>
              <w:right w:val="nil"/>
            </w:tcBorders>
            <w:shd w:val="clear" w:color="auto" w:fill="auto"/>
            <w:noWrap/>
            <w:vAlign w:val="center"/>
            <w:hideMark/>
          </w:tcPr>
          <w:p w14:paraId="53A6D5D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-0,1</w:t>
            </w:r>
          </w:p>
        </w:tc>
        <w:tc>
          <w:tcPr>
            <w:tcW w:w="984" w:type="dxa"/>
            <w:tcBorders>
              <w:top w:val="nil"/>
              <w:left w:val="single" w:sz="4" w:space="0" w:color="auto"/>
              <w:bottom w:val="single" w:sz="4" w:space="0" w:color="auto"/>
              <w:right w:val="nil"/>
            </w:tcBorders>
            <w:shd w:val="clear" w:color="auto" w:fill="auto"/>
            <w:noWrap/>
            <w:vAlign w:val="center"/>
            <w:hideMark/>
          </w:tcPr>
          <w:p w14:paraId="426602A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0,0</w:t>
            </w:r>
          </w:p>
        </w:tc>
        <w:tc>
          <w:tcPr>
            <w:tcW w:w="984" w:type="dxa"/>
            <w:tcBorders>
              <w:top w:val="nil"/>
              <w:left w:val="single" w:sz="4" w:space="0" w:color="auto"/>
              <w:bottom w:val="single" w:sz="4" w:space="0" w:color="auto"/>
              <w:right w:val="nil"/>
            </w:tcBorders>
            <w:shd w:val="clear" w:color="auto" w:fill="auto"/>
            <w:noWrap/>
            <w:vAlign w:val="center"/>
            <w:hideMark/>
          </w:tcPr>
          <w:p w14:paraId="5E7FA17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019" w:type="dxa"/>
            <w:tcBorders>
              <w:top w:val="nil"/>
              <w:left w:val="single" w:sz="4" w:space="0" w:color="auto"/>
              <w:bottom w:val="single" w:sz="4" w:space="0" w:color="auto"/>
              <w:right w:val="double" w:sz="6" w:space="0" w:color="auto"/>
            </w:tcBorders>
            <w:shd w:val="clear" w:color="auto" w:fill="auto"/>
            <w:noWrap/>
            <w:vAlign w:val="center"/>
            <w:hideMark/>
          </w:tcPr>
          <w:p w14:paraId="61616CC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r>
      <w:tr w:rsidR="009B5DE5" w:rsidRPr="009B5DE5" w14:paraId="48A208BF" w14:textId="77777777" w:rsidTr="00396800">
        <w:trPr>
          <w:trHeight w:val="359"/>
        </w:trPr>
        <w:tc>
          <w:tcPr>
            <w:tcW w:w="1531" w:type="dxa"/>
            <w:vMerge/>
            <w:tcBorders>
              <w:top w:val="nil"/>
              <w:left w:val="double" w:sz="6" w:space="0" w:color="auto"/>
              <w:bottom w:val="nil"/>
              <w:right w:val="single" w:sz="4" w:space="0" w:color="auto"/>
            </w:tcBorders>
            <w:vAlign w:val="center"/>
            <w:hideMark/>
          </w:tcPr>
          <w:p w14:paraId="45AA6E25" w14:textId="77777777" w:rsidR="009B5DE5" w:rsidRPr="009B5DE5" w:rsidRDefault="009B5DE5" w:rsidP="009B5DE5">
            <w:pPr>
              <w:spacing w:after="0"/>
              <w:jc w:val="left"/>
              <w:rPr>
                <w:rFonts w:eastAsia="Times New Roman" w:cs="Times New Roman"/>
                <w:i/>
                <w:iCs/>
                <w:szCs w:val="24"/>
              </w:rPr>
            </w:pPr>
          </w:p>
        </w:tc>
        <w:tc>
          <w:tcPr>
            <w:tcW w:w="5786" w:type="dxa"/>
            <w:tcBorders>
              <w:top w:val="nil"/>
              <w:left w:val="nil"/>
              <w:bottom w:val="single" w:sz="4" w:space="0" w:color="auto"/>
              <w:right w:val="single" w:sz="4" w:space="0" w:color="auto"/>
            </w:tcBorders>
            <w:shd w:val="clear" w:color="auto" w:fill="auto"/>
            <w:noWrap/>
            <w:vAlign w:val="center"/>
            <w:hideMark/>
          </w:tcPr>
          <w:p w14:paraId="3650524A"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w:t>
            </w:r>
          </w:p>
        </w:tc>
        <w:tc>
          <w:tcPr>
            <w:tcW w:w="1757" w:type="dxa"/>
            <w:tcBorders>
              <w:top w:val="nil"/>
              <w:left w:val="nil"/>
              <w:bottom w:val="single" w:sz="4" w:space="0" w:color="auto"/>
              <w:right w:val="single" w:sz="4" w:space="0" w:color="auto"/>
            </w:tcBorders>
            <w:shd w:val="clear" w:color="auto" w:fill="auto"/>
            <w:noWrap/>
            <w:vAlign w:val="center"/>
            <w:hideMark/>
          </w:tcPr>
          <w:p w14:paraId="4271BA5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984" w:type="dxa"/>
            <w:tcBorders>
              <w:top w:val="nil"/>
              <w:left w:val="nil"/>
              <w:bottom w:val="single" w:sz="4" w:space="0" w:color="auto"/>
              <w:right w:val="single" w:sz="4" w:space="0" w:color="auto"/>
            </w:tcBorders>
            <w:shd w:val="clear" w:color="auto" w:fill="auto"/>
            <w:noWrap/>
            <w:vAlign w:val="center"/>
            <w:hideMark/>
          </w:tcPr>
          <w:p w14:paraId="2006BD8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984" w:type="dxa"/>
            <w:tcBorders>
              <w:top w:val="nil"/>
              <w:left w:val="nil"/>
              <w:bottom w:val="single" w:sz="4" w:space="0" w:color="auto"/>
              <w:right w:val="single" w:sz="4" w:space="0" w:color="auto"/>
            </w:tcBorders>
            <w:shd w:val="clear" w:color="auto" w:fill="auto"/>
            <w:noWrap/>
            <w:vAlign w:val="center"/>
            <w:hideMark/>
          </w:tcPr>
          <w:p w14:paraId="3DA1ABA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984" w:type="dxa"/>
            <w:tcBorders>
              <w:top w:val="nil"/>
              <w:left w:val="nil"/>
              <w:bottom w:val="single" w:sz="4" w:space="0" w:color="auto"/>
              <w:right w:val="nil"/>
            </w:tcBorders>
            <w:shd w:val="clear" w:color="auto" w:fill="auto"/>
            <w:noWrap/>
            <w:vAlign w:val="center"/>
            <w:hideMark/>
          </w:tcPr>
          <w:p w14:paraId="7E43D83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984" w:type="dxa"/>
            <w:tcBorders>
              <w:top w:val="nil"/>
              <w:left w:val="single" w:sz="4" w:space="0" w:color="auto"/>
              <w:bottom w:val="single" w:sz="4" w:space="0" w:color="auto"/>
              <w:right w:val="nil"/>
            </w:tcBorders>
            <w:shd w:val="clear" w:color="auto" w:fill="auto"/>
            <w:noWrap/>
            <w:vAlign w:val="center"/>
            <w:hideMark/>
          </w:tcPr>
          <w:p w14:paraId="0BC9F9E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984" w:type="dxa"/>
            <w:tcBorders>
              <w:top w:val="nil"/>
              <w:left w:val="single" w:sz="4" w:space="0" w:color="auto"/>
              <w:bottom w:val="single" w:sz="4" w:space="0" w:color="auto"/>
              <w:right w:val="nil"/>
            </w:tcBorders>
            <w:shd w:val="clear" w:color="auto" w:fill="auto"/>
            <w:noWrap/>
            <w:vAlign w:val="center"/>
            <w:hideMark/>
          </w:tcPr>
          <w:p w14:paraId="5E845FE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019" w:type="dxa"/>
            <w:tcBorders>
              <w:top w:val="nil"/>
              <w:left w:val="single" w:sz="4" w:space="0" w:color="auto"/>
              <w:bottom w:val="single" w:sz="4" w:space="0" w:color="auto"/>
              <w:right w:val="double" w:sz="6" w:space="0" w:color="auto"/>
            </w:tcBorders>
            <w:shd w:val="clear" w:color="auto" w:fill="auto"/>
            <w:noWrap/>
            <w:vAlign w:val="center"/>
            <w:hideMark/>
          </w:tcPr>
          <w:p w14:paraId="175F934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r>
      <w:tr w:rsidR="009B5DE5" w:rsidRPr="009B5DE5" w14:paraId="7853AF25" w14:textId="77777777" w:rsidTr="00396800">
        <w:trPr>
          <w:trHeight w:val="376"/>
        </w:trPr>
        <w:tc>
          <w:tcPr>
            <w:tcW w:w="1531" w:type="dxa"/>
            <w:vMerge/>
            <w:tcBorders>
              <w:top w:val="nil"/>
              <w:left w:val="double" w:sz="6" w:space="0" w:color="auto"/>
              <w:bottom w:val="nil"/>
              <w:right w:val="single" w:sz="4" w:space="0" w:color="auto"/>
            </w:tcBorders>
            <w:vAlign w:val="center"/>
            <w:hideMark/>
          </w:tcPr>
          <w:p w14:paraId="0B366E31" w14:textId="77777777" w:rsidR="009B5DE5" w:rsidRPr="009B5DE5" w:rsidRDefault="009B5DE5" w:rsidP="009B5DE5">
            <w:pPr>
              <w:spacing w:after="0"/>
              <w:jc w:val="left"/>
              <w:rPr>
                <w:rFonts w:eastAsia="Times New Roman" w:cs="Times New Roman"/>
                <w:i/>
                <w:iCs/>
                <w:szCs w:val="24"/>
              </w:rPr>
            </w:pPr>
          </w:p>
        </w:tc>
        <w:tc>
          <w:tcPr>
            <w:tcW w:w="5786" w:type="dxa"/>
            <w:tcBorders>
              <w:top w:val="nil"/>
              <w:left w:val="nil"/>
              <w:bottom w:val="single" w:sz="4" w:space="0" w:color="auto"/>
              <w:right w:val="single" w:sz="4" w:space="0" w:color="auto"/>
            </w:tcBorders>
            <w:shd w:val="clear" w:color="auto" w:fill="auto"/>
            <w:noWrap/>
            <w:vAlign w:val="center"/>
            <w:hideMark/>
          </w:tcPr>
          <w:p w14:paraId="422E095E"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w:t>
            </w:r>
          </w:p>
        </w:tc>
        <w:tc>
          <w:tcPr>
            <w:tcW w:w="1757" w:type="dxa"/>
            <w:tcBorders>
              <w:top w:val="nil"/>
              <w:left w:val="nil"/>
              <w:bottom w:val="single" w:sz="4" w:space="0" w:color="auto"/>
              <w:right w:val="single" w:sz="4" w:space="0" w:color="auto"/>
            </w:tcBorders>
            <w:shd w:val="clear" w:color="auto" w:fill="auto"/>
            <w:noWrap/>
            <w:vAlign w:val="center"/>
            <w:hideMark/>
          </w:tcPr>
          <w:p w14:paraId="7B2A447F"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984" w:type="dxa"/>
            <w:tcBorders>
              <w:top w:val="nil"/>
              <w:left w:val="nil"/>
              <w:bottom w:val="single" w:sz="4" w:space="0" w:color="auto"/>
              <w:right w:val="single" w:sz="4" w:space="0" w:color="auto"/>
            </w:tcBorders>
            <w:shd w:val="clear" w:color="auto" w:fill="auto"/>
            <w:noWrap/>
            <w:vAlign w:val="center"/>
            <w:hideMark/>
          </w:tcPr>
          <w:p w14:paraId="1F92A4D0"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984" w:type="dxa"/>
            <w:tcBorders>
              <w:top w:val="nil"/>
              <w:left w:val="nil"/>
              <w:bottom w:val="single" w:sz="4" w:space="0" w:color="auto"/>
              <w:right w:val="single" w:sz="4" w:space="0" w:color="auto"/>
            </w:tcBorders>
            <w:shd w:val="clear" w:color="auto" w:fill="auto"/>
            <w:noWrap/>
            <w:vAlign w:val="center"/>
            <w:hideMark/>
          </w:tcPr>
          <w:p w14:paraId="57C98FF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984" w:type="dxa"/>
            <w:tcBorders>
              <w:top w:val="nil"/>
              <w:left w:val="nil"/>
              <w:bottom w:val="single" w:sz="4" w:space="0" w:color="auto"/>
              <w:right w:val="nil"/>
            </w:tcBorders>
            <w:shd w:val="clear" w:color="auto" w:fill="auto"/>
            <w:noWrap/>
            <w:vAlign w:val="center"/>
            <w:hideMark/>
          </w:tcPr>
          <w:p w14:paraId="6AA4A66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984" w:type="dxa"/>
            <w:tcBorders>
              <w:top w:val="nil"/>
              <w:left w:val="single" w:sz="4" w:space="0" w:color="auto"/>
              <w:bottom w:val="single" w:sz="4" w:space="0" w:color="auto"/>
              <w:right w:val="nil"/>
            </w:tcBorders>
            <w:shd w:val="clear" w:color="auto" w:fill="auto"/>
            <w:noWrap/>
            <w:vAlign w:val="center"/>
            <w:hideMark/>
          </w:tcPr>
          <w:p w14:paraId="498FEB8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984" w:type="dxa"/>
            <w:tcBorders>
              <w:top w:val="nil"/>
              <w:left w:val="single" w:sz="4" w:space="0" w:color="auto"/>
              <w:bottom w:val="single" w:sz="4" w:space="0" w:color="auto"/>
              <w:right w:val="nil"/>
            </w:tcBorders>
            <w:shd w:val="clear" w:color="auto" w:fill="auto"/>
            <w:noWrap/>
            <w:vAlign w:val="center"/>
            <w:hideMark/>
          </w:tcPr>
          <w:p w14:paraId="314B391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c>
          <w:tcPr>
            <w:tcW w:w="1019" w:type="dxa"/>
            <w:tcBorders>
              <w:top w:val="nil"/>
              <w:left w:val="single" w:sz="4" w:space="0" w:color="auto"/>
              <w:bottom w:val="single" w:sz="4" w:space="0" w:color="auto"/>
              <w:right w:val="double" w:sz="6" w:space="0" w:color="auto"/>
            </w:tcBorders>
            <w:shd w:val="clear" w:color="auto" w:fill="auto"/>
            <w:noWrap/>
            <w:vAlign w:val="center"/>
            <w:hideMark/>
          </w:tcPr>
          <w:p w14:paraId="2DD8FC4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r>
      <w:tr w:rsidR="009B5DE5" w:rsidRPr="009B5DE5" w14:paraId="28874BE2" w14:textId="77777777" w:rsidTr="00396800">
        <w:trPr>
          <w:trHeight w:val="359"/>
        </w:trPr>
        <w:tc>
          <w:tcPr>
            <w:tcW w:w="1531" w:type="dxa"/>
            <w:vMerge/>
            <w:tcBorders>
              <w:top w:val="nil"/>
              <w:left w:val="double" w:sz="6" w:space="0" w:color="auto"/>
              <w:bottom w:val="nil"/>
              <w:right w:val="single" w:sz="4" w:space="0" w:color="auto"/>
            </w:tcBorders>
            <w:vAlign w:val="center"/>
            <w:hideMark/>
          </w:tcPr>
          <w:p w14:paraId="3D731FD8" w14:textId="77777777" w:rsidR="009B5DE5" w:rsidRPr="009B5DE5" w:rsidRDefault="009B5DE5" w:rsidP="009B5DE5">
            <w:pPr>
              <w:spacing w:after="0"/>
              <w:jc w:val="left"/>
              <w:rPr>
                <w:rFonts w:eastAsia="Times New Roman" w:cs="Times New Roman"/>
                <w:i/>
                <w:iCs/>
                <w:szCs w:val="24"/>
              </w:rPr>
            </w:pPr>
          </w:p>
        </w:tc>
        <w:tc>
          <w:tcPr>
            <w:tcW w:w="7543" w:type="dxa"/>
            <w:gridSpan w:val="2"/>
            <w:tcBorders>
              <w:top w:val="single" w:sz="8" w:space="0" w:color="auto"/>
              <w:left w:val="nil"/>
              <w:bottom w:val="single" w:sz="8" w:space="0" w:color="auto"/>
              <w:right w:val="nil"/>
            </w:tcBorders>
            <w:shd w:val="clear" w:color="000000" w:fill="FFFFFF"/>
            <w:vAlign w:val="center"/>
            <w:hideMark/>
          </w:tcPr>
          <w:p w14:paraId="04996F9F"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Међузбир</w:t>
            </w:r>
          </w:p>
        </w:tc>
        <w:tc>
          <w:tcPr>
            <w:tcW w:w="984" w:type="dxa"/>
            <w:tcBorders>
              <w:top w:val="single" w:sz="8" w:space="0" w:color="auto"/>
              <w:left w:val="nil"/>
              <w:bottom w:val="double" w:sz="6" w:space="0" w:color="auto"/>
              <w:right w:val="single" w:sz="4" w:space="0" w:color="auto"/>
            </w:tcBorders>
            <w:shd w:val="clear" w:color="000000" w:fill="FFFFFF"/>
            <w:noWrap/>
            <w:vAlign w:val="center"/>
            <w:hideMark/>
          </w:tcPr>
          <w:p w14:paraId="0D5BEB8D"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-0,3</w:t>
            </w:r>
          </w:p>
        </w:tc>
        <w:tc>
          <w:tcPr>
            <w:tcW w:w="984" w:type="dxa"/>
            <w:tcBorders>
              <w:top w:val="single" w:sz="8" w:space="0" w:color="auto"/>
              <w:left w:val="nil"/>
              <w:bottom w:val="double" w:sz="6" w:space="0" w:color="auto"/>
              <w:right w:val="single" w:sz="4" w:space="0" w:color="auto"/>
            </w:tcBorders>
            <w:shd w:val="clear" w:color="000000" w:fill="FFFFFF"/>
            <w:noWrap/>
            <w:vAlign w:val="center"/>
            <w:hideMark/>
          </w:tcPr>
          <w:p w14:paraId="1A6829F6"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-0,2</w:t>
            </w:r>
          </w:p>
        </w:tc>
        <w:tc>
          <w:tcPr>
            <w:tcW w:w="984" w:type="dxa"/>
            <w:tcBorders>
              <w:top w:val="single" w:sz="8" w:space="0" w:color="auto"/>
              <w:left w:val="nil"/>
              <w:bottom w:val="double" w:sz="6" w:space="0" w:color="auto"/>
              <w:right w:val="nil"/>
            </w:tcBorders>
            <w:shd w:val="clear" w:color="000000" w:fill="FFFFFF"/>
            <w:noWrap/>
            <w:vAlign w:val="center"/>
            <w:hideMark/>
          </w:tcPr>
          <w:p w14:paraId="291E7C83"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-0,1</w:t>
            </w:r>
          </w:p>
        </w:tc>
        <w:tc>
          <w:tcPr>
            <w:tcW w:w="984" w:type="dxa"/>
            <w:tcBorders>
              <w:top w:val="single" w:sz="8" w:space="0" w:color="auto"/>
              <w:left w:val="single" w:sz="4" w:space="0" w:color="auto"/>
              <w:bottom w:val="double" w:sz="6" w:space="0" w:color="auto"/>
              <w:right w:val="nil"/>
            </w:tcBorders>
            <w:shd w:val="clear" w:color="000000" w:fill="FFFFFF"/>
            <w:noWrap/>
            <w:vAlign w:val="center"/>
            <w:hideMark/>
          </w:tcPr>
          <w:p w14:paraId="119B85A2"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0,0</w:t>
            </w:r>
          </w:p>
        </w:tc>
        <w:tc>
          <w:tcPr>
            <w:tcW w:w="984" w:type="dxa"/>
            <w:tcBorders>
              <w:top w:val="single" w:sz="8" w:space="0" w:color="auto"/>
              <w:left w:val="single" w:sz="4" w:space="0" w:color="auto"/>
              <w:bottom w:val="double" w:sz="6" w:space="0" w:color="auto"/>
              <w:right w:val="nil"/>
            </w:tcBorders>
            <w:shd w:val="clear" w:color="000000" w:fill="FFFFFF"/>
            <w:noWrap/>
            <w:vAlign w:val="center"/>
            <w:hideMark/>
          </w:tcPr>
          <w:p w14:paraId="16625BBD"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0,0</w:t>
            </w:r>
          </w:p>
        </w:tc>
        <w:tc>
          <w:tcPr>
            <w:tcW w:w="1019" w:type="dxa"/>
            <w:tcBorders>
              <w:top w:val="single" w:sz="8" w:space="0" w:color="auto"/>
              <w:left w:val="single" w:sz="4" w:space="0" w:color="auto"/>
              <w:bottom w:val="double" w:sz="6" w:space="0" w:color="auto"/>
              <w:right w:val="double" w:sz="6" w:space="0" w:color="auto"/>
            </w:tcBorders>
            <w:shd w:val="clear" w:color="000000" w:fill="FFFFFF"/>
            <w:noWrap/>
            <w:vAlign w:val="center"/>
            <w:hideMark/>
          </w:tcPr>
          <w:p w14:paraId="56662ADD"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0,0</w:t>
            </w:r>
          </w:p>
        </w:tc>
      </w:tr>
      <w:tr w:rsidR="009B5DE5" w:rsidRPr="009B5DE5" w14:paraId="2C8502F9" w14:textId="77777777" w:rsidTr="00396800">
        <w:trPr>
          <w:trHeight w:val="393"/>
        </w:trPr>
        <w:tc>
          <w:tcPr>
            <w:tcW w:w="1531" w:type="dxa"/>
            <w:tcBorders>
              <w:top w:val="nil"/>
              <w:left w:val="double" w:sz="6" w:space="0" w:color="auto"/>
              <w:bottom w:val="double" w:sz="6" w:space="0" w:color="auto"/>
              <w:right w:val="nil"/>
            </w:tcBorders>
            <w:shd w:val="clear" w:color="auto" w:fill="auto"/>
            <w:noWrap/>
            <w:vAlign w:val="bottom"/>
            <w:hideMark/>
          </w:tcPr>
          <w:p w14:paraId="6976F0A5"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 </w:t>
            </w:r>
          </w:p>
        </w:tc>
        <w:tc>
          <w:tcPr>
            <w:tcW w:w="7543" w:type="dxa"/>
            <w:gridSpan w:val="2"/>
            <w:tcBorders>
              <w:top w:val="double" w:sz="6" w:space="0" w:color="auto"/>
              <w:left w:val="nil"/>
              <w:bottom w:val="double" w:sz="6" w:space="0" w:color="auto"/>
              <w:right w:val="nil"/>
            </w:tcBorders>
            <w:shd w:val="clear" w:color="000000" w:fill="FFFFFF"/>
            <w:noWrap/>
            <w:vAlign w:val="center"/>
            <w:hideMark/>
          </w:tcPr>
          <w:p w14:paraId="12FAD817"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Укупно</w:t>
            </w:r>
          </w:p>
        </w:tc>
        <w:tc>
          <w:tcPr>
            <w:tcW w:w="984" w:type="dxa"/>
            <w:tcBorders>
              <w:top w:val="nil"/>
              <w:left w:val="nil"/>
              <w:bottom w:val="double" w:sz="6" w:space="0" w:color="auto"/>
              <w:right w:val="single" w:sz="4" w:space="0" w:color="auto"/>
            </w:tcBorders>
            <w:shd w:val="clear" w:color="000000" w:fill="FFFFFF"/>
            <w:noWrap/>
            <w:vAlign w:val="center"/>
            <w:hideMark/>
          </w:tcPr>
          <w:p w14:paraId="3C409E48"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-4,0</w:t>
            </w:r>
          </w:p>
        </w:tc>
        <w:tc>
          <w:tcPr>
            <w:tcW w:w="984" w:type="dxa"/>
            <w:tcBorders>
              <w:top w:val="nil"/>
              <w:left w:val="nil"/>
              <w:bottom w:val="double" w:sz="6" w:space="0" w:color="auto"/>
              <w:right w:val="single" w:sz="4" w:space="0" w:color="auto"/>
            </w:tcBorders>
            <w:shd w:val="clear" w:color="auto" w:fill="auto"/>
            <w:noWrap/>
            <w:vAlign w:val="center"/>
            <w:hideMark/>
          </w:tcPr>
          <w:p w14:paraId="16050547"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1,8</w:t>
            </w:r>
          </w:p>
        </w:tc>
        <w:tc>
          <w:tcPr>
            <w:tcW w:w="984" w:type="dxa"/>
            <w:tcBorders>
              <w:top w:val="nil"/>
              <w:left w:val="nil"/>
              <w:bottom w:val="double" w:sz="6" w:space="0" w:color="auto"/>
              <w:right w:val="single" w:sz="4" w:space="0" w:color="auto"/>
            </w:tcBorders>
            <w:shd w:val="clear" w:color="auto" w:fill="auto"/>
            <w:noWrap/>
            <w:vAlign w:val="center"/>
            <w:hideMark/>
          </w:tcPr>
          <w:p w14:paraId="59A83574"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-0,3</w:t>
            </w:r>
          </w:p>
        </w:tc>
        <w:tc>
          <w:tcPr>
            <w:tcW w:w="984" w:type="dxa"/>
            <w:tcBorders>
              <w:top w:val="nil"/>
              <w:left w:val="nil"/>
              <w:bottom w:val="double" w:sz="6" w:space="0" w:color="auto"/>
              <w:right w:val="nil"/>
            </w:tcBorders>
            <w:shd w:val="clear" w:color="auto" w:fill="auto"/>
            <w:noWrap/>
            <w:vAlign w:val="center"/>
            <w:hideMark/>
          </w:tcPr>
          <w:p w14:paraId="251799FB"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-0,2</w:t>
            </w:r>
          </w:p>
        </w:tc>
        <w:tc>
          <w:tcPr>
            <w:tcW w:w="984" w:type="dxa"/>
            <w:tcBorders>
              <w:top w:val="nil"/>
              <w:left w:val="single" w:sz="4" w:space="0" w:color="auto"/>
              <w:bottom w:val="double" w:sz="6" w:space="0" w:color="auto"/>
              <w:right w:val="nil"/>
            </w:tcBorders>
            <w:shd w:val="clear" w:color="auto" w:fill="auto"/>
            <w:noWrap/>
            <w:vAlign w:val="center"/>
            <w:hideMark/>
          </w:tcPr>
          <w:p w14:paraId="157AE8CF"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-0,6</w:t>
            </w:r>
          </w:p>
        </w:tc>
        <w:tc>
          <w:tcPr>
            <w:tcW w:w="1019" w:type="dxa"/>
            <w:tcBorders>
              <w:top w:val="nil"/>
              <w:left w:val="single" w:sz="4" w:space="0" w:color="auto"/>
              <w:bottom w:val="double" w:sz="6" w:space="0" w:color="auto"/>
              <w:right w:val="double" w:sz="6" w:space="0" w:color="auto"/>
            </w:tcBorders>
            <w:shd w:val="clear" w:color="auto" w:fill="auto"/>
            <w:noWrap/>
            <w:vAlign w:val="center"/>
            <w:hideMark/>
          </w:tcPr>
          <w:p w14:paraId="274210A3"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-0,2</w:t>
            </w:r>
          </w:p>
        </w:tc>
      </w:tr>
    </w:tbl>
    <w:p w14:paraId="05CFE86C" w14:textId="77777777" w:rsidR="009B5DE5" w:rsidRPr="009B5DE5" w:rsidRDefault="009B5DE5" w:rsidP="009B5DE5">
      <w:pPr>
        <w:spacing w:after="0"/>
        <w:jc w:val="left"/>
        <w:rPr>
          <w:rFonts w:eastAsia="Times New Roman" w:cs="Times New Roman"/>
          <w:bCs/>
          <w:sz w:val="22"/>
        </w:rPr>
      </w:pPr>
      <w:r w:rsidRPr="009B5DE5">
        <w:rPr>
          <w:rFonts w:eastAsia="Times New Roman" w:cs="Times New Roman"/>
          <w:bCs/>
          <w:sz w:val="22"/>
        </w:rPr>
        <w:t xml:space="preserve">[1] За потребе ове табеле, привремене мере се односе на оне дискреционе мере које немају ефекат на буџет после 2024. године. Супротно томе мере које су усвојене или најављене у 2024. години и које имају фискални ефекат једнак или већи од 0,1% БДП бар закључно са 2026. годином се сматрају мерама које нису привремене за потребе ове табеле.   </w:t>
      </w:r>
      <w:r w:rsidRPr="009B5DE5">
        <w:rPr>
          <w:rFonts w:eastAsia="Times New Roman" w:cs="Times New Roman"/>
          <w:bCs/>
          <w:sz w:val="22"/>
        </w:rPr>
        <w:tab/>
      </w:r>
      <w:r w:rsidRPr="009B5DE5">
        <w:rPr>
          <w:rFonts w:eastAsia="Times New Roman" w:cs="Times New Roman"/>
          <w:bCs/>
          <w:sz w:val="22"/>
        </w:rPr>
        <w:tab/>
      </w:r>
      <w:r w:rsidRPr="009B5DE5">
        <w:rPr>
          <w:rFonts w:eastAsia="Times New Roman" w:cs="Times New Roman"/>
          <w:bCs/>
          <w:sz w:val="22"/>
        </w:rPr>
        <w:tab/>
      </w:r>
      <w:r w:rsidRPr="009B5DE5">
        <w:rPr>
          <w:rFonts w:eastAsia="Times New Roman" w:cs="Times New Roman"/>
          <w:bCs/>
          <w:sz w:val="22"/>
        </w:rPr>
        <w:tab/>
      </w:r>
      <w:r w:rsidRPr="009B5DE5">
        <w:rPr>
          <w:rFonts w:eastAsia="Times New Roman" w:cs="Times New Roman"/>
          <w:bCs/>
          <w:sz w:val="22"/>
        </w:rPr>
        <w:tab/>
      </w:r>
      <w:r w:rsidRPr="009B5DE5">
        <w:rPr>
          <w:rFonts w:eastAsia="Times New Roman" w:cs="Times New Roman"/>
          <w:bCs/>
          <w:sz w:val="22"/>
        </w:rPr>
        <w:tab/>
      </w:r>
      <w:r w:rsidRPr="009B5DE5">
        <w:rPr>
          <w:rFonts w:eastAsia="Times New Roman" w:cs="Times New Roman"/>
          <w:bCs/>
          <w:sz w:val="22"/>
        </w:rPr>
        <w:tab/>
      </w:r>
    </w:p>
    <w:p w14:paraId="1414222C" w14:textId="77777777" w:rsidR="009B5DE5" w:rsidRPr="00396800" w:rsidRDefault="009B5DE5" w:rsidP="009B5DE5">
      <w:pPr>
        <w:spacing w:after="0"/>
        <w:jc w:val="left"/>
        <w:rPr>
          <w:rFonts w:eastAsia="Times New Roman" w:cs="Times New Roman"/>
          <w:bCs/>
          <w:sz w:val="22"/>
          <w:lang w:val="sr-Cyrl-RS"/>
        </w:rPr>
      </w:pPr>
      <w:r w:rsidRPr="009B5DE5">
        <w:rPr>
          <w:rFonts w:eastAsia="Times New Roman" w:cs="Times New Roman"/>
          <w:bCs/>
          <w:sz w:val="22"/>
        </w:rPr>
        <w:lastRenderedPageBreak/>
        <w:t>Tабела 3: Расходи сектора државе по функцијама</w:t>
      </w:r>
      <w:r w:rsidR="00396800">
        <w:rPr>
          <w:rFonts w:eastAsia="Times New Roman" w:cs="Times New Roman"/>
          <w:bCs/>
          <w:sz w:val="22"/>
          <w:lang w:val="sr-Cyrl-RS"/>
        </w:rPr>
        <w:t xml:space="preserve"> </w:t>
      </w:r>
    </w:p>
    <w:p w14:paraId="636FA888" w14:textId="77777777" w:rsidR="009B5DE5" w:rsidRPr="009B5DE5" w:rsidRDefault="009B5DE5" w:rsidP="009B5DE5">
      <w:pPr>
        <w:spacing w:after="0"/>
        <w:jc w:val="left"/>
        <w:rPr>
          <w:rFonts w:eastAsia="Times New Roman" w:cs="Times New Roman"/>
          <w:bCs/>
          <w:sz w:val="22"/>
        </w:rPr>
      </w:pPr>
    </w:p>
    <w:tbl>
      <w:tblPr>
        <w:tblW w:w="14989" w:type="dxa"/>
        <w:tblLook w:val="04A0" w:firstRow="1" w:lastRow="0" w:firstColumn="1" w:lastColumn="0" w:noHBand="0" w:noVBand="1"/>
      </w:tblPr>
      <w:tblGrid>
        <w:gridCol w:w="6938"/>
        <w:gridCol w:w="1524"/>
        <w:gridCol w:w="1347"/>
        <w:gridCol w:w="1036"/>
        <w:gridCol w:w="1036"/>
        <w:gridCol w:w="1036"/>
        <w:gridCol w:w="1036"/>
        <w:gridCol w:w="1036"/>
      </w:tblGrid>
      <w:tr w:rsidR="009B5DE5" w:rsidRPr="009B5DE5" w14:paraId="1B32C292" w14:textId="77777777" w:rsidTr="00396800">
        <w:trPr>
          <w:trHeight w:val="340"/>
        </w:trPr>
        <w:tc>
          <w:tcPr>
            <w:tcW w:w="6938" w:type="dxa"/>
            <w:tcBorders>
              <w:top w:val="double" w:sz="6" w:space="0" w:color="auto"/>
              <w:left w:val="double" w:sz="6" w:space="0" w:color="auto"/>
              <w:bottom w:val="nil"/>
              <w:right w:val="nil"/>
            </w:tcBorders>
            <w:shd w:val="clear" w:color="auto" w:fill="auto"/>
            <w:noWrap/>
            <w:vAlign w:val="center"/>
            <w:hideMark/>
          </w:tcPr>
          <w:p w14:paraId="4DA14C3C" w14:textId="77777777" w:rsidR="009B5DE5" w:rsidRPr="009B5DE5" w:rsidRDefault="009B5DE5" w:rsidP="009B5DE5">
            <w:pPr>
              <w:spacing w:after="0"/>
              <w:jc w:val="center"/>
              <w:rPr>
                <w:rFonts w:eastAsia="Times New Roman" w:cs="Times New Roman"/>
                <w:bCs/>
                <w:sz w:val="20"/>
                <w:szCs w:val="20"/>
                <w:lang w:val="sr-Cyrl-RS"/>
              </w:rPr>
            </w:pPr>
            <w:r w:rsidRPr="009B5DE5">
              <w:rPr>
                <w:rFonts w:eastAsia="Times New Roman" w:cs="Times New Roman"/>
                <w:bCs/>
                <w:sz w:val="20"/>
                <w:szCs w:val="20"/>
                <w:lang w:val="sr-Cyrl-RS"/>
              </w:rPr>
              <w:t>у млрд РСД</w:t>
            </w:r>
          </w:p>
        </w:tc>
        <w:tc>
          <w:tcPr>
            <w:tcW w:w="1524" w:type="dxa"/>
            <w:tcBorders>
              <w:top w:val="double" w:sz="6" w:space="0" w:color="auto"/>
              <w:left w:val="single" w:sz="8" w:space="0" w:color="000000"/>
              <w:bottom w:val="nil"/>
              <w:right w:val="single" w:sz="8" w:space="0" w:color="000000"/>
            </w:tcBorders>
            <w:shd w:val="clear" w:color="auto" w:fill="auto"/>
            <w:noWrap/>
            <w:vAlign w:val="center"/>
            <w:hideMark/>
          </w:tcPr>
          <w:p w14:paraId="3FF68A0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COFOG шифра</w:t>
            </w:r>
          </w:p>
        </w:tc>
        <w:tc>
          <w:tcPr>
            <w:tcW w:w="1347" w:type="dxa"/>
            <w:tcBorders>
              <w:top w:val="double" w:sz="6" w:space="0" w:color="auto"/>
              <w:left w:val="nil"/>
              <w:bottom w:val="double" w:sz="6" w:space="0" w:color="auto"/>
              <w:right w:val="dashed" w:sz="4" w:space="0" w:color="auto"/>
            </w:tcBorders>
            <w:shd w:val="clear" w:color="auto" w:fill="auto"/>
            <w:noWrap/>
            <w:vAlign w:val="center"/>
            <w:hideMark/>
          </w:tcPr>
          <w:p w14:paraId="701A7F37"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2022</w:t>
            </w:r>
          </w:p>
        </w:tc>
        <w:tc>
          <w:tcPr>
            <w:tcW w:w="1036" w:type="dxa"/>
            <w:tcBorders>
              <w:top w:val="double" w:sz="6" w:space="0" w:color="auto"/>
              <w:left w:val="nil"/>
              <w:bottom w:val="double" w:sz="6" w:space="0" w:color="auto"/>
              <w:right w:val="dashed" w:sz="4" w:space="0" w:color="auto"/>
            </w:tcBorders>
            <w:shd w:val="clear" w:color="auto" w:fill="auto"/>
            <w:noWrap/>
            <w:vAlign w:val="center"/>
            <w:hideMark/>
          </w:tcPr>
          <w:p w14:paraId="438F5C2A"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2023</w:t>
            </w:r>
          </w:p>
        </w:tc>
        <w:tc>
          <w:tcPr>
            <w:tcW w:w="1036" w:type="dxa"/>
            <w:tcBorders>
              <w:top w:val="double" w:sz="6" w:space="0" w:color="auto"/>
              <w:left w:val="nil"/>
              <w:bottom w:val="double" w:sz="6" w:space="0" w:color="auto"/>
              <w:right w:val="dashed" w:sz="4" w:space="0" w:color="auto"/>
            </w:tcBorders>
            <w:shd w:val="clear" w:color="auto" w:fill="auto"/>
            <w:noWrap/>
            <w:vAlign w:val="center"/>
            <w:hideMark/>
          </w:tcPr>
          <w:p w14:paraId="6DCF8269"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2024</w:t>
            </w:r>
          </w:p>
        </w:tc>
        <w:tc>
          <w:tcPr>
            <w:tcW w:w="1036" w:type="dxa"/>
            <w:tcBorders>
              <w:top w:val="double" w:sz="6" w:space="0" w:color="auto"/>
              <w:left w:val="nil"/>
              <w:bottom w:val="double" w:sz="6" w:space="0" w:color="auto"/>
              <w:right w:val="dashed" w:sz="4" w:space="0" w:color="auto"/>
            </w:tcBorders>
            <w:shd w:val="clear" w:color="auto" w:fill="auto"/>
            <w:noWrap/>
            <w:vAlign w:val="center"/>
            <w:hideMark/>
          </w:tcPr>
          <w:p w14:paraId="4CCAD71A"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2025</w:t>
            </w:r>
          </w:p>
        </w:tc>
        <w:tc>
          <w:tcPr>
            <w:tcW w:w="1036" w:type="dxa"/>
            <w:tcBorders>
              <w:top w:val="double" w:sz="6" w:space="0" w:color="auto"/>
              <w:left w:val="nil"/>
              <w:bottom w:val="double" w:sz="6" w:space="0" w:color="auto"/>
              <w:right w:val="dashed" w:sz="4" w:space="0" w:color="auto"/>
            </w:tcBorders>
            <w:shd w:val="clear" w:color="auto" w:fill="auto"/>
            <w:noWrap/>
            <w:vAlign w:val="center"/>
            <w:hideMark/>
          </w:tcPr>
          <w:p w14:paraId="1CAADC16"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2026</w:t>
            </w:r>
          </w:p>
        </w:tc>
        <w:tc>
          <w:tcPr>
            <w:tcW w:w="1036" w:type="dxa"/>
            <w:tcBorders>
              <w:top w:val="double" w:sz="6" w:space="0" w:color="auto"/>
              <w:left w:val="nil"/>
              <w:bottom w:val="double" w:sz="6" w:space="0" w:color="auto"/>
              <w:right w:val="double" w:sz="6" w:space="0" w:color="auto"/>
            </w:tcBorders>
            <w:shd w:val="clear" w:color="auto" w:fill="auto"/>
            <w:noWrap/>
            <w:vAlign w:val="center"/>
            <w:hideMark/>
          </w:tcPr>
          <w:p w14:paraId="61C9F116"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2027</w:t>
            </w:r>
          </w:p>
        </w:tc>
      </w:tr>
      <w:tr w:rsidR="009B5DE5" w:rsidRPr="009B5DE5" w14:paraId="3642DA84" w14:textId="77777777" w:rsidTr="00396800">
        <w:trPr>
          <w:trHeight w:val="322"/>
        </w:trPr>
        <w:tc>
          <w:tcPr>
            <w:tcW w:w="6938" w:type="dxa"/>
            <w:tcBorders>
              <w:top w:val="double" w:sz="6" w:space="0" w:color="000000"/>
              <w:left w:val="double" w:sz="6" w:space="0" w:color="auto"/>
              <w:bottom w:val="dotted" w:sz="4" w:space="0" w:color="000000"/>
              <w:right w:val="nil"/>
            </w:tcBorders>
            <w:shd w:val="clear" w:color="auto" w:fill="auto"/>
            <w:vAlign w:val="center"/>
            <w:hideMark/>
          </w:tcPr>
          <w:p w14:paraId="055F0BE5"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1. Опште јавне услуге</w:t>
            </w:r>
          </w:p>
        </w:tc>
        <w:tc>
          <w:tcPr>
            <w:tcW w:w="1524" w:type="dxa"/>
            <w:tcBorders>
              <w:top w:val="double" w:sz="6" w:space="0" w:color="000000"/>
              <w:left w:val="single" w:sz="8" w:space="0" w:color="000000"/>
              <w:bottom w:val="dotted" w:sz="4" w:space="0" w:color="000000"/>
              <w:right w:val="single" w:sz="8" w:space="0" w:color="000000"/>
            </w:tcBorders>
            <w:shd w:val="clear" w:color="auto" w:fill="auto"/>
            <w:vAlign w:val="center"/>
            <w:hideMark/>
          </w:tcPr>
          <w:p w14:paraId="2A58142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w:t>
            </w:r>
          </w:p>
        </w:tc>
        <w:tc>
          <w:tcPr>
            <w:tcW w:w="1347" w:type="dxa"/>
            <w:tcBorders>
              <w:top w:val="nil"/>
              <w:left w:val="nil"/>
              <w:bottom w:val="dotted" w:sz="4" w:space="0" w:color="auto"/>
              <w:right w:val="dotted" w:sz="4" w:space="0" w:color="auto"/>
            </w:tcBorders>
            <w:shd w:val="clear" w:color="auto" w:fill="auto"/>
            <w:vAlign w:val="center"/>
            <w:hideMark/>
          </w:tcPr>
          <w:p w14:paraId="1009EC5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611,1</w:t>
            </w:r>
          </w:p>
        </w:tc>
        <w:tc>
          <w:tcPr>
            <w:tcW w:w="1036" w:type="dxa"/>
            <w:tcBorders>
              <w:top w:val="nil"/>
              <w:left w:val="nil"/>
              <w:bottom w:val="dotted" w:sz="4" w:space="0" w:color="auto"/>
              <w:right w:val="dotted" w:sz="4" w:space="0" w:color="auto"/>
            </w:tcBorders>
            <w:shd w:val="clear" w:color="auto" w:fill="auto"/>
            <w:vAlign w:val="center"/>
            <w:hideMark/>
          </w:tcPr>
          <w:p w14:paraId="67BCAD1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531,7</w:t>
            </w:r>
          </w:p>
        </w:tc>
        <w:tc>
          <w:tcPr>
            <w:tcW w:w="1036" w:type="dxa"/>
            <w:tcBorders>
              <w:top w:val="nil"/>
              <w:left w:val="nil"/>
              <w:bottom w:val="dotted" w:sz="4" w:space="0" w:color="auto"/>
              <w:right w:val="dotted" w:sz="4" w:space="0" w:color="auto"/>
            </w:tcBorders>
            <w:shd w:val="clear" w:color="auto" w:fill="auto"/>
            <w:vAlign w:val="center"/>
            <w:hideMark/>
          </w:tcPr>
          <w:p w14:paraId="4C48D28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662,2</w:t>
            </w:r>
          </w:p>
        </w:tc>
        <w:tc>
          <w:tcPr>
            <w:tcW w:w="1036" w:type="dxa"/>
            <w:tcBorders>
              <w:top w:val="nil"/>
              <w:left w:val="nil"/>
              <w:bottom w:val="dotted" w:sz="4" w:space="0" w:color="auto"/>
              <w:right w:val="dotted" w:sz="4" w:space="0" w:color="auto"/>
            </w:tcBorders>
            <w:shd w:val="clear" w:color="auto" w:fill="auto"/>
            <w:vAlign w:val="center"/>
            <w:hideMark/>
          </w:tcPr>
          <w:p w14:paraId="20C22F7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710,5</w:t>
            </w:r>
          </w:p>
        </w:tc>
        <w:tc>
          <w:tcPr>
            <w:tcW w:w="1036" w:type="dxa"/>
            <w:tcBorders>
              <w:top w:val="nil"/>
              <w:left w:val="nil"/>
              <w:bottom w:val="dotted" w:sz="4" w:space="0" w:color="auto"/>
              <w:right w:val="dotted" w:sz="4" w:space="0" w:color="auto"/>
            </w:tcBorders>
            <w:shd w:val="clear" w:color="auto" w:fill="auto"/>
            <w:vAlign w:val="center"/>
            <w:hideMark/>
          </w:tcPr>
          <w:p w14:paraId="54A46DBB"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711,8</w:t>
            </w:r>
          </w:p>
        </w:tc>
        <w:tc>
          <w:tcPr>
            <w:tcW w:w="1036" w:type="dxa"/>
            <w:tcBorders>
              <w:top w:val="nil"/>
              <w:left w:val="nil"/>
              <w:bottom w:val="dotted" w:sz="4" w:space="0" w:color="auto"/>
              <w:right w:val="double" w:sz="6" w:space="0" w:color="auto"/>
            </w:tcBorders>
            <w:shd w:val="clear" w:color="auto" w:fill="auto"/>
            <w:vAlign w:val="center"/>
            <w:hideMark/>
          </w:tcPr>
          <w:p w14:paraId="431275ED"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753,3</w:t>
            </w:r>
          </w:p>
        </w:tc>
      </w:tr>
      <w:tr w:rsidR="009B5DE5" w:rsidRPr="009B5DE5" w14:paraId="32587A97" w14:textId="77777777" w:rsidTr="00396800">
        <w:trPr>
          <w:trHeight w:val="304"/>
        </w:trPr>
        <w:tc>
          <w:tcPr>
            <w:tcW w:w="6938" w:type="dxa"/>
            <w:tcBorders>
              <w:top w:val="nil"/>
              <w:left w:val="double" w:sz="6" w:space="0" w:color="auto"/>
              <w:bottom w:val="dotted" w:sz="4" w:space="0" w:color="000000"/>
              <w:right w:val="nil"/>
            </w:tcBorders>
            <w:shd w:val="clear" w:color="auto" w:fill="auto"/>
            <w:vAlign w:val="center"/>
            <w:hideMark/>
          </w:tcPr>
          <w:p w14:paraId="3DC5D67D"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2. Одбрана</w:t>
            </w:r>
          </w:p>
        </w:tc>
        <w:tc>
          <w:tcPr>
            <w:tcW w:w="1524" w:type="dxa"/>
            <w:tcBorders>
              <w:top w:val="nil"/>
              <w:left w:val="single" w:sz="8" w:space="0" w:color="000000"/>
              <w:bottom w:val="dotted" w:sz="4" w:space="0" w:color="000000"/>
              <w:right w:val="single" w:sz="8" w:space="0" w:color="000000"/>
            </w:tcBorders>
            <w:shd w:val="clear" w:color="auto" w:fill="auto"/>
            <w:vAlign w:val="center"/>
            <w:hideMark/>
          </w:tcPr>
          <w:p w14:paraId="69C25FC3"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w:t>
            </w:r>
          </w:p>
        </w:tc>
        <w:tc>
          <w:tcPr>
            <w:tcW w:w="1347" w:type="dxa"/>
            <w:tcBorders>
              <w:top w:val="nil"/>
              <w:left w:val="nil"/>
              <w:bottom w:val="dotted" w:sz="4" w:space="0" w:color="auto"/>
              <w:right w:val="dotted" w:sz="4" w:space="0" w:color="auto"/>
            </w:tcBorders>
            <w:shd w:val="clear" w:color="auto" w:fill="auto"/>
            <w:vAlign w:val="center"/>
            <w:hideMark/>
          </w:tcPr>
          <w:p w14:paraId="60E09A5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137,3</w:t>
            </w:r>
          </w:p>
        </w:tc>
        <w:tc>
          <w:tcPr>
            <w:tcW w:w="1036" w:type="dxa"/>
            <w:tcBorders>
              <w:top w:val="nil"/>
              <w:left w:val="nil"/>
              <w:bottom w:val="dotted" w:sz="4" w:space="0" w:color="auto"/>
              <w:right w:val="dotted" w:sz="4" w:space="0" w:color="auto"/>
            </w:tcBorders>
            <w:shd w:val="clear" w:color="auto" w:fill="auto"/>
            <w:vAlign w:val="center"/>
            <w:hideMark/>
          </w:tcPr>
          <w:p w14:paraId="238D3DD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165,5</w:t>
            </w:r>
          </w:p>
        </w:tc>
        <w:tc>
          <w:tcPr>
            <w:tcW w:w="1036" w:type="dxa"/>
            <w:tcBorders>
              <w:top w:val="nil"/>
              <w:left w:val="nil"/>
              <w:bottom w:val="dotted" w:sz="4" w:space="0" w:color="auto"/>
              <w:right w:val="dotted" w:sz="4" w:space="0" w:color="auto"/>
            </w:tcBorders>
            <w:shd w:val="clear" w:color="auto" w:fill="auto"/>
            <w:vAlign w:val="center"/>
            <w:hideMark/>
          </w:tcPr>
          <w:p w14:paraId="7C8B2DB5"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216,3</w:t>
            </w:r>
          </w:p>
        </w:tc>
        <w:tc>
          <w:tcPr>
            <w:tcW w:w="1036" w:type="dxa"/>
            <w:tcBorders>
              <w:top w:val="nil"/>
              <w:left w:val="nil"/>
              <w:bottom w:val="dotted" w:sz="4" w:space="0" w:color="auto"/>
              <w:right w:val="dotted" w:sz="4" w:space="0" w:color="auto"/>
            </w:tcBorders>
            <w:shd w:val="clear" w:color="auto" w:fill="auto"/>
            <w:vAlign w:val="center"/>
            <w:hideMark/>
          </w:tcPr>
          <w:p w14:paraId="0265849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262,0</w:t>
            </w:r>
          </w:p>
        </w:tc>
        <w:tc>
          <w:tcPr>
            <w:tcW w:w="1036" w:type="dxa"/>
            <w:tcBorders>
              <w:top w:val="nil"/>
              <w:left w:val="nil"/>
              <w:bottom w:val="dotted" w:sz="4" w:space="0" w:color="auto"/>
              <w:right w:val="dotted" w:sz="4" w:space="0" w:color="auto"/>
            </w:tcBorders>
            <w:shd w:val="clear" w:color="auto" w:fill="auto"/>
            <w:vAlign w:val="center"/>
            <w:hideMark/>
          </w:tcPr>
          <w:p w14:paraId="0B9BACC9"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277,2</w:t>
            </w:r>
          </w:p>
        </w:tc>
        <w:tc>
          <w:tcPr>
            <w:tcW w:w="1036" w:type="dxa"/>
            <w:tcBorders>
              <w:top w:val="nil"/>
              <w:left w:val="nil"/>
              <w:bottom w:val="dotted" w:sz="4" w:space="0" w:color="auto"/>
              <w:right w:val="double" w:sz="6" w:space="0" w:color="auto"/>
            </w:tcBorders>
            <w:shd w:val="clear" w:color="auto" w:fill="auto"/>
            <w:vAlign w:val="center"/>
            <w:hideMark/>
          </w:tcPr>
          <w:p w14:paraId="6E40430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299,8</w:t>
            </w:r>
          </w:p>
        </w:tc>
      </w:tr>
      <w:tr w:rsidR="009B5DE5" w:rsidRPr="009B5DE5" w14:paraId="69EF89CC" w14:textId="77777777" w:rsidTr="00396800">
        <w:trPr>
          <w:trHeight w:val="304"/>
        </w:trPr>
        <w:tc>
          <w:tcPr>
            <w:tcW w:w="6938" w:type="dxa"/>
            <w:tcBorders>
              <w:top w:val="nil"/>
              <w:left w:val="double" w:sz="6" w:space="0" w:color="auto"/>
              <w:bottom w:val="dotted" w:sz="4" w:space="0" w:color="000000"/>
              <w:right w:val="nil"/>
            </w:tcBorders>
            <w:shd w:val="clear" w:color="auto" w:fill="auto"/>
            <w:vAlign w:val="center"/>
            <w:hideMark/>
          </w:tcPr>
          <w:p w14:paraId="0763C4C2"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3. Јавни ред и безбедност</w:t>
            </w:r>
          </w:p>
        </w:tc>
        <w:tc>
          <w:tcPr>
            <w:tcW w:w="1524" w:type="dxa"/>
            <w:tcBorders>
              <w:top w:val="nil"/>
              <w:left w:val="single" w:sz="8" w:space="0" w:color="000000"/>
              <w:bottom w:val="dotted" w:sz="4" w:space="0" w:color="000000"/>
              <w:right w:val="single" w:sz="8" w:space="0" w:color="000000"/>
            </w:tcBorders>
            <w:shd w:val="clear" w:color="auto" w:fill="auto"/>
            <w:vAlign w:val="center"/>
            <w:hideMark/>
          </w:tcPr>
          <w:p w14:paraId="197FE80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w:t>
            </w:r>
          </w:p>
        </w:tc>
        <w:tc>
          <w:tcPr>
            <w:tcW w:w="1347" w:type="dxa"/>
            <w:tcBorders>
              <w:top w:val="nil"/>
              <w:left w:val="nil"/>
              <w:bottom w:val="dotted" w:sz="4" w:space="0" w:color="auto"/>
              <w:right w:val="dotted" w:sz="4" w:space="0" w:color="auto"/>
            </w:tcBorders>
            <w:shd w:val="clear" w:color="auto" w:fill="auto"/>
            <w:vAlign w:val="center"/>
            <w:hideMark/>
          </w:tcPr>
          <w:p w14:paraId="5AF5D63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174,2</w:t>
            </w:r>
          </w:p>
        </w:tc>
        <w:tc>
          <w:tcPr>
            <w:tcW w:w="1036" w:type="dxa"/>
            <w:tcBorders>
              <w:top w:val="nil"/>
              <w:left w:val="nil"/>
              <w:bottom w:val="dotted" w:sz="4" w:space="0" w:color="auto"/>
              <w:right w:val="dotted" w:sz="4" w:space="0" w:color="auto"/>
            </w:tcBorders>
            <w:shd w:val="clear" w:color="auto" w:fill="auto"/>
            <w:vAlign w:val="center"/>
            <w:hideMark/>
          </w:tcPr>
          <w:p w14:paraId="2428159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192,1</w:t>
            </w:r>
          </w:p>
        </w:tc>
        <w:tc>
          <w:tcPr>
            <w:tcW w:w="1036" w:type="dxa"/>
            <w:tcBorders>
              <w:top w:val="nil"/>
              <w:left w:val="nil"/>
              <w:bottom w:val="dotted" w:sz="4" w:space="0" w:color="auto"/>
              <w:right w:val="dotted" w:sz="4" w:space="0" w:color="auto"/>
            </w:tcBorders>
            <w:shd w:val="clear" w:color="auto" w:fill="auto"/>
            <w:vAlign w:val="center"/>
            <w:hideMark/>
          </w:tcPr>
          <w:p w14:paraId="30D0DCE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214,4</w:t>
            </w:r>
          </w:p>
        </w:tc>
        <w:tc>
          <w:tcPr>
            <w:tcW w:w="1036" w:type="dxa"/>
            <w:tcBorders>
              <w:top w:val="nil"/>
              <w:left w:val="nil"/>
              <w:bottom w:val="dotted" w:sz="4" w:space="0" w:color="auto"/>
              <w:right w:val="dotted" w:sz="4" w:space="0" w:color="auto"/>
            </w:tcBorders>
            <w:shd w:val="clear" w:color="auto" w:fill="auto"/>
            <w:vAlign w:val="center"/>
            <w:hideMark/>
          </w:tcPr>
          <w:p w14:paraId="57B779B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225,8</w:t>
            </w:r>
          </w:p>
        </w:tc>
        <w:tc>
          <w:tcPr>
            <w:tcW w:w="1036" w:type="dxa"/>
            <w:tcBorders>
              <w:top w:val="nil"/>
              <w:left w:val="nil"/>
              <w:bottom w:val="dotted" w:sz="4" w:space="0" w:color="auto"/>
              <w:right w:val="dotted" w:sz="4" w:space="0" w:color="auto"/>
            </w:tcBorders>
            <w:shd w:val="clear" w:color="auto" w:fill="auto"/>
            <w:vAlign w:val="center"/>
            <w:hideMark/>
          </w:tcPr>
          <w:p w14:paraId="34C51542"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243,9</w:t>
            </w:r>
          </w:p>
        </w:tc>
        <w:tc>
          <w:tcPr>
            <w:tcW w:w="1036" w:type="dxa"/>
            <w:tcBorders>
              <w:top w:val="nil"/>
              <w:left w:val="nil"/>
              <w:bottom w:val="dotted" w:sz="4" w:space="0" w:color="auto"/>
              <w:right w:val="double" w:sz="6" w:space="0" w:color="auto"/>
            </w:tcBorders>
            <w:shd w:val="clear" w:color="auto" w:fill="auto"/>
            <w:vAlign w:val="center"/>
            <w:hideMark/>
          </w:tcPr>
          <w:p w14:paraId="07CD4C2A"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263,8</w:t>
            </w:r>
          </w:p>
        </w:tc>
      </w:tr>
      <w:tr w:rsidR="009B5DE5" w:rsidRPr="009B5DE5" w14:paraId="1305FF08" w14:textId="77777777" w:rsidTr="00396800">
        <w:trPr>
          <w:trHeight w:val="304"/>
        </w:trPr>
        <w:tc>
          <w:tcPr>
            <w:tcW w:w="6938" w:type="dxa"/>
            <w:tcBorders>
              <w:top w:val="nil"/>
              <w:left w:val="double" w:sz="6" w:space="0" w:color="auto"/>
              <w:bottom w:val="dotted" w:sz="4" w:space="0" w:color="000000"/>
              <w:right w:val="nil"/>
            </w:tcBorders>
            <w:shd w:val="clear" w:color="auto" w:fill="auto"/>
            <w:vAlign w:val="center"/>
            <w:hideMark/>
          </w:tcPr>
          <w:p w14:paraId="25864D33"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4. Економски послови</w:t>
            </w:r>
          </w:p>
        </w:tc>
        <w:tc>
          <w:tcPr>
            <w:tcW w:w="1524" w:type="dxa"/>
            <w:tcBorders>
              <w:top w:val="nil"/>
              <w:left w:val="single" w:sz="8" w:space="0" w:color="000000"/>
              <w:bottom w:val="dotted" w:sz="4" w:space="0" w:color="000000"/>
              <w:right w:val="single" w:sz="8" w:space="0" w:color="000000"/>
            </w:tcBorders>
            <w:shd w:val="clear" w:color="auto" w:fill="auto"/>
            <w:vAlign w:val="center"/>
            <w:hideMark/>
          </w:tcPr>
          <w:p w14:paraId="2C4C5B3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w:t>
            </w:r>
          </w:p>
        </w:tc>
        <w:tc>
          <w:tcPr>
            <w:tcW w:w="1347" w:type="dxa"/>
            <w:tcBorders>
              <w:top w:val="nil"/>
              <w:left w:val="nil"/>
              <w:bottom w:val="dotted" w:sz="4" w:space="0" w:color="auto"/>
              <w:right w:val="dotted" w:sz="4" w:space="0" w:color="auto"/>
            </w:tcBorders>
            <w:shd w:val="clear" w:color="auto" w:fill="auto"/>
            <w:vAlign w:val="center"/>
            <w:hideMark/>
          </w:tcPr>
          <w:p w14:paraId="0853537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576,6</w:t>
            </w:r>
          </w:p>
        </w:tc>
        <w:tc>
          <w:tcPr>
            <w:tcW w:w="1036" w:type="dxa"/>
            <w:tcBorders>
              <w:top w:val="nil"/>
              <w:left w:val="nil"/>
              <w:bottom w:val="dotted" w:sz="4" w:space="0" w:color="auto"/>
              <w:right w:val="dotted" w:sz="4" w:space="0" w:color="auto"/>
            </w:tcBorders>
            <w:shd w:val="clear" w:color="auto" w:fill="auto"/>
            <w:vAlign w:val="center"/>
            <w:hideMark/>
          </w:tcPr>
          <w:p w14:paraId="7FB524C9"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665,3</w:t>
            </w:r>
          </w:p>
        </w:tc>
        <w:tc>
          <w:tcPr>
            <w:tcW w:w="1036" w:type="dxa"/>
            <w:tcBorders>
              <w:top w:val="nil"/>
              <w:left w:val="nil"/>
              <w:bottom w:val="dotted" w:sz="4" w:space="0" w:color="auto"/>
              <w:right w:val="dotted" w:sz="4" w:space="0" w:color="auto"/>
            </w:tcBorders>
            <w:shd w:val="clear" w:color="auto" w:fill="auto"/>
            <w:vAlign w:val="center"/>
            <w:hideMark/>
          </w:tcPr>
          <w:p w14:paraId="63513432"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677,3</w:t>
            </w:r>
          </w:p>
        </w:tc>
        <w:tc>
          <w:tcPr>
            <w:tcW w:w="1036" w:type="dxa"/>
            <w:tcBorders>
              <w:top w:val="nil"/>
              <w:left w:val="nil"/>
              <w:bottom w:val="dotted" w:sz="4" w:space="0" w:color="auto"/>
              <w:right w:val="dotted" w:sz="4" w:space="0" w:color="auto"/>
            </w:tcBorders>
            <w:shd w:val="clear" w:color="auto" w:fill="auto"/>
            <w:vAlign w:val="center"/>
            <w:hideMark/>
          </w:tcPr>
          <w:p w14:paraId="3D4C41B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707,5</w:t>
            </w:r>
          </w:p>
        </w:tc>
        <w:tc>
          <w:tcPr>
            <w:tcW w:w="1036" w:type="dxa"/>
            <w:tcBorders>
              <w:top w:val="nil"/>
              <w:left w:val="nil"/>
              <w:bottom w:val="dotted" w:sz="4" w:space="0" w:color="auto"/>
              <w:right w:val="dotted" w:sz="4" w:space="0" w:color="auto"/>
            </w:tcBorders>
            <w:shd w:val="clear" w:color="auto" w:fill="auto"/>
            <w:vAlign w:val="center"/>
            <w:hideMark/>
          </w:tcPr>
          <w:p w14:paraId="31813A35"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754,3</w:t>
            </w:r>
          </w:p>
        </w:tc>
        <w:tc>
          <w:tcPr>
            <w:tcW w:w="1036" w:type="dxa"/>
            <w:tcBorders>
              <w:top w:val="nil"/>
              <w:left w:val="nil"/>
              <w:bottom w:val="dotted" w:sz="4" w:space="0" w:color="auto"/>
              <w:right w:val="double" w:sz="6" w:space="0" w:color="auto"/>
            </w:tcBorders>
            <w:shd w:val="clear" w:color="auto" w:fill="auto"/>
            <w:vAlign w:val="center"/>
            <w:hideMark/>
          </w:tcPr>
          <w:p w14:paraId="45A2D659"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803,6</w:t>
            </w:r>
          </w:p>
        </w:tc>
      </w:tr>
      <w:tr w:rsidR="009B5DE5" w:rsidRPr="009B5DE5" w14:paraId="2A807721" w14:textId="77777777" w:rsidTr="00396800">
        <w:trPr>
          <w:trHeight w:val="304"/>
        </w:trPr>
        <w:tc>
          <w:tcPr>
            <w:tcW w:w="6938" w:type="dxa"/>
            <w:tcBorders>
              <w:top w:val="nil"/>
              <w:left w:val="double" w:sz="6" w:space="0" w:color="auto"/>
              <w:bottom w:val="dotted" w:sz="4" w:space="0" w:color="000000"/>
              <w:right w:val="nil"/>
            </w:tcBorders>
            <w:shd w:val="clear" w:color="auto" w:fill="auto"/>
            <w:vAlign w:val="center"/>
            <w:hideMark/>
          </w:tcPr>
          <w:p w14:paraId="6815A28E"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5. Заштита животне средине</w:t>
            </w:r>
          </w:p>
        </w:tc>
        <w:tc>
          <w:tcPr>
            <w:tcW w:w="1524" w:type="dxa"/>
            <w:tcBorders>
              <w:top w:val="nil"/>
              <w:left w:val="single" w:sz="8" w:space="0" w:color="000000"/>
              <w:bottom w:val="dotted" w:sz="4" w:space="0" w:color="000000"/>
              <w:right w:val="single" w:sz="8" w:space="0" w:color="000000"/>
            </w:tcBorders>
            <w:shd w:val="clear" w:color="auto" w:fill="auto"/>
            <w:vAlign w:val="center"/>
            <w:hideMark/>
          </w:tcPr>
          <w:p w14:paraId="210A1AD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5</w:t>
            </w:r>
          </w:p>
        </w:tc>
        <w:tc>
          <w:tcPr>
            <w:tcW w:w="1347" w:type="dxa"/>
            <w:tcBorders>
              <w:top w:val="nil"/>
              <w:left w:val="nil"/>
              <w:bottom w:val="dotted" w:sz="4" w:space="0" w:color="auto"/>
              <w:right w:val="dotted" w:sz="4" w:space="0" w:color="auto"/>
            </w:tcBorders>
            <w:shd w:val="clear" w:color="auto" w:fill="auto"/>
            <w:vAlign w:val="center"/>
            <w:hideMark/>
          </w:tcPr>
          <w:p w14:paraId="1BB3C01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34,8</w:t>
            </w:r>
          </w:p>
        </w:tc>
        <w:tc>
          <w:tcPr>
            <w:tcW w:w="1036" w:type="dxa"/>
            <w:tcBorders>
              <w:top w:val="nil"/>
              <w:left w:val="nil"/>
              <w:bottom w:val="dotted" w:sz="4" w:space="0" w:color="auto"/>
              <w:right w:val="dotted" w:sz="4" w:space="0" w:color="auto"/>
            </w:tcBorders>
            <w:shd w:val="clear" w:color="auto" w:fill="auto"/>
            <w:vAlign w:val="center"/>
            <w:hideMark/>
          </w:tcPr>
          <w:p w14:paraId="59DCBEA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40,1</w:t>
            </w:r>
          </w:p>
        </w:tc>
        <w:tc>
          <w:tcPr>
            <w:tcW w:w="1036" w:type="dxa"/>
            <w:tcBorders>
              <w:top w:val="nil"/>
              <w:left w:val="nil"/>
              <w:bottom w:val="dotted" w:sz="4" w:space="0" w:color="auto"/>
              <w:right w:val="dotted" w:sz="4" w:space="0" w:color="auto"/>
            </w:tcBorders>
            <w:shd w:val="clear" w:color="auto" w:fill="auto"/>
            <w:vAlign w:val="center"/>
            <w:hideMark/>
          </w:tcPr>
          <w:p w14:paraId="048A91B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49,6</w:t>
            </w:r>
          </w:p>
        </w:tc>
        <w:tc>
          <w:tcPr>
            <w:tcW w:w="1036" w:type="dxa"/>
            <w:tcBorders>
              <w:top w:val="nil"/>
              <w:left w:val="nil"/>
              <w:bottom w:val="dotted" w:sz="4" w:space="0" w:color="auto"/>
              <w:right w:val="dotted" w:sz="4" w:space="0" w:color="auto"/>
            </w:tcBorders>
            <w:shd w:val="clear" w:color="auto" w:fill="auto"/>
            <w:vAlign w:val="center"/>
            <w:hideMark/>
          </w:tcPr>
          <w:p w14:paraId="5303ED4B"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53,1</w:t>
            </w:r>
          </w:p>
        </w:tc>
        <w:tc>
          <w:tcPr>
            <w:tcW w:w="1036" w:type="dxa"/>
            <w:tcBorders>
              <w:top w:val="nil"/>
              <w:left w:val="nil"/>
              <w:bottom w:val="dotted" w:sz="4" w:space="0" w:color="auto"/>
              <w:right w:val="dotted" w:sz="4" w:space="0" w:color="auto"/>
            </w:tcBorders>
            <w:shd w:val="clear" w:color="auto" w:fill="auto"/>
            <w:vAlign w:val="center"/>
            <w:hideMark/>
          </w:tcPr>
          <w:p w14:paraId="58B346B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55,4</w:t>
            </w:r>
          </w:p>
        </w:tc>
        <w:tc>
          <w:tcPr>
            <w:tcW w:w="1036" w:type="dxa"/>
            <w:tcBorders>
              <w:top w:val="nil"/>
              <w:left w:val="nil"/>
              <w:bottom w:val="dotted" w:sz="4" w:space="0" w:color="auto"/>
              <w:right w:val="double" w:sz="6" w:space="0" w:color="auto"/>
            </w:tcBorders>
            <w:shd w:val="clear" w:color="auto" w:fill="auto"/>
            <w:vAlign w:val="center"/>
            <w:hideMark/>
          </w:tcPr>
          <w:p w14:paraId="70ACA69B"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60,0</w:t>
            </w:r>
          </w:p>
        </w:tc>
      </w:tr>
      <w:tr w:rsidR="009B5DE5" w:rsidRPr="009B5DE5" w14:paraId="43FB5C25" w14:textId="77777777" w:rsidTr="00396800">
        <w:trPr>
          <w:trHeight w:val="304"/>
        </w:trPr>
        <w:tc>
          <w:tcPr>
            <w:tcW w:w="6938" w:type="dxa"/>
            <w:tcBorders>
              <w:top w:val="nil"/>
              <w:left w:val="double" w:sz="6" w:space="0" w:color="auto"/>
              <w:bottom w:val="dotted" w:sz="4" w:space="0" w:color="000000"/>
              <w:right w:val="nil"/>
            </w:tcBorders>
            <w:shd w:val="clear" w:color="auto" w:fill="auto"/>
            <w:vAlign w:val="center"/>
            <w:hideMark/>
          </w:tcPr>
          <w:p w14:paraId="1D66F958"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6. Послови становања и заједнице</w:t>
            </w:r>
          </w:p>
        </w:tc>
        <w:tc>
          <w:tcPr>
            <w:tcW w:w="1524" w:type="dxa"/>
            <w:tcBorders>
              <w:top w:val="nil"/>
              <w:left w:val="single" w:sz="8" w:space="0" w:color="000000"/>
              <w:bottom w:val="dotted" w:sz="4" w:space="0" w:color="000000"/>
              <w:right w:val="single" w:sz="8" w:space="0" w:color="000000"/>
            </w:tcBorders>
            <w:shd w:val="clear" w:color="auto" w:fill="auto"/>
            <w:vAlign w:val="center"/>
            <w:hideMark/>
          </w:tcPr>
          <w:p w14:paraId="12785BF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6</w:t>
            </w:r>
          </w:p>
        </w:tc>
        <w:tc>
          <w:tcPr>
            <w:tcW w:w="1347" w:type="dxa"/>
            <w:tcBorders>
              <w:top w:val="nil"/>
              <w:left w:val="nil"/>
              <w:bottom w:val="dotted" w:sz="4" w:space="0" w:color="auto"/>
              <w:right w:val="dotted" w:sz="4" w:space="0" w:color="auto"/>
            </w:tcBorders>
            <w:shd w:val="clear" w:color="auto" w:fill="auto"/>
            <w:vAlign w:val="center"/>
            <w:hideMark/>
          </w:tcPr>
          <w:p w14:paraId="2E6CF902"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64,7</w:t>
            </w:r>
          </w:p>
        </w:tc>
        <w:tc>
          <w:tcPr>
            <w:tcW w:w="1036" w:type="dxa"/>
            <w:tcBorders>
              <w:top w:val="nil"/>
              <w:left w:val="nil"/>
              <w:bottom w:val="dotted" w:sz="4" w:space="0" w:color="auto"/>
              <w:right w:val="dotted" w:sz="4" w:space="0" w:color="auto"/>
            </w:tcBorders>
            <w:shd w:val="clear" w:color="auto" w:fill="auto"/>
            <w:vAlign w:val="center"/>
            <w:hideMark/>
          </w:tcPr>
          <w:p w14:paraId="2599993F"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72,3</w:t>
            </w:r>
          </w:p>
        </w:tc>
        <w:tc>
          <w:tcPr>
            <w:tcW w:w="1036" w:type="dxa"/>
            <w:tcBorders>
              <w:top w:val="nil"/>
              <w:left w:val="nil"/>
              <w:bottom w:val="dotted" w:sz="4" w:space="0" w:color="auto"/>
              <w:right w:val="dotted" w:sz="4" w:space="0" w:color="auto"/>
            </w:tcBorders>
            <w:shd w:val="clear" w:color="auto" w:fill="auto"/>
            <w:vAlign w:val="center"/>
            <w:hideMark/>
          </w:tcPr>
          <w:p w14:paraId="1098BF5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73,8</w:t>
            </w:r>
          </w:p>
        </w:tc>
        <w:tc>
          <w:tcPr>
            <w:tcW w:w="1036" w:type="dxa"/>
            <w:tcBorders>
              <w:top w:val="nil"/>
              <w:left w:val="nil"/>
              <w:bottom w:val="dotted" w:sz="4" w:space="0" w:color="auto"/>
              <w:right w:val="dotted" w:sz="4" w:space="0" w:color="auto"/>
            </w:tcBorders>
            <w:shd w:val="clear" w:color="auto" w:fill="auto"/>
            <w:vAlign w:val="center"/>
            <w:hideMark/>
          </w:tcPr>
          <w:p w14:paraId="4EF1EC1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80,9</w:t>
            </w:r>
          </w:p>
        </w:tc>
        <w:tc>
          <w:tcPr>
            <w:tcW w:w="1036" w:type="dxa"/>
            <w:tcBorders>
              <w:top w:val="nil"/>
              <w:left w:val="nil"/>
              <w:bottom w:val="dotted" w:sz="4" w:space="0" w:color="auto"/>
              <w:right w:val="dotted" w:sz="4" w:space="0" w:color="auto"/>
            </w:tcBorders>
            <w:shd w:val="clear" w:color="auto" w:fill="auto"/>
            <w:vAlign w:val="center"/>
            <w:hideMark/>
          </w:tcPr>
          <w:p w14:paraId="31FBD72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88,7</w:t>
            </w:r>
          </w:p>
        </w:tc>
        <w:tc>
          <w:tcPr>
            <w:tcW w:w="1036" w:type="dxa"/>
            <w:tcBorders>
              <w:top w:val="nil"/>
              <w:left w:val="nil"/>
              <w:bottom w:val="dotted" w:sz="4" w:space="0" w:color="auto"/>
              <w:right w:val="double" w:sz="6" w:space="0" w:color="auto"/>
            </w:tcBorders>
            <w:shd w:val="clear" w:color="auto" w:fill="auto"/>
            <w:vAlign w:val="center"/>
            <w:hideMark/>
          </w:tcPr>
          <w:p w14:paraId="257992A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95,9</w:t>
            </w:r>
          </w:p>
        </w:tc>
      </w:tr>
      <w:tr w:rsidR="009B5DE5" w:rsidRPr="009B5DE5" w14:paraId="37216EE0" w14:textId="77777777" w:rsidTr="00396800">
        <w:trPr>
          <w:trHeight w:val="304"/>
        </w:trPr>
        <w:tc>
          <w:tcPr>
            <w:tcW w:w="6938" w:type="dxa"/>
            <w:tcBorders>
              <w:top w:val="nil"/>
              <w:left w:val="double" w:sz="6" w:space="0" w:color="auto"/>
              <w:bottom w:val="dotted" w:sz="4" w:space="0" w:color="000000"/>
              <w:right w:val="nil"/>
            </w:tcBorders>
            <w:shd w:val="clear" w:color="auto" w:fill="auto"/>
            <w:vAlign w:val="center"/>
            <w:hideMark/>
          </w:tcPr>
          <w:p w14:paraId="1D0AC49F"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7. Здравство</w:t>
            </w:r>
          </w:p>
        </w:tc>
        <w:tc>
          <w:tcPr>
            <w:tcW w:w="1524" w:type="dxa"/>
            <w:tcBorders>
              <w:top w:val="nil"/>
              <w:left w:val="single" w:sz="8" w:space="0" w:color="000000"/>
              <w:bottom w:val="dotted" w:sz="4" w:space="0" w:color="000000"/>
              <w:right w:val="single" w:sz="8" w:space="0" w:color="000000"/>
            </w:tcBorders>
            <w:shd w:val="clear" w:color="auto" w:fill="auto"/>
            <w:vAlign w:val="center"/>
            <w:hideMark/>
          </w:tcPr>
          <w:p w14:paraId="4125BEA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7</w:t>
            </w:r>
          </w:p>
        </w:tc>
        <w:tc>
          <w:tcPr>
            <w:tcW w:w="1347" w:type="dxa"/>
            <w:tcBorders>
              <w:top w:val="nil"/>
              <w:left w:val="nil"/>
              <w:bottom w:val="dotted" w:sz="4" w:space="0" w:color="auto"/>
              <w:right w:val="dotted" w:sz="4" w:space="0" w:color="auto"/>
            </w:tcBorders>
            <w:shd w:val="clear" w:color="auto" w:fill="auto"/>
            <w:vAlign w:val="center"/>
            <w:hideMark/>
          </w:tcPr>
          <w:p w14:paraId="60111EE2"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496,0</w:t>
            </w:r>
          </w:p>
        </w:tc>
        <w:tc>
          <w:tcPr>
            <w:tcW w:w="1036" w:type="dxa"/>
            <w:tcBorders>
              <w:top w:val="nil"/>
              <w:left w:val="nil"/>
              <w:bottom w:val="dotted" w:sz="4" w:space="0" w:color="auto"/>
              <w:right w:val="dotted" w:sz="4" w:space="0" w:color="auto"/>
            </w:tcBorders>
            <w:shd w:val="clear" w:color="auto" w:fill="auto"/>
            <w:vAlign w:val="center"/>
            <w:hideMark/>
          </w:tcPr>
          <w:p w14:paraId="0BDA9FB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530,9</w:t>
            </w:r>
          </w:p>
        </w:tc>
        <w:tc>
          <w:tcPr>
            <w:tcW w:w="1036" w:type="dxa"/>
            <w:tcBorders>
              <w:top w:val="nil"/>
              <w:left w:val="nil"/>
              <w:bottom w:val="dotted" w:sz="4" w:space="0" w:color="auto"/>
              <w:right w:val="dotted" w:sz="4" w:space="0" w:color="auto"/>
            </w:tcBorders>
            <w:shd w:val="clear" w:color="auto" w:fill="auto"/>
            <w:vAlign w:val="center"/>
            <w:hideMark/>
          </w:tcPr>
          <w:p w14:paraId="5D2EF51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593,7</w:t>
            </w:r>
          </w:p>
        </w:tc>
        <w:tc>
          <w:tcPr>
            <w:tcW w:w="1036" w:type="dxa"/>
            <w:tcBorders>
              <w:top w:val="nil"/>
              <w:left w:val="nil"/>
              <w:bottom w:val="dotted" w:sz="4" w:space="0" w:color="auto"/>
              <w:right w:val="dotted" w:sz="4" w:space="0" w:color="auto"/>
            </w:tcBorders>
            <w:shd w:val="clear" w:color="auto" w:fill="auto"/>
            <w:vAlign w:val="center"/>
            <w:hideMark/>
          </w:tcPr>
          <w:p w14:paraId="6D7E697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642,8</w:t>
            </w:r>
          </w:p>
        </w:tc>
        <w:tc>
          <w:tcPr>
            <w:tcW w:w="1036" w:type="dxa"/>
            <w:tcBorders>
              <w:top w:val="nil"/>
              <w:left w:val="nil"/>
              <w:bottom w:val="dotted" w:sz="4" w:space="0" w:color="auto"/>
              <w:right w:val="dotted" w:sz="4" w:space="0" w:color="auto"/>
            </w:tcBorders>
            <w:shd w:val="clear" w:color="auto" w:fill="auto"/>
            <w:vAlign w:val="center"/>
            <w:hideMark/>
          </w:tcPr>
          <w:p w14:paraId="25A11E2D"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687,4</w:t>
            </w:r>
          </w:p>
        </w:tc>
        <w:tc>
          <w:tcPr>
            <w:tcW w:w="1036" w:type="dxa"/>
            <w:tcBorders>
              <w:top w:val="nil"/>
              <w:left w:val="nil"/>
              <w:bottom w:val="dotted" w:sz="4" w:space="0" w:color="auto"/>
              <w:right w:val="double" w:sz="6" w:space="0" w:color="auto"/>
            </w:tcBorders>
            <w:shd w:val="clear" w:color="auto" w:fill="auto"/>
            <w:vAlign w:val="center"/>
            <w:hideMark/>
          </w:tcPr>
          <w:p w14:paraId="310F684F"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743,6</w:t>
            </w:r>
          </w:p>
        </w:tc>
      </w:tr>
      <w:tr w:rsidR="009B5DE5" w:rsidRPr="009B5DE5" w14:paraId="36B416BB" w14:textId="77777777" w:rsidTr="00396800">
        <w:trPr>
          <w:trHeight w:val="304"/>
        </w:trPr>
        <w:tc>
          <w:tcPr>
            <w:tcW w:w="6938" w:type="dxa"/>
            <w:tcBorders>
              <w:top w:val="nil"/>
              <w:left w:val="double" w:sz="6" w:space="0" w:color="auto"/>
              <w:bottom w:val="dotted" w:sz="4" w:space="0" w:color="000000"/>
              <w:right w:val="nil"/>
            </w:tcBorders>
            <w:shd w:val="clear" w:color="auto" w:fill="auto"/>
            <w:vAlign w:val="center"/>
            <w:hideMark/>
          </w:tcPr>
          <w:p w14:paraId="18A7487E"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8. Рекреација, култура и религија</w:t>
            </w:r>
          </w:p>
        </w:tc>
        <w:tc>
          <w:tcPr>
            <w:tcW w:w="1524" w:type="dxa"/>
            <w:tcBorders>
              <w:top w:val="nil"/>
              <w:left w:val="single" w:sz="8" w:space="0" w:color="000000"/>
              <w:bottom w:val="dotted" w:sz="4" w:space="0" w:color="000000"/>
              <w:right w:val="single" w:sz="8" w:space="0" w:color="000000"/>
            </w:tcBorders>
            <w:shd w:val="clear" w:color="auto" w:fill="auto"/>
            <w:vAlign w:val="center"/>
            <w:hideMark/>
          </w:tcPr>
          <w:p w14:paraId="6494B75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8</w:t>
            </w:r>
          </w:p>
        </w:tc>
        <w:tc>
          <w:tcPr>
            <w:tcW w:w="1347" w:type="dxa"/>
            <w:tcBorders>
              <w:top w:val="nil"/>
              <w:left w:val="nil"/>
              <w:bottom w:val="dotted" w:sz="4" w:space="0" w:color="auto"/>
              <w:right w:val="dotted" w:sz="4" w:space="0" w:color="auto"/>
            </w:tcBorders>
            <w:shd w:val="clear" w:color="auto" w:fill="auto"/>
            <w:vAlign w:val="center"/>
            <w:hideMark/>
          </w:tcPr>
          <w:p w14:paraId="3849FC2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67,7</w:t>
            </w:r>
          </w:p>
        </w:tc>
        <w:tc>
          <w:tcPr>
            <w:tcW w:w="1036" w:type="dxa"/>
            <w:tcBorders>
              <w:top w:val="nil"/>
              <w:left w:val="nil"/>
              <w:bottom w:val="dotted" w:sz="4" w:space="0" w:color="auto"/>
              <w:right w:val="dotted" w:sz="4" w:space="0" w:color="auto"/>
            </w:tcBorders>
            <w:shd w:val="clear" w:color="auto" w:fill="auto"/>
            <w:vAlign w:val="center"/>
            <w:hideMark/>
          </w:tcPr>
          <w:p w14:paraId="095AB6C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80,3</w:t>
            </w:r>
          </w:p>
        </w:tc>
        <w:tc>
          <w:tcPr>
            <w:tcW w:w="1036" w:type="dxa"/>
            <w:tcBorders>
              <w:top w:val="nil"/>
              <w:left w:val="nil"/>
              <w:bottom w:val="dotted" w:sz="4" w:space="0" w:color="auto"/>
              <w:right w:val="dotted" w:sz="4" w:space="0" w:color="auto"/>
            </w:tcBorders>
            <w:shd w:val="clear" w:color="auto" w:fill="auto"/>
            <w:vAlign w:val="center"/>
            <w:hideMark/>
          </w:tcPr>
          <w:p w14:paraId="78222DD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84,3</w:t>
            </w:r>
          </w:p>
        </w:tc>
        <w:tc>
          <w:tcPr>
            <w:tcW w:w="1036" w:type="dxa"/>
            <w:tcBorders>
              <w:top w:val="nil"/>
              <w:left w:val="nil"/>
              <w:bottom w:val="dotted" w:sz="4" w:space="0" w:color="auto"/>
              <w:right w:val="dotted" w:sz="4" w:space="0" w:color="auto"/>
            </w:tcBorders>
            <w:shd w:val="clear" w:color="auto" w:fill="auto"/>
            <w:vAlign w:val="center"/>
            <w:hideMark/>
          </w:tcPr>
          <w:p w14:paraId="524519C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88,1</w:t>
            </w:r>
          </w:p>
        </w:tc>
        <w:tc>
          <w:tcPr>
            <w:tcW w:w="1036" w:type="dxa"/>
            <w:tcBorders>
              <w:top w:val="nil"/>
              <w:left w:val="nil"/>
              <w:bottom w:val="dotted" w:sz="4" w:space="0" w:color="auto"/>
              <w:right w:val="dotted" w:sz="4" w:space="0" w:color="auto"/>
            </w:tcBorders>
            <w:shd w:val="clear" w:color="auto" w:fill="auto"/>
            <w:vAlign w:val="center"/>
            <w:hideMark/>
          </w:tcPr>
          <w:p w14:paraId="3FFB83A5"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99,8</w:t>
            </w:r>
          </w:p>
        </w:tc>
        <w:tc>
          <w:tcPr>
            <w:tcW w:w="1036" w:type="dxa"/>
            <w:tcBorders>
              <w:top w:val="nil"/>
              <w:left w:val="nil"/>
              <w:bottom w:val="dotted" w:sz="4" w:space="0" w:color="auto"/>
              <w:right w:val="double" w:sz="6" w:space="0" w:color="auto"/>
            </w:tcBorders>
            <w:shd w:val="clear" w:color="auto" w:fill="auto"/>
            <w:vAlign w:val="center"/>
            <w:hideMark/>
          </w:tcPr>
          <w:p w14:paraId="2EF6374B"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107,9</w:t>
            </w:r>
          </w:p>
        </w:tc>
      </w:tr>
      <w:tr w:rsidR="009B5DE5" w:rsidRPr="009B5DE5" w14:paraId="3B75BEE5" w14:textId="77777777" w:rsidTr="00396800">
        <w:trPr>
          <w:trHeight w:val="304"/>
        </w:trPr>
        <w:tc>
          <w:tcPr>
            <w:tcW w:w="6938" w:type="dxa"/>
            <w:tcBorders>
              <w:top w:val="nil"/>
              <w:left w:val="double" w:sz="6" w:space="0" w:color="auto"/>
              <w:bottom w:val="dotted" w:sz="4" w:space="0" w:color="000000"/>
              <w:right w:val="nil"/>
            </w:tcBorders>
            <w:shd w:val="clear" w:color="auto" w:fill="auto"/>
            <w:vAlign w:val="center"/>
            <w:hideMark/>
          </w:tcPr>
          <w:p w14:paraId="35D8DFA6"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9. Образовање</w:t>
            </w:r>
          </w:p>
        </w:tc>
        <w:tc>
          <w:tcPr>
            <w:tcW w:w="1524" w:type="dxa"/>
            <w:tcBorders>
              <w:top w:val="nil"/>
              <w:left w:val="single" w:sz="8" w:space="0" w:color="000000"/>
              <w:bottom w:val="dotted" w:sz="4" w:space="0" w:color="000000"/>
              <w:right w:val="single" w:sz="8" w:space="0" w:color="000000"/>
            </w:tcBorders>
            <w:shd w:val="clear" w:color="auto" w:fill="auto"/>
            <w:vAlign w:val="center"/>
            <w:hideMark/>
          </w:tcPr>
          <w:p w14:paraId="5C08A35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9</w:t>
            </w:r>
          </w:p>
        </w:tc>
        <w:tc>
          <w:tcPr>
            <w:tcW w:w="1347" w:type="dxa"/>
            <w:tcBorders>
              <w:top w:val="nil"/>
              <w:left w:val="nil"/>
              <w:bottom w:val="dotted" w:sz="4" w:space="0" w:color="auto"/>
              <w:right w:val="dotted" w:sz="4" w:space="0" w:color="auto"/>
            </w:tcBorders>
            <w:shd w:val="clear" w:color="auto" w:fill="auto"/>
            <w:vAlign w:val="center"/>
            <w:hideMark/>
          </w:tcPr>
          <w:p w14:paraId="5270329A"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259,1</w:t>
            </w:r>
          </w:p>
        </w:tc>
        <w:tc>
          <w:tcPr>
            <w:tcW w:w="1036" w:type="dxa"/>
            <w:tcBorders>
              <w:top w:val="nil"/>
              <w:left w:val="nil"/>
              <w:bottom w:val="dotted" w:sz="4" w:space="0" w:color="auto"/>
              <w:right w:val="dotted" w:sz="4" w:space="0" w:color="auto"/>
            </w:tcBorders>
            <w:shd w:val="clear" w:color="auto" w:fill="auto"/>
            <w:vAlign w:val="center"/>
            <w:hideMark/>
          </w:tcPr>
          <w:p w14:paraId="3552158A"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297,8</w:t>
            </w:r>
          </w:p>
        </w:tc>
        <w:tc>
          <w:tcPr>
            <w:tcW w:w="1036" w:type="dxa"/>
            <w:tcBorders>
              <w:top w:val="nil"/>
              <w:left w:val="nil"/>
              <w:bottom w:val="dotted" w:sz="4" w:space="0" w:color="auto"/>
              <w:right w:val="dotted" w:sz="4" w:space="0" w:color="auto"/>
            </w:tcBorders>
            <w:shd w:val="clear" w:color="auto" w:fill="auto"/>
            <w:vAlign w:val="center"/>
            <w:hideMark/>
          </w:tcPr>
          <w:p w14:paraId="29110F9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366,4</w:t>
            </w:r>
          </w:p>
        </w:tc>
        <w:tc>
          <w:tcPr>
            <w:tcW w:w="1036" w:type="dxa"/>
            <w:tcBorders>
              <w:top w:val="nil"/>
              <w:left w:val="nil"/>
              <w:bottom w:val="dotted" w:sz="4" w:space="0" w:color="auto"/>
              <w:right w:val="dotted" w:sz="4" w:space="0" w:color="auto"/>
            </w:tcBorders>
            <w:shd w:val="clear" w:color="auto" w:fill="auto"/>
            <w:vAlign w:val="center"/>
            <w:hideMark/>
          </w:tcPr>
          <w:p w14:paraId="0E8F35F9"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435,1</w:t>
            </w:r>
          </w:p>
        </w:tc>
        <w:tc>
          <w:tcPr>
            <w:tcW w:w="1036" w:type="dxa"/>
            <w:tcBorders>
              <w:top w:val="nil"/>
              <w:left w:val="nil"/>
              <w:bottom w:val="dotted" w:sz="4" w:space="0" w:color="auto"/>
              <w:right w:val="dotted" w:sz="4" w:space="0" w:color="auto"/>
            </w:tcBorders>
            <w:shd w:val="clear" w:color="auto" w:fill="auto"/>
            <w:vAlign w:val="center"/>
            <w:hideMark/>
          </w:tcPr>
          <w:p w14:paraId="27165472"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465,7</w:t>
            </w:r>
          </w:p>
        </w:tc>
        <w:tc>
          <w:tcPr>
            <w:tcW w:w="1036" w:type="dxa"/>
            <w:tcBorders>
              <w:top w:val="nil"/>
              <w:left w:val="nil"/>
              <w:bottom w:val="dotted" w:sz="4" w:space="0" w:color="auto"/>
              <w:right w:val="double" w:sz="6" w:space="0" w:color="auto"/>
            </w:tcBorders>
            <w:shd w:val="clear" w:color="auto" w:fill="auto"/>
            <w:vAlign w:val="center"/>
            <w:hideMark/>
          </w:tcPr>
          <w:p w14:paraId="1EB25BBA"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503,7</w:t>
            </w:r>
          </w:p>
        </w:tc>
      </w:tr>
      <w:tr w:rsidR="009B5DE5" w:rsidRPr="009B5DE5" w14:paraId="27D81792" w14:textId="77777777" w:rsidTr="00396800">
        <w:trPr>
          <w:trHeight w:val="304"/>
        </w:trPr>
        <w:tc>
          <w:tcPr>
            <w:tcW w:w="6938" w:type="dxa"/>
            <w:tcBorders>
              <w:top w:val="nil"/>
              <w:left w:val="double" w:sz="6" w:space="0" w:color="auto"/>
              <w:bottom w:val="single" w:sz="4" w:space="0" w:color="auto"/>
              <w:right w:val="nil"/>
            </w:tcBorders>
            <w:shd w:val="clear" w:color="auto" w:fill="auto"/>
            <w:vAlign w:val="center"/>
            <w:hideMark/>
          </w:tcPr>
          <w:p w14:paraId="2F29263E"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10. Социјална заштита</w:t>
            </w:r>
          </w:p>
        </w:tc>
        <w:tc>
          <w:tcPr>
            <w:tcW w:w="1524" w:type="dxa"/>
            <w:tcBorders>
              <w:top w:val="nil"/>
              <w:left w:val="single" w:sz="8" w:space="0" w:color="000000"/>
              <w:bottom w:val="single" w:sz="4" w:space="0" w:color="auto"/>
              <w:right w:val="single" w:sz="8" w:space="0" w:color="000000"/>
            </w:tcBorders>
            <w:shd w:val="clear" w:color="auto" w:fill="auto"/>
            <w:vAlign w:val="center"/>
            <w:hideMark/>
          </w:tcPr>
          <w:p w14:paraId="58ACE433"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10</w:t>
            </w:r>
          </w:p>
        </w:tc>
        <w:tc>
          <w:tcPr>
            <w:tcW w:w="1347" w:type="dxa"/>
            <w:tcBorders>
              <w:top w:val="nil"/>
              <w:left w:val="nil"/>
              <w:bottom w:val="dotted" w:sz="4" w:space="0" w:color="auto"/>
              <w:right w:val="dotted" w:sz="4" w:space="0" w:color="auto"/>
            </w:tcBorders>
            <w:shd w:val="clear" w:color="auto" w:fill="auto"/>
            <w:vAlign w:val="center"/>
            <w:hideMark/>
          </w:tcPr>
          <w:p w14:paraId="7BBB63E5"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906,6</w:t>
            </w:r>
          </w:p>
        </w:tc>
        <w:tc>
          <w:tcPr>
            <w:tcW w:w="1036" w:type="dxa"/>
            <w:tcBorders>
              <w:top w:val="nil"/>
              <w:left w:val="nil"/>
              <w:bottom w:val="dotted" w:sz="4" w:space="0" w:color="auto"/>
              <w:right w:val="dotted" w:sz="4" w:space="0" w:color="auto"/>
            </w:tcBorders>
            <w:shd w:val="clear" w:color="auto" w:fill="auto"/>
            <w:vAlign w:val="center"/>
            <w:hideMark/>
          </w:tcPr>
          <w:p w14:paraId="5EF4538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1.078,4</w:t>
            </w:r>
          </w:p>
        </w:tc>
        <w:tc>
          <w:tcPr>
            <w:tcW w:w="1036" w:type="dxa"/>
            <w:tcBorders>
              <w:top w:val="nil"/>
              <w:left w:val="nil"/>
              <w:bottom w:val="dotted" w:sz="4" w:space="0" w:color="auto"/>
              <w:right w:val="dotted" w:sz="4" w:space="0" w:color="auto"/>
            </w:tcBorders>
            <w:shd w:val="clear" w:color="auto" w:fill="auto"/>
            <w:vAlign w:val="center"/>
            <w:hideMark/>
          </w:tcPr>
          <w:p w14:paraId="5E36691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1.247,1</w:t>
            </w:r>
          </w:p>
        </w:tc>
        <w:tc>
          <w:tcPr>
            <w:tcW w:w="1036" w:type="dxa"/>
            <w:tcBorders>
              <w:top w:val="nil"/>
              <w:left w:val="nil"/>
              <w:bottom w:val="dotted" w:sz="4" w:space="0" w:color="auto"/>
              <w:right w:val="dotted" w:sz="4" w:space="0" w:color="auto"/>
            </w:tcBorders>
            <w:shd w:val="clear" w:color="auto" w:fill="auto"/>
            <w:vAlign w:val="center"/>
            <w:hideMark/>
          </w:tcPr>
          <w:p w14:paraId="686A96E2"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1.372,6</w:t>
            </w:r>
          </w:p>
        </w:tc>
        <w:tc>
          <w:tcPr>
            <w:tcW w:w="1036" w:type="dxa"/>
            <w:tcBorders>
              <w:top w:val="nil"/>
              <w:left w:val="nil"/>
              <w:bottom w:val="dotted" w:sz="4" w:space="0" w:color="auto"/>
              <w:right w:val="dotted" w:sz="4" w:space="0" w:color="auto"/>
            </w:tcBorders>
            <w:shd w:val="clear" w:color="auto" w:fill="auto"/>
            <w:vAlign w:val="center"/>
            <w:hideMark/>
          </w:tcPr>
          <w:p w14:paraId="5C2B3BC9"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1.485,7</w:t>
            </w:r>
          </w:p>
        </w:tc>
        <w:tc>
          <w:tcPr>
            <w:tcW w:w="1036" w:type="dxa"/>
            <w:tcBorders>
              <w:top w:val="nil"/>
              <w:left w:val="nil"/>
              <w:bottom w:val="dotted" w:sz="4" w:space="0" w:color="auto"/>
              <w:right w:val="double" w:sz="6" w:space="0" w:color="auto"/>
            </w:tcBorders>
            <w:shd w:val="clear" w:color="auto" w:fill="auto"/>
            <w:vAlign w:val="center"/>
            <w:hideMark/>
          </w:tcPr>
          <w:p w14:paraId="01A1662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1.583,1</w:t>
            </w:r>
          </w:p>
        </w:tc>
      </w:tr>
      <w:tr w:rsidR="009B5DE5" w:rsidRPr="009B5DE5" w14:paraId="723EF4B7" w14:textId="77777777" w:rsidTr="00396800">
        <w:trPr>
          <w:trHeight w:val="304"/>
        </w:trPr>
        <w:tc>
          <w:tcPr>
            <w:tcW w:w="6938" w:type="dxa"/>
            <w:tcBorders>
              <w:top w:val="dotted" w:sz="4" w:space="0" w:color="000000"/>
              <w:left w:val="double" w:sz="6" w:space="0" w:color="auto"/>
              <w:bottom w:val="single" w:sz="4" w:space="0" w:color="auto"/>
              <w:right w:val="nil"/>
            </w:tcBorders>
            <w:shd w:val="clear" w:color="auto" w:fill="auto"/>
            <w:vAlign w:val="center"/>
            <w:hideMark/>
          </w:tcPr>
          <w:p w14:paraId="280D0120"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Друге релевантне променљиве</w:t>
            </w:r>
          </w:p>
        </w:tc>
        <w:tc>
          <w:tcPr>
            <w:tcW w:w="1524" w:type="dxa"/>
            <w:tcBorders>
              <w:top w:val="nil"/>
              <w:left w:val="single" w:sz="8" w:space="0" w:color="000000"/>
              <w:bottom w:val="single" w:sz="4" w:space="0" w:color="auto"/>
              <w:right w:val="single" w:sz="8" w:space="0" w:color="000000"/>
            </w:tcBorders>
            <w:shd w:val="clear" w:color="auto" w:fill="auto"/>
            <w:vAlign w:val="center"/>
            <w:hideMark/>
          </w:tcPr>
          <w:p w14:paraId="15F0F9B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347" w:type="dxa"/>
            <w:tcBorders>
              <w:top w:val="single" w:sz="4" w:space="0" w:color="auto"/>
              <w:left w:val="nil"/>
              <w:bottom w:val="single" w:sz="4" w:space="0" w:color="auto"/>
              <w:right w:val="dotted" w:sz="4" w:space="0" w:color="000000"/>
            </w:tcBorders>
            <w:shd w:val="clear" w:color="auto" w:fill="auto"/>
            <w:noWrap/>
            <w:vAlign w:val="bottom"/>
            <w:hideMark/>
          </w:tcPr>
          <w:p w14:paraId="58A97FF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6" w:type="dxa"/>
            <w:tcBorders>
              <w:top w:val="single" w:sz="4" w:space="0" w:color="auto"/>
              <w:left w:val="nil"/>
              <w:bottom w:val="single" w:sz="4" w:space="0" w:color="auto"/>
              <w:right w:val="dotted" w:sz="4" w:space="0" w:color="000000"/>
            </w:tcBorders>
            <w:shd w:val="clear" w:color="auto" w:fill="auto"/>
            <w:noWrap/>
            <w:vAlign w:val="bottom"/>
            <w:hideMark/>
          </w:tcPr>
          <w:p w14:paraId="799F270B"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6" w:type="dxa"/>
            <w:tcBorders>
              <w:top w:val="single" w:sz="4" w:space="0" w:color="auto"/>
              <w:left w:val="nil"/>
              <w:bottom w:val="single" w:sz="4" w:space="0" w:color="auto"/>
              <w:right w:val="dotted" w:sz="4" w:space="0" w:color="000000"/>
            </w:tcBorders>
            <w:shd w:val="clear" w:color="auto" w:fill="auto"/>
            <w:noWrap/>
            <w:vAlign w:val="bottom"/>
            <w:hideMark/>
          </w:tcPr>
          <w:p w14:paraId="69A9C05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6" w:type="dxa"/>
            <w:tcBorders>
              <w:top w:val="single" w:sz="4" w:space="0" w:color="auto"/>
              <w:left w:val="nil"/>
              <w:bottom w:val="single" w:sz="4" w:space="0" w:color="auto"/>
              <w:right w:val="dotted" w:sz="4" w:space="0" w:color="000000"/>
            </w:tcBorders>
            <w:shd w:val="clear" w:color="auto" w:fill="auto"/>
            <w:noWrap/>
            <w:vAlign w:val="bottom"/>
            <w:hideMark/>
          </w:tcPr>
          <w:p w14:paraId="3044A07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6" w:type="dxa"/>
            <w:tcBorders>
              <w:top w:val="single" w:sz="4" w:space="0" w:color="auto"/>
              <w:left w:val="nil"/>
              <w:bottom w:val="single" w:sz="4" w:space="0" w:color="auto"/>
              <w:right w:val="dotted" w:sz="4" w:space="0" w:color="000000"/>
            </w:tcBorders>
            <w:shd w:val="clear" w:color="auto" w:fill="auto"/>
            <w:noWrap/>
            <w:vAlign w:val="bottom"/>
            <w:hideMark/>
          </w:tcPr>
          <w:p w14:paraId="53CC2342"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6" w:type="dxa"/>
            <w:tcBorders>
              <w:top w:val="single" w:sz="4" w:space="0" w:color="auto"/>
              <w:left w:val="nil"/>
              <w:bottom w:val="single" w:sz="4" w:space="0" w:color="auto"/>
              <w:right w:val="double" w:sz="6" w:space="0" w:color="auto"/>
            </w:tcBorders>
            <w:shd w:val="clear" w:color="auto" w:fill="auto"/>
            <w:noWrap/>
            <w:vAlign w:val="bottom"/>
            <w:hideMark/>
          </w:tcPr>
          <w:p w14:paraId="59717FC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r>
      <w:tr w:rsidR="009B5DE5" w:rsidRPr="009B5DE5" w14:paraId="2296A768" w14:textId="77777777" w:rsidTr="00396800">
        <w:trPr>
          <w:trHeight w:val="322"/>
        </w:trPr>
        <w:tc>
          <w:tcPr>
            <w:tcW w:w="6938" w:type="dxa"/>
            <w:tcBorders>
              <w:top w:val="nil"/>
              <w:left w:val="double" w:sz="6" w:space="0" w:color="auto"/>
              <w:bottom w:val="double" w:sz="6" w:space="0" w:color="auto"/>
              <w:right w:val="nil"/>
            </w:tcBorders>
            <w:shd w:val="clear" w:color="auto" w:fill="auto"/>
            <w:vAlign w:val="center"/>
            <w:hideMark/>
          </w:tcPr>
          <w:p w14:paraId="743EF601"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11. Укупни расходи (ставка 7 = 23 у Табели 2)</w:t>
            </w:r>
          </w:p>
        </w:tc>
        <w:tc>
          <w:tcPr>
            <w:tcW w:w="1524" w:type="dxa"/>
            <w:tcBorders>
              <w:top w:val="nil"/>
              <w:left w:val="single" w:sz="8" w:space="0" w:color="000000"/>
              <w:bottom w:val="double" w:sz="6" w:space="0" w:color="auto"/>
              <w:right w:val="single" w:sz="8" w:space="0" w:color="000000"/>
            </w:tcBorders>
            <w:shd w:val="clear" w:color="auto" w:fill="auto"/>
            <w:vAlign w:val="center"/>
            <w:hideMark/>
          </w:tcPr>
          <w:p w14:paraId="2E70895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TE</w:t>
            </w:r>
          </w:p>
        </w:tc>
        <w:tc>
          <w:tcPr>
            <w:tcW w:w="1347" w:type="dxa"/>
            <w:tcBorders>
              <w:top w:val="nil"/>
              <w:left w:val="nil"/>
              <w:bottom w:val="double" w:sz="6" w:space="0" w:color="auto"/>
              <w:right w:val="dotted" w:sz="4" w:space="0" w:color="000000"/>
            </w:tcBorders>
            <w:shd w:val="clear" w:color="auto" w:fill="auto"/>
            <w:noWrap/>
            <w:vAlign w:val="bottom"/>
            <w:hideMark/>
          </w:tcPr>
          <w:p w14:paraId="2E52782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3.328,2</w:t>
            </w:r>
          </w:p>
        </w:tc>
        <w:tc>
          <w:tcPr>
            <w:tcW w:w="1036" w:type="dxa"/>
            <w:tcBorders>
              <w:top w:val="nil"/>
              <w:left w:val="nil"/>
              <w:bottom w:val="double" w:sz="6" w:space="0" w:color="auto"/>
              <w:right w:val="dotted" w:sz="4" w:space="0" w:color="000000"/>
            </w:tcBorders>
            <w:shd w:val="clear" w:color="auto" w:fill="auto"/>
            <w:noWrap/>
            <w:vAlign w:val="bottom"/>
            <w:hideMark/>
          </w:tcPr>
          <w:p w14:paraId="2CD80899"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3.654,4</w:t>
            </w:r>
          </w:p>
        </w:tc>
        <w:tc>
          <w:tcPr>
            <w:tcW w:w="1036" w:type="dxa"/>
            <w:tcBorders>
              <w:top w:val="nil"/>
              <w:left w:val="nil"/>
              <w:bottom w:val="double" w:sz="6" w:space="0" w:color="auto"/>
              <w:right w:val="dotted" w:sz="4" w:space="0" w:color="000000"/>
            </w:tcBorders>
            <w:shd w:val="clear" w:color="auto" w:fill="auto"/>
            <w:noWrap/>
            <w:vAlign w:val="bottom"/>
            <w:hideMark/>
          </w:tcPr>
          <w:p w14:paraId="76CE914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4.185,2</w:t>
            </w:r>
          </w:p>
        </w:tc>
        <w:tc>
          <w:tcPr>
            <w:tcW w:w="1036" w:type="dxa"/>
            <w:tcBorders>
              <w:top w:val="nil"/>
              <w:left w:val="nil"/>
              <w:bottom w:val="double" w:sz="6" w:space="0" w:color="auto"/>
              <w:right w:val="dotted" w:sz="4" w:space="0" w:color="000000"/>
            </w:tcBorders>
            <w:shd w:val="clear" w:color="auto" w:fill="auto"/>
            <w:noWrap/>
            <w:vAlign w:val="bottom"/>
            <w:hideMark/>
          </w:tcPr>
          <w:p w14:paraId="6DA907E5"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4.578,3</w:t>
            </w:r>
          </w:p>
        </w:tc>
        <w:tc>
          <w:tcPr>
            <w:tcW w:w="1036" w:type="dxa"/>
            <w:tcBorders>
              <w:top w:val="nil"/>
              <w:left w:val="nil"/>
              <w:bottom w:val="double" w:sz="6" w:space="0" w:color="auto"/>
              <w:right w:val="dotted" w:sz="4" w:space="0" w:color="000000"/>
            </w:tcBorders>
            <w:shd w:val="clear" w:color="auto" w:fill="auto"/>
            <w:noWrap/>
            <w:vAlign w:val="bottom"/>
            <w:hideMark/>
          </w:tcPr>
          <w:p w14:paraId="08A0BCA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4.870,0</w:t>
            </w:r>
          </w:p>
        </w:tc>
        <w:tc>
          <w:tcPr>
            <w:tcW w:w="1036" w:type="dxa"/>
            <w:tcBorders>
              <w:top w:val="nil"/>
              <w:left w:val="nil"/>
              <w:bottom w:val="double" w:sz="6" w:space="0" w:color="auto"/>
              <w:right w:val="double" w:sz="6" w:space="0" w:color="auto"/>
            </w:tcBorders>
            <w:shd w:val="clear" w:color="auto" w:fill="auto"/>
            <w:noWrap/>
            <w:vAlign w:val="bottom"/>
            <w:hideMark/>
          </w:tcPr>
          <w:p w14:paraId="1971174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5.214,7</w:t>
            </w:r>
          </w:p>
        </w:tc>
      </w:tr>
    </w:tbl>
    <w:p w14:paraId="08A1057F" w14:textId="77777777" w:rsidR="009B5DE5" w:rsidRPr="009B5DE5" w:rsidRDefault="009B5DE5" w:rsidP="009B5DE5">
      <w:pPr>
        <w:spacing w:after="0"/>
        <w:jc w:val="left"/>
        <w:rPr>
          <w:rFonts w:eastAsia="Times New Roman" w:cs="Times New Roman"/>
          <w:bCs/>
          <w:sz w:val="22"/>
        </w:rPr>
      </w:pPr>
    </w:p>
    <w:p w14:paraId="245C7BE8" w14:textId="77777777" w:rsidR="009B5DE5" w:rsidRPr="009B5DE5" w:rsidRDefault="009B5DE5" w:rsidP="009B5DE5">
      <w:pPr>
        <w:spacing w:after="0"/>
        <w:jc w:val="left"/>
        <w:rPr>
          <w:rFonts w:eastAsia="Times New Roman" w:cs="Times New Roman"/>
          <w:bCs/>
          <w:sz w:val="22"/>
        </w:rPr>
      </w:pPr>
    </w:p>
    <w:tbl>
      <w:tblPr>
        <w:tblW w:w="15037" w:type="dxa"/>
        <w:tblLook w:val="04A0" w:firstRow="1" w:lastRow="0" w:firstColumn="1" w:lastColumn="0" w:noHBand="0" w:noVBand="1"/>
      </w:tblPr>
      <w:tblGrid>
        <w:gridCol w:w="6631"/>
        <w:gridCol w:w="1401"/>
        <w:gridCol w:w="1401"/>
        <w:gridCol w:w="1401"/>
        <w:gridCol w:w="1401"/>
        <w:gridCol w:w="1401"/>
        <w:gridCol w:w="1401"/>
      </w:tblGrid>
      <w:tr w:rsidR="009B5DE5" w:rsidRPr="009B5DE5" w14:paraId="0F8C7E40" w14:textId="77777777" w:rsidTr="00396800">
        <w:trPr>
          <w:trHeight w:val="348"/>
        </w:trPr>
        <w:tc>
          <w:tcPr>
            <w:tcW w:w="6631" w:type="dxa"/>
            <w:vMerge w:val="restart"/>
            <w:tcBorders>
              <w:top w:val="double" w:sz="6" w:space="0" w:color="000000"/>
              <w:left w:val="double" w:sz="6" w:space="0" w:color="000000"/>
              <w:bottom w:val="single" w:sz="8" w:space="0" w:color="000000"/>
              <w:right w:val="dotted" w:sz="4" w:space="0" w:color="auto"/>
            </w:tcBorders>
            <w:shd w:val="clear" w:color="000000" w:fill="FFFFFF"/>
            <w:vAlign w:val="center"/>
            <w:hideMark/>
          </w:tcPr>
          <w:p w14:paraId="0B0A318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БДП</w:t>
            </w:r>
          </w:p>
        </w:tc>
        <w:tc>
          <w:tcPr>
            <w:tcW w:w="1401" w:type="dxa"/>
            <w:vMerge w:val="restart"/>
            <w:tcBorders>
              <w:top w:val="double" w:sz="6" w:space="0" w:color="000000"/>
              <w:left w:val="dotted" w:sz="4" w:space="0" w:color="auto"/>
              <w:bottom w:val="single" w:sz="8" w:space="0" w:color="000000"/>
              <w:right w:val="single" w:sz="8" w:space="0" w:color="auto"/>
            </w:tcBorders>
            <w:shd w:val="clear" w:color="000000" w:fill="FFFFFF"/>
            <w:vAlign w:val="center"/>
            <w:hideMark/>
          </w:tcPr>
          <w:p w14:paraId="211B9F8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COFOG шифра</w:t>
            </w:r>
          </w:p>
        </w:tc>
        <w:tc>
          <w:tcPr>
            <w:tcW w:w="1401" w:type="dxa"/>
            <w:tcBorders>
              <w:top w:val="double" w:sz="6" w:space="0" w:color="000000"/>
              <w:left w:val="nil"/>
              <w:bottom w:val="nil"/>
              <w:right w:val="dotted" w:sz="4" w:space="0" w:color="auto"/>
            </w:tcBorders>
            <w:shd w:val="clear" w:color="000000" w:fill="FFFFFF"/>
            <w:vAlign w:val="center"/>
            <w:hideMark/>
          </w:tcPr>
          <w:p w14:paraId="3BC3C573"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Година</w:t>
            </w:r>
          </w:p>
        </w:tc>
        <w:tc>
          <w:tcPr>
            <w:tcW w:w="1401" w:type="dxa"/>
            <w:tcBorders>
              <w:top w:val="double" w:sz="6" w:space="0" w:color="000000"/>
              <w:left w:val="nil"/>
              <w:bottom w:val="nil"/>
              <w:right w:val="dotted" w:sz="4" w:space="0" w:color="auto"/>
            </w:tcBorders>
            <w:shd w:val="clear" w:color="000000" w:fill="FFFFFF"/>
            <w:vAlign w:val="center"/>
            <w:hideMark/>
          </w:tcPr>
          <w:p w14:paraId="607AAA9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Година</w:t>
            </w:r>
          </w:p>
        </w:tc>
        <w:tc>
          <w:tcPr>
            <w:tcW w:w="1401" w:type="dxa"/>
            <w:tcBorders>
              <w:top w:val="double" w:sz="6" w:space="0" w:color="000000"/>
              <w:left w:val="nil"/>
              <w:bottom w:val="nil"/>
              <w:right w:val="dotted" w:sz="4" w:space="0" w:color="auto"/>
            </w:tcBorders>
            <w:shd w:val="clear" w:color="000000" w:fill="FFFFFF"/>
            <w:vAlign w:val="center"/>
            <w:hideMark/>
          </w:tcPr>
          <w:p w14:paraId="5CEF263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Година</w:t>
            </w:r>
          </w:p>
        </w:tc>
        <w:tc>
          <w:tcPr>
            <w:tcW w:w="1401" w:type="dxa"/>
            <w:tcBorders>
              <w:top w:val="double" w:sz="6" w:space="0" w:color="000000"/>
              <w:left w:val="nil"/>
              <w:bottom w:val="nil"/>
              <w:right w:val="dotted" w:sz="4" w:space="0" w:color="auto"/>
            </w:tcBorders>
            <w:shd w:val="clear" w:color="000000" w:fill="FFFFFF"/>
            <w:vAlign w:val="center"/>
            <w:hideMark/>
          </w:tcPr>
          <w:p w14:paraId="5D99F12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Година</w:t>
            </w:r>
          </w:p>
        </w:tc>
        <w:tc>
          <w:tcPr>
            <w:tcW w:w="1401" w:type="dxa"/>
            <w:tcBorders>
              <w:top w:val="double" w:sz="6" w:space="0" w:color="000000"/>
              <w:left w:val="nil"/>
              <w:bottom w:val="nil"/>
              <w:right w:val="double" w:sz="6" w:space="0" w:color="auto"/>
            </w:tcBorders>
            <w:shd w:val="clear" w:color="000000" w:fill="FFFFFF"/>
            <w:vAlign w:val="center"/>
            <w:hideMark/>
          </w:tcPr>
          <w:p w14:paraId="75C4876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Година</w:t>
            </w:r>
          </w:p>
        </w:tc>
      </w:tr>
      <w:tr w:rsidR="009B5DE5" w:rsidRPr="009B5DE5" w14:paraId="07E263E7" w14:textId="77777777" w:rsidTr="00396800">
        <w:trPr>
          <w:trHeight w:val="348"/>
        </w:trPr>
        <w:tc>
          <w:tcPr>
            <w:tcW w:w="6631" w:type="dxa"/>
            <w:vMerge/>
            <w:tcBorders>
              <w:top w:val="double" w:sz="6" w:space="0" w:color="000000"/>
              <w:left w:val="double" w:sz="6" w:space="0" w:color="000000"/>
              <w:bottom w:val="single" w:sz="8" w:space="0" w:color="000000"/>
              <w:right w:val="dotted" w:sz="4" w:space="0" w:color="auto"/>
            </w:tcBorders>
            <w:vAlign w:val="center"/>
            <w:hideMark/>
          </w:tcPr>
          <w:p w14:paraId="1BD41752" w14:textId="77777777" w:rsidR="009B5DE5" w:rsidRPr="009B5DE5" w:rsidRDefault="009B5DE5" w:rsidP="009B5DE5">
            <w:pPr>
              <w:spacing w:after="0"/>
              <w:jc w:val="left"/>
              <w:rPr>
                <w:rFonts w:eastAsia="Times New Roman" w:cs="Times New Roman"/>
                <w:sz w:val="20"/>
                <w:szCs w:val="20"/>
              </w:rPr>
            </w:pPr>
          </w:p>
        </w:tc>
        <w:tc>
          <w:tcPr>
            <w:tcW w:w="1401" w:type="dxa"/>
            <w:vMerge/>
            <w:tcBorders>
              <w:top w:val="double" w:sz="6" w:space="0" w:color="000000"/>
              <w:left w:val="dotted" w:sz="4" w:space="0" w:color="auto"/>
              <w:bottom w:val="single" w:sz="8" w:space="0" w:color="000000"/>
              <w:right w:val="single" w:sz="8" w:space="0" w:color="auto"/>
            </w:tcBorders>
            <w:vAlign w:val="center"/>
            <w:hideMark/>
          </w:tcPr>
          <w:p w14:paraId="328F75DD" w14:textId="77777777" w:rsidR="009B5DE5" w:rsidRPr="009B5DE5" w:rsidRDefault="009B5DE5" w:rsidP="009B5DE5">
            <w:pPr>
              <w:spacing w:after="0"/>
              <w:jc w:val="left"/>
              <w:rPr>
                <w:rFonts w:eastAsia="Times New Roman" w:cs="Times New Roman"/>
                <w:sz w:val="20"/>
                <w:szCs w:val="20"/>
              </w:rPr>
            </w:pPr>
          </w:p>
        </w:tc>
        <w:tc>
          <w:tcPr>
            <w:tcW w:w="1401" w:type="dxa"/>
            <w:tcBorders>
              <w:top w:val="nil"/>
              <w:left w:val="nil"/>
              <w:bottom w:val="single" w:sz="8" w:space="0" w:color="auto"/>
              <w:right w:val="dotted" w:sz="4" w:space="0" w:color="auto"/>
            </w:tcBorders>
            <w:shd w:val="clear" w:color="000000" w:fill="FFFFFF"/>
            <w:vAlign w:val="center"/>
            <w:hideMark/>
          </w:tcPr>
          <w:p w14:paraId="44A9674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2023</w:t>
            </w:r>
          </w:p>
        </w:tc>
        <w:tc>
          <w:tcPr>
            <w:tcW w:w="1401" w:type="dxa"/>
            <w:tcBorders>
              <w:top w:val="nil"/>
              <w:left w:val="nil"/>
              <w:bottom w:val="single" w:sz="8" w:space="0" w:color="auto"/>
              <w:right w:val="dotted" w:sz="4" w:space="0" w:color="auto"/>
            </w:tcBorders>
            <w:shd w:val="clear" w:color="000000" w:fill="FFFFFF"/>
            <w:vAlign w:val="center"/>
            <w:hideMark/>
          </w:tcPr>
          <w:p w14:paraId="31EC711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2024</w:t>
            </w:r>
          </w:p>
        </w:tc>
        <w:tc>
          <w:tcPr>
            <w:tcW w:w="1401" w:type="dxa"/>
            <w:tcBorders>
              <w:top w:val="nil"/>
              <w:left w:val="nil"/>
              <w:bottom w:val="single" w:sz="8" w:space="0" w:color="auto"/>
              <w:right w:val="dotted" w:sz="4" w:space="0" w:color="auto"/>
            </w:tcBorders>
            <w:shd w:val="clear" w:color="000000" w:fill="FFFFFF"/>
            <w:vAlign w:val="center"/>
            <w:hideMark/>
          </w:tcPr>
          <w:p w14:paraId="56BAD50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2025</w:t>
            </w:r>
          </w:p>
        </w:tc>
        <w:tc>
          <w:tcPr>
            <w:tcW w:w="1401" w:type="dxa"/>
            <w:tcBorders>
              <w:top w:val="nil"/>
              <w:left w:val="nil"/>
              <w:bottom w:val="single" w:sz="8" w:space="0" w:color="auto"/>
              <w:right w:val="dotted" w:sz="4" w:space="0" w:color="auto"/>
            </w:tcBorders>
            <w:shd w:val="clear" w:color="000000" w:fill="FFFFFF"/>
            <w:vAlign w:val="center"/>
            <w:hideMark/>
          </w:tcPr>
          <w:p w14:paraId="588B08F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2026</w:t>
            </w:r>
          </w:p>
        </w:tc>
        <w:tc>
          <w:tcPr>
            <w:tcW w:w="1401" w:type="dxa"/>
            <w:tcBorders>
              <w:top w:val="nil"/>
              <w:left w:val="nil"/>
              <w:bottom w:val="single" w:sz="8" w:space="0" w:color="auto"/>
              <w:right w:val="double" w:sz="6" w:space="0" w:color="auto"/>
            </w:tcBorders>
            <w:shd w:val="clear" w:color="000000" w:fill="FFFFFF"/>
            <w:vAlign w:val="center"/>
            <w:hideMark/>
          </w:tcPr>
          <w:p w14:paraId="68E3D80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2027</w:t>
            </w:r>
          </w:p>
        </w:tc>
      </w:tr>
      <w:tr w:rsidR="009B5DE5" w:rsidRPr="009B5DE5" w14:paraId="44A0F9EA" w14:textId="77777777" w:rsidTr="00396800">
        <w:trPr>
          <w:trHeight w:val="348"/>
        </w:trPr>
        <w:tc>
          <w:tcPr>
            <w:tcW w:w="6631" w:type="dxa"/>
            <w:tcBorders>
              <w:top w:val="nil"/>
              <w:left w:val="double" w:sz="6" w:space="0" w:color="000000"/>
              <w:bottom w:val="dotted" w:sz="4" w:space="0" w:color="auto"/>
              <w:right w:val="dotted" w:sz="4" w:space="0" w:color="auto"/>
            </w:tcBorders>
            <w:shd w:val="clear" w:color="000000" w:fill="FFFFFF"/>
            <w:vAlign w:val="center"/>
            <w:hideMark/>
          </w:tcPr>
          <w:p w14:paraId="131F379D"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1. Опште јавне услуге</w:t>
            </w:r>
          </w:p>
        </w:tc>
        <w:tc>
          <w:tcPr>
            <w:tcW w:w="1401" w:type="dxa"/>
            <w:tcBorders>
              <w:top w:val="nil"/>
              <w:left w:val="nil"/>
              <w:bottom w:val="dotted" w:sz="4" w:space="0" w:color="auto"/>
              <w:right w:val="single" w:sz="8" w:space="0" w:color="auto"/>
            </w:tcBorders>
            <w:shd w:val="clear" w:color="000000" w:fill="FFFFFF"/>
            <w:vAlign w:val="center"/>
            <w:hideMark/>
          </w:tcPr>
          <w:p w14:paraId="2FA5395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w:t>
            </w:r>
          </w:p>
        </w:tc>
        <w:tc>
          <w:tcPr>
            <w:tcW w:w="1401" w:type="dxa"/>
            <w:tcBorders>
              <w:top w:val="nil"/>
              <w:left w:val="nil"/>
              <w:bottom w:val="dotted" w:sz="4" w:space="0" w:color="auto"/>
              <w:right w:val="dotted" w:sz="4" w:space="0" w:color="auto"/>
            </w:tcBorders>
            <w:shd w:val="clear" w:color="000000" w:fill="FFFFFF"/>
            <w:vAlign w:val="center"/>
            <w:hideMark/>
          </w:tcPr>
          <w:p w14:paraId="70954DA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6,0</w:t>
            </w:r>
          </w:p>
        </w:tc>
        <w:tc>
          <w:tcPr>
            <w:tcW w:w="1401" w:type="dxa"/>
            <w:tcBorders>
              <w:top w:val="nil"/>
              <w:left w:val="nil"/>
              <w:bottom w:val="dotted" w:sz="4" w:space="0" w:color="auto"/>
              <w:right w:val="dotted" w:sz="4" w:space="0" w:color="auto"/>
            </w:tcBorders>
            <w:shd w:val="clear" w:color="000000" w:fill="FFFFFF"/>
            <w:vAlign w:val="center"/>
            <w:hideMark/>
          </w:tcPr>
          <w:p w14:paraId="2AD1602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6,9</w:t>
            </w:r>
          </w:p>
        </w:tc>
        <w:tc>
          <w:tcPr>
            <w:tcW w:w="1401" w:type="dxa"/>
            <w:tcBorders>
              <w:top w:val="nil"/>
              <w:left w:val="nil"/>
              <w:bottom w:val="dotted" w:sz="4" w:space="0" w:color="auto"/>
              <w:right w:val="dotted" w:sz="4" w:space="0" w:color="auto"/>
            </w:tcBorders>
            <w:shd w:val="clear" w:color="000000" w:fill="FFFFFF"/>
            <w:vAlign w:val="center"/>
            <w:hideMark/>
          </w:tcPr>
          <w:p w14:paraId="3D62998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6,9</w:t>
            </w:r>
          </w:p>
        </w:tc>
        <w:tc>
          <w:tcPr>
            <w:tcW w:w="1401" w:type="dxa"/>
            <w:tcBorders>
              <w:top w:val="nil"/>
              <w:left w:val="nil"/>
              <w:bottom w:val="dotted" w:sz="4" w:space="0" w:color="auto"/>
              <w:right w:val="dotted" w:sz="4" w:space="0" w:color="auto"/>
            </w:tcBorders>
            <w:shd w:val="clear" w:color="000000" w:fill="FFFFFF"/>
            <w:vAlign w:val="center"/>
            <w:hideMark/>
          </w:tcPr>
          <w:p w14:paraId="0AA79B7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6,4</w:t>
            </w:r>
          </w:p>
        </w:tc>
        <w:tc>
          <w:tcPr>
            <w:tcW w:w="1401" w:type="dxa"/>
            <w:tcBorders>
              <w:top w:val="nil"/>
              <w:left w:val="nil"/>
              <w:bottom w:val="dotted" w:sz="4" w:space="0" w:color="auto"/>
              <w:right w:val="double" w:sz="6" w:space="0" w:color="000000"/>
            </w:tcBorders>
            <w:shd w:val="clear" w:color="000000" w:fill="FFFFFF"/>
            <w:vAlign w:val="center"/>
            <w:hideMark/>
          </w:tcPr>
          <w:p w14:paraId="5B04078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6,3</w:t>
            </w:r>
          </w:p>
        </w:tc>
      </w:tr>
      <w:tr w:rsidR="009B5DE5" w:rsidRPr="009B5DE5" w14:paraId="1D73A713" w14:textId="77777777" w:rsidTr="00396800">
        <w:trPr>
          <w:trHeight w:val="348"/>
        </w:trPr>
        <w:tc>
          <w:tcPr>
            <w:tcW w:w="6631" w:type="dxa"/>
            <w:tcBorders>
              <w:top w:val="nil"/>
              <w:left w:val="double" w:sz="6" w:space="0" w:color="000000"/>
              <w:bottom w:val="dotted" w:sz="4" w:space="0" w:color="auto"/>
              <w:right w:val="dotted" w:sz="4" w:space="0" w:color="auto"/>
            </w:tcBorders>
            <w:shd w:val="clear" w:color="000000" w:fill="FFFFFF"/>
            <w:vAlign w:val="center"/>
            <w:hideMark/>
          </w:tcPr>
          <w:p w14:paraId="6EA0713A"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2. Одбрана</w:t>
            </w:r>
          </w:p>
        </w:tc>
        <w:tc>
          <w:tcPr>
            <w:tcW w:w="1401" w:type="dxa"/>
            <w:tcBorders>
              <w:top w:val="nil"/>
              <w:left w:val="nil"/>
              <w:bottom w:val="dotted" w:sz="4" w:space="0" w:color="auto"/>
              <w:right w:val="single" w:sz="8" w:space="0" w:color="auto"/>
            </w:tcBorders>
            <w:shd w:val="clear" w:color="000000" w:fill="FFFFFF"/>
            <w:vAlign w:val="center"/>
            <w:hideMark/>
          </w:tcPr>
          <w:p w14:paraId="1C24BB8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w:t>
            </w:r>
          </w:p>
        </w:tc>
        <w:tc>
          <w:tcPr>
            <w:tcW w:w="1401" w:type="dxa"/>
            <w:tcBorders>
              <w:top w:val="nil"/>
              <w:left w:val="nil"/>
              <w:bottom w:val="dotted" w:sz="4" w:space="0" w:color="auto"/>
              <w:right w:val="dotted" w:sz="4" w:space="0" w:color="auto"/>
            </w:tcBorders>
            <w:shd w:val="clear" w:color="000000" w:fill="FFFFFF"/>
            <w:vAlign w:val="center"/>
            <w:hideMark/>
          </w:tcPr>
          <w:p w14:paraId="4839FA0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1,9</w:t>
            </w:r>
          </w:p>
        </w:tc>
        <w:tc>
          <w:tcPr>
            <w:tcW w:w="1401" w:type="dxa"/>
            <w:tcBorders>
              <w:top w:val="nil"/>
              <w:left w:val="nil"/>
              <w:bottom w:val="dotted" w:sz="4" w:space="0" w:color="auto"/>
              <w:right w:val="dotted" w:sz="4" w:space="0" w:color="auto"/>
            </w:tcBorders>
            <w:shd w:val="clear" w:color="000000" w:fill="FFFFFF"/>
            <w:vAlign w:val="center"/>
            <w:hideMark/>
          </w:tcPr>
          <w:p w14:paraId="733A119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2,3</w:t>
            </w:r>
          </w:p>
        </w:tc>
        <w:tc>
          <w:tcPr>
            <w:tcW w:w="1401" w:type="dxa"/>
            <w:tcBorders>
              <w:top w:val="nil"/>
              <w:left w:val="nil"/>
              <w:bottom w:val="dotted" w:sz="4" w:space="0" w:color="auto"/>
              <w:right w:val="dotted" w:sz="4" w:space="0" w:color="auto"/>
            </w:tcBorders>
            <w:shd w:val="clear" w:color="000000" w:fill="FFFFFF"/>
            <w:vAlign w:val="center"/>
            <w:hideMark/>
          </w:tcPr>
          <w:p w14:paraId="15C2DF4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2,5</w:t>
            </w:r>
          </w:p>
        </w:tc>
        <w:tc>
          <w:tcPr>
            <w:tcW w:w="1401" w:type="dxa"/>
            <w:tcBorders>
              <w:top w:val="nil"/>
              <w:left w:val="nil"/>
              <w:bottom w:val="dotted" w:sz="4" w:space="0" w:color="auto"/>
              <w:right w:val="dotted" w:sz="4" w:space="0" w:color="auto"/>
            </w:tcBorders>
            <w:shd w:val="clear" w:color="000000" w:fill="FFFFFF"/>
            <w:vAlign w:val="center"/>
            <w:hideMark/>
          </w:tcPr>
          <w:p w14:paraId="6FFB4FA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2,5</w:t>
            </w:r>
          </w:p>
        </w:tc>
        <w:tc>
          <w:tcPr>
            <w:tcW w:w="1401" w:type="dxa"/>
            <w:tcBorders>
              <w:top w:val="nil"/>
              <w:left w:val="nil"/>
              <w:bottom w:val="dotted" w:sz="4" w:space="0" w:color="auto"/>
              <w:right w:val="double" w:sz="6" w:space="0" w:color="000000"/>
            </w:tcBorders>
            <w:shd w:val="clear" w:color="000000" w:fill="FFFFFF"/>
            <w:vAlign w:val="center"/>
            <w:hideMark/>
          </w:tcPr>
          <w:p w14:paraId="172C66E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2,5</w:t>
            </w:r>
          </w:p>
        </w:tc>
      </w:tr>
      <w:tr w:rsidR="009B5DE5" w:rsidRPr="009B5DE5" w14:paraId="358B0745" w14:textId="77777777" w:rsidTr="00396800">
        <w:trPr>
          <w:trHeight w:val="348"/>
        </w:trPr>
        <w:tc>
          <w:tcPr>
            <w:tcW w:w="6631" w:type="dxa"/>
            <w:tcBorders>
              <w:top w:val="nil"/>
              <w:left w:val="double" w:sz="6" w:space="0" w:color="000000"/>
              <w:bottom w:val="dotted" w:sz="4" w:space="0" w:color="auto"/>
              <w:right w:val="dotted" w:sz="4" w:space="0" w:color="auto"/>
            </w:tcBorders>
            <w:shd w:val="clear" w:color="000000" w:fill="FFFFFF"/>
            <w:vAlign w:val="center"/>
            <w:hideMark/>
          </w:tcPr>
          <w:p w14:paraId="78DD3580"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3. Јавни ред и безбедност</w:t>
            </w:r>
          </w:p>
        </w:tc>
        <w:tc>
          <w:tcPr>
            <w:tcW w:w="1401" w:type="dxa"/>
            <w:tcBorders>
              <w:top w:val="nil"/>
              <w:left w:val="nil"/>
              <w:bottom w:val="dotted" w:sz="4" w:space="0" w:color="auto"/>
              <w:right w:val="single" w:sz="8" w:space="0" w:color="auto"/>
            </w:tcBorders>
            <w:shd w:val="clear" w:color="000000" w:fill="FFFFFF"/>
            <w:vAlign w:val="center"/>
            <w:hideMark/>
          </w:tcPr>
          <w:p w14:paraId="595A792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w:t>
            </w:r>
          </w:p>
        </w:tc>
        <w:tc>
          <w:tcPr>
            <w:tcW w:w="1401" w:type="dxa"/>
            <w:tcBorders>
              <w:top w:val="nil"/>
              <w:left w:val="nil"/>
              <w:bottom w:val="dotted" w:sz="4" w:space="0" w:color="auto"/>
              <w:right w:val="dotted" w:sz="4" w:space="0" w:color="auto"/>
            </w:tcBorders>
            <w:shd w:val="clear" w:color="000000" w:fill="FFFFFF"/>
            <w:vAlign w:val="center"/>
            <w:hideMark/>
          </w:tcPr>
          <w:p w14:paraId="7EE64DD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2,2</w:t>
            </w:r>
          </w:p>
        </w:tc>
        <w:tc>
          <w:tcPr>
            <w:tcW w:w="1401" w:type="dxa"/>
            <w:tcBorders>
              <w:top w:val="nil"/>
              <w:left w:val="nil"/>
              <w:bottom w:val="dotted" w:sz="4" w:space="0" w:color="auto"/>
              <w:right w:val="dotted" w:sz="4" w:space="0" w:color="auto"/>
            </w:tcBorders>
            <w:shd w:val="clear" w:color="000000" w:fill="FFFFFF"/>
            <w:vAlign w:val="center"/>
            <w:hideMark/>
          </w:tcPr>
          <w:p w14:paraId="6445234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2,2</w:t>
            </w:r>
          </w:p>
        </w:tc>
        <w:tc>
          <w:tcPr>
            <w:tcW w:w="1401" w:type="dxa"/>
            <w:tcBorders>
              <w:top w:val="nil"/>
              <w:left w:val="nil"/>
              <w:bottom w:val="dotted" w:sz="4" w:space="0" w:color="auto"/>
              <w:right w:val="dotted" w:sz="4" w:space="0" w:color="auto"/>
            </w:tcBorders>
            <w:shd w:val="clear" w:color="000000" w:fill="FFFFFF"/>
            <w:vAlign w:val="center"/>
            <w:hideMark/>
          </w:tcPr>
          <w:p w14:paraId="4B67ED8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2,2</w:t>
            </w:r>
          </w:p>
        </w:tc>
        <w:tc>
          <w:tcPr>
            <w:tcW w:w="1401" w:type="dxa"/>
            <w:tcBorders>
              <w:top w:val="nil"/>
              <w:left w:val="nil"/>
              <w:bottom w:val="dotted" w:sz="4" w:space="0" w:color="auto"/>
              <w:right w:val="dotted" w:sz="4" w:space="0" w:color="auto"/>
            </w:tcBorders>
            <w:shd w:val="clear" w:color="000000" w:fill="FFFFFF"/>
            <w:vAlign w:val="center"/>
            <w:hideMark/>
          </w:tcPr>
          <w:p w14:paraId="6D113D5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2,2</w:t>
            </w:r>
          </w:p>
        </w:tc>
        <w:tc>
          <w:tcPr>
            <w:tcW w:w="1401" w:type="dxa"/>
            <w:tcBorders>
              <w:top w:val="nil"/>
              <w:left w:val="nil"/>
              <w:bottom w:val="dotted" w:sz="4" w:space="0" w:color="auto"/>
              <w:right w:val="double" w:sz="6" w:space="0" w:color="000000"/>
            </w:tcBorders>
            <w:shd w:val="clear" w:color="000000" w:fill="FFFFFF"/>
            <w:vAlign w:val="center"/>
            <w:hideMark/>
          </w:tcPr>
          <w:p w14:paraId="496B543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2,2</w:t>
            </w:r>
          </w:p>
        </w:tc>
      </w:tr>
      <w:tr w:rsidR="009B5DE5" w:rsidRPr="009B5DE5" w14:paraId="235D8940" w14:textId="77777777" w:rsidTr="00396800">
        <w:trPr>
          <w:trHeight w:val="348"/>
        </w:trPr>
        <w:tc>
          <w:tcPr>
            <w:tcW w:w="6631" w:type="dxa"/>
            <w:tcBorders>
              <w:top w:val="nil"/>
              <w:left w:val="double" w:sz="6" w:space="0" w:color="000000"/>
              <w:bottom w:val="dotted" w:sz="4" w:space="0" w:color="auto"/>
              <w:right w:val="dotted" w:sz="4" w:space="0" w:color="auto"/>
            </w:tcBorders>
            <w:shd w:val="clear" w:color="000000" w:fill="FFFFFF"/>
            <w:vAlign w:val="center"/>
            <w:hideMark/>
          </w:tcPr>
          <w:p w14:paraId="31A29F82"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4. Економски послови</w:t>
            </w:r>
          </w:p>
        </w:tc>
        <w:tc>
          <w:tcPr>
            <w:tcW w:w="1401" w:type="dxa"/>
            <w:tcBorders>
              <w:top w:val="nil"/>
              <w:left w:val="nil"/>
              <w:bottom w:val="dotted" w:sz="4" w:space="0" w:color="auto"/>
              <w:right w:val="single" w:sz="8" w:space="0" w:color="auto"/>
            </w:tcBorders>
            <w:shd w:val="clear" w:color="000000" w:fill="FFFFFF"/>
            <w:vAlign w:val="center"/>
            <w:hideMark/>
          </w:tcPr>
          <w:p w14:paraId="46CE15F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w:t>
            </w:r>
          </w:p>
        </w:tc>
        <w:tc>
          <w:tcPr>
            <w:tcW w:w="1401" w:type="dxa"/>
            <w:tcBorders>
              <w:top w:val="nil"/>
              <w:left w:val="nil"/>
              <w:bottom w:val="dotted" w:sz="4" w:space="0" w:color="auto"/>
              <w:right w:val="dotted" w:sz="4" w:space="0" w:color="auto"/>
            </w:tcBorders>
            <w:shd w:val="clear" w:color="000000" w:fill="FFFFFF"/>
            <w:vAlign w:val="center"/>
            <w:hideMark/>
          </w:tcPr>
          <w:p w14:paraId="6B2D997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7,5</w:t>
            </w:r>
          </w:p>
        </w:tc>
        <w:tc>
          <w:tcPr>
            <w:tcW w:w="1401" w:type="dxa"/>
            <w:tcBorders>
              <w:top w:val="nil"/>
              <w:left w:val="nil"/>
              <w:bottom w:val="dotted" w:sz="4" w:space="0" w:color="auto"/>
              <w:right w:val="dotted" w:sz="4" w:space="0" w:color="auto"/>
            </w:tcBorders>
            <w:shd w:val="clear" w:color="000000" w:fill="FFFFFF"/>
            <w:vAlign w:val="center"/>
            <w:hideMark/>
          </w:tcPr>
          <w:p w14:paraId="4F656A4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7,1</w:t>
            </w:r>
          </w:p>
        </w:tc>
        <w:tc>
          <w:tcPr>
            <w:tcW w:w="1401" w:type="dxa"/>
            <w:tcBorders>
              <w:top w:val="nil"/>
              <w:left w:val="nil"/>
              <w:bottom w:val="dotted" w:sz="4" w:space="0" w:color="auto"/>
              <w:right w:val="dotted" w:sz="4" w:space="0" w:color="auto"/>
            </w:tcBorders>
            <w:shd w:val="clear" w:color="000000" w:fill="FFFFFF"/>
            <w:vAlign w:val="center"/>
            <w:hideMark/>
          </w:tcPr>
          <w:p w14:paraId="00AB365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6,8</w:t>
            </w:r>
          </w:p>
        </w:tc>
        <w:tc>
          <w:tcPr>
            <w:tcW w:w="1401" w:type="dxa"/>
            <w:tcBorders>
              <w:top w:val="nil"/>
              <w:left w:val="nil"/>
              <w:bottom w:val="dotted" w:sz="4" w:space="0" w:color="auto"/>
              <w:right w:val="dotted" w:sz="4" w:space="0" w:color="auto"/>
            </w:tcBorders>
            <w:shd w:val="clear" w:color="000000" w:fill="FFFFFF"/>
            <w:vAlign w:val="center"/>
            <w:hideMark/>
          </w:tcPr>
          <w:p w14:paraId="43501D1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6,8</w:t>
            </w:r>
          </w:p>
        </w:tc>
        <w:tc>
          <w:tcPr>
            <w:tcW w:w="1401" w:type="dxa"/>
            <w:tcBorders>
              <w:top w:val="nil"/>
              <w:left w:val="nil"/>
              <w:bottom w:val="dotted" w:sz="4" w:space="0" w:color="auto"/>
              <w:right w:val="double" w:sz="6" w:space="0" w:color="000000"/>
            </w:tcBorders>
            <w:shd w:val="clear" w:color="000000" w:fill="FFFFFF"/>
            <w:vAlign w:val="center"/>
            <w:hideMark/>
          </w:tcPr>
          <w:p w14:paraId="7379D14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6,7</w:t>
            </w:r>
          </w:p>
        </w:tc>
      </w:tr>
      <w:tr w:rsidR="009B5DE5" w:rsidRPr="009B5DE5" w14:paraId="7C807B40" w14:textId="77777777" w:rsidTr="00396800">
        <w:trPr>
          <w:trHeight w:val="348"/>
        </w:trPr>
        <w:tc>
          <w:tcPr>
            <w:tcW w:w="6631" w:type="dxa"/>
            <w:tcBorders>
              <w:top w:val="nil"/>
              <w:left w:val="double" w:sz="6" w:space="0" w:color="000000"/>
              <w:bottom w:val="dotted" w:sz="4" w:space="0" w:color="auto"/>
              <w:right w:val="dotted" w:sz="4" w:space="0" w:color="auto"/>
            </w:tcBorders>
            <w:shd w:val="clear" w:color="000000" w:fill="FFFFFF"/>
            <w:vAlign w:val="center"/>
            <w:hideMark/>
          </w:tcPr>
          <w:p w14:paraId="56671F9C"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5. Заштита животне средине</w:t>
            </w:r>
          </w:p>
        </w:tc>
        <w:tc>
          <w:tcPr>
            <w:tcW w:w="1401" w:type="dxa"/>
            <w:tcBorders>
              <w:top w:val="nil"/>
              <w:left w:val="nil"/>
              <w:bottom w:val="dotted" w:sz="4" w:space="0" w:color="auto"/>
              <w:right w:val="single" w:sz="8" w:space="0" w:color="auto"/>
            </w:tcBorders>
            <w:shd w:val="clear" w:color="000000" w:fill="FFFFFF"/>
            <w:vAlign w:val="center"/>
            <w:hideMark/>
          </w:tcPr>
          <w:p w14:paraId="4D3488D3"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5</w:t>
            </w:r>
          </w:p>
        </w:tc>
        <w:tc>
          <w:tcPr>
            <w:tcW w:w="1401" w:type="dxa"/>
            <w:tcBorders>
              <w:top w:val="nil"/>
              <w:left w:val="nil"/>
              <w:bottom w:val="dotted" w:sz="4" w:space="0" w:color="auto"/>
              <w:right w:val="dotted" w:sz="4" w:space="0" w:color="auto"/>
            </w:tcBorders>
            <w:shd w:val="clear" w:color="000000" w:fill="FFFFFF"/>
            <w:vAlign w:val="center"/>
            <w:hideMark/>
          </w:tcPr>
          <w:p w14:paraId="7371E8B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0,5</w:t>
            </w:r>
          </w:p>
        </w:tc>
        <w:tc>
          <w:tcPr>
            <w:tcW w:w="1401" w:type="dxa"/>
            <w:tcBorders>
              <w:top w:val="nil"/>
              <w:left w:val="nil"/>
              <w:bottom w:val="dotted" w:sz="4" w:space="0" w:color="auto"/>
              <w:right w:val="dotted" w:sz="4" w:space="0" w:color="auto"/>
            </w:tcBorders>
            <w:shd w:val="clear" w:color="000000" w:fill="FFFFFF"/>
            <w:vAlign w:val="center"/>
            <w:hideMark/>
          </w:tcPr>
          <w:p w14:paraId="73FA453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0,5</w:t>
            </w:r>
          </w:p>
        </w:tc>
        <w:tc>
          <w:tcPr>
            <w:tcW w:w="1401" w:type="dxa"/>
            <w:tcBorders>
              <w:top w:val="nil"/>
              <w:left w:val="nil"/>
              <w:bottom w:val="dotted" w:sz="4" w:space="0" w:color="auto"/>
              <w:right w:val="dotted" w:sz="4" w:space="0" w:color="auto"/>
            </w:tcBorders>
            <w:shd w:val="clear" w:color="000000" w:fill="FFFFFF"/>
            <w:vAlign w:val="center"/>
            <w:hideMark/>
          </w:tcPr>
          <w:p w14:paraId="633E55C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0,5</w:t>
            </w:r>
          </w:p>
        </w:tc>
        <w:tc>
          <w:tcPr>
            <w:tcW w:w="1401" w:type="dxa"/>
            <w:tcBorders>
              <w:top w:val="nil"/>
              <w:left w:val="nil"/>
              <w:bottom w:val="dotted" w:sz="4" w:space="0" w:color="auto"/>
              <w:right w:val="dotted" w:sz="4" w:space="0" w:color="auto"/>
            </w:tcBorders>
            <w:shd w:val="clear" w:color="000000" w:fill="FFFFFF"/>
            <w:vAlign w:val="center"/>
            <w:hideMark/>
          </w:tcPr>
          <w:p w14:paraId="696D847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0,5</w:t>
            </w:r>
          </w:p>
        </w:tc>
        <w:tc>
          <w:tcPr>
            <w:tcW w:w="1401" w:type="dxa"/>
            <w:tcBorders>
              <w:top w:val="nil"/>
              <w:left w:val="nil"/>
              <w:bottom w:val="dotted" w:sz="4" w:space="0" w:color="auto"/>
              <w:right w:val="double" w:sz="6" w:space="0" w:color="000000"/>
            </w:tcBorders>
            <w:shd w:val="clear" w:color="000000" w:fill="FFFFFF"/>
            <w:vAlign w:val="center"/>
            <w:hideMark/>
          </w:tcPr>
          <w:p w14:paraId="297EB20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0,5</w:t>
            </w:r>
          </w:p>
        </w:tc>
      </w:tr>
      <w:tr w:rsidR="009B5DE5" w:rsidRPr="009B5DE5" w14:paraId="6E751F11" w14:textId="77777777" w:rsidTr="00396800">
        <w:trPr>
          <w:trHeight w:val="348"/>
        </w:trPr>
        <w:tc>
          <w:tcPr>
            <w:tcW w:w="6631" w:type="dxa"/>
            <w:tcBorders>
              <w:top w:val="nil"/>
              <w:left w:val="double" w:sz="6" w:space="0" w:color="000000"/>
              <w:bottom w:val="dotted" w:sz="4" w:space="0" w:color="auto"/>
              <w:right w:val="dotted" w:sz="4" w:space="0" w:color="auto"/>
            </w:tcBorders>
            <w:shd w:val="clear" w:color="000000" w:fill="FFFFFF"/>
            <w:vAlign w:val="center"/>
            <w:hideMark/>
          </w:tcPr>
          <w:p w14:paraId="680535BE"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6. Послови становања и заједнице</w:t>
            </w:r>
          </w:p>
        </w:tc>
        <w:tc>
          <w:tcPr>
            <w:tcW w:w="1401" w:type="dxa"/>
            <w:tcBorders>
              <w:top w:val="nil"/>
              <w:left w:val="nil"/>
              <w:bottom w:val="dotted" w:sz="4" w:space="0" w:color="auto"/>
              <w:right w:val="single" w:sz="8" w:space="0" w:color="auto"/>
            </w:tcBorders>
            <w:shd w:val="clear" w:color="000000" w:fill="FFFFFF"/>
            <w:vAlign w:val="center"/>
            <w:hideMark/>
          </w:tcPr>
          <w:p w14:paraId="2AEB9EA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6</w:t>
            </w:r>
          </w:p>
        </w:tc>
        <w:tc>
          <w:tcPr>
            <w:tcW w:w="1401" w:type="dxa"/>
            <w:tcBorders>
              <w:top w:val="nil"/>
              <w:left w:val="nil"/>
              <w:bottom w:val="dotted" w:sz="4" w:space="0" w:color="auto"/>
              <w:right w:val="dotted" w:sz="4" w:space="0" w:color="auto"/>
            </w:tcBorders>
            <w:shd w:val="clear" w:color="000000" w:fill="FFFFFF"/>
            <w:vAlign w:val="center"/>
            <w:hideMark/>
          </w:tcPr>
          <w:p w14:paraId="2C32445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0,8</w:t>
            </w:r>
          </w:p>
        </w:tc>
        <w:tc>
          <w:tcPr>
            <w:tcW w:w="1401" w:type="dxa"/>
            <w:tcBorders>
              <w:top w:val="nil"/>
              <w:left w:val="nil"/>
              <w:bottom w:val="dotted" w:sz="4" w:space="0" w:color="auto"/>
              <w:right w:val="dotted" w:sz="4" w:space="0" w:color="auto"/>
            </w:tcBorders>
            <w:shd w:val="clear" w:color="000000" w:fill="FFFFFF"/>
            <w:vAlign w:val="center"/>
            <w:hideMark/>
          </w:tcPr>
          <w:p w14:paraId="1F745EA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0,8</w:t>
            </w:r>
          </w:p>
        </w:tc>
        <w:tc>
          <w:tcPr>
            <w:tcW w:w="1401" w:type="dxa"/>
            <w:tcBorders>
              <w:top w:val="nil"/>
              <w:left w:val="nil"/>
              <w:bottom w:val="dotted" w:sz="4" w:space="0" w:color="auto"/>
              <w:right w:val="dotted" w:sz="4" w:space="0" w:color="auto"/>
            </w:tcBorders>
            <w:shd w:val="clear" w:color="000000" w:fill="FFFFFF"/>
            <w:vAlign w:val="center"/>
            <w:hideMark/>
          </w:tcPr>
          <w:p w14:paraId="4E5FE41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0,8</w:t>
            </w:r>
          </w:p>
        </w:tc>
        <w:tc>
          <w:tcPr>
            <w:tcW w:w="1401" w:type="dxa"/>
            <w:tcBorders>
              <w:top w:val="nil"/>
              <w:left w:val="nil"/>
              <w:bottom w:val="dotted" w:sz="4" w:space="0" w:color="auto"/>
              <w:right w:val="dotted" w:sz="4" w:space="0" w:color="auto"/>
            </w:tcBorders>
            <w:shd w:val="clear" w:color="000000" w:fill="FFFFFF"/>
            <w:vAlign w:val="center"/>
            <w:hideMark/>
          </w:tcPr>
          <w:p w14:paraId="4FBF164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0,8</w:t>
            </w:r>
          </w:p>
        </w:tc>
        <w:tc>
          <w:tcPr>
            <w:tcW w:w="1401" w:type="dxa"/>
            <w:tcBorders>
              <w:top w:val="nil"/>
              <w:left w:val="nil"/>
              <w:bottom w:val="dotted" w:sz="4" w:space="0" w:color="auto"/>
              <w:right w:val="double" w:sz="6" w:space="0" w:color="000000"/>
            </w:tcBorders>
            <w:shd w:val="clear" w:color="000000" w:fill="FFFFFF"/>
            <w:vAlign w:val="center"/>
            <w:hideMark/>
          </w:tcPr>
          <w:p w14:paraId="70C5C72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0,8</w:t>
            </w:r>
          </w:p>
        </w:tc>
      </w:tr>
      <w:tr w:rsidR="009B5DE5" w:rsidRPr="009B5DE5" w14:paraId="0AB42A98" w14:textId="77777777" w:rsidTr="00396800">
        <w:trPr>
          <w:trHeight w:val="348"/>
        </w:trPr>
        <w:tc>
          <w:tcPr>
            <w:tcW w:w="6631" w:type="dxa"/>
            <w:tcBorders>
              <w:top w:val="nil"/>
              <w:left w:val="double" w:sz="6" w:space="0" w:color="000000"/>
              <w:bottom w:val="dotted" w:sz="4" w:space="0" w:color="auto"/>
              <w:right w:val="dotted" w:sz="4" w:space="0" w:color="auto"/>
            </w:tcBorders>
            <w:shd w:val="clear" w:color="000000" w:fill="FFFFFF"/>
            <w:vAlign w:val="center"/>
            <w:hideMark/>
          </w:tcPr>
          <w:p w14:paraId="1E35C68A"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7. Здравство</w:t>
            </w:r>
          </w:p>
        </w:tc>
        <w:tc>
          <w:tcPr>
            <w:tcW w:w="1401" w:type="dxa"/>
            <w:tcBorders>
              <w:top w:val="nil"/>
              <w:left w:val="nil"/>
              <w:bottom w:val="dotted" w:sz="4" w:space="0" w:color="auto"/>
              <w:right w:val="single" w:sz="8" w:space="0" w:color="auto"/>
            </w:tcBorders>
            <w:shd w:val="clear" w:color="000000" w:fill="FFFFFF"/>
            <w:vAlign w:val="center"/>
            <w:hideMark/>
          </w:tcPr>
          <w:p w14:paraId="100E5D4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7</w:t>
            </w:r>
          </w:p>
        </w:tc>
        <w:tc>
          <w:tcPr>
            <w:tcW w:w="1401" w:type="dxa"/>
            <w:tcBorders>
              <w:top w:val="nil"/>
              <w:left w:val="nil"/>
              <w:bottom w:val="dotted" w:sz="4" w:space="0" w:color="auto"/>
              <w:right w:val="dotted" w:sz="4" w:space="0" w:color="auto"/>
            </w:tcBorders>
            <w:shd w:val="clear" w:color="000000" w:fill="FFFFFF"/>
            <w:vAlign w:val="center"/>
            <w:hideMark/>
          </w:tcPr>
          <w:p w14:paraId="121C0DC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6,0</w:t>
            </w:r>
          </w:p>
        </w:tc>
        <w:tc>
          <w:tcPr>
            <w:tcW w:w="1401" w:type="dxa"/>
            <w:tcBorders>
              <w:top w:val="nil"/>
              <w:left w:val="nil"/>
              <w:bottom w:val="dotted" w:sz="4" w:space="0" w:color="auto"/>
              <w:right w:val="dotted" w:sz="4" w:space="0" w:color="auto"/>
            </w:tcBorders>
            <w:shd w:val="clear" w:color="000000" w:fill="FFFFFF"/>
            <w:vAlign w:val="center"/>
            <w:hideMark/>
          </w:tcPr>
          <w:p w14:paraId="594A827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6,2</w:t>
            </w:r>
          </w:p>
        </w:tc>
        <w:tc>
          <w:tcPr>
            <w:tcW w:w="1401" w:type="dxa"/>
            <w:tcBorders>
              <w:top w:val="nil"/>
              <w:left w:val="nil"/>
              <w:bottom w:val="dotted" w:sz="4" w:space="0" w:color="auto"/>
              <w:right w:val="dotted" w:sz="4" w:space="0" w:color="auto"/>
            </w:tcBorders>
            <w:shd w:val="clear" w:color="000000" w:fill="FFFFFF"/>
            <w:vAlign w:val="center"/>
            <w:hideMark/>
          </w:tcPr>
          <w:p w14:paraId="1A7BAE8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6,2</w:t>
            </w:r>
          </w:p>
        </w:tc>
        <w:tc>
          <w:tcPr>
            <w:tcW w:w="1401" w:type="dxa"/>
            <w:tcBorders>
              <w:top w:val="nil"/>
              <w:left w:val="nil"/>
              <w:bottom w:val="dotted" w:sz="4" w:space="0" w:color="auto"/>
              <w:right w:val="dotted" w:sz="4" w:space="0" w:color="auto"/>
            </w:tcBorders>
            <w:shd w:val="clear" w:color="000000" w:fill="FFFFFF"/>
            <w:vAlign w:val="center"/>
            <w:hideMark/>
          </w:tcPr>
          <w:p w14:paraId="15E42E3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6,2</w:t>
            </w:r>
          </w:p>
        </w:tc>
        <w:tc>
          <w:tcPr>
            <w:tcW w:w="1401" w:type="dxa"/>
            <w:tcBorders>
              <w:top w:val="nil"/>
              <w:left w:val="nil"/>
              <w:bottom w:val="dotted" w:sz="4" w:space="0" w:color="auto"/>
              <w:right w:val="double" w:sz="6" w:space="0" w:color="000000"/>
            </w:tcBorders>
            <w:shd w:val="clear" w:color="000000" w:fill="FFFFFF"/>
            <w:vAlign w:val="center"/>
            <w:hideMark/>
          </w:tcPr>
          <w:p w14:paraId="6DCDC96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6,2</w:t>
            </w:r>
          </w:p>
        </w:tc>
      </w:tr>
      <w:tr w:rsidR="009B5DE5" w:rsidRPr="009B5DE5" w14:paraId="035EE876" w14:textId="77777777" w:rsidTr="00396800">
        <w:trPr>
          <w:trHeight w:val="348"/>
        </w:trPr>
        <w:tc>
          <w:tcPr>
            <w:tcW w:w="6631" w:type="dxa"/>
            <w:tcBorders>
              <w:top w:val="nil"/>
              <w:left w:val="double" w:sz="6" w:space="0" w:color="000000"/>
              <w:bottom w:val="dotted" w:sz="4" w:space="0" w:color="auto"/>
              <w:right w:val="dotted" w:sz="4" w:space="0" w:color="auto"/>
            </w:tcBorders>
            <w:shd w:val="clear" w:color="000000" w:fill="FFFFFF"/>
            <w:vAlign w:val="center"/>
            <w:hideMark/>
          </w:tcPr>
          <w:p w14:paraId="3CD2C948"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8. Рекреација, култура и религија</w:t>
            </w:r>
          </w:p>
        </w:tc>
        <w:tc>
          <w:tcPr>
            <w:tcW w:w="1401" w:type="dxa"/>
            <w:tcBorders>
              <w:top w:val="nil"/>
              <w:left w:val="nil"/>
              <w:bottom w:val="dotted" w:sz="4" w:space="0" w:color="auto"/>
              <w:right w:val="single" w:sz="8" w:space="0" w:color="auto"/>
            </w:tcBorders>
            <w:shd w:val="clear" w:color="000000" w:fill="FFFFFF"/>
            <w:vAlign w:val="center"/>
            <w:hideMark/>
          </w:tcPr>
          <w:p w14:paraId="7D80B49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8</w:t>
            </w:r>
          </w:p>
        </w:tc>
        <w:tc>
          <w:tcPr>
            <w:tcW w:w="1401" w:type="dxa"/>
            <w:tcBorders>
              <w:top w:val="nil"/>
              <w:left w:val="nil"/>
              <w:bottom w:val="dotted" w:sz="4" w:space="0" w:color="auto"/>
              <w:right w:val="dotted" w:sz="4" w:space="0" w:color="auto"/>
            </w:tcBorders>
            <w:shd w:val="clear" w:color="000000" w:fill="FFFFFF"/>
            <w:vAlign w:val="center"/>
            <w:hideMark/>
          </w:tcPr>
          <w:p w14:paraId="4D9D9C43"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0,9</w:t>
            </w:r>
          </w:p>
        </w:tc>
        <w:tc>
          <w:tcPr>
            <w:tcW w:w="1401" w:type="dxa"/>
            <w:tcBorders>
              <w:top w:val="nil"/>
              <w:left w:val="nil"/>
              <w:bottom w:val="dotted" w:sz="4" w:space="0" w:color="auto"/>
              <w:right w:val="dotted" w:sz="4" w:space="0" w:color="auto"/>
            </w:tcBorders>
            <w:shd w:val="clear" w:color="000000" w:fill="FFFFFF"/>
            <w:vAlign w:val="center"/>
            <w:hideMark/>
          </w:tcPr>
          <w:p w14:paraId="32809D3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0,9</w:t>
            </w:r>
          </w:p>
        </w:tc>
        <w:tc>
          <w:tcPr>
            <w:tcW w:w="1401" w:type="dxa"/>
            <w:tcBorders>
              <w:top w:val="nil"/>
              <w:left w:val="nil"/>
              <w:bottom w:val="dotted" w:sz="4" w:space="0" w:color="auto"/>
              <w:right w:val="dotted" w:sz="4" w:space="0" w:color="auto"/>
            </w:tcBorders>
            <w:shd w:val="clear" w:color="000000" w:fill="FFFFFF"/>
            <w:vAlign w:val="center"/>
            <w:hideMark/>
          </w:tcPr>
          <w:p w14:paraId="0B1C2FE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0,9</w:t>
            </w:r>
          </w:p>
        </w:tc>
        <w:tc>
          <w:tcPr>
            <w:tcW w:w="1401" w:type="dxa"/>
            <w:tcBorders>
              <w:top w:val="nil"/>
              <w:left w:val="nil"/>
              <w:bottom w:val="dotted" w:sz="4" w:space="0" w:color="auto"/>
              <w:right w:val="dotted" w:sz="4" w:space="0" w:color="auto"/>
            </w:tcBorders>
            <w:shd w:val="clear" w:color="000000" w:fill="FFFFFF"/>
            <w:vAlign w:val="center"/>
            <w:hideMark/>
          </w:tcPr>
          <w:p w14:paraId="5365AFF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0,9</w:t>
            </w:r>
          </w:p>
        </w:tc>
        <w:tc>
          <w:tcPr>
            <w:tcW w:w="1401" w:type="dxa"/>
            <w:tcBorders>
              <w:top w:val="nil"/>
              <w:left w:val="nil"/>
              <w:bottom w:val="dotted" w:sz="4" w:space="0" w:color="auto"/>
              <w:right w:val="double" w:sz="6" w:space="0" w:color="000000"/>
            </w:tcBorders>
            <w:shd w:val="clear" w:color="000000" w:fill="FFFFFF"/>
            <w:vAlign w:val="center"/>
            <w:hideMark/>
          </w:tcPr>
          <w:p w14:paraId="7F1C7FC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0,9</w:t>
            </w:r>
          </w:p>
        </w:tc>
      </w:tr>
      <w:tr w:rsidR="009B5DE5" w:rsidRPr="009B5DE5" w14:paraId="103F374A" w14:textId="77777777" w:rsidTr="00396800">
        <w:trPr>
          <w:trHeight w:val="348"/>
        </w:trPr>
        <w:tc>
          <w:tcPr>
            <w:tcW w:w="6631" w:type="dxa"/>
            <w:tcBorders>
              <w:top w:val="nil"/>
              <w:left w:val="double" w:sz="6" w:space="0" w:color="000000"/>
              <w:bottom w:val="dotted" w:sz="4" w:space="0" w:color="auto"/>
              <w:right w:val="dotted" w:sz="4" w:space="0" w:color="auto"/>
            </w:tcBorders>
            <w:shd w:val="clear" w:color="000000" w:fill="FFFFFF"/>
            <w:vAlign w:val="center"/>
            <w:hideMark/>
          </w:tcPr>
          <w:p w14:paraId="6B08B162"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9. Образовање</w:t>
            </w:r>
          </w:p>
        </w:tc>
        <w:tc>
          <w:tcPr>
            <w:tcW w:w="1401" w:type="dxa"/>
            <w:tcBorders>
              <w:top w:val="nil"/>
              <w:left w:val="nil"/>
              <w:bottom w:val="dotted" w:sz="4" w:space="0" w:color="auto"/>
              <w:right w:val="single" w:sz="8" w:space="0" w:color="auto"/>
            </w:tcBorders>
            <w:shd w:val="clear" w:color="000000" w:fill="FFFFFF"/>
            <w:vAlign w:val="center"/>
            <w:hideMark/>
          </w:tcPr>
          <w:p w14:paraId="4789F77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9</w:t>
            </w:r>
          </w:p>
        </w:tc>
        <w:tc>
          <w:tcPr>
            <w:tcW w:w="1401" w:type="dxa"/>
            <w:tcBorders>
              <w:top w:val="nil"/>
              <w:left w:val="nil"/>
              <w:bottom w:val="dotted" w:sz="4" w:space="0" w:color="auto"/>
              <w:right w:val="dotted" w:sz="4" w:space="0" w:color="auto"/>
            </w:tcBorders>
            <w:shd w:val="clear" w:color="000000" w:fill="FFFFFF"/>
            <w:vAlign w:val="center"/>
            <w:hideMark/>
          </w:tcPr>
          <w:p w14:paraId="12E825B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3,4</w:t>
            </w:r>
          </w:p>
        </w:tc>
        <w:tc>
          <w:tcPr>
            <w:tcW w:w="1401" w:type="dxa"/>
            <w:tcBorders>
              <w:top w:val="nil"/>
              <w:left w:val="nil"/>
              <w:bottom w:val="dotted" w:sz="4" w:space="0" w:color="auto"/>
              <w:right w:val="dotted" w:sz="4" w:space="0" w:color="auto"/>
            </w:tcBorders>
            <w:shd w:val="clear" w:color="000000" w:fill="FFFFFF"/>
            <w:vAlign w:val="center"/>
            <w:hideMark/>
          </w:tcPr>
          <w:p w14:paraId="6EFAC26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3,8</w:t>
            </w:r>
          </w:p>
        </w:tc>
        <w:tc>
          <w:tcPr>
            <w:tcW w:w="1401" w:type="dxa"/>
            <w:tcBorders>
              <w:top w:val="nil"/>
              <w:left w:val="nil"/>
              <w:bottom w:val="dotted" w:sz="4" w:space="0" w:color="auto"/>
              <w:right w:val="dotted" w:sz="4" w:space="0" w:color="auto"/>
            </w:tcBorders>
            <w:shd w:val="clear" w:color="000000" w:fill="FFFFFF"/>
            <w:vAlign w:val="center"/>
            <w:hideMark/>
          </w:tcPr>
          <w:p w14:paraId="24FFDD3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4,2</w:t>
            </w:r>
          </w:p>
        </w:tc>
        <w:tc>
          <w:tcPr>
            <w:tcW w:w="1401" w:type="dxa"/>
            <w:tcBorders>
              <w:top w:val="nil"/>
              <w:left w:val="nil"/>
              <w:bottom w:val="dotted" w:sz="4" w:space="0" w:color="auto"/>
              <w:right w:val="dotted" w:sz="4" w:space="0" w:color="auto"/>
            </w:tcBorders>
            <w:shd w:val="clear" w:color="000000" w:fill="FFFFFF"/>
            <w:vAlign w:val="center"/>
            <w:hideMark/>
          </w:tcPr>
          <w:p w14:paraId="06D6D9C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4,2</w:t>
            </w:r>
          </w:p>
        </w:tc>
        <w:tc>
          <w:tcPr>
            <w:tcW w:w="1401" w:type="dxa"/>
            <w:tcBorders>
              <w:top w:val="nil"/>
              <w:left w:val="nil"/>
              <w:bottom w:val="dotted" w:sz="4" w:space="0" w:color="auto"/>
              <w:right w:val="double" w:sz="6" w:space="0" w:color="000000"/>
            </w:tcBorders>
            <w:shd w:val="clear" w:color="000000" w:fill="FFFFFF"/>
            <w:vAlign w:val="center"/>
            <w:hideMark/>
          </w:tcPr>
          <w:p w14:paraId="7B6C993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4,2</w:t>
            </w:r>
          </w:p>
        </w:tc>
      </w:tr>
      <w:tr w:rsidR="009B5DE5" w:rsidRPr="009B5DE5" w14:paraId="3A94032D" w14:textId="77777777" w:rsidTr="00396800">
        <w:trPr>
          <w:trHeight w:val="348"/>
        </w:trPr>
        <w:tc>
          <w:tcPr>
            <w:tcW w:w="6631" w:type="dxa"/>
            <w:tcBorders>
              <w:top w:val="nil"/>
              <w:left w:val="double" w:sz="6" w:space="0" w:color="000000"/>
              <w:bottom w:val="dotted" w:sz="4" w:space="0" w:color="auto"/>
              <w:right w:val="dotted" w:sz="4" w:space="0" w:color="auto"/>
            </w:tcBorders>
            <w:shd w:val="clear" w:color="000000" w:fill="FFFFFF"/>
            <w:vAlign w:val="center"/>
            <w:hideMark/>
          </w:tcPr>
          <w:p w14:paraId="6438D70A"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10. Социјална заштита</w:t>
            </w:r>
          </w:p>
        </w:tc>
        <w:tc>
          <w:tcPr>
            <w:tcW w:w="1401" w:type="dxa"/>
            <w:tcBorders>
              <w:top w:val="nil"/>
              <w:left w:val="nil"/>
              <w:bottom w:val="dotted" w:sz="4" w:space="0" w:color="auto"/>
              <w:right w:val="single" w:sz="8" w:space="0" w:color="auto"/>
            </w:tcBorders>
            <w:shd w:val="clear" w:color="000000" w:fill="FFFFFF"/>
            <w:vAlign w:val="center"/>
            <w:hideMark/>
          </w:tcPr>
          <w:p w14:paraId="739E8D9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10</w:t>
            </w:r>
          </w:p>
        </w:tc>
        <w:tc>
          <w:tcPr>
            <w:tcW w:w="1401" w:type="dxa"/>
            <w:tcBorders>
              <w:top w:val="nil"/>
              <w:left w:val="nil"/>
              <w:bottom w:val="dotted" w:sz="4" w:space="0" w:color="auto"/>
              <w:right w:val="dotted" w:sz="4" w:space="0" w:color="auto"/>
            </w:tcBorders>
            <w:shd w:val="clear" w:color="000000" w:fill="FFFFFF"/>
            <w:vAlign w:val="center"/>
            <w:hideMark/>
          </w:tcPr>
          <w:p w14:paraId="24AA0C4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12,2</w:t>
            </w:r>
          </w:p>
        </w:tc>
        <w:tc>
          <w:tcPr>
            <w:tcW w:w="1401" w:type="dxa"/>
            <w:tcBorders>
              <w:top w:val="nil"/>
              <w:left w:val="nil"/>
              <w:bottom w:val="dotted" w:sz="4" w:space="0" w:color="auto"/>
              <w:right w:val="dotted" w:sz="4" w:space="0" w:color="auto"/>
            </w:tcBorders>
            <w:shd w:val="clear" w:color="000000" w:fill="FFFFFF"/>
            <w:vAlign w:val="center"/>
            <w:hideMark/>
          </w:tcPr>
          <w:p w14:paraId="2AA6E65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13,0</w:t>
            </w:r>
          </w:p>
        </w:tc>
        <w:tc>
          <w:tcPr>
            <w:tcW w:w="1401" w:type="dxa"/>
            <w:tcBorders>
              <w:top w:val="nil"/>
              <w:left w:val="nil"/>
              <w:bottom w:val="dotted" w:sz="4" w:space="0" w:color="auto"/>
              <w:right w:val="dotted" w:sz="4" w:space="0" w:color="auto"/>
            </w:tcBorders>
            <w:shd w:val="clear" w:color="000000" w:fill="FFFFFF"/>
            <w:vAlign w:val="center"/>
            <w:hideMark/>
          </w:tcPr>
          <w:p w14:paraId="5FDEDDC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13,3</w:t>
            </w:r>
          </w:p>
        </w:tc>
        <w:tc>
          <w:tcPr>
            <w:tcW w:w="1401" w:type="dxa"/>
            <w:tcBorders>
              <w:top w:val="nil"/>
              <w:left w:val="nil"/>
              <w:bottom w:val="dotted" w:sz="4" w:space="0" w:color="auto"/>
              <w:right w:val="dotted" w:sz="4" w:space="0" w:color="auto"/>
            </w:tcBorders>
            <w:shd w:val="clear" w:color="000000" w:fill="FFFFFF"/>
            <w:vAlign w:val="center"/>
            <w:hideMark/>
          </w:tcPr>
          <w:p w14:paraId="03EE52F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13,4</w:t>
            </w:r>
          </w:p>
        </w:tc>
        <w:tc>
          <w:tcPr>
            <w:tcW w:w="1401" w:type="dxa"/>
            <w:tcBorders>
              <w:top w:val="nil"/>
              <w:left w:val="nil"/>
              <w:bottom w:val="dotted" w:sz="4" w:space="0" w:color="auto"/>
              <w:right w:val="double" w:sz="6" w:space="0" w:color="000000"/>
            </w:tcBorders>
            <w:shd w:val="clear" w:color="000000" w:fill="FFFFFF"/>
            <w:vAlign w:val="center"/>
            <w:hideMark/>
          </w:tcPr>
          <w:p w14:paraId="68F282E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13,2</w:t>
            </w:r>
          </w:p>
        </w:tc>
      </w:tr>
      <w:tr w:rsidR="009B5DE5" w:rsidRPr="009B5DE5" w14:paraId="487B9A70" w14:textId="77777777" w:rsidTr="00396800">
        <w:trPr>
          <w:trHeight w:val="348"/>
        </w:trPr>
        <w:tc>
          <w:tcPr>
            <w:tcW w:w="6631" w:type="dxa"/>
            <w:tcBorders>
              <w:top w:val="nil"/>
              <w:left w:val="double" w:sz="6" w:space="0" w:color="000000"/>
              <w:bottom w:val="double" w:sz="6" w:space="0" w:color="000000"/>
              <w:right w:val="dotted" w:sz="4" w:space="0" w:color="auto"/>
            </w:tcBorders>
            <w:shd w:val="clear" w:color="000000" w:fill="FFFFFF"/>
            <w:vAlign w:val="center"/>
            <w:hideMark/>
          </w:tcPr>
          <w:p w14:paraId="5B4A9E7A"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11. Укупни расходи (ставка 7 = 23 у Табели 2)</w:t>
            </w:r>
          </w:p>
        </w:tc>
        <w:tc>
          <w:tcPr>
            <w:tcW w:w="1401" w:type="dxa"/>
            <w:tcBorders>
              <w:top w:val="nil"/>
              <w:left w:val="nil"/>
              <w:bottom w:val="double" w:sz="6" w:space="0" w:color="000000"/>
              <w:right w:val="single" w:sz="8" w:space="0" w:color="auto"/>
            </w:tcBorders>
            <w:shd w:val="clear" w:color="000000" w:fill="FFFFFF"/>
            <w:vAlign w:val="center"/>
            <w:hideMark/>
          </w:tcPr>
          <w:p w14:paraId="58AE92F3"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TE</w:t>
            </w:r>
          </w:p>
        </w:tc>
        <w:tc>
          <w:tcPr>
            <w:tcW w:w="1401" w:type="dxa"/>
            <w:tcBorders>
              <w:top w:val="nil"/>
              <w:left w:val="nil"/>
              <w:bottom w:val="double" w:sz="6" w:space="0" w:color="000000"/>
              <w:right w:val="dotted" w:sz="4" w:space="0" w:color="auto"/>
            </w:tcBorders>
            <w:shd w:val="clear" w:color="000000" w:fill="FFFFFF"/>
            <w:vAlign w:val="center"/>
            <w:hideMark/>
          </w:tcPr>
          <w:p w14:paraId="3C484BF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41,4</w:t>
            </w:r>
          </w:p>
        </w:tc>
        <w:tc>
          <w:tcPr>
            <w:tcW w:w="1401" w:type="dxa"/>
            <w:tcBorders>
              <w:top w:val="nil"/>
              <w:left w:val="nil"/>
              <w:bottom w:val="double" w:sz="6" w:space="0" w:color="000000"/>
              <w:right w:val="dotted" w:sz="4" w:space="0" w:color="auto"/>
            </w:tcBorders>
            <w:shd w:val="clear" w:color="000000" w:fill="FFFFFF"/>
            <w:vAlign w:val="center"/>
            <w:hideMark/>
          </w:tcPr>
          <w:p w14:paraId="3C964A5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43,6</w:t>
            </w:r>
          </w:p>
        </w:tc>
        <w:tc>
          <w:tcPr>
            <w:tcW w:w="1401" w:type="dxa"/>
            <w:tcBorders>
              <w:top w:val="nil"/>
              <w:left w:val="nil"/>
              <w:bottom w:val="double" w:sz="6" w:space="0" w:color="000000"/>
              <w:right w:val="dotted" w:sz="4" w:space="0" w:color="auto"/>
            </w:tcBorders>
            <w:shd w:val="clear" w:color="000000" w:fill="FFFFFF"/>
            <w:vAlign w:val="center"/>
            <w:hideMark/>
          </w:tcPr>
          <w:p w14:paraId="6CAE099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44,3</w:t>
            </w:r>
          </w:p>
        </w:tc>
        <w:tc>
          <w:tcPr>
            <w:tcW w:w="1401" w:type="dxa"/>
            <w:tcBorders>
              <w:top w:val="nil"/>
              <w:left w:val="nil"/>
              <w:bottom w:val="double" w:sz="6" w:space="0" w:color="000000"/>
              <w:right w:val="dotted" w:sz="4" w:space="0" w:color="auto"/>
            </w:tcBorders>
            <w:shd w:val="clear" w:color="000000" w:fill="FFFFFF"/>
            <w:vAlign w:val="center"/>
            <w:hideMark/>
          </w:tcPr>
          <w:p w14:paraId="6BB31C4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43,9</w:t>
            </w:r>
          </w:p>
        </w:tc>
        <w:tc>
          <w:tcPr>
            <w:tcW w:w="1401" w:type="dxa"/>
            <w:tcBorders>
              <w:top w:val="nil"/>
              <w:left w:val="nil"/>
              <w:bottom w:val="double" w:sz="6" w:space="0" w:color="000000"/>
              <w:right w:val="double" w:sz="6" w:space="0" w:color="000000"/>
            </w:tcBorders>
            <w:shd w:val="clear" w:color="000000" w:fill="FFFFFF"/>
            <w:vAlign w:val="center"/>
            <w:hideMark/>
          </w:tcPr>
          <w:p w14:paraId="5151C19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43,5</w:t>
            </w:r>
          </w:p>
        </w:tc>
      </w:tr>
    </w:tbl>
    <w:p w14:paraId="48E08E75" w14:textId="77777777" w:rsidR="009B5DE5" w:rsidRPr="009B5DE5" w:rsidRDefault="009B5DE5" w:rsidP="009B5DE5">
      <w:pPr>
        <w:spacing w:after="0"/>
        <w:jc w:val="left"/>
        <w:rPr>
          <w:rFonts w:eastAsia="Times New Roman" w:cs="Times New Roman"/>
          <w:bCs/>
          <w:sz w:val="22"/>
        </w:rPr>
      </w:pPr>
      <w:r w:rsidRPr="009B5DE5">
        <w:rPr>
          <w:rFonts w:eastAsia="Times New Roman" w:cs="Times New Roman"/>
          <w:bCs/>
          <w:sz w:val="22"/>
        </w:rPr>
        <w:lastRenderedPageBreak/>
        <w:t>Табела 4:  Кретање дуга сектора државе</w:t>
      </w:r>
    </w:p>
    <w:p w14:paraId="69C5FB30" w14:textId="77777777" w:rsidR="009B5DE5" w:rsidRPr="009B5DE5" w:rsidRDefault="009B5DE5" w:rsidP="009B5DE5">
      <w:pPr>
        <w:spacing w:after="0"/>
        <w:jc w:val="left"/>
        <w:rPr>
          <w:rFonts w:eastAsia="Times New Roman" w:cs="Times New Roman"/>
          <w:bCs/>
          <w:sz w:val="22"/>
        </w:rPr>
      </w:pPr>
    </w:p>
    <w:tbl>
      <w:tblPr>
        <w:tblW w:w="14970" w:type="dxa"/>
        <w:tblLook w:val="04A0" w:firstRow="1" w:lastRow="0" w:firstColumn="1" w:lastColumn="0" w:noHBand="0" w:noVBand="1"/>
      </w:tblPr>
      <w:tblGrid>
        <w:gridCol w:w="6928"/>
        <w:gridCol w:w="1522"/>
        <w:gridCol w:w="1345"/>
        <w:gridCol w:w="1035"/>
        <w:gridCol w:w="1035"/>
        <w:gridCol w:w="1035"/>
        <w:gridCol w:w="1035"/>
        <w:gridCol w:w="1035"/>
      </w:tblGrid>
      <w:tr w:rsidR="009B5DE5" w:rsidRPr="009B5DE5" w14:paraId="32B9F1DE" w14:textId="77777777" w:rsidTr="00396800">
        <w:trPr>
          <w:trHeight w:val="282"/>
        </w:trPr>
        <w:tc>
          <w:tcPr>
            <w:tcW w:w="6928" w:type="dxa"/>
            <w:tcBorders>
              <w:top w:val="double" w:sz="6" w:space="0" w:color="auto"/>
              <w:left w:val="double" w:sz="6" w:space="0" w:color="auto"/>
              <w:bottom w:val="double" w:sz="6" w:space="0" w:color="auto"/>
              <w:right w:val="nil"/>
            </w:tcBorders>
            <w:shd w:val="clear" w:color="auto" w:fill="auto"/>
            <w:noWrap/>
            <w:vAlign w:val="center"/>
            <w:hideMark/>
          </w:tcPr>
          <w:p w14:paraId="6B4254B9" w14:textId="77777777" w:rsidR="009B5DE5" w:rsidRPr="009B5DE5" w:rsidRDefault="009B5DE5" w:rsidP="009B5DE5">
            <w:pPr>
              <w:spacing w:after="0"/>
              <w:jc w:val="left"/>
              <w:rPr>
                <w:rFonts w:eastAsia="Times New Roman" w:cs="Times New Roman"/>
                <w:b/>
                <w:bCs/>
                <w:sz w:val="20"/>
                <w:szCs w:val="20"/>
              </w:rPr>
            </w:pPr>
            <w:r w:rsidRPr="009B5DE5">
              <w:rPr>
                <w:rFonts w:eastAsia="Times New Roman" w:cs="Times New Roman"/>
                <w:b/>
                <w:bCs/>
                <w:sz w:val="20"/>
                <w:szCs w:val="20"/>
              </w:rPr>
              <w:t>Табела 4: Кретање дуга сектора државе</w:t>
            </w:r>
          </w:p>
        </w:tc>
        <w:tc>
          <w:tcPr>
            <w:tcW w:w="1522" w:type="dxa"/>
            <w:tcBorders>
              <w:top w:val="double" w:sz="6" w:space="0" w:color="auto"/>
              <w:left w:val="single" w:sz="8" w:space="0" w:color="auto"/>
              <w:bottom w:val="double" w:sz="6" w:space="0" w:color="auto"/>
              <w:right w:val="single" w:sz="8" w:space="0" w:color="auto"/>
            </w:tcBorders>
            <w:shd w:val="clear" w:color="auto" w:fill="auto"/>
            <w:noWrap/>
            <w:vAlign w:val="center"/>
            <w:hideMark/>
          </w:tcPr>
          <w:p w14:paraId="6AB939C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345" w:type="dxa"/>
            <w:tcBorders>
              <w:top w:val="double" w:sz="6" w:space="0" w:color="auto"/>
              <w:left w:val="nil"/>
              <w:bottom w:val="double" w:sz="6" w:space="0" w:color="auto"/>
              <w:right w:val="dashed" w:sz="4" w:space="0" w:color="auto"/>
            </w:tcBorders>
            <w:shd w:val="clear" w:color="auto" w:fill="auto"/>
            <w:noWrap/>
            <w:vAlign w:val="center"/>
            <w:hideMark/>
          </w:tcPr>
          <w:p w14:paraId="5EEBBD19"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2022</w:t>
            </w:r>
          </w:p>
        </w:tc>
        <w:tc>
          <w:tcPr>
            <w:tcW w:w="1035" w:type="dxa"/>
            <w:tcBorders>
              <w:top w:val="double" w:sz="6" w:space="0" w:color="auto"/>
              <w:left w:val="nil"/>
              <w:bottom w:val="double" w:sz="6" w:space="0" w:color="auto"/>
              <w:right w:val="dashed" w:sz="4" w:space="0" w:color="auto"/>
            </w:tcBorders>
            <w:shd w:val="clear" w:color="auto" w:fill="auto"/>
            <w:noWrap/>
            <w:vAlign w:val="center"/>
            <w:hideMark/>
          </w:tcPr>
          <w:p w14:paraId="14C24E70"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2023</w:t>
            </w:r>
          </w:p>
        </w:tc>
        <w:tc>
          <w:tcPr>
            <w:tcW w:w="1035" w:type="dxa"/>
            <w:tcBorders>
              <w:top w:val="double" w:sz="6" w:space="0" w:color="auto"/>
              <w:left w:val="nil"/>
              <w:bottom w:val="double" w:sz="6" w:space="0" w:color="auto"/>
              <w:right w:val="dashed" w:sz="4" w:space="0" w:color="auto"/>
            </w:tcBorders>
            <w:shd w:val="clear" w:color="auto" w:fill="auto"/>
            <w:noWrap/>
            <w:vAlign w:val="center"/>
            <w:hideMark/>
          </w:tcPr>
          <w:p w14:paraId="7D47D6CE"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2024</w:t>
            </w:r>
          </w:p>
        </w:tc>
        <w:tc>
          <w:tcPr>
            <w:tcW w:w="1035" w:type="dxa"/>
            <w:tcBorders>
              <w:top w:val="double" w:sz="6" w:space="0" w:color="auto"/>
              <w:left w:val="nil"/>
              <w:bottom w:val="double" w:sz="6" w:space="0" w:color="auto"/>
              <w:right w:val="dashed" w:sz="4" w:space="0" w:color="auto"/>
            </w:tcBorders>
            <w:shd w:val="clear" w:color="auto" w:fill="auto"/>
            <w:noWrap/>
            <w:vAlign w:val="center"/>
            <w:hideMark/>
          </w:tcPr>
          <w:p w14:paraId="48089EE9"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2025</w:t>
            </w:r>
          </w:p>
        </w:tc>
        <w:tc>
          <w:tcPr>
            <w:tcW w:w="1035" w:type="dxa"/>
            <w:tcBorders>
              <w:top w:val="double" w:sz="6" w:space="0" w:color="auto"/>
              <w:left w:val="nil"/>
              <w:bottom w:val="double" w:sz="6" w:space="0" w:color="auto"/>
              <w:right w:val="dashed" w:sz="4" w:space="0" w:color="auto"/>
            </w:tcBorders>
            <w:shd w:val="clear" w:color="auto" w:fill="auto"/>
            <w:noWrap/>
            <w:vAlign w:val="center"/>
            <w:hideMark/>
          </w:tcPr>
          <w:p w14:paraId="0DC53713"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2026</w:t>
            </w:r>
          </w:p>
        </w:tc>
        <w:tc>
          <w:tcPr>
            <w:tcW w:w="1035" w:type="dxa"/>
            <w:tcBorders>
              <w:top w:val="double" w:sz="6" w:space="0" w:color="auto"/>
              <w:left w:val="nil"/>
              <w:bottom w:val="double" w:sz="6" w:space="0" w:color="auto"/>
              <w:right w:val="double" w:sz="6" w:space="0" w:color="auto"/>
            </w:tcBorders>
            <w:shd w:val="clear" w:color="auto" w:fill="auto"/>
            <w:noWrap/>
            <w:vAlign w:val="center"/>
            <w:hideMark/>
          </w:tcPr>
          <w:p w14:paraId="61DE92FD"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2027</w:t>
            </w:r>
          </w:p>
        </w:tc>
      </w:tr>
      <w:tr w:rsidR="009B5DE5" w:rsidRPr="009B5DE5" w14:paraId="3018C893" w14:textId="77777777" w:rsidTr="00396800">
        <w:trPr>
          <w:trHeight w:val="282"/>
        </w:trPr>
        <w:tc>
          <w:tcPr>
            <w:tcW w:w="6928" w:type="dxa"/>
            <w:tcBorders>
              <w:top w:val="nil"/>
              <w:left w:val="double" w:sz="6" w:space="0" w:color="auto"/>
              <w:bottom w:val="single" w:sz="8" w:space="0" w:color="auto"/>
              <w:right w:val="single" w:sz="8" w:space="0" w:color="auto"/>
            </w:tcBorders>
            <w:shd w:val="clear" w:color="auto" w:fill="auto"/>
            <w:noWrap/>
            <w:vAlign w:val="bottom"/>
            <w:hideMark/>
          </w:tcPr>
          <w:p w14:paraId="22809217" w14:textId="77777777" w:rsidR="009B5DE5" w:rsidRPr="009B5DE5" w:rsidRDefault="00F03833" w:rsidP="009B5DE5">
            <w:pPr>
              <w:spacing w:after="0"/>
              <w:jc w:val="left"/>
              <w:rPr>
                <w:rFonts w:eastAsia="Times New Roman" w:cs="Times New Roman"/>
                <w:sz w:val="20"/>
                <w:szCs w:val="20"/>
              </w:rPr>
            </w:pPr>
            <w:hyperlink r:id="rId49" w:anchor="RANGE!B175" w:history="1">
              <w:r w:rsidR="009B5DE5" w:rsidRPr="009B5DE5">
                <w:rPr>
                  <w:rFonts w:eastAsia="Times New Roman" w:cs="Times New Roman"/>
                  <w:sz w:val="20"/>
                  <w:szCs w:val="20"/>
                </w:rPr>
                <w:t>1. Бруто дуг [1]</w:t>
              </w:r>
            </w:hyperlink>
          </w:p>
        </w:tc>
        <w:tc>
          <w:tcPr>
            <w:tcW w:w="1522" w:type="dxa"/>
            <w:tcBorders>
              <w:top w:val="nil"/>
              <w:left w:val="nil"/>
              <w:bottom w:val="single" w:sz="8" w:space="0" w:color="auto"/>
              <w:right w:val="single" w:sz="8" w:space="0" w:color="auto"/>
            </w:tcBorders>
            <w:shd w:val="clear" w:color="auto" w:fill="auto"/>
            <w:vAlign w:val="center"/>
            <w:hideMark/>
          </w:tcPr>
          <w:p w14:paraId="397137E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млрд РСД</w:t>
            </w:r>
          </w:p>
        </w:tc>
        <w:tc>
          <w:tcPr>
            <w:tcW w:w="1345" w:type="dxa"/>
            <w:tcBorders>
              <w:top w:val="nil"/>
              <w:left w:val="nil"/>
              <w:bottom w:val="dotted" w:sz="4" w:space="0" w:color="auto"/>
              <w:right w:val="dotted" w:sz="4" w:space="0" w:color="auto"/>
            </w:tcBorders>
            <w:shd w:val="clear" w:color="auto" w:fill="auto"/>
            <w:vAlign w:val="center"/>
            <w:hideMark/>
          </w:tcPr>
          <w:p w14:paraId="477B4215"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3.945,8</w:t>
            </w:r>
          </w:p>
        </w:tc>
        <w:tc>
          <w:tcPr>
            <w:tcW w:w="1035" w:type="dxa"/>
            <w:tcBorders>
              <w:top w:val="nil"/>
              <w:left w:val="nil"/>
              <w:bottom w:val="dotted" w:sz="4" w:space="0" w:color="auto"/>
              <w:right w:val="dotted" w:sz="4" w:space="0" w:color="auto"/>
            </w:tcBorders>
            <w:shd w:val="clear" w:color="auto" w:fill="auto"/>
            <w:vAlign w:val="center"/>
            <w:hideMark/>
          </w:tcPr>
          <w:p w14:paraId="5EA3084D"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4.266,6</w:t>
            </w:r>
          </w:p>
        </w:tc>
        <w:tc>
          <w:tcPr>
            <w:tcW w:w="1035" w:type="dxa"/>
            <w:tcBorders>
              <w:top w:val="nil"/>
              <w:left w:val="nil"/>
              <w:bottom w:val="dotted" w:sz="4" w:space="0" w:color="auto"/>
              <w:right w:val="dotted" w:sz="4" w:space="0" w:color="auto"/>
            </w:tcBorders>
            <w:shd w:val="clear" w:color="auto" w:fill="auto"/>
            <w:vAlign w:val="center"/>
            <w:hideMark/>
          </w:tcPr>
          <w:p w14:paraId="2F8268A9"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4.596,8</w:t>
            </w:r>
          </w:p>
        </w:tc>
        <w:tc>
          <w:tcPr>
            <w:tcW w:w="1035" w:type="dxa"/>
            <w:tcBorders>
              <w:top w:val="nil"/>
              <w:left w:val="nil"/>
              <w:bottom w:val="dotted" w:sz="4" w:space="0" w:color="auto"/>
              <w:right w:val="dotted" w:sz="4" w:space="0" w:color="auto"/>
            </w:tcBorders>
            <w:shd w:val="clear" w:color="auto" w:fill="auto"/>
            <w:vAlign w:val="center"/>
            <w:hideMark/>
          </w:tcPr>
          <w:p w14:paraId="38F5EA72"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4.906,0</w:t>
            </w:r>
          </w:p>
        </w:tc>
        <w:tc>
          <w:tcPr>
            <w:tcW w:w="1035" w:type="dxa"/>
            <w:tcBorders>
              <w:top w:val="nil"/>
              <w:left w:val="nil"/>
              <w:bottom w:val="dotted" w:sz="4" w:space="0" w:color="auto"/>
              <w:right w:val="dotted" w:sz="4" w:space="0" w:color="auto"/>
            </w:tcBorders>
            <w:shd w:val="clear" w:color="auto" w:fill="auto"/>
            <w:vAlign w:val="center"/>
            <w:hideMark/>
          </w:tcPr>
          <w:p w14:paraId="4D2FE317"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5.206,8</w:t>
            </w:r>
          </w:p>
        </w:tc>
        <w:tc>
          <w:tcPr>
            <w:tcW w:w="1035" w:type="dxa"/>
            <w:tcBorders>
              <w:top w:val="nil"/>
              <w:left w:val="nil"/>
              <w:bottom w:val="dotted" w:sz="4" w:space="0" w:color="auto"/>
              <w:right w:val="dotted" w:sz="4" w:space="0" w:color="auto"/>
            </w:tcBorders>
            <w:shd w:val="clear" w:color="auto" w:fill="auto"/>
            <w:vAlign w:val="center"/>
            <w:hideMark/>
          </w:tcPr>
          <w:p w14:paraId="4127D4BA"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5.581,5</w:t>
            </w:r>
          </w:p>
        </w:tc>
      </w:tr>
      <w:tr w:rsidR="009B5DE5" w:rsidRPr="009B5DE5" w14:paraId="50267BFC" w14:textId="77777777" w:rsidTr="00396800">
        <w:trPr>
          <w:trHeight w:val="252"/>
        </w:trPr>
        <w:tc>
          <w:tcPr>
            <w:tcW w:w="6928" w:type="dxa"/>
            <w:tcBorders>
              <w:top w:val="nil"/>
              <w:left w:val="double" w:sz="6" w:space="0" w:color="auto"/>
              <w:bottom w:val="single" w:sz="4" w:space="0" w:color="auto"/>
              <w:right w:val="nil"/>
            </w:tcBorders>
            <w:shd w:val="clear" w:color="auto" w:fill="auto"/>
            <w:vAlign w:val="center"/>
            <w:hideMark/>
          </w:tcPr>
          <w:p w14:paraId="41D3838C" w14:textId="77777777" w:rsidR="009B5DE5" w:rsidRPr="009B5DE5" w:rsidRDefault="009B5DE5" w:rsidP="009B5DE5">
            <w:pPr>
              <w:spacing w:after="0"/>
              <w:jc w:val="left"/>
              <w:rPr>
                <w:rFonts w:eastAsia="Times New Roman" w:cs="Times New Roman"/>
                <w:b/>
                <w:bCs/>
                <w:sz w:val="20"/>
                <w:szCs w:val="20"/>
              </w:rPr>
            </w:pPr>
            <w:r w:rsidRPr="009B5DE5">
              <w:rPr>
                <w:rFonts w:eastAsia="Times New Roman" w:cs="Times New Roman"/>
                <w:b/>
                <w:bCs/>
                <w:sz w:val="20"/>
                <w:szCs w:val="20"/>
              </w:rPr>
              <w:t>Доприноси промени бруто дуга</w:t>
            </w:r>
          </w:p>
        </w:tc>
        <w:tc>
          <w:tcPr>
            <w:tcW w:w="1522" w:type="dxa"/>
            <w:tcBorders>
              <w:top w:val="nil"/>
              <w:left w:val="single" w:sz="8" w:space="0" w:color="auto"/>
              <w:bottom w:val="single" w:sz="4" w:space="0" w:color="auto"/>
              <w:right w:val="single" w:sz="8" w:space="0" w:color="auto"/>
            </w:tcBorders>
            <w:shd w:val="clear" w:color="auto" w:fill="auto"/>
            <w:vAlign w:val="center"/>
            <w:hideMark/>
          </w:tcPr>
          <w:p w14:paraId="6A6A6B06" w14:textId="77777777" w:rsidR="009B5DE5" w:rsidRPr="009B5DE5" w:rsidRDefault="009B5DE5" w:rsidP="009B5DE5">
            <w:pPr>
              <w:spacing w:after="0"/>
              <w:jc w:val="center"/>
              <w:rPr>
                <w:rFonts w:eastAsia="Times New Roman" w:cs="Times New Roman"/>
                <w:b/>
                <w:bCs/>
                <w:color w:val="FFFFFF"/>
                <w:sz w:val="20"/>
                <w:szCs w:val="20"/>
              </w:rPr>
            </w:pPr>
            <w:r w:rsidRPr="009B5DE5">
              <w:rPr>
                <w:rFonts w:eastAsia="Times New Roman" w:cs="Times New Roman"/>
                <w:b/>
                <w:bCs/>
                <w:color w:val="FFFFFF"/>
                <w:sz w:val="20"/>
                <w:szCs w:val="20"/>
              </w:rPr>
              <w:t>2864,0</w:t>
            </w:r>
          </w:p>
        </w:tc>
        <w:tc>
          <w:tcPr>
            <w:tcW w:w="1345" w:type="dxa"/>
            <w:tcBorders>
              <w:top w:val="single" w:sz="8" w:space="0" w:color="auto"/>
              <w:left w:val="nil"/>
              <w:bottom w:val="single" w:sz="4" w:space="0" w:color="auto"/>
              <w:right w:val="nil"/>
            </w:tcBorders>
            <w:shd w:val="clear" w:color="auto" w:fill="auto"/>
            <w:vAlign w:val="center"/>
            <w:hideMark/>
          </w:tcPr>
          <w:p w14:paraId="0F98A4DE"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c>
          <w:tcPr>
            <w:tcW w:w="1035" w:type="dxa"/>
            <w:tcBorders>
              <w:top w:val="single" w:sz="8" w:space="0" w:color="auto"/>
              <w:left w:val="nil"/>
              <w:bottom w:val="single" w:sz="4" w:space="0" w:color="auto"/>
              <w:right w:val="nil"/>
            </w:tcBorders>
            <w:shd w:val="clear" w:color="auto" w:fill="auto"/>
            <w:vAlign w:val="center"/>
            <w:hideMark/>
          </w:tcPr>
          <w:p w14:paraId="6DF98A66"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c>
          <w:tcPr>
            <w:tcW w:w="1035" w:type="dxa"/>
            <w:tcBorders>
              <w:top w:val="single" w:sz="8" w:space="0" w:color="auto"/>
              <w:left w:val="nil"/>
              <w:bottom w:val="single" w:sz="4" w:space="0" w:color="auto"/>
              <w:right w:val="nil"/>
            </w:tcBorders>
            <w:shd w:val="clear" w:color="auto" w:fill="auto"/>
            <w:vAlign w:val="center"/>
            <w:hideMark/>
          </w:tcPr>
          <w:p w14:paraId="193F5C46"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c>
          <w:tcPr>
            <w:tcW w:w="1035" w:type="dxa"/>
            <w:tcBorders>
              <w:top w:val="single" w:sz="8" w:space="0" w:color="auto"/>
              <w:left w:val="nil"/>
              <w:bottom w:val="single" w:sz="4" w:space="0" w:color="auto"/>
              <w:right w:val="nil"/>
            </w:tcBorders>
            <w:shd w:val="clear" w:color="auto" w:fill="auto"/>
            <w:vAlign w:val="center"/>
            <w:hideMark/>
          </w:tcPr>
          <w:p w14:paraId="2EC3AE97"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c>
          <w:tcPr>
            <w:tcW w:w="1035" w:type="dxa"/>
            <w:tcBorders>
              <w:top w:val="single" w:sz="8" w:space="0" w:color="auto"/>
              <w:left w:val="nil"/>
              <w:bottom w:val="single" w:sz="4" w:space="0" w:color="auto"/>
              <w:right w:val="nil"/>
            </w:tcBorders>
            <w:shd w:val="clear" w:color="auto" w:fill="auto"/>
            <w:vAlign w:val="center"/>
            <w:hideMark/>
          </w:tcPr>
          <w:p w14:paraId="240DA36F"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c>
          <w:tcPr>
            <w:tcW w:w="1035" w:type="dxa"/>
            <w:tcBorders>
              <w:top w:val="single" w:sz="8" w:space="0" w:color="auto"/>
              <w:left w:val="nil"/>
              <w:bottom w:val="single" w:sz="4" w:space="0" w:color="auto"/>
              <w:right w:val="double" w:sz="6" w:space="0" w:color="auto"/>
            </w:tcBorders>
            <w:shd w:val="clear" w:color="auto" w:fill="auto"/>
            <w:noWrap/>
            <w:vAlign w:val="bottom"/>
            <w:hideMark/>
          </w:tcPr>
          <w:p w14:paraId="3A43A53A"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r>
      <w:tr w:rsidR="009B5DE5" w:rsidRPr="009B5DE5" w14:paraId="67437A61" w14:textId="77777777" w:rsidTr="00396800">
        <w:trPr>
          <w:trHeight w:val="326"/>
        </w:trPr>
        <w:tc>
          <w:tcPr>
            <w:tcW w:w="6928" w:type="dxa"/>
            <w:tcBorders>
              <w:top w:val="nil"/>
              <w:left w:val="double" w:sz="6" w:space="0" w:color="auto"/>
              <w:bottom w:val="dotted" w:sz="4" w:space="0" w:color="auto"/>
              <w:right w:val="nil"/>
            </w:tcBorders>
            <w:shd w:val="clear" w:color="auto" w:fill="auto"/>
            <w:vAlign w:val="center"/>
            <w:hideMark/>
          </w:tcPr>
          <w:p w14:paraId="6F6F4B2F"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5. Прилагођавање стања и промена дуга (stock-flow adjustment)</w:t>
            </w:r>
          </w:p>
        </w:tc>
        <w:tc>
          <w:tcPr>
            <w:tcW w:w="1522" w:type="dxa"/>
            <w:tcBorders>
              <w:top w:val="nil"/>
              <w:left w:val="single" w:sz="8" w:space="0" w:color="auto"/>
              <w:bottom w:val="dotted" w:sz="4" w:space="0" w:color="auto"/>
              <w:right w:val="single" w:sz="8" w:space="0" w:color="auto"/>
            </w:tcBorders>
            <w:shd w:val="clear" w:color="auto" w:fill="auto"/>
            <w:vAlign w:val="center"/>
            <w:hideMark/>
          </w:tcPr>
          <w:p w14:paraId="1BA445B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млрд РСД</w:t>
            </w:r>
          </w:p>
        </w:tc>
        <w:tc>
          <w:tcPr>
            <w:tcW w:w="1345" w:type="dxa"/>
            <w:tcBorders>
              <w:top w:val="dotted" w:sz="4" w:space="0" w:color="auto"/>
              <w:left w:val="nil"/>
              <w:bottom w:val="dotted" w:sz="4" w:space="0" w:color="auto"/>
              <w:right w:val="dotted" w:sz="4" w:space="0" w:color="auto"/>
            </w:tcBorders>
            <w:shd w:val="clear" w:color="auto" w:fill="auto"/>
            <w:vAlign w:val="center"/>
            <w:hideMark/>
          </w:tcPr>
          <w:p w14:paraId="0812FF82"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dotted" w:sz="4" w:space="0" w:color="auto"/>
              <w:left w:val="nil"/>
              <w:bottom w:val="dotted" w:sz="4" w:space="0" w:color="auto"/>
              <w:right w:val="dotted" w:sz="4" w:space="0" w:color="auto"/>
            </w:tcBorders>
            <w:shd w:val="clear" w:color="auto" w:fill="auto"/>
            <w:vAlign w:val="center"/>
            <w:hideMark/>
          </w:tcPr>
          <w:p w14:paraId="5BE0CE0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139,7</w:t>
            </w:r>
          </w:p>
        </w:tc>
        <w:tc>
          <w:tcPr>
            <w:tcW w:w="1035" w:type="dxa"/>
            <w:tcBorders>
              <w:top w:val="dotted" w:sz="4" w:space="0" w:color="auto"/>
              <w:left w:val="nil"/>
              <w:bottom w:val="dotted" w:sz="4" w:space="0" w:color="auto"/>
              <w:right w:val="dotted" w:sz="4" w:space="0" w:color="auto"/>
            </w:tcBorders>
            <w:shd w:val="clear" w:color="auto" w:fill="auto"/>
            <w:vAlign w:val="center"/>
            <w:hideMark/>
          </w:tcPr>
          <w:p w14:paraId="5A4CDE6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67,2</w:t>
            </w:r>
          </w:p>
        </w:tc>
        <w:tc>
          <w:tcPr>
            <w:tcW w:w="1035" w:type="dxa"/>
            <w:tcBorders>
              <w:top w:val="dotted" w:sz="4" w:space="0" w:color="auto"/>
              <w:left w:val="nil"/>
              <w:bottom w:val="dotted" w:sz="4" w:space="0" w:color="auto"/>
              <w:right w:val="dotted" w:sz="4" w:space="0" w:color="auto"/>
            </w:tcBorders>
            <w:shd w:val="clear" w:color="auto" w:fill="auto"/>
            <w:vAlign w:val="center"/>
            <w:hideMark/>
          </w:tcPr>
          <w:p w14:paraId="51FCD28F"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-4,8</w:t>
            </w:r>
          </w:p>
        </w:tc>
        <w:tc>
          <w:tcPr>
            <w:tcW w:w="1035" w:type="dxa"/>
            <w:tcBorders>
              <w:top w:val="dotted" w:sz="4" w:space="0" w:color="auto"/>
              <w:left w:val="nil"/>
              <w:bottom w:val="dotted" w:sz="4" w:space="0" w:color="auto"/>
              <w:right w:val="dotted" w:sz="4" w:space="0" w:color="auto"/>
            </w:tcBorders>
            <w:shd w:val="clear" w:color="auto" w:fill="auto"/>
            <w:vAlign w:val="center"/>
            <w:hideMark/>
          </w:tcPr>
          <w:p w14:paraId="6B269A2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-35,2</w:t>
            </w:r>
          </w:p>
        </w:tc>
        <w:tc>
          <w:tcPr>
            <w:tcW w:w="1035" w:type="dxa"/>
            <w:tcBorders>
              <w:top w:val="nil"/>
              <w:left w:val="nil"/>
              <w:bottom w:val="dotted" w:sz="4" w:space="0" w:color="auto"/>
              <w:right w:val="double" w:sz="6" w:space="0" w:color="auto"/>
            </w:tcBorders>
            <w:shd w:val="clear" w:color="auto" w:fill="auto"/>
            <w:vAlign w:val="center"/>
            <w:hideMark/>
          </w:tcPr>
          <w:p w14:paraId="42F5B592"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14,7</w:t>
            </w:r>
          </w:p>
        </w:tc>
      </w:tr>
      <w:tr w:rsidR="009B5DE5" w:rsidRPr="009B5DE5" w14:paraId="397F4767" w14:textId="77777777" w:rsidTr="00396800">
        <w:trPr>
          <w:trHeight w:val="252"/>
        </w:trPr>
        <w:tc>
          <w:tcPr>
            <w:tcW w:w="6928" w:type="dxa"/>
            <w:tcBorders>
              <w:top w:val="nil"/>
              <w:left w:val="double" w:sz="6" w:space="0" w:color="auto"/>
              <w:bottom w:val="dotted" w:sz="4" w:space="0" w:color="auto"/>
              <w:right w:val="nil"/>
            </w:tcBorders>
            <w:shd w:val="clear" w:color="auto" w:fill="auto"/>
            <w:vAlign w:val="center"/>
            <w:hideMark/>
          </w:tcPr>
          <w:p w14:paraId="22BABB00" w14:textId="77777777" w:rsidR="009B5DE5" w:rsidRPr="009B5DE5" w:rsidRDefault="009B5DE5" w:rsidP="009B5DE5">
            <w:pPr>
              <w:spacing w:after="0"/>
              <w:jc w:val="left"/>
              <w:rPr>
                <w:rFonts w:eastAsia="Times New Roman" w:cs="Times New Roman"/>
                <w:i/>
                <w:iCs/>
                <w:sz w:val="20"/>
                <w:szCs w:val="20"/>
              </w:rPr>
            </w:pPr>
            <w:r w:rsidRPr="009B5DE5">
              <w:rPr>
                <w:rFonts w:eastAsia="Times New Roman" w:cs="Times New Roman"/>
                <w:i/>
                <w:iCs/>
                <w:sz w:val="20"/>
                <w:szCs w:val="20"/>
              </w:rPr>
              <w:t>од чега:</w:t>
            </w:r>
          </w:p>
        </w:tc>
        <w:tc>
          <w:tcPr>
            <w:tcW w:w="1522" w:type="dxa"/>
            <w:tcBorders>
              <w:top w:val="nil"/>
              <w:left w:val="single" w:sz="8" w:space="0" w:color="auto"/>
              <w:bottom w:val="dotted" w:sz="4" w:space="0" w:color="auto"/>
              <w:right w:val="single" w:sz="8" w:space="0" w:color="auto"/>
            </w:tcBorders>
            <w:shd w:val="clear" w:color="auto" w:fill="auto"/>
            <w:vAlign w:val="center"/>
            <w:hideMark/>
          </w:tcPr>
          <w:p w14:paraId="70A4A7B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345" w:type="dxa"/>
            <w:tcBorders>
              <w:top w:val="nil"/>
              <w:left w:val="nil"/>
              <w:bottom w:val="dotted" w:sz="4" w:space="0" w:color="auto"/>
              <w:right w:val="dotted" w:sz="4" w:space="0" w:color="auto"/>
            </w:tcBorders>
            <w:shd w:val="clear" w:color="auto" w:fill="auto"/>
            <w:vAlign w:val="center"/>
            <w:hideMark/>
          </w:tcPr>
          <w:p w14:paraId="77C32AF0"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dotted" w:sz="4" w:space="0" w:color="auto"/>
              <w:right w:val="dotted" w:sz="4" w:space="0" w:color="auto"/>
            </w:tcBorders>
            <w:shd w:val="clear" w:color="auto" w:fill="auto"/>
            <w:vAlign w:val="center"/>
            <w:hideMark/>
          </w:tcPr>
          <w:p w14:paraId="1553250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dotted" w:sz="4" w:space="0" w:color="auto"/>
              <w:right w:val="dotted" w:sz="4" w:space="0" w:color="auto"/>
            </w:tcBorders>
            <w:shd w:val="clear" w:color="auto" w:fill="auto"/>
            <w:vAlign w:val="center"/>
            <w:hideMark/>
          </w:tcPr>
          <w:p w14:paraId="31BFA64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dotted" w:sz="4" w:space="0" w:color="auto"/>
              <w:right w:val="dotted" w:sz="4" w:space="0" w:color="auto"/>
            </w:tcBorders>
            <w:shd w:val="clear" w:color="auto" w:fill="auto"/>
            <w:vAlign w:val="center"/>
            <w:hideMark/>
          </w:tcPr>
          <w:p w14:paraId="2059CE0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dotted" w:sz="4" w:space="0" w:color="auto"/>
              <w:right w:val="dotted" w:sz="4" w:space="0" w:color="auto"/>
            </w:tcBorders>
            <w:shd w:val="clear" w:color="auto" w:fill="auto"/>
            <w:vAlign w:val="center"/>
            <w:hideMark/>
          </w:tcPr>
          <w:p w14:paraId="3040AD4B"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dotted" w:sz="4" w:space="0" w:color="auto"/>
              <w:right w:val="double" w:sz="6" w:space="0" w:color="auto"/>
            </w:tcBorders>
            <w:shd w:val="clear" w:color="auto" w:fill="auto"/>
            <w:noWrap/>
            <w:vAlign w:val="bottom"/>
            <w:hideMark/>
          </w:tcPr>
          <w:p w14:paraId="3C44E12D"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r>
      <w:tr w:rsidR="009B5DE5" w:rsidRPr="009B5DE5" w14:paraId="52F475A3" w14:textId="77777777" w:rsidTr="00396800">
        <w:trPr>
          <w:trHeight w:val="252"/>
        </w:trPr>
        <w:tc>
          <w:tcPr>
            <w:tcW w:w="6928" w:type="dxa"/>
            <w:tcBorders>
              <w:top w:val="nil"/>
              <w:left w:val="double" w:sz="6" w:space="0" w:color="auto"/>
              <w:bottom w:val="dotted" w:sz="4" w:space="0" w:color="auto"/>
              <w:right w:val="nil"/>
            </w:tcBorders>
            <w:shd w:val="clear" w:color="auto" w:fill="auto"/>
            <w:vAlign w:val="center"/>
            <w:hideMark/>
          </w:tcPr>
          <w:p w14:paraId="62E2FBE7"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Разлике између готовинске и обрачунске основе [4]</w:t>
            </w:r>
          </w:p>
        </w:tc>
        <w:tc>
          <w:tcPr>
            <w:tcW w:w="1522" w:type="dxa"/>
            <w:tcBorders>
              <w:top w:val="nil"/>
              <w:left w:val="single" w:sz="8" w:space="0" w:color="auto"/>
              <w:bottom w:val="dotted" w:sz="4" w:space="0" w:color="auto"/>
              <w:right w:val="single" w:sz="8" w:space="0" w:color="auto"/>
            </w:tcBorders>
            <w:shd w:val="clear" w:color="auto" w:fill="auto"/>
            <w:vAlign w:val="center"/>
            <w:hideMark/>
          </w:tcPr>
          <w:p w14:paraId="38E6C3A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млрд РСД</w:t>
            </w:r>
          </w:p>
        </w:tc>
        <w:tc>
          <w:tcPr>
            <w:tcW w:w="1345" w:type="dxa"/>
            <w:tcBorders>
              <w:top w:val="nil"/>
              <w:left w:val="nil"/>
              <w:bottom w:val="dotted" w:sz="4" w:space="0" w:color="auto"/>
              <w:right w:val="dotted" w:sz="4" w:space="0" w:color="auto"/>
            </w:tcBorders>
            <w:shd w:val="clear" w:color="auto" w:fill="auto"/>
            <w:vAlign w:val="center"/>
            <w:hideMark/>
          </w:tcPr>
          <w:p w14:paraId="07EDC03B"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dotted" w:sz="4" w:space="0" w:color="auto"/>
              <w:right w:val="dotted" w:sz="4" w:space="0" w:color="auto"/>
            </w:tcBorders>
            <w:shd w:val="clear" w:color="auto" w:fill="auto"/>
            <w:vAlign w:val="center"/>
            <w:hideMark/>
          </w:tcPr>
          <w:p w14:paraId="46F45EFD"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dotted" w:sz="4" w:space="0" w:color="auto"/>
              <w:right w:val="dotted" w:sz="4" w:space="0" w:color="auto"/>
            </w:tcBorders>
            <w:shd w:val="clear" w:color="auto" w:fill="auto"/>
            <w:vAlign w:val="center"/>
            <w:hideMark/>
          </w:tcPr>
          <w:p w14:paraId="27ECFBA9"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dotted" w:sz="4" w:space="0" w:color="auto"/>
              <w:right w:val="dotted" w:sz="4" w:space="0" w:color="auto"/>
            </w:tcBorders>
            <w:shd w:val="clear" w:color="auto" w:fill="auto"/>
            <w:vAlign w:val="center"/>
            <w:hideMark/>
          </w:tcPr>
          <w:p w14:paraId="497F3D8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dotted" w:sz="4" w:space="0" w:color="auto"/>
              <w:right w:val="dotted" w:sz="4" w:space="0" w:color="auto"/>
            </w:tcBorders>
            <w:shd w:val="clear" w:color="auto" w:fill="auto"/>
            <w:vAlign w:val="center"/>
            <w:hideMark/>
          </w:tcPr>
          <w:p w14:paraId="3167B07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dotted" w:sz="4" w:space="0" w:color="auto"/>
              <w:right w:val="double" w:sz="6" w:space="0" w:color="auto"/>
            </w:tcBorders>
            <w:shd w:val="clear" w:color="auto" w:fill="auto"/>
            <w:noWrap/>
            <w:vAlign w:val="bottom"/>
            <w:hideMark/>
          </w:tcPr>
          <w:p w14:paraId="71EAACCF"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r>
      <w:tr w:rsidR="009B5DE5" w:rsidRPr="009B5DE5" w14:paraId="777DE4B4" w14:textId="77777777" w:rsidTr="00396800">
        <w:trPr>
          <w:trHeight w:val="252"/>
        </w:trPr>
        <w:tc>
          <w:tcPr>
            <w:tcW w:w="6928" w:type="dxa"/>
            <w:tcBorders>
              <w:top w:val="nil"/>
              <w:left w:val="double" w:sz="6" w:space="0" w:color="auto"/>
              <w:bottom w:val="nil"/>
              <w:right w:val="single" w:sz="8" w:space="0" w:color="auto"/>
            </w:tcBorders>
            <w:shd w:val="clear" w:color="auto" w:fill="auto"/>
            <w:noWrap/>
            <w:vAlign w:val="bottom"/>
            <w:hideMark/>
          </w:tcPr>
          <w:p w14:paraId="0751D28C"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Нето акумулација финансијских средстава [5]</w:t>
            </w:r>
          </w:p>
        </w:tc>
        <w:tc>
          <w:tcPr>
            <w:tcW w:w="1522" w:type="dxa"/>
            <w:tcBorders>
              <w:top w:val="nil"/>
              <w:left w:val="nil"/>
              <w:bottom w:val="dotted" w:sz="4" w:space="0" w:color="auto"/>
              <w:right w:val="single" w:sz="8" w:space="0" w:color="auto"/>
            </w:tcBorders>
            <w:shd w:val="clear" w:color="auto" w:fill="auto"/>
            <w:vAlign w:val="center"/>
            <w:hideMark/>
          </w:tcPr>
          <w:p w14:paraId="690700A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млрд РСД</w:t>
            </w:r>
          </w:p>
        </w:tc>
        <w:tc>
          <w:tcPr>
            <w:tcW w:w="1345" w:type="dxa"/>
            <w:tcBorders>
              <w:top w:val="nil"/>
              <w:left w:val="nil"/>
              <w:bottom w:val="dotted" w:sz="4" w:space="0" w:color="auto"/>
              <w:right w:val="dotted" w:sz="4" w:space="0" w:color="auto"/>
            </w:tcBorders>
            <w:shd w:val="clear" w:color="auto" w:fill="auto"/>
            <w:vAlign w:val="center"/>
            <w:hideMark/>
          </w:tcPr>
          <w:p w14:paraId="4CB0DE8F"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dotted" w:sz="4" w:space="0" w:color="auto"/>
              <w:right w:val="dotted" w:sz="4" w:space="0" w:color="auto"/>
            </w:tcBorders>
            <w:shd w:val="clear" w:color="auto" w:fill="auto"/>
            <w:vAlign w:val="center"/>
            <w:hideMark/>
          </w:tcPr>
          <w:p w14:paraId="3856F04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dotted" w:sz="4" w:space="0" w:color="auto"/>
              <w:right w:val="dotted" w:sz="4" w:space="0" w:color="auto"/>
            </w:tcBorders>
            <w:shd w:val="clear" w:color="auto" w:fill="auto"/>
            <w:vAlign w:val="center"/>
            <w:hideMark/>
          </w:tcPr>
          <w:p w14:paraId="7A4C0BC9"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dotted" w:sz="4" w:space="0" w:color="auto"/>
              <w:right w:val="dotted" w:sz="4" w:space="0" w:color="auto"/>
            </w:tcBorders>
            <w:shd w:val="clear" w:color="auto" w:fill="auto"/>
            <w:vAlign w:val="center"/>
            <w:hideMark/>
          </w:tcPr>
          <w:p w14:paraId="526D08D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dotted" w:sz="4" w:space="0" w:color="auto"/>
              <w:right w:val="dotted" w:sz="4" w:space="0" w:color="auto"/>
            </w:tcBorders>
            <w:shd w:val="clear" w:color="auto" w:fill="auto"/>
            <w:vAlign w:val="center"/>
            <w:hideMark/>
          </w:tcPr>
          <w:p w14:paraId="3BFA076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dotted" w:sz="4" w:space="0" w:color="auto"/>
              <w:right w:val="double" w:sz="6" w:space="0" w:color="auto"/>
            </w:tcBorders>
            <w:shd w:val="clear" w:color="auto" w:fill="auto"/>
            <w:noWrap/>
            <w:vAlign w:val="bottom"/>
            <w:hideMark/>
          </w:tcPr>
          <w:p w14:paraId="01FA3989"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r>
      <w:tr w:rsidR="009B5DE5" w:rsidRPr="009B5DE5" w14:paraId="12DA168B" w14:textId="77777777" w:rsidTr="00396800">
        <w:trPr>
          <w:trHeight w:val="252"/>
        </w:trPr>
        <w:tc>
          <w:tcPr>
            <w:tcW w:w="6928" w:type="dxa"/>
            <w:tcBorders>
              <w:top w:val="dotted" w:sz="4" w:space="0" w:color="auto"/>
              <w:left w:val="double" w:sz="6" w:space="0" w:color="auto"/>
              <w:bottom w:val="dotted" w:sz="4" w:space="0" w:color="auto"/>
              <w:right w:val="single" w:sz="8" w:space="0" w:color="auto"/>
            </w:tcBorders>
            <w:shd w:val="clear" w:color="auto" w:fill="auto"/>
            <w:vAlign w:val="center"/>
            <w:hideMark/>
          </w:tcPr>
          <w:p w14:paraId="33BBC67A" w14:textId="77777777" w:rsidR="009B5DE5" w:rsidRPr="009B5DE5" w:rsidRDefault="009B5DE5" w:rsidP="009B5DE5">
            <w:pPr>
              <w:spacing w:after="0"/>
              <w:jc w:val="left"/>
              <w:rPr>
                <w:rFonts w:eastAsia="Times New Roman" w:cs="Times New Roman"/>
                <w:i/>
                <w:iCs/>
                <w:sz w:val="20"/>
                <w:szCs w:val="20"/>
              </w:rPr>
            </w:pPr>
            <w:r w:rsidRPr="009B5DE5">
              <w:rPr>
                <w:rFonts w:eastAsia="Times New Roman" w:cs="Times New Roman"/>
                <w:i/>
                <w:iCs/>
                <w:sz w:val="20"/>
                <w:szCs w:val="20"/>
              </w:rPr>
              <w:t>од чега:</w:t>
            </w:r>
          </w:p>
        </w:tc>
        <w:tc>
          <w:tcPr>
            <w:tcW w:w="1522" w:type="dxa"/>
            <w:tcBorders>
              <w:top w:val="nil"/>
              <w:left w:val="nil"/>
              <w:bottom w:val="dotted" w:sz="4" w:space="0" w:color="auto"/>
              <w:right w:val="single" w:sz="8" w:space="0" w:color="auto"/>
            </w:tcBorders>
            <w:shd w:val="clear" w:color="auto" w:fill="auto"/>
            <w:vAlign w:val="center"/>
            <w:hideMark/>
          </w:tcPr>
          <w:p w14:paraId="45BA154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345" w:type="dxa"/>
            <w:tcBorders>
              <w:top w:val="nil"/>
              <w:left w:val="nil"/>
              <w:bottom w:val="dotted" w:sz="4" w:space="0" w:color="auto"/>
              <w:right w:val="dotted" w:sz="4" w:space="0" w:color="auto"/>
            </w:tcBorders>
            <w:shd w:val="clear" w:color="auto" w:fill="auto"/>
            <w:vAlign w:val="center"/>
            <w:hideMark/>
          </w:tcPr>
          <w:p w14:paraId="0ECE3DC7"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dotted" w:sz="4" w:space="0" w:color="auto"/>
              <w:right w:val="dotted" w:sz="4" w:space="0" w:color="auto"/>
            </w:tcBorders>
            <w:shd w:val="clear" w:color="auto" w:fill="auto"/>
            <w:vAlign w:val="center"/>
            <w:hideMark/>
          </w:tcPr>
          <w:p w14:paraId="1924A2A2"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dotted" w:sz="4" w:space="0" w:color="auto"/>
              <w:right w:val="dotted" w:sz="4" w:space="0" w:color="auto"/>
            </w:tcBorders>
            <w:shd w:val="clear" w:color="auto" w:fill="auto"/>
            <w:vAlign w:val="center"/>
            <w:hideMark/>
          </w:tcPr>
          <w:p w14:paraId="2D7FE23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dotted" w:sz="4" w:space="0" w:color="auto"/>
              <w:right w:val="dotted" w:sz="4" w:space="0" w:color="auto"/>
            </w:tcBorders>
            <w:shd w:val="clear" w:color="auto" w:fill="auto"/>
            <w:vAlign w:val="center"/>
            <w:hideMark/>
          </w:tcPr>
          <w:p w14:paraId="1E15344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dotted" w:sz="4" w:space="0" w:color="auto"/>
              <w:right w:val="dotted" w:sz="4" w:space="0" w:color="auto"/>
            </w:tcBorders>
            <w:shd w:val="clear" w:color="auto" w:fill="auto"/>
            <w:vAlign w:val="center"/>
            <w:hideMark/>
          </w:tcPr>
          <w:p w14:paraId="2E82CC9A"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dotted" w:sz="4" w:space="0" w:color="auto"/>
              <w:right w:val="double" w:sz="6" w:space="0" w:color="auto"/>
            </w:tcBorders>
            <w:shd w:val="clear" w:color="auto" w:fill="auto"/>
            <w:noWrap/>
            <w:vAlign w:val="bottom"/>
            <w:hideMark/>
          </w:tcPr>
          <w:p w14:paraId="6AEFF6C0"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r>
      <w:tr w:rsidR="009B5DE5" w:rsidRPr="009B5DE5" w14:paraId="2F1319EC" w14:textId="77777777" w:rsidTr="00396800">
        <w:trPr>
          <w:trHeight w:val="252"/>
        </w:trPr>
        <w:tc>
          <w:tcPr>
            <w:tcW w:w="6928" w:type="dxa"/>
            <w:tcBorders>
              <w:top w:val="nil"/>
              <w:left w:val="double" w:sz="6" w:space="0" w:color="auto"/>
              <w:bottom w:val="dotted" w:sz="4" w:space="0" w:color="auto"/>
              <w:right w:val="single" w:sz="8" w:space="0" w:color="auto"/>
            </w:tcBorders>
            <w:shd w:val="clear" w:color="auto" w:fill="auto"/>
            <w:vAlign w:val="center"/>
            <w:hideMark/>
          </w:tcPr>
          <w:p w14:paraId="539F9076"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Приходи од приватизације</w:t>
            </w:r>
          </w:p>
        </w:tc>
        <w:tc>
          <w:tcPr>
            <w:tcW w:w="1522" w:type="dxa"/>
            <w:tcBorders>
              <w:top w:val="nil"/>
              <w:left w:val="nil"/>
              <w:bottom w:val="dotted" w:sz="4" w:space="0" w:color="auto"/>
              <w:right w:val="single" w:sz="8" w:space="0" w:color="auto"/>
            </w:tcBorders>
            <w:shd w:val="clear" w:color="auto" w:fill="auto"/>
            <w:vAlign w:val="center"/>
            <w:hideMark/>
          </w:tcPr>
          <w:p w14:paraId="2B75E10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млрд РСД</w:t>
            </w:r>
          </w:p>
        </w:tc>
        <w:tc>
          <w:tcPr>
            <w:tcW w:w="1345" w:type="dxa"/>
            <w:tcBorders>
              <w:top w:val="nil"/>
              <w:left w:val="nil"/>
              <w:bottom w:val="dotted" w:sz="4" w:space="0" w:color="auto"/>
              <w:right w:val="dotted" w:sz="4" w:space="0" w:color="auto"/>
            </w:tcBorders>
            <w:shd w:val="clear" w:color="auto" w:fill="auto"/>
            <w:vAlign w:val="center"/>
            <w:hideMark/>
          </w:tcPr>
          <w:p w14:paraId="64467B12"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dotted" w:sz="4" w:space="0" w:color="auto"/>
              <w:right w:val="dotted" w:sz="4" w:space="0" w:color="auto"/>
            </w:tcBorders>
            <w:shd w:val="clear" w:color="auto" w:fill="auto"/>
            <w:vAlign w:val="center"/>
            <w:hideMark/>
          </w:tcPr>
          <w:p w14:paraId="7EEC3DD9"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dotted" w:sz="4" w:space="0" w:color="auto"/>
              <w:right w:val="dotted" w:sz="4" w:space="0" w:color="auto"/>
            </w:tcBorders>
            <w:shd w:val="clear" w:color="auto" w:fill="auto"/>
            <w:vAlign w:val="center"/>
            <w:hideMark/>
          </w:tcPr>
          <w:p w14:paraId="480DA5A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dotted" w:sz="4" w:space="0" w:color="auto"/>
              <w:right w:val="dotted" w:sz="4" w:space="0" w:color="auto"/>
            </w:tcBorders>
            <w:shd w:val="clear" w:color="auto" w:fill="auto"/>
            <w:vAlign w:val="center"/>
            <w:hideMark/>
          </w:tcPr>
          <w:p w14:paraId="4E986F80"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dotted" w:sz="4" w:space="0" w:color="auto"/>
              <w:right w:val="dotted" w:sz="4" w:space="0" w:color="auto"/>
            </w:tcBorders>
            <w:shd w:val="clear" w:color="auto" w:fill="auto"/>
            <w:vAlign w:val="center"/>
            <w:hideMark/>
          </w:tcPr>
          <w:p w14:paraId="48FA630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dotted" w:sz="4" w:space="0" w:color="auto"/>
              <w:right w:val="double" w:sz="6" w:space="0" w:color="auto"/>
            </w:tcBorders>
            <w:shd w:val="clear" w:color="auto" w:fill="auto"/>
            <w:noWrap/>
            <w:vAlign w:val="bottom"/>
            <w:hideMark/>
          </w:tcPr>
          <w:p w14:paraId="48B6FCF5"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r>
      <w:tr w:rsidR="009B5DE5" w:rsidRPr="009B5DE5" w14:paraId="045F839C" w14:textId="77777777" w:rsidTr="00396800">
        <w:trPr>
          <w:trHeight w:val="252"/>
        </w:trPr>
        <w:tc>
          <w:tcPr>
            <w:tcW w:w="6928" w:type="dxa"/>
            <w:tcBorders>
              <w:top w:val="nil"/>
              <w:left w:val="double" w:sz="6" w:space="0" w:color="auto"/>
              <w:bottom w:val="single" w:sz="4" w:space="0" w:color="auto"/>
              <w:right w:val="single" w:sz="8" w:space="0" w:color="auto"/>
            </w:tcBorders>
            <w:shd w:val="clear" w:color="auto" w:fill="auto"/>
            <w:noWrap/>
            <w:vAlign w:val="bottom"/>
            <w:hideMark/>
          </w:tcPr>
          <w:p w14:paraId="0AD64130"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Ефекти вредновања и др. [6]</w:t>
            </w:r>
          </w:p>
        </w:tc>
        <w:tc>
          <w:tcPr>
            <w:tcW w:w="1522" w:type="dxa"/>
            <w:tcBorders>
              <w:top w:val="nil"/>
              <w:left w:val="nil"/>
              <w:bottom w:val="dotted" w:sz="4" w:space="0" w:color="auto"/>
              <w:right w:val="single" w:sz="8" w:space="0" w:color="auto"/>
            </w:tcBorders>
            <w:shd w:val="clear" w:color="auto" w:fill="auto"/>
            <w:vAlign w:val="center"/>
            <w:hideMark/>
          </w:tcPr>
          <w:p w14:paraId="588F88B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млрд РСД</w:t>
            </w:r>
          </w:p>
        </w:tc>
        <w:tc>
          <w:tcPr>
            <w:tcW w:w="1345" w:type="dxa"/>
            <w:tcBorders>
              <w:top w:val="nil"/>
              <w:left w:val="nil"/>
              <w:bottom w:val="single" w:sz="4" w:space="0" w:color="auto"/>
              <w:right w:val="dotted" w:sz="4" w:space="0" w:color="auto"/>
            </w:tcBorders>
            <w:shd w:val="clear" w:color="auto" w:fill="auto"/>
            <w:vAlign w:val="center"/>
            <w:hideMark/>
          </w:tcPr>
          <w:p w14:paraId="157D53EA"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single" w:sz="4" w:space="0" w:color="auto"/>
              <w:right w:val="dotted" w:sz="4" w:space="0" w:color="auto"/>
            </w:tcBorders>
            <w:shd w:val="clear" w:color="auto" w:fill="auto"/>
            <w:vAlign w:val="center"/>
            <w:hideMark/>
          </w:tcPr>
          <w:p w14:paraId="0408F3A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single" w:sz="4" w:space="0" w:color="auto"/>
              <w:right w:val="dotted" w:sz="4" w:space="0" w:color="auto"/>
            </w:tcBorders>
            <w:shd w:val="clear" w:color="auto" w:fill="auto"/>
            <w:vAlign w:val="center"/>
            <w:hideMark/>
          </w:tcPr>
          <w:p w14:paraId="6678179F"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single" w:sz="4" w:space="0" w:color="auto"/>
              <w:right w:val="dotted" w:sz="4" w:space="0" w:color="auto"/>
            </w:tcBorders>
            <w:shd w:val="clear" w:color="auto" w:fill="auto"/>
            <w:vAlign w:val="center"/>
            <w:hideMark/>
          </w:tcPr>
          <w:p w14:paraId="282F135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single" w:sz="4" w:space="0" w:color="auto"/>
              <w:right w:val="dotted" w:sz="4" w:space="0" w:color="auto"/>
            </w:tcBorders>
            <w:shd w:val="clear" w:color="auto" w:fill="auto"/>
            <w:vAlign w:val="center"/>
            <w:hideMark/>
          </w:tcPr>
          <w:p w14:paraId="3104DB20"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single" w:sz="4" w:space="0" w:color="auto"/>
              <w:right w:val="double" w:sz="6" w:space="0" w:color="auto"/>
            </w:tcBorders>
            <w:shd w:val="clear" w:color="auto" w:fill="auto"/>
            <w:noWrap/>
            <w:vAlign w:val="bottom"/>
            <w:hideMark/>
          </w:tcPr>
          <w:p w14:paraId="2257262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r>
      <w:tr w:rsidR="009B5DE5" w:rsidRPr="009B5DE5" w14:paraId="318D5C79" w14:textId="77777777" w:rsidTr="00396800">
        <w:trPr>
          <w:trHeight w:val="252"/>
        </w:trPr>
        <w:tc>
          <w:tcPr>
            <w:tcW w:w="6928" w:type="dxa"/>
            <w:tcBorders>
              <w:top w:val="nil"/>
              <w:left w:val="double" w:sz="6" w:space="0" w:color="auto"/>
              <w:bottom w:val="single" w:sz="4" w:space="0" w:color="auto"/>
              <w:right w:val="nil"/>
            </w:tcBorders>
            <w:shd w:val="clear" w:color="auto" w:fill="auto"/>
            <w:vAlign w:val="center"/>
            <w:hideMark/>
          </w:tcPr>
          <w:p w14:paraId="5F489830" w14:textId="77777777" w:rsidR="009B5DE5" w:rsidRPr="009B5DE5" w:rsidRDefault="009B5DE5" w:rsidP="009B5DE5">
            <w:pPr>
              <w:spacing w:after="0"/>
              <w:jc w:val="left"/>
              <w:rPr>
                <w:rFonts w:eastAsia="Times New Roman" w:cs="Times New Roman"/>
                <w:b/>
                <w:bCs/>
                <w:sz w:val="20"/>
                <w:szCs w:val="20"/>
              </w:rPr>
            </w:pPr>
            <w:r w:rsidRPr="009B5DE5">
              <w:rPr>
                <w:rFonts w:eastAsia="Times New Roman" w:cs="Times New Roman"/>
                <w:b/>
                <w:bCs/>
                <w:sz w:val="20"/>
                <w:szCs w:val="20"/>
              </w:rPr>
              <w:t>Остале релевантне променљиве</w:t>
            </w:r>
          </w:p>
        </w:tc>
        <w:tc>
          <w:tcPr>
            <w:tcW w:w="1522"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F036331" w14:textId="77777777" w:rsidR="009B5DE5" w:rsidRPr="009B5DE5" w:rsidRDefault="009B5DE5" w:rsidP="009B5DE5">
            <w:pPr>
              <w:spacing w:after="0"/>
              <w:jc w:val="center"/>
              <w:rPr>
                <w:rFonts w:eastAsia="Times New Roman" w:cs="Times New Roman"/>
                <w:b/>
                <w:bCs/>
                <w:sz w:val="20"/>
                <w:szCs w:val="20"/>
              </w:rPr>
            </w:pPr>
            <w:r w:rsidRPr="009B5DE5">
              <w:rPr>
                <w:rFonts w:eastAsia="Times New Roman" w:cs="Times New Roman"/>
                <w:b/>
                <w:bCs/>
                <w:sz w:val="20"/>
                <w:szCs w:val="20"/>
              </w:rPr>
              <w:t> </w:t>
            </w:r>
          </w:p>
        </w:tc>
        <w:tc>
          <w:tcPr>
            <w:tcW w:w="1345" w:type="dxa"/>
            <w:tcBorders>
              <w:top w:val="nil"/>
              <w:left w:val="nil"/>
              <w:bottom w:val="single" w:sz="4" w:space="0" w:color="auto"/>
              <w:right w:val="nil"/>
            </w:tcBorders>
            <w:shd w:val="clear" w:color="auto" w:fill="auto"/>
            <w:vAlign w:val="center"/>
            <w:hideMark/>
          </w:tcPr>
          <w:p w14:paraId="4001555F"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c>
          <w:tcPr>
            <w:tcW w:w="1035" w:type="dxa"/>
            <w:tcBorders>
              <w:top w:val="nil"/>
              <w:left w:val="nil"/>
              <w:bottom w:val="single" w:sz="4" w:space="0" w:color="auto"/>
              <w:right w:val="nil"/>
            </w:tcBorders>
            <w:shd w:val="clear" w:color="auto" w:fill="auto"/>
            <w:vAlign w:val="center"/>
            <w:hideMark/>
          </w:tcPr>
          <w:p w14:paraId="0E35000C"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c>
          <w:tcPr>
            <w:tcW w:w="1035" w:type="dxa"/>
            <w:tcBorders>
              <w:top w:val="nil"/>
              <w:left w:val="nil"/>
              <w:bottom w:val="single" w:sz="4" w:space="0" w:color="auto"/>
              <w:right w:val="nil"/>
            </w:tcBorders>
            <w:shd w:val="clear" w:color="auto" w:fill="auto"/>
            <w:vAlign w:val="center"/>
            <w:hideMark/>
          </w:tcPr>
          <w:p w14:paraId="224F7A5E"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c>
          <w:tcPr>
            <w:tcW w:w="1035" w:type="dxa"/>
            <w:tcBorders>
              <w:top w:val="nil"/>
              <w:left w:val="nil"/>
              <w:bottom w:val="single" w:sz="4" w:space="0" w:color="auto"/>
              <w:right w:val="nil"/>
            </w:tcBorders>
            <w:shd w:val="clear" w:color="auto" w:fill="auto"/>
            <w:vAlign w:val="center"/>
            <w:hideMark/>
          </w:tcPr>
          <w:p w14:paraId="5E162FDA"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c>
          <w:tcPr>
            <w:tcW w:w="1035" w:type="dxa"/>
            <w:tcBorders>
              <w:top w:val="nil"/>
              <w:left w:val="nil"/>
              <w:bottom w:val="single" w:sz="4" w:space="0" w:color="auto"/>
              <w:right w:val="nil"/>
            </w:tcBorders>
            <w:shd w:val="clear" w:color="auto" w:fill="auto"/>
            <w:vAlign w:val="center"/>
            <w:hideMark/>
          </w:tcPr>
          <w:p w14:paraId="1436B7E2"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c>
          <w:tcPr>
            <w:tcW w:w="1035" w:type="dxa"/>
            <w:tcBorders>
              <w:top w:val="nil"/>
              <w:left w:val="nil"/>
              <w:bottom w:val="single" w:sz="4" w:space="0" w:color="auto"/>
              <w:right w:val="double" w:sz="6" w:space="0" w:color="auto"/>
            </w:tcBorders>
            <w:shd w:val="clear" w:color="auto" w:fill="auto"/>
            <w:noWrap/>
            <w:vAlign w:val="bottom"/>
            <w:hideMark/>
          </w:tcPr>
          <w:p w14:paraId="12390BFB"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r>
      <w:tr w:rsidR="009B5DE5" w:rsidRPr="009B5DE5" w14:paraId="47D8FBDC" w14:textId="77777777" w:rsidTr="00396800">
        <w:trPr>
          <w:trHeight w:val="267"/>
        </w:trPr>
        <w:tc>
          <w:tcPr>
            <w:tcW w:w="6928" w:type="dxa"/>
            <w:tcBorders>
              <w:top w:val="nil"/>
              <w:left w:val="double" w:sz="6" w:space="0" w:color="auto"/>
              <w:bottom w:val="double" w:sz="6" w:space="0" w:color="auto"/>
              <w:right w:val="single" w:sz="8" w:space="0" w:color="auto"/>
            </w:tcBorders>
            <w:shd w:val="clear" w:color="auto" w:fill="auto"/>
            <w:noWrap/>
            <w:vAlign w:val="bottom"/>
            <w:hideMark/>
          </w:tcPr>
          <w:p w14:paraId="172161F4" w14:textId="77777777" w:rsidR="009B5DE5" w:rsidRPr="009B5DE5" w:rsidRDefault="00F03833" w:rsidP="009B5DE5">
            <w:pPr>
              <w:spacing w:after="0"/>
              <w:jc w:val="left"/>
              <w:rPr>
                <w:rFonts w:eastAsia="Times New Roman" w:cs="Times New Roman"/>
                <w:sz w:val="20"/>
                <w:szCs w:val="20"/>
              </w:rPr>
            </w:pPr>
            <w:hyperlink r:id="rId50" w:anchor="RANGE!B179" w:history="1">
              <w:r w:rsidR="009B5DE5" w:rsidRPr="009B5DE5">
                <w:rPr>
                  <w:rFonts w:eastAsia="Times New Roman" w:cs="Times New Roman"/>
                  <w:sz w:val="20"/>
                  <w:szCs w:val="20"/>
                </w:rPr>
                <w:t>6. Ликвидна финансијска средства [8]</w:t>
              </w:r>
            </w:hyperlink>
          </w:p>
        </w:tc>
        <w:tc>
          <w:tcPr>
            <w:tcW w:w="1522" w:type="dxa"/>
            <w:tcBorders>
              <w:top w:val="nil"/>
              <w:left w:val="nil"/>
              <w:bottom w:val="double" w:sz="6" w:space="0" w:color="auto"/>
              <w:right w:val="single" w:sz="8" w:space="0" w:color="auto"/>
            </w:tcBorders>
            <w:shd w:val="clear" w:color="auto" w:fill="auto"/>
            <w:vAlign w:val="center"/>
            <w:hideMark/>
          </w:tcPr>
          <w:p w14:paraId="76B798D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млрд РСД</w:t>
            </w:r>
          </w:p>
        </w:tc>
        <w:tc>
          <w:tcPr>
            <w:tcW w:w="1345" w:type="dxa"/>
            <w:tcBorders>
              <w:top w:val="nil"/>
              <w:left w:val="nil"/>
              <w:bottom w:val="double" w:sz="6" w:space="0" w:color="auto"/>
              <w:right w:val="dotted" w:sz="4" w:space="0" w:color="auto"/>
            </w:tcBorders>
            <w:shd w:val="clear" w:color="auto" w:fill="auto"/>
            <w:vAlign w:val="center"/>
            <w:hideMark/>
          </w:tcPr>
          <w:p w14:paraId="7C706492"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double" w:sz="6" w:space="0" w:color="auto"/>
              <w:right w:val="dotted" w:sz="4" w:space="0" w:color="auto"/>
            </w:tcBorders>
            <w:shd w:val="clear" w:color="auto" w:fill="auto"/>
            <w:vAlign w:val="center"/>
            <w:hideMark/>
          </w:tcPr>
          <w:p w14:paraId="7ECF32D7"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double" w:sz="6" w:space="0" w:color="auto"/>
              <w:right w:val="dotted" w:sz="4" w:space="0" w:color="auto"/>
            </w:tcBorders>
            <w:shd w:val="clear" w:color="auto" w:fill="auto"/>
            <w:vAlign w:val="center"/>
            <w:hideMark/>
          </w:tcPr>
          <w:p w14:paraId="6DDE616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double" w:sz="6" w:space="0" w:color="auto"/>
              <w:right w:val="dotted" w:sz="4" w:space="0" w:color="auto"/>
            </w:tcBorders>
            <w:shd w:val="clear" w:color="auto" w:fill="auto"/>
            <w:vAlign w:val="center"/>
            <w:hideMark/>
          </w:tcPr>
          <w:p w14:paraId="074BC400"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double" w:sz="6" w:space="0" w:color="auto"/>
              <w:right w:val="dotted" w:sz="4" w:space="0" w:color="auto"/>
            </w:tcBorders>
            <w:shd w:val="clear" w:color="auto" w:fill="auto"/>
            <w:vAlign w:val="center"/>
            <w:hideMark/>
          </w:tcPr>
          <w:p w14:paraId="00AAF92A"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035" w:type="dxa"/>
            <w:tcBorders>
              <w:top w:val="nil"/>
              <w:left w:val="nil"/>
              <w:bottom w:val="double" w:sz="6" w:space="0" w:color="auto"/>
              <w:right w:val="double" w:sz="6" w:space="0" w:color="auto"/>
            </w:tcBorders>
            <w:shd w:val="clear" w:color="auto" w:fill="auto"/>
            <w:noWrap/>
            <w:vAlign w:val="bottom"/>
            <w:hideMark/>
          </w:tcPr>
          <w:p w14:paraId="3A256679"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r>
    </w:tbl>
    <w:p w14:paraId="6A430C4C" w14:textId="77777777" w:rsidR="009B5DE5" w:rsidRPr="009B5DE5" w:rsidRDefault="009B5DE5" w:rsidP="009B5DE5">
      <w:pPr>
        <w:spacing w:after="0"/>
        <w:jc w:val="left"/>
        <w:rPr>
          <w:rFonts w:eastAsia="Times New Roman" w:cs="Times New Roman"/>
          <w:bCs/>
          <w:sz w:val="22"/>
        </w:rPr>
      </w:pPr>
    </w:p>
    <w:tbl>
      <w:tblPr>
        <w:tblW w:w="9360" w:type="dxa"/>
        <w:tblLook w:val="04A0" w:firstRow="1" w:lastRow="0" w:firstColumn="1" w:lastColumn="0" w:noHBand="0" w:noVBand="1"/>
      </w:tblPr>
      <w:tblGrid>
        <w:gridCol w:w="9360"/>
      </w:tblGrid>
      <w:tr w:rsidR="009B5DE5" w:rsidRPr="009B5DE5" w14:paraId="72D8D023" w14:textId="77777777" w:rsidTr="009B5DE5">
        <w:trPr>
          <w:trHeight w:val="255"/>
        </w:trPr>
        <w:tc>
          <w:tcPr>
            <w:tcW w:w="9360" w:type="dxa"/>
            <w:tcBorders>
              <w:top w:val="nil"/>
              <w:left w:val="nil"/>
              <w:bottom w:val="nil"/>
              <w:right w:val="nil"/>
            </w:tcBorders>
            <w:shd w:val="clear" w:color="auto" w:fill="auto"/>
            <w:noWrap/>
            <w:vAlign w:val="center"/>
            <w:hideMark/>
          </w:tcPr>
          <w:p w14:paraId="293BB699"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[1]   Као што је дефинисано у Уредби 3605/93 (није појам из ESA).</w:t>
            </w:r>
          </w:p>
        </w:tc>
      </w:tr>
      <w:tr w:rsidR="009B5DE5" w:rsidRPr="009B5DE5" w14:paraId="14F7F1E0" w14:textId="77777777" w:rsidTr="009B5DE5">
        <w:trPr>
          <w:trHeight w:val="255"/>
        </w:trPr>
        <w:tc>
          <w:tcPr>
            <w:tcW w:w="9360" w:type="dxa"/>
            <w:tcBorders>
              <w:top w:val="nil"/>
              <w:left w:val="nil"/>
              <w:bottom w:val="nil"/>
              <w:right w:val="nil"/>
            </w:tcBorders>
            <w:shd w:val="clear" w:color="auto" w:fill="auto"/>
            <w:noWrap/>
            <w:vAlign w:val="center"/>
            <w:hideMark/>
          </w:tcPr>
          <w:p w14:paraId="02B5D6A4"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[4]   Где је то релевантно, може се направити разлика између расхода на камату, других расхода и прихода.</w:t>
            </w:r>
          </w:p>
        </w:tc>
      </w:tr>
      <w:tr w:rsidR="009B5DE5" w:rsidRPr="009B5DE5" w14:paraId="2D540DDC" w14:textId="77777777" w:rsidTr="009B5DE5">
        <w:trPr>
          <w:trHeight w:val="255"/>
        </w:trPr>
        <w:tc>
          <w:tcPr>
            <w:tcW w:w="9360" w:type="dxa"/>
            <w:tcBorders>
              <w:top w:val="nil"/>
              <w:left w:val="nil"/>
              <w:bottom w:val="nil"/>
              <w:right w:val="nil"/>
            </w:tcBorders>
            <w:shd w:val="clear" w:color="auto" w:fill="auto"/>
            <w:noWrap/>
            <w:vAlign w:val="center"/>
            <w:hideMark/>
          </w:tcPr>
          <w:p w14:paraId="0706DCDF"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[5]   Где је то релевантно, може се направити разлика између ликвидних средстава, средстава у трећим државама, предузећа под контролом државе, и котираних и некотираних средстава.</w:t>
            </w:r>
          </w:p>
        </w:tc>
      </w:tr>
      <w:tr w:rsidR="009B5DE5" w:rsidRPr="009B5DE5" w14:paraId="1F32AF1A" w14:textId="77777777" w:rsidTr="009B5DE5">
        <w:trPr>
          <w:trHeight w:val="255"/>
        </w:trPr>
        <w:tc>
          <w:tcPr>
            <w:tcW w:w="9360" w:type="dxa"/>
            <w:tcBorders>
              <w:top w:val="nil"/>
              <w:left w:val="nil"/>
              <w:bottom w:val="nil"/>
              <w:right w:val="nil"/>
            </w:tcBorders>
            <w:shd w:val="clear" w:color="auto" w:fill="auto"/>
            <w:noWrap/>
            <w:vAlign w:val="center"/>
            <w:hideMark/>
          </w:tcPr>
          <w:p w14:paraId="0CA48944"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[6]  Где је то релевантно, може се направити разлика између промена услед кретања девизног курса и операција на секундарном тржишту.</w:t>
            </w:r>
          </w:p>
        </w:tc>
      </w:tr>
      <w:tr w:rsidR="009B5DE5" w:rsidRPr="009B5DE5" w14:paraId="628F055A" w14:textId="77777777" w:rsidTr="009B5DE5">
        <w:trPr>
          <w:trHeight w:val="255"/>
        </w:trPr>
        <w:tc>
          <w:tcPr>
            <w:tcW w:w="9360" w:type="dxa"/>
            <w:tcBorders>
              <w:top w:val="nil"/>
              <w:left w:val="nil"/>
              <w:bottom w:val="nil"/>
              <w:right w:val="nil"/>
            </w:tcBorders>
            <w:shd w:val="clear" w:color="auto" w:fill="auto"/>
            <w:noWrap/>
            <w:vAlign w:val="center"/>
            <w:hideMark/>
          </w:tcPr>
          <w:p w14:paraId="7674312A"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[8]   AF1, AF2, AF3 (консолидовани по тржишној вредности, AF5 (уколико су котирани на берзи; укључујући акције узајамних фондова).</w:t>
            </w:r>
          </w:p>
        </w:tc>
      </w:tr>
    </w:tbl>
    <w:p w14:paraId="23CD3985" w14:textId="77777777" w:rsidR="009B5DE5" w:rsidRPr="009B5DE5" w:rsidRDefault="009B5DE5" w:rsidP="009B5DE5">
      <w:pPr>
        <w:spacing w:after="0"/>
        <w:jc w:val="left"/>
        <w:rPr>
          <w:rFonts w:eastAsia="Times New Roman" w:cs="Times New Roman"/>
          <w:bCs/>
          <w:sz w:val="22"/>
        </w:rPr>
      </w:pPr>
    </w:p>
    <w:p w14:paraId="13246568" w14:textId="77777777" w:rsidR="009B5DE5" w:rsidRPr="009B5DE5" w:rsidRDefault="009B5DE5" w:rsidP="009B5DE5">
      <w:pPr>
        <w:spacing w:after="0"/>
        <w:jc w:val="left"/>
        <w:rPr>
          <w:rFonts w:eastAsia="Times New Roman" w:cs="Times New Roman"/>
          <w:bCs/>
          <w:sz w:val="22"/>
        </w:rPr>
      </w:pPr>
    </w:p>
    <w:p w14:paraId="76530232" w14:textId="77777777" w:rsidR="009B5DE5" w:rsidRPr="009B5DE5" w:rsidRDefault="009B5DE5" w:rsidP="009B5DE5">
      <w:pPr>
        <w:spacing w:after="0"/>
        <w:jc w:val="left"/>
        <w:rPr>
          <w:rFonts w:eastAsia="Times New Roman" w:cs="Times New Roman"/>
          <w:bCs/>
          <w:sz w:val="22"/>
        </w:rPr>
      </w:pPr>
    </w:p>
    <w:p w14:paraId="698839F0" w14:textId="77777777" w:rsidR="009B5DE5" w:rsidRPr="009B5DE5" w:rsidRDefault="009B5DE5" w:rsidP="009B5DE5">
      <w:pPr>
        <w:spacing w:after="0"/>
        <w:jc w:val="left"/>
        <w:rPr>
          <w:rFonts w:eastAsia="Times New Roman" w:cs="Times New Roman"/>
          <w:bCs/>
          <w:sz w:val="22"/>
        </w:rPr>
      </w:pPr>
    </w:p>
    <w:p w14:paraId="2A239D1B" w14:textId="77777777" w:rsidR="009B5DE5" w:rsidRPr="009B5DE5" w:rsidRDefault="009B5DE5" w:rsidP="009B5DE5">
      <w:pPr>
        <w:spacing w:after="0"/>
        <w:jc w:val="left"/>
        <w:rPr>
          <w:rFonts w:eastAsia="Times New Roman" w:cs="Times New Roman"/>
          <w:bCs/>
          <w:sz w:val="22"/>
        </w:rPr>
      </w:pPr>
    </w:p>
    <w:p w14:paraId="334EE462" w14:textId="77777777" w:rsidR="009B5DE5" w:rsidRPr="009B5DE5" w:rsidRDefault="009B5DE5" w:rsidP="009B5DE5">
      <w:pPr>
        <w:spacing w:after="0"/>
        <w:jc w:val="left"/>
        <w:rPr>
          <w:rFonts w:eastAsia="Times New Roman" w:cs="Times New Roman"/>
          <w:bCs/>
          <w:sz w:val="22"/>
        </w:rPr>
      </w:pPr>
    </w:p>
    <w:p w14:paraId="749C59B1" w14:textId="77777777" w:rsidR="009B5DE5" w:rsidRPr="009B5DE5" w:rsidRDefault="009B5DE5" w:rsidP="009B5DE5">
      <w:pPr>
        <w:spacing w:after="0"/>
        <w:jc w:val="left"/>
        <w:rPr>
          <w:rFonts w:eastAsia="Times New Roman" w:cs="Times New Roman"/>
          <w:bCs/>
          <w:sz w:val="22"/>
        </w:rPr>
      </w:pPr>
    </w:p>
    <w:p w14:paraId="2D29D031" w14:textId="77777777" w:rsidR="009B5DE5" w:rsidRPr="009B5DE5" w:rsidRDefault="009B5DE5" w:rsidP="009B5DE5">
      <w:pPr>
        <w:spacing w:after="0"/>
        <w:jc w:val="left"/>
        <w:rPr>
          <w:rFonts w:eastAsia="Times New Roman" w:cs="Times New Roman"/>
          <w:bCs/>
          <w:sz w:val="22"/>
        </w:rPr>
      </w:pPr>
    </w:p>
    <w:p w14:paraId="3824A910" w14:textId="77777777" w:rsidR="009B5DE5" w:rsidRPr="009B5DE5" w:rsidRDefault="009B5DE5" w:rsidP="009B5DE5">
      <w:pPr>
        <w:spacing w:after="0"/>
        <w:jc w:val="left"/>
        <w:rPr>
          <w:rFonts w:eastAsia="Times New Roman" w:cs="Times New Roman"/>
          <w:bCs/>
          <w:sz w:val="22"/>
        </w:rPr>
      </w:pPr>
    </w:p>
    <w:p w14:paraId="7176ACAB" w14:textId="77777777" w:rsidR="009B5DE5" w:rsidRPr="009B5DE5" w:rsidRDefault="009B5DE5" w:rsidP="009B5DE5">
      <w:pPr>
        <w:spacing w:after="0"/>
        <w:jc w:val="left"/>
        <w:rPr>
          <w:rFonts w:eastAsia="Times New Roman" w:cs="Times New Roman"/>
          <w:bCs/>
          <w:sz w:val="22"/>
        </w:rPr>
      </w:pPr>
    </w:p>
    <w:p w14:paraId="70CAFE80" w14:textId="77777777" w:rsidR="009B5DE5" w:rsidRPr="009B5DE5" w:rsidRDefault="009B5DE5" w:rsidP="009B5DE5">
      <w:pPr>
        <w:spacing w:after="0"/>
        <w:jc w:val="left"/>
        <w:rPr>
          <w:rFonts w:eastAsia="Times New Roman" w:cs="Times New Roman"/>
          <w:bCs/>
          <w:sz w:val="22"/>
        </w:rPr>
      </w:pPr>
    </w:p>
    <w:p w14:paraId="3692615F" w14:textId="77777777" w:rsidR="009B5DE5" w:rsidRDefault="009B5DE5" w:rsidP="009B5DE5">
      <w:pPr>
        <w:spacing w:after="0"/>
        <w:jc w:val="left"/>
        <w:rPr>
          <w:rFonts w:eastAsia="Times New Roman" w:cs="Times New Roman"/>
          <w:bCs/>
          <w:sz w:val="22"/>
        </w:rPr>
      </w:pPr>
    </w:p>
    <w:p w14:paraId="28AE5081" w14:textId="77777777" w:rsidR="00396800" w:rsidRDefault="00396800" w:rsidP="009B5DE5">
      <w:pPr>
        <w:spacing w:after="0"/>
        <w:jc w:val="left"/>
        <w:rPr>
          <w:rFonts w:eastAsia="Times New Roman" w:cs="Times New Roman"/>
          <w:bCs/>
          <w:sz w:val="22"/>
        </w:rPr>
      </w:pPr>
    </w:p>
    <w:p w14:paraId="42533A48" w14:textId="77777777" w:rsidR="00396800" w:rsidRPr="009B5DE5" w:rsidRDefault="00396800" w:rsidP="009B5DE5">
      <w:pPr>
        <w:spacing w:after="0"/>
        <w:jc w:val="left"/>
        <w:rPr>
          <w:rFonts w:eastAsia="Times New Roman" w:cs="Times New Roman"/>
          <w:bCs/>
          <w:sz w:val="22"/>
        </w:rPr>
      </w:pPr>
    </w:p>
    <w:p w14:paraId="0DEFB8B2" w14:textId="77777777" w:rsidR="009B5DE5" w:rsidRPr="009B5DE5" w:rsidRDefault="009B5DE5" w:rsidP="009B5DE5">
      <w:pPr>
        <w:spacing w:after="0"/>
        <w:jc w:val="left"/>
        <w:rPr>
          <w:rFonts w:eastAsia="Times New Roman" w:cs="Times New Roman"/>
          <w:bCs/>
          <w:sz w:val="22"/>
        </w:rPr>
      </w:pPr>
    </w:p>
    <w:tbl>
      <w:tblPr>
        <w:tblW w:w="15019" w:type="dxa"/>
        <w:tblLook w:val="04A0" w:firstRow="1" w:lastRow="0" w:firstColumn="1" w:lastColumn="0" w:noHBand="0" w:noVBand="1"/>
      </w:tblPr>
      <w:tblGrid>
        <w:gridCol w:w="6492"/>
        <w:gridCol w:w="1270"/>
        <w:gridCol w:w="1338"/>
        <w:gridCol w:w="1624"/>
        <w:gridCol w:w="1401"/>
        <w:gridCol w:w="1443"/>
        <w:gridCol w:w="1451"/>
      </w:tblGrid>
      <w:tr w:rsidR="009B5DE5" w:rsidRPr="009B5DE5" w14:paraId="07159264" w14:textId="77777777" w:rsidTr="00396800">
        <w:trPr>
          <w:trHeight w:val="360"/>
        </w:trPr>
        <w:tc>
          <w:tcPr>
            <w:tcW w:w="6492" w:type="dxa"/>
            <w:vMerge w:val="restart"/>
            <w:tcBorders>
              <w:top w:val="double" w:sz="6" w:space="0" w:color="auto"/>
              <w:left w:val="double" w:sz="6" w:space="0" w:color="auto"/>
              <w:bottom w:val="single" w:sz="8" w:space="0" w:color="000000"/>
              <w:right w:val="dotted" w:sz="4" w:space="0" w:color="auto"/>
            </w:tcBorders>
            <w:shd w:val="clear" w:color="000000" w:fill="FFFFFF"/>
            <w:vAlign w:val="center"/>
            <w:hideMark/>
          </w:tcPr>
          <w:p w14:paraId="408D44A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lastRenderedPageBreak/>
              <w:t>% БДП</w:t>
            </w:r>
          </w:p>
        </w:tc>
        <w:tc>
          <w:tcPr>
            <w:tcW w:w="1270" w:type="dxa"/>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14:paraId="068F992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ESA шифра</w:t>
            </w:r>
          </w:p>
        </w:tc>
        <w:tc>
          <w:tcPr>
            <w:tcW w:w="1338" w:type="dxa"/>
            <w:tcBorders>
              <w:top w:val="double" w:sz="6" w:space="0" w:color="auto"/>
              <w:left w:val="nil"/>
              <w:bottom w:val="nil"/>
              <w:right w:val="dotted" w:sz="4" w:space="0" w:color="auto"/>
            </w:tcBorders>
            <w:shd w:val="clear" w:color="000000" w:fill="FFFFFF"/>
            <w:vAlign w:val="center"/>
            <w:hideMark/>
          </w:tcPr>
          <w:p w14:paraId="4DF348E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Година</w:t>
            </w:r>
          </w:p>
        </w:tc>
        <w:tc>
          <w:tcPr>
            <w:tcW w:w="1624" w:type="dxa"/>
            <w:tcBorders>
              <w:top w:val="double" w:sz="6" w:space="0" w:color="auto"/>
              <w:left w:val="nil"/>
              <w:bottom w:val="nil"/>
              <w:right w:val="dotted" w:sz="4" w:space="0" w:color="auto"/>
            </w:tcBorders>
            <w:shd w:val="clear" w:color="000000" w:fill="FFFFFF"/>
            <w:vAlign w:val="center"/>
            <w:hideMark/>
          </w:tcPr>
          <w:p w14:paraId="093FC62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Година</w:t>
            </w:r>
          </w:p>
        </w:tc>
        <w:tc>
          <w:tcPr>
            <w:tcW w:w="1401" w:type="dxa"/>
            <w:tcBorders>
              <w:top w:val="double" w:sz="6" w:space="0" w:color="auto"/>
              <w:left w:val="nil"/>
              <w:bottom w:val="nil"/>
              <w:right w:val="dotted" w:sz="4" w:space="0" w:color="auto"/>
            </w:tcBorders>
            <w:shd w:val="clear" w:color="000000" w:fill="FFFFFF"/>
            <w:vAlign w:val="center"/>
            <w:hideMark/>
          </w:tcPr>
          <w:p w14:paraId="6EA21EB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Година</w:t>
            </w:r>
          </w:p>
        </w:tc>
        <w:tc>
          <w:tcPr>
            <w:tcW w:w="1443" w:type="dxa"/>
            <w:tcBorders>
              <w:top w:val="double" w:sz="6" w:space="0" w:color="auto"/>
              <w:left w:val="nil"/>
              <w:bottom w:val="nil"/>
              <w:right w:val="dotted" w:sz="4" w:space="0" w:color="auto"/>
            </w:tcBorders>
            <w:shd w:val="clear" w:color="000000" w:fill="FFFFFF"/>
            <w:vAlign w:val="center"/>
            <w:hideMark/>
          </w:tcPr>
          <w:p w14:paraId="5C8103B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Година</w:t>
            </w:r>
          </w:p>
        </w:tc>
        <w:tc>
          <w:tcPr>
            <w:tcW w:w="1447" w:type="dxa"/>
            <w:tcBorders>
              <w:top w:val="double" w:sz="6" w:space="0" w:color="auto"/>
              <w:left w:val="nil"/>
              <w:bottom w:val="nil"/>
              <w:right w:val="double" w:sz="6" w:space="0" w:color="auto"/>
            </w:tcBorders>
            <w:shd w:val="clear" w:color="000000" w:fill="FFFFFF"/>
            <w:vAlign w:val="center"/>
            <w:hideMark/>
          </w:tcPr>
          <w:p w14:paraId="5C781DA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Година</w:t>
            </w:r>
          </w:p>
        </w:tc>
      </w:tr>
      <w:tr w:rsidR="009B5DE5" w:rsidRPr="009B5DE5" w14:paraId="052680FD" w14:textId="77777777" w:rsidTr="00396800">
        <w:trPr>
          <w:trHeight w:val="360"/>
        </w:trPr>
        <w:tc>
          <w:tcPr>
            <w:tcW w:w="6492" w:type="dxa"/>
            <w:vMerge/>
            <w:tcBorders>
              <w:top w:val="double" w:sz="6" w:space="0" w:color="auto"/>
              <w:left w:val="double" w:sz="6" w:space="0" w:color="auto"/>
              <w:bottom w:val="single" w:sz="8" w:space="0" w:color="000000"/>
              <w:right w:val="dotted" w:sz="4" w:space="0" w:color="auto"/>
            </w:tcBorders>
            <w:vAlign w:val="center"/>
            <w:hideMark/>
          </w:tcPr>
          <w:p w14:paraId="619DC531" w14:textId="77777777" w:rsidR="009B5DE5" w:rsidRPr="009B5DE5" w:rsidRDefault="009B5DE5" w:rsidP="009B5DE5">
            <w:pPr>
              <w:spacing w:after="0"/>
              <w:jc w:val="left"/>
              <w:rPr>
                <w:rFonts w:eastAsia="Times New Roman" w:cs="Times New Roman"/>
                <w:szCs w:val="24"/>
              </w:rPr>
            </w:pPr>
          </w:p>
        </w:tc>
        <w:tc>
          <w:tcPr>
            <w:tcW w:w="1270" w:type="dxa"/>
            <w:vMerge/>
            <w:tcBorders>
              <w:top w:val="double" w:sz="6" w:space="0" w:color="auto"/>
              <w:left w:val="dotted" w:sz="4" w:space="0" w:color="auto"/>
              <w:bottom w:val="single" w:sz="8" w:space="0" w:color="000000"/>
              <w:right w:val="single" w:sz="8" w:space="0" w:color="auto"/>
            </w:tcBorders>
            <w:vAlign w:val="center"/>
            <w:hideMark/>
          </w:tcPr>
          <w:p w14:paraId="7CA2D1D9" w14:textId="77777777" w:rsidR="009B5DE5" w:rsidRPr="009B5DE5" w:rsidRDefault="009B5DE5" w:rsidP="009B5DE5">
            <w:pPr>
              <w:spacing w:after="0"/>
              <w:jc w:val="left"/>
              <w:rPr>
                <w:rFonts w:eastAsia="Times New Roman" w:cs="Times New Roman"/>
                <w:szCs w:val="24"/>
              </w:rPr>
            </w:pPr>
          </w:p>
        </w:tc>
        <w:tc>
          <w:tcPr>
            <w:tcW w:w="1338" w:type="dxa"/>
            <w:tcBorders>
              <w:top w:val="nil"/>
              <w:left w:val="nil"/>
              <w:bottom w:val="single" w:sz="8" w:space="0" w:color="auto"/>
              <w:right w:val="dotted" w:sz="4" w:space="0" w:color="auto"/>
            </w:tcBorders>
            <w:shd w:val="clear" w:color="000000" w:fill="FFFFFF"/>
            <w:vAlign w:val="center"/>
            <w:hideMark/>
          </w:tcPr>
          <w:p w14:paraId="0D596500"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2023</w:t>
            </w:r>
          </w:p>
        </w:tc>
        <w:tc>
          <w:tcPr>
            <w:tcW w:w="1624" w:type="dxa"/>
            <w:tcBorders>
              <w:top w:val="nil"/>
              <w:left w:val="nil"/>
              <w:bottom w:val="single" w:sz="8" w:space="0" w:color="auto"/>
              <w:right w:val="dotted" w:sz="4" w:space="0" w:color="auto"/>
            </w:tcBorders>
            <w:shd w:val="clear" w:color="000000" w:fill="FFFFFF"/>
            <w:vAlign w:val="center"/>
            <w:hideMark/>
          </w:tcPr>
          <w:p w14:paraId="39846B8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2024</w:t>
            </w:r>
          </w:p>
        </w:tc>
        <w:tc>
          <w:tcPr>
            <w:tcW w:w="1401" w:type="dxa"/>
            <w:tcBorders>
              <w:top w:val="nil"/>
              <w:left w:val="nil"/>
              <w:bottom w:val="single" w:sz="8" w:space="0" w:color="auto"/>
              <w:right w:val="dotted" w:sz="4" w:space="0" w:color="auto"/>
            </w:tcBorders>
            <w:shd w:val="clear" w:color="000000" w:fill="FFFFFF"/>
            <w:vAlign w:val="center"/>
            <w:hideMark/>
          </w:tcPr>
          <w:p w14:paraId="281DA1D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2025</w:t>
            </w:r>
          </w:p>
        </w:tc>
        <w:tc>
          <w:tcPr>
            <w:tcW w:w="1443" w:type="dxa"/>
            <w:tcBorders>
              <w:top w:val="nil"/>
              <w:left w:val="nil"/>
              <w:bottom w:val="single" w:sz="8" w:space="0" w:color="auto"/>
              <w:right w:val="dotted" w:sz="4" w:space="0" w:color="auto"/>
            </w:tcBorders>
            <w:shd w:val="clear" w:color="000000" w:fill="FFFFFF"/>
            <w:vAlign w:val="center"/>
            <w:hideMark/>
          </w:tcPr>
          <w:p w14:paraId="13D6646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2026</w:t>
            </w:r>
          </w:p>
        </w:tc>
        <w:tc>
          <w:tcPr>
            <w:tcW w:w="1447" w:type="dxa"/>
            <w:tcBorders>
              <w:top w:val="nil"/>
              <w:left w:val="nil"/>
              <w:bottom w:val="single" w:sz="8" w:space="0" w:color="auto"/>
              <w:right w:val="double" w:sz="6" w:space="0" w:color="auto"/>
            </w:tcBorders>
            <w:shd w:val="clear" w:color="000000" w:fill="FFFFFF"/>
            <w:vAlign w:val="center"/>
            <w:hideMark/>
          </w:tcPr>
          <w:p w14:paraId="22D5F50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2027</w:t>
            </w:r>
          </w:p>
        </w:tc>
      </w:tr>
      <w:tr w:rsidR="009B5DE5" w:rsidRPr="009B5DE5" w14:paraId="76E4A91F" w14:textId="77777777" w:rsidTr="00396800">
        <w:trPr>
          <w:trHeight w:val="360"/>
        </w:trPr>
        <w:tc>
          <w:tcPr>
            <w:tcW w:w="6492" w:type="dxa"/>
            <w:tcBorders>
              <w:top w:val="nil"/>
              <w:left w:val="double" w:sz="6" w:space="0" w:color="auto"/>
              <w:bottom w:val="single" w:sz="8" w:space="0" w:color="auto"/>
              <w:right w:val="dotted" w:sz="4" w:space="0" w:color="auto"/>
            </w:tcBorders>
            <w:shd w:val="clear" w:color="auto" w:fill="auto"/>
            <w:noWrap/>
            <w:vAlign w:val="bottom"/>
            <w:hideMark/>
          </w:tcPr>
          <w:p w14:paraId="312F2328" w14:textId="77777777" w:rsidR="009B5DE5" w:rsidRPr="009B5DE5" w:rsidRDefault="009B5DE5" w:rsidP="009B5DE5">
            <w:pPr>
              <w:spacing w:after="0"/>
              <w:jc w:val="left"/>
              <w:rPr>
                <w:rFonts w:eastAsia="Times New Roman" w:cs="Times New Roman"/>
                <w:b/>
                <w:bCs/>
                <w:sz w:val="20"/>
                <w:szCs w:val="20"/>
              </w:rPr>
            </w:pPr>
            <w:r w:rsidRPr="009B5DE5">
              <w:rPr>
                <w:rFonts w:eastAsia="Times New Roman" w:cs="Times New Roman"/>
                <w:b/>
                <w:bCs/>
                <w:sz w:val="20"/>
                <w:szCs w:val="20"/>
              </w:rPr>
              <w:t xml:space="preserve">  1. Бруто дуг [1]</w:t>
            </w:r>
          </w:p>
        </w:tc>
        <w:tc>
          <w:tcPr>
            <w:tcW w:w="1270" w:type="dxa"/>
            <w:tcBorders>
              <w:top w:val="nil"/>
              <w:left w:val="nil"/>
              <w:bottom w:val="single" w:sz="8" w:space="0" w:color="auto"/>
              <w:right w:val="single" w:sz="8" w:space="0" w:color="auto"/>
            </w:tcBorders>
            <w:shd w:val="clear" w:color="000000" w:fill="FFFFFF"/>
            <w:vAlign w:val="center"/>
            <w:hideMark/>
          </w:tcPr>
          <w:p w14:paraId="786486AD"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 </w:t>
            </w:r>
          </w:p>
        </w:tc>
        <w:tc>
          <w:tcPr>
            <w:tcW w:w="1338" w:type="dxa"/>
            <w:tcBorders>
              <w:top w:val="nil"/>
              <w:left w:val="nil"/>
              <w:bottom w:val="single" w:sz="8" w:space="0" w:color="auto"/>
              <w:right w:val="dotted" w:sz="4" w:space="0" w:color="auto"/>
            </w:tcBorders>
            <w:shd w:val="clear" w:color="000000" w:fill="FFFFFF"/>
            <w:vAlign w:val="center"/>
            <w:hideMark/>
          </w:tcPr>
          <w:p w14:paraId="438F902F"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48,4</w:t>
            </w:r>
          </w:p>
        </w:tc>
        <w:tc>
          <w:tcPr>
            <w:tcW w:w="1624" w:type="dxa"/>
            <w:tcBorders>
              <w:top w:val="nil"/>
              <w:left w:val="nil"/>
              <w:bottom w:val="single" w:sz="8" w:space="0" w:color="auto"/>
              <w:right w:val="dotted" w:sz="4" w:space="0" w:color="auto"/>
            </w:tcBorders>
            <w:shd w:val="clear" w:color="000000" w:fill="FFFFFF"/>
            <w:vAlign w:val="center"/>
            <w:hideMark/>
          </w:tcPr>
          <w:p w14:paraId="759B464B"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47,9</w:t>
            </w:r>
          </w:p>
        </w:tc>
        <w:tc>
          <w:tcPr>
            <w:tcW w:w="1401" w:type="dxa"/>
            <w:tcBorders>
              <w:top w:val="nil"/>
              <w:left w:val="nil"/>
              <w:bottom w:val="single" w:sz="8" w:space="0" w:color="auto"/>
              <w:right w:val="dotted" w:sz="4" w:space="0" w:color="auto"/>
            </w:tcBorders>
            <w:shd w:val="clear" w:color="000000" w:fill="FFFFFF"/>
            <w:vAlign w:val="center"/>
            <w:hideMark/>
          </w:tcPr>
          <w:p w14:paraId="60E4A8AD"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47,5</w:t>
            </w:r>
          </w:p>
        </w:tc>
        <w:tc>
          <w:tcPr>
            <w:tcW w:w="1443" w:type="dxa"/>
            <w:tcBorders>
              <w:top w:val="nil"/>
              <w:left w:val="nil"/>
              <w:bottom w:val="single" w:sz="8" w:space="0" w:color="auto"/>
              <w:right w:val="dotted" w:sz="4" w:space="0" w:color="auto"/>
            </w:tcBorders>
            <w:shd w:val="clear" w:color="000000" w:fill="FFFFFF"/>
            <w:vAlign w:val="center"/>
            <w:hideMark/>
          </w:tcPr>
          <w:p w14:paraId="3F27D162"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47,0</w:t>
            </w:r>
          </w:p>
        </w:tc>
        <w:tc>
          <w:tcPr>
            <w:tcW w:w="1447" w:type="dxa"/>
            <w:tcBorders>
              <w:top w:val="nil"/>
              <w:left w:val="nil"/>
              <w:bottom w:val="single" w:sz="8" w:space="0" w:color="auto"/>
              <w:right w:val="double" w:sz="6" w:space="0" w:color="auto"/>
            </w:tcBorders>
            <w:shd w:val="clear" w:color="000000" w:fill="FFFFFF"/>
            <w:vAlign w:val="center"/>
            <w:hideMark/>
          </w:tcPr>
          <w:p w14:paraId="759882F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46,5</w:t>
            </w:r>
          </w:p>
        </w:tc>
      </w:tr>
      <w:tr w:rsidR="009B5DE5" w:rsidRPr="009B5DE5" w14:paraId="5F07F231" w14:textId="77777777" w:rsidTr="00396800">
        <w:trPr>
          <w:trHeight w:val="360"/>
        </w:trPr>
        <w:tc>
          <w:tcPr>
            <w:tcW w:w="6492" w:type="dxa"/>
            <w:tcBorders>
              <w:top w:val="nil"/>
              <w:left w:val="double" w:sz="6" w:space="0" w:color="auto"/>
              <w:bottom w:val="single" w:sz="8" w:space="0" w:color="auto"/>
              <w:right w:val="dotted" w:sz="4" w:space="0" w:color="auto"/>
            </w:tcBorders>
            <w:shd w:val="clear" w:color="000000" w:fill="FFFFFF"/>
            <w:vAlign w:val="center"/>
            <w:hideMark/>
          </w:tcPr>
          <w:p w14:paraId="3D390C6A" w14:textId="77777777" w:rsidR="009B5DE5" w:rsidRPr="009B5DE5" w:rsidRDefault="009B5DE5" w:rsidP="009B5DE5">
            <w:pPr>
              <w:spacing w:after="0"/>
              <w:jc w:val="left"/>
              <w:rPr>
                <w:rFonts w:eastAsia="Times New Roman" w:cs="Times New Roman"/>
                <w:b/>
                <w:bCs/>
                <w:sz w:val="20"/>
                <w:szCs w:val="20"/>
              </w:rPr>
            </w:pPr>
            <w:r w:rsidRPr="009B5DE5">
              <w:rPr>
                <w:rFonts w:eastAsia="Times New Roman" w:cs="Times New Roman"/>
                <w:b/>
                <w:bCs/>
                <w:sz w:val="20"/>
                <w:szCs w:val="20"/>
              </w:rPr>
              <w:t xml:space="preserve">  2. Промена учешћа бруто дуга</w:t>
            </w:r>
          </w:p>
        </w:tc>
        <w:tc>
          <w:tcPr>
            <w:tcW w:w="1270" w:type="dxa"/>
            <w:tcBorders>
              <w:top w:val="nil"/>
              <w:left w:val="nil"/>
              <w:bottom w:val="single" w:sz="8" w:space="0" w:color="auto"/>
              <w:right w:val="single" w:sz="8" w:space="0" w:color="auto"/>
            </w:tcBorders>
            <w:shd w:val="clear" w:color="000000" w:fill="FFFFFF"/>
            <w:vAlign w:val="center"/>
            <w:hideMark/>
          </w:tcPr>
          <w:p w14:paraId="509E059D"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 </w:t>
            </w:r>
          </w:p>
        </w:tc>
        <w:tc>
          <w:tcPr>
            <w:tcW w:w="1338" w:type="dxa"/>
            <w:tcBorders>
              <w:top w:val="nil"/>
              <w:left w:val="nil"/>
              <w:bottom w:val="single" w:sz="8" w:space="0" w:color="auto"/>
              <w:right w:val="dotted" w:sz="4" w:space="0" w:color="auto"/>
            </w:tcBorders>
            <w:shd w:val="clear" w:color="000000" w:fill="FFFFFF"/>
            <w:vAlign w:val="center"/>
            <w:hideMark/>
          </w:tcPr>
          <w:p w14:paraId="594A405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-4,5</w:t>
            </w:r>
          </w:p>
        </w:tc>
        <w:tc>
          <w:tcPr>
            <w:tcW w:w="1624" w:type="dxa"/>
            <w:tcBorders>
              <w:top w:val="nil"/>
              <w:left w:val="nil"/>
              <w:bottom w:val="single" w:sz="8" w:space="0" w:color="auto"/>
              <w:right w:val="dotted" w:sz="4" w:space="0" w:color="auto"/>
            </w:tcBorders>
            <w:shd w:val="clear" w:color="000000" w:fill="FFFFFF"/>
            <w:vAlign w:val="center"/>
            <w:hideMark/>
          </w:tcPr>
          <w:p w14:paraId="1092F717"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-0,5</w:t>
            </w:r>
          </w:p>
        </w:tc>
        <w:tc>
          <w:tcPr>
            <w:tcW w:w="1401" w:type="dxa"/>
            <w:tcBorders>
              <w:top w:val="nil"/>
              <w:left w:val="nil"/>
              <w:bottom w:val="single" w:sz="8" w:space="0" w:color="auto"/>
              <w:right w:val="dotted" w:sz="4" w:space="0" w:color="auto"/>
            </w:tcBorders>
            <w:shd w:val="clear" w:color="000000" w:fill="FFFFFF"/>
            <w:vAlign w:val="center"/>
            <w:hideMark/>
          </w:tcPr>
          <w:p w14:paraId="711DEAA5"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-0,4</w:t>
            </w:r>
          </w:p>
        </w:tc>
        <w:tc>
          <w:tcPr>
            <w:tcW w:w="1443" w:type="dxa"/>
            <w:tcBorders>
              <w:top w:val="nil"/>
              <w:left w:val="nil"/>
              <w:bottom w:val="single" w:sz="8" w:space="0" w:color="auto"/>
              <w:right w:val="dotted" w:sz="4" w:space="0" w:color="auto"/>
            </w:tcBorders>
            <w:shd w:val="clear" w:color="000000" w:fill="FFFFFF"/>
            <w:vAlign w:val="center"/>
            <w:hideMark/>
          </w:tcPr>
          <w:p w14:paraId="23BFAC1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-0,5</w:t>
            </w:r>
          </w:p>
        </w:tc>
        <w:tc>
          <w:tcPr>
            <w:tcW w:w="1447" w:type="dxa"/>
            <w:tcBorders>
              <w:top w:val="nil"/>
              <w:left w:val="nil"/>
              <w:bottom w:val="single" w:sz="8" w:space="0" w:color="auto"/>
              <w:right w:val="double" w:sz="6" w:space="0" w:color="auto"/>
            </w:tcBorders>
            <w:shd w:val="clear" w:color="000000" w:fill="FFFFFF"/>
            <w:vAlign w:val="center"/>
            <w:hideMark/>
          </w:tcPr>
          <w:p w14:paraId="0B3A84D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-0,4</w:t>
            </w:r>
          </w:p>
        </w:tc>
      </w:tr>
      <w:tr w:rsidR="009B5DE5" w:rsidRPr="009B5DE5" w14:paraId="7C881324" w14:textId="77777777" w:rsidTr="00396800">
        <w:trPr>
          <w:trHeight w:val="360"/>
        </w:trPr>
        <w:tc>
          <w:tcPr>
            <w:tcW w:w="15019" w:type="dxa"/>
            <w:gridSpan w:val="7"/>
            <w:tcBorders>
              <w:top w:val="single" w:sz="8" w:space="0" w:color="auto"/>
              <w:left w:val="double" w:sz="6" w:space="0" w:color="auto"/>
              <w:bottom w:val="single" w:sz="8" w:space="0" w:color="auto"/>
              <w:right w:val="double" w:sz="6" w:space="0" w:color="auto"/>
            </w:tcBorders>
            <w:shd w:val="clear" w:color="000000" w:fill="FFFFFF"/>
            <w:vAlign w:val="center"/>
            <w:hideMark/>
          </w:tcPr>
          <w:p w14:paraId="4EE32ED2"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Доприноси промени бруто дуга</w:t>
            </w:r>
          </w:p>
        </w:tc>
      </w:tr>
      <w:tr w:rsidR="009B5DE5" w:rsidRPr="009B5DE5" w14:paraId="2DE64165" w14:textId="77777777" w:rsidTr="00396800">
        <w:trPr>
          <w:trHeight w:val="360"/>
        </w:trPr>
        <w:tc>
          <w:tcPr>
            <w:tcW w:w="6492" w:type="dxa"/>
            <w:tcBorders>
              <w:top w:val="nil"/>
              <w:left w:val="double" w:sz="6" w:space="0" w:color="auto"/>
              <w:bottom w:val="nil"/>
              <w:right w:val="dotted" w:sz="4" w:space="0" w:color="auto"/>
            </w:tcBorders>
            <w:shd w:val="clear" w:color="auto" w:fill="auto"/>
            <w:noWrap/>
            <w:vAlign w:val="bottom"/>
            <w:hideMark/>
          </w:tcPr>
          <w:p w14:paraId="0B5338A7" w14:textId="77777777" w:rsidR="009B5DE5" w:rsidRPr="009B5DE5" w:rsidRDefault="009B5DE5" w:rsidP="009B5DE5">
            <w:pPr>
              <w:spacing w:after="0"/>
              <w:jc w:val="left"/>
              <w:rPr>
                <w:rFonts w:eastAsia="Times New Roman" w:cs="Times New Roman"/>
                <w:b/>
                <w:bCs/>
                <w:sz w:val="20"/>
                <w:szCs w:val="20"/>
              </w:rPr>
            </w:pPr>
            <w:r w:rsidRPr="009B5DE5">
              <w:rPr>
                <w:rFonts w:eastAsia="Times New Roman" w:cs="Times New Roman"/>
                <w:b/>
                <w:bCs/>
                <w:sz w:val="20"/>
                <w:szCs w:val="20"/>
              </w:rPr>
              <w:t xml:space="preserve">  3. Примарни резултат [2]</w:t>
            </w:r>
          </w:p>
        </w:tc>
        <w:tc>
          <w:tcPr>
            <w:tcW w:w="1270" w:type="dxa"/>
            <w:tcBorders>
              <w:top w:val="nil"/>
              <w:left w:val="nil"/>
              <w:bottom w:val="dotted" w:sz="4" w:space="0" w:color="auto"/>
              <w:right w:val="single" w:sz="8" w:space="0" w:color="auto"/>
            </w:tcBorders>
            <w:shd w:val="clear" w:color="000000" w:fill="FFFFFF"/>
            <w:vAlign w:val="center"/>
            <w:hideMark/>
          </w:tcPr>
          <w:p w14:paraId="12B119CA"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 </w:t>
            </w:r>
          </w:p>
        </w:tc>
        <w:tc>
          <w:tcPr>
            <w:tcW w:w="1338" w:type="dxa"/>
            <w:tcBorders>
              <w:top w:val="nil"/>
              <w:left w:val="nil"/>
              <w:bottom w:val="dotted" w:sz="4" w:space="0" w:color="auto"/>
              <w:right w:val="dotted" w:sz="4" w:space="0" w:color="auto"/>
            </w:tcBorders>
            <w:shd w:val="clear" w:color="000000" w:fill="FFFFFF"/>
            <w:vAlign w:val="center"/>
            <w:hideMark/>
          </w:tcPr>
          <w:p w14:paraId="2F3719E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0,4</w:t>
            </w:r>
          </w:p>
        </w:tc>
        <w:tc>
          <w:tcPr>
            <w:tcW w:w="1624" w:type="dxa"/>
            <w:tcBorders>
              <w:top w:val="nil"/>
              <w:left w:val="nil"/>
              <w:bottom w:val="dotted" w:sz="4" w:space="0" w:color="auto"/>
              <w:right w:val="dotted" w:sz="4" w:space="0" w:color="auto"/>
            </w:tcBorders>
            <w:shd w:val="clear" w:color="000000" w:fill="FFFFFF"/>
            <w:vAlign w:val="center"/>
            <w:hideMark/>
          </w:tcPr>
          <w:p w14:paraId="6FEA4DC5"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0,8</w:t>
            </w:r>
          </w:p>
        </w:tc>
        <w:tc>
          <w:tcPr>
            <w:tcW w:w="1401" w:type="dxa"/>
            <w:tcBorders>
              <w:top w:val="nil"/>
              <w:left w:val="nil"/>
              <w:bottom w:val="dotted" w:sz="4" w:space="0" w:color="auto"/>
              <w:right w:val="dotted" w:sz="4" w:space="0" w:color="auto"/>
            </w:tcBorders>
            <w:shd w:val="clear" w:color="000000" w:fill="FFFFFF"/>
            <w:vAlign w:val="center"/>
            <w:hideMark/>
          </w:tcPr>
          <w:p w14:paraId="0AB67302"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0,9</w:t>
            </w:r>
          </w:p>
        </w:tc>
        <w:tc>
          <w:tcPr>
            <w:tcW w:w="1443" w:type="dxa"/>
            <w:tcBorders>
              <w:top w:val="nil"/>
              <w:left w:val="nil"/>
              <w:bottom w:val="dotted" w:sz="4" w:space="0" w:color="auto"/>
              <w:right w:val="dotted" w:sz="4" w:space="0" w:color="auto"/>
            </w:tcBorders>
            <w:shd w:val="clear" w:color="000000" w:fill="FFFFFF"/>
            <w:vAlign w:val="center"/>
            <w:hideMark/>
          </w:tcPr>
          <w:p w14:paraId="1466D1B2"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0,9</w:t>
            </w:r>
          </w:p>
        </w:tc>
        <w:tc>
          <w:tcPr>
            <w:tcW w:w="1447" w:type="dxa"/>
            <w:tcBorders>
              <w:top w:val="nil"/>
              <w:left w:val="nil"/>
              <w:bottom w:val="dotted" w:sz="4" w:space="0" w:color="auto"/>
              <w:right w:val="double" w:sz="6" w:space="0" w:color="auto"/>
            </w:tcBorders>
            <w:shd w:val="clear" w:color="000000" w:fill="FFFFFF"/>
            <w:vAlign w:val="center"/>
            <w:hideMark/>
          </w:tcPr>
          <w:p w14:paraId="47875575"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1,0</w:t>
            </w:r>
          </w:p>
        </w:tc>
      </w:tr>
      <w:tr w:rsidR="009B5DE5" w:rsidRPr="009B5DE5" w14:paraId="7BD4EB55" w14:textId="77777777" w:rsidTr="00396800">
        <w:trPr>
          <w:trHeight w:val="360"/>
        </w:trPr>
        <w:tc>
          <w:tcPr>
            <w:tcW w:w="6492" w:type="dxa"/>
            <w:tcBorders>
              <w:top w:val="dotted" w:sz="4" w:space="0" w:color="auto"/>
              <w:left w:val="double" w:sz="6" w:space="0" w:color="auto"/>
              <w:bottom w:val="dotted" w:sz="4" w:space="0" w:color="auto"/>
              <w:right w:val="dotted" w:sz="4" w:space="0" w:color="auto"/>
            </w:tcBorders>
            <w:shd w:val="clear" w:color="auto" w:fill="auto"/>
            <w:noWrap/>
            <w:vAlign w:val="bottom"/>
            <w:hideMark/>
          </w:tcPr>
          <w:p w14:paraId="75679C00" w14:textId="77777777" w:rsidR="009B5DE5" w:rsidRPr="009B5DE5" w:rsidRDefault="009B5DE5" w:rsidP="009B5DE5">
            <w:pPr>
              <w:spacing w:after="0"/>
              <w:jc w:val="left"/>
              <w:rPr>
                <w:rFonts w:eastAsia="Times New Roman" w:cs="Times New Roman"/>
                <w:b/>
                <w:bCs/>
                <w:sz w:val="20"/>
                <w:szCs w:val="20"/>
              </w:rPr>
            </w:pPr>
            <w:r w:rsidRPr="009B5DE5">
              <w:rPr>
                <w:rFonts w:eastAsia="Times New Roman" w:cs="Times New Roman"/>
                <w:b/>
                <w:bCs/>
                <w:sz w:val="20"/>
                <w:szCs w:val="20"/>
              </w:rPr>
              <w:t xml:space="preserve">  4. Расходи за камате  [3]</w:t>
            </w:r>
          </w:p>
        </w:tc>
        <w:tc>
          <w:tcPr>
            <w:tcW w:w="1270" w:type="dxa"/>
            <w:tcBorders>
              <w:top w:val="dotted" w:sz="4" w:space="0" w:color="auto"/>
              <w:left w:val="nil"/>
              <w:bottom w:val="dotted" w:sz="4" w:space="0" w:color="auto"/>
              <w:right w:val="single" w:sz="8" w:space="0" w:color="auto"/>
            </w:tcBorders>
            <w:shd w:val="clear" w:color="000000" w:fill="FFFFFF"/>
            <w:vAlign w:val="center"/>
            <w:hideMark/>
          </w:tcPr>
          <w:p w14:paraId="22D8A3D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EDP D.41</w:t>
            </w:r>
          </w:p>
        </w:tc>
        <w:tc>
          <w:tcPr>
            <w:tcW w:w="1338" w:type="dxa"/>
            <w:tcBorders>
              <w:top w:val="dotted" w:sz="4" w:space="0" w:color="auto"/>
              <w:left w:val="nil"/>
              <w:bottom w:val="dotted" w:sz="4" w:space="0" w:color="auto"/>
              <w:right w:val="dotted" w:sz="4" w:space="0" w:color="auto"/>
            </w:tcBorders>
            <w:shd w:val="clear" w:color="000000" w:fill="FFFFFF"/>
            <w:vAlign w:val="center"/>
            <w:hideMark/>
          </w:tcPr>
          <w:p w14:paraId="6C11271F"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1,7</w:t>
            </w:r>
          </w:p>
        </w:tc>
        <w:tc>
          <w:tcPr>
            <w:tcW w:w="1624" w:type="dxa"/>
            <w:tcBorders>
              <w:top w:val="dotted" w:sz="4" w:space="0" w:color="auto"/>
              <w:left w:val="nil"/>
              <w:bottom w:val="dotted" w:sz="4" w:space="0" w:color="auto"/>
              <w:right w:val="dotted" w:sz="4" w:space="0" w:color="auto"/>
            </w:tcBorders>
            <w:shd w:val="clear" w:color="000000" w:fill="FFFFFF"/>
            <w:vAlign w:val="center"/>
            <w:hideMark/>
          </w:tcPr>
          <w:p w14:paraId="6916B1D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2,0</w:t>
            </w:r>
          </w:p>
        </w:tc>
        <w:tc>
          <w:tcPr>
            <w:tcW w:w="1401" w:type="dxa"/>
            <w:tcBorders>
              <w:top w:val="dotted" w:sz="4" w:space="0" w:color="auto"/>
              <w:left w:val="nil"/>
              <w:bottom w:val="dotted" w:sz="4" w:space="0" w:color="auto"/>
              <w:right w:val="dotted" w:sz="4" w:space="0" w:color="auto"/>
            </w:tcBorders>
            <w:shd w:val="clear" w:color="000000" w:fill="FFFFFF"/>
            <w:vAlign w:val="center"/>
            <w:hideMark/>
          </w:tcPr>
          <w:p w14:paraId="26B08BF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2,2</w:t>
            </w:r>
          </w:p>
        </w:tc>
        <w:tc>
          <w:tcPr>
            <w:tcW w:w="1443" w:type="dxa"/>
            <w:tcBorders>
              <w:top w:val="dotted" w:sz="4" w:space="0" w:color="auto"/>
              <w:left w:val="nil"/>
              <w:bottom w:val="dotted" w:sz="4" w:space="0" w:color="auto"/>
              <w:right w:val="dotted" w:sz="4" w:space="0" w:color="auto"/>
            </w:tcBorders>
            <w:shd w:val="clear" w:color="000000" w:fill="FFFFFF"/>
            <w:vAlign w:val="center"/>
            <w:hideMark/>
          </w:tcPr>
          <w:p w14:paraId="5DF5A7C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2,1</w:t>
            </w:r>
          </w:p>
        </w:tc>
        <w:tc>
          <w:tcPr>
            <w:tcW w:w="1447" w:type="dxa"/>
            <w:tcBorders>
              <w:top w:val="dotted" w:sz="4" w:space="0" w:color="auto"/>
              <w:left w:val="nil"/>
              <w:bottom w:val="dotted" w:sz="4" w:space="0" w:color="auto"/>
              <w:right w:val="double" w:sz="6" w:space="0" w:color="auto"/>
            </w:tcBorders>
            <w:shd w:val="clear" w:color="000000" w:fill="FFFFFF"/>
            <w:vAlign w:val="center"/>
            <w:hideMark/>
          </w:tcPr>
          <w:p w14:paraId="3431F6C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2,0</w:t>
            </w:r>
          </w:p>
        </w:tc>
      </w:tr>
      <w:tr w:rsidR="009B5DE5" w:rsidRPr="009B5DE5" w14:paraId="1154A50F" w14:textId="77777777" w:rsidTr="00396800">
        <w:trPr>
          <w:trHeight w:val="360"/>
        </w:trPr>
        <w:tc>
          <w:tcPr>
            <w:tcW w:w="6492" w:type="dxa"/>
            <w:tcBorders>
              <w:top w:val="nil"/>
              <w:left w:val="double" w:sz="6" w:space="0" w:color="auto"/>
              <w:bottom w:val="dotted" w:sz="4" w:space="0" w:color="auto"/>
              <w:right w:val="dotted" w:sz="4" w:space="0" w:color="auto"/>
            </w:tcBorders>
            <w:shd w:val="clear" w:color="auto" w:fill="auto"/>
            <w:noWrap/>
            <w:vAlign w:val="bottom"/>
            <w:hideMark/>
          </w:tcPr>
          <w:p w14:paraId="3255212D" w14:textId="77777777" w:rsidR="009B5DE5" w:rsidRPr="009B5DE5" w:rsidRDefault="009B5DE5" w:rsidP="009B5DE5">
            <w:pPr>
              <w:spacing w:after="0"/>
              <w:jc w:val="left"/>
              <w:rPr>
                <w:rFonts w:eastAsia="Times New Roman" w:cs="Times New Roman"/>
                <w:b/>
                <w:bCs/>
                <w:sz w:val="20"/>
                <w:szCs w:val="20"/>
              </w:rPr>
            </w:pPr>
            <w:r w:rsidRPr="009B5DE5">
              <w:rPr>
                <w:rFonts w:eastAsia="Times New Roman" w:cs="Times New Roman"/>
                <w:b/>
                <w:bCs/>
                <w:sz w:val="20"/>
                <w:szCs w:val="20"/>
              </w:rPr>
              <w:t xml:space="preserve">  5. Ефекат реалног раста</w:t>
            </w:r>
          </w:p>
        </w:tc>
        <w:tc>
          <w:tcPr>
            <w:tcW w:w="1270" w:type="dxa"/>
            <w:tcBorders>
              <w:top w:val="nil"/>
              <w:left w:val="nil"/>
              <w:bottom w:val="dotted" w:sz="4" w:space="0" w:color="auto"/>
              <w:right w:val="single" w:sz="8" w:space="0" w:color="auto"/>
            </w:tcBorders>
            <w:shd w:val="clear" w:color="000000" w:fill="FFFFFF"/>
            <w:vAlign w:val="center"/>
            <w:hideMark/>
          </w:tcPr>
          <w:p w14:paraId="06E69A9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338" w:type="dxa"/>
            <w:tcBorders>
              <w:top w:val="nil"/>
              <w:left w:val="nil"/>
              <w:bottom w:val="dotted" w:sz="4" w:space="0" w:color="auto"/>
              <w:right w:val="dotted" w:sz="4" w:space="0" w:color="auto"/>
            </w:tcBorders>
            <w:shd w:val="clear" w:color="000000" w:fill="FFFFFF"/>
            <w:vAlign w:val="center"/>
            <w:hideMark/>
          </w:tcPr>
          <w:p w14:paraId="57C51AC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-1,7</w:t>
            </w:r>
          </w:p>
        </w:tc>
        <w:tc>
          <w:tcPr>
            <w:tcW w:w="1624" w:type="dxa"/>
            <w:tcBorders>
              <w:top w:val="nil"/>
              <w:left w:val="nil"/>
              <w:bottom w:val="dotted" w:sz="4" w:space="0" w:color="auto"/>
              <w:right w:val="dotted" w:sz="4" w:space="0" w:color="auto"/>
            </w:tcBorders>
            <w:shd w:val="clear" w:color="000000" w:fill="FFFFFF"/>
            <w:vAlign w:val="center"/>
            <w:hideMark/>
          </w:tcPr>
          <w:p w14:paraId="3FA1E7B0"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-1,7</w:t>
            </w:r>
          </w:p>
        </w:tc>
        <w:tc>
          <w:tcPr>
            <w:tcW w:w="1401" w:type="dxa"/>
            <w:tcBorders>
              <w:top w:val="nil"/>
              <w:left w:val="nil"/>
              <w:bottom w:val="dotted" w:sz="4" w:space="0" w:color="auto"/>
              <w:right w:val="dotted" w:sz="4" w:space="0" w:color="auto"/>
            </w:tcBorders>
            <w:shd w:val="clear" w:color="000000" w:fill="FFFFFF"/>
            <w:vAlign w:val="center"/>
            <w:hideMark/>
          </w:tcPr>
          <w:p w14:paraId="4142342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-1,9</w:t>
            </w:r>
          </w:p>
        </w:tc>
        <w:tc>
          <w:tcPr>
            <w:tcW w:w="1443" w:type="dxa"/>
            <w:tcBorders>
              <w:top w:val="nil"/>
              <w:left w:val="nil"/>
              <w:bottom w:val="dotted" w:sz="4" w:space="0" w:color="auto"/>
              <w:right w:val="dotted" w:sz="4" w:space="0" w:color="auto"/>
            </w:tcBorders>
            <w:shd w:val="clear" w:color="000000" w:fill="FFFFFF"/>
            <w:vAlign w:val="center"/>
            <w:hideMark/>
          </w:tcPr>
          <w:p w14:paraId="23D6FD7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-1,8</w:t>
            </w:r>
          </w:p>
        </w:tc>
        <w:tc>
          <w:tcPr>
            <w:tcW w:w="1447" w:type="dxa"/>
            <w:tcBorders>
              <w:top w:val="nil"/>
              <w:left w:val="nil"/>
              <w:bottom w:val="dotted" w:sz="4" w:space="0" w:color="auto"/>
              <w:right w:val="double" w:sz="6" w:space="0" w:color="auto"/>
            </w:tcBorders>
            <w:shd w:val="clear" w:color="000000" w:fill="FFFFFF"/>
            <w:vAlign w:val="center"/>
            <w:hideMark/>
          </w:tcPr>
          <w:p w14:paraId="09C623B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-2,2</w:t>
            </w:r>
          </w:p>
        </w:tc>
      </w:tr>
      <w:tr w:rsidR="009B5DE5" w:rsidRPr="009B5DE5" w14:paraId="24F083F4" w14:textId="77777777" w:rsidTr="00396800">
        <w:trPr>
          <w:trHeight w:val="360"/>
        </w:trPr>
        <w:tc>
          <w:tcPr>
            <w:tcW w:w="6492" w:type="dxa"/>
            <w:tcBorders>
              <w:top w:val="nil"/>
              <w:left w:val="double" w:sz="6" w:space="0" w:color="auto"/>
              <w:bottom w:val="single" w:sz="4" w:space="0" w:color="auto"/>
              <w:right w:val="dotted" w:sz="4" w:space="0" w:color="auto"/>
            </w:tcBorders>
            <w:shd w:val="clear" w:color="auto" w:fill="auto"/>
            <w:noWrap/>
            <w:vAlign w:val="bottom"/>
            <w:hideMark/>
          </w:tcPr>
          <w:p w14:paraId="774CDCCE" w14:textId="77777777" w:rsidR="009B5DE5" w:rsidRPr="009B5DE5" w:rsidRDefault="009B5DE5" w:rsidP="009B5DE5">
            <w:pPr>
              <w:spacing w:after="0"/>
              <w:jc w:val="left"/>
              <w:rPr>
                <w:rFonts w:eastAsia="Times New Roman" w:cs="Times New Roman"/>
                <w:b/>
                <w:bCs/>
                <w:sz w:val="20"/>
                <w:szCs w:val="20"/>
              </w:rPr>
            </w:pPr>
            <w:r w:rsidRPr="009B5DE5">
              <w:rPr>
                <w:rFonts w:eastAsia="Times New Roman" w:cs="Times New Roman"/>
                <w:b/>
                <w:bCs/>
                <w:sz w:val="20"/>
                <w:szCs w:val="20"/>
              </w:rPr>
              <w:t xml:space="preserve">  6. Ефекат инфлације</w:t>
            </w:r>
          </w:p>
        </w:tc>
        <w:tc>
          <w:tcPr>
            <w:tcW w:w="1270" w:type="dxa"/>
            <w:tcBorders>
              <w:top w:val="nil"/>
              <w:left w:val="nil"/>
              <w:bottom w:val="single" w:sz="4" w:space="0" w:color="auto"/>
              <w:right w:val="single" w:sz="8" w:space="0" w:color="auto"/>
            </w:tcBorders>
            <w:shd w:val="clear" w:color="000000" w:fill="FFFFFF"/>
            <w:vAlign w:val="center"/>
            <w:hideMark/>
          </w:tcPr>
          <w:p w14:paraId="5ABFB90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338" w:type="dxa"/>
            <w:tcBorders>
              <w:top w:val="nil"/>
              <w:left w:val="nil"/>
              <w:bottom w:val="single" w:sz="4" w:space="0" w:color="auto"/>
              <w:right w:val="dotted" w:sz="4" w:space="0" w:color="auto"/>
            </w:tcBorders>
            <w:shd w:val="clear" w:color="000000" w:fill="FFFFFF"/>
            <w:vAlign w:val="center"/>
            <w:hideMark/>
          </w:tcPr>
          <w:p w14:paraId="082B2F6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-6,2</w:t>
            </w:r>
          </w:p>
        </w:tc>
        <w:tc>
          <w:tcPr>
            <w:tcW w:w="1624" w:type="dxa"/>
            <w:tcBorders>
              <w:top w:val="nil"/>
              <w:left w:val="nil"/>
              <w:bottom w:val="single" w:sz="4" w:space="0" w:color="auto"/>
              <w:right w:val="dotted" w:sz="4" w:space="0" w:color="auto"/>
            </w:tcBorders>
            <w:shd w:val="clear" w:color="000000" w:fill="FFFFFF"/>
            <w:vAlign w:val="center"/>
            <w:hideMark/>
          </w:tcPr>
          <w:p w14:paraId="7BC6F3D5"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-2,2</w:t>
            </w:r>
          </w:p>
        </w:tc>
        <w:tc>
          <w:tcPr>
            <w:tcW w:w="1401" w:type="dxa"/>
            <w:tcBorders>
              <w:top w:val="nil"/>
              <w:left w:val="nil"/>
              <w:bottom w:val="single" w:sz="4" w:space="0" w:color="auto"/>
              <w:right w:val="dotted" w:sz="4" w:space="0" w:color="auto"/>
            </w:tcBorders>
            <w:shd w:val="clear" w:color="000000" w:fill="FFFFFF"/>
            <w:vAlign w:val="center"/>
            <w:hideMark/>
          </w:tcPr>
          <w:p w14:paraId="1A853C0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-1,4</w:t>
            </w:r>
          </w:p>
        </w:tc>
        <w:tc>
          <w:tcPr>
            <w:tcW w:w="1443" w:type="dxa"/>
            <w:tcBorders>
              <w:top w:val="nil"/>
              <w:left w:val="nil"/>
              <w:bottom w:val="single" w:sz="4" w:space="0" w:color="auto"/>
              <w:right w:val="dotted" w:sz="4" w:space="0" w:color="auto"/>
            </w:tcBorders>
            <w:shd w:val="clear" w:color="000000" w:fill="FFFFFF"/>
            <w:vAlign w:val="center"/>
            <w:hideMark/>
          </w:tcPr>
          <w:p w14:paraId="045C7F9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-1,4</w:t>
            </w:r>
          </w:p>
        </w:tc>
        <w:tc>
          <w:tcPr>
            <w:tcW w:w="1447" w:type="dxa"/>
            <w:tcBorders>
              <w:top w:val="nil"/>
              <w:left w:val="nil"/>
              <w:bottom w:val="single" w:sz="4" w:space="0" w:color="auto"/>
              <w:right w:val="double" w:sz="6" w:space="0" w:color="auto"/>
            </w:tcBorders>
            <w:shd w:val="clear" w:color="000000" w:fill="FFFFFF"/>
            <w:vAlign w:val="center"/>
            <w:hideMark/>
          </w:tcPr>
          <w:p w14:paraId="6B9742F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-1,3</w:t>
            </w:r>
          </w:p>
        </w:tc>
      </w:tr>
      <w:tr w:rsidR="009B5DE5" w:rsidRPr="009B5DE5" w14:paraId="15432D89" w14:textId="77777777" w:rsidTr="00396800">
        <w:trPr>
          <w:trHeight w:val="575"/>
        </w:trPr>
        <w:tc>
          <w:tcPr>
            <w:tcW w:w="6492" w:type="dxa"/>
            <w:tcBorders>
              <w:top w:val="nil"/>
              <w:left w:val="double" w:sz="6" w:space="0" w:color="auto"/>
              <w:bottom w:val="single" w:sz="4" w:space="0" w:color="auto"/>
              <w:right w:val="dotted" w:sz="4" w:space="0" w:color="auto"/>
            </w:tcBorders>
            <w:shd w:val="clear" w:color="000000" w:fill="FFFFFF"/>
            <w:vAlign w:val="center"/>
            <w:hideMark/>
          </w:tcPr>
          <w:p w14:paraId="3A02DE1D" w14:textId="77777777" w:rsidR="009B5DE5" w:rsidRPr="009B5DE5" w:rsidRDefault="009B5DE5" w:rsidP="009B5DE5">
            <w:pPr>
              <w:spacing w:after="0"/>
              <w:jc w:val="left"/>
              <w:rPr>
                <w:rFonts w:eastAsia="Times New Roman" w:cs="Times New Roman"/>
                <w:b/>
                <w:bCs/>
                <w:sz w:val="20"/>
                <w:szCs w:val="20"/>
              </w:rPr>
            </w:pPr>
            <w:bookmarkStart w:id="159" w:name="RANGE!B14"/>
            <w:r w:rsidRPr="009B5DE5">
              <w:rPr>
                <w:rFonts w:eastAsia="Times New Roman" w:cs="Times New Roman"/>
                <w:b/>
                <w:bCs/>
                <w:sz w:val="20"/>
                <w:szCs w:val="20"/>
              </w:rPr>
              <w:t xml:space="preserve">  7. Прилагођавање стања и промена дуга (stock-flow adjustment)</w:t>
            </w:r>
            <w:bookmarkEnd w:id="159"/>
          </w:p>
        </w:tc>
        <w:tc>
          <w:tcPr>
            <w:tcW w:w="1270" w:type="dxa"/>
            <w:tcBorders>
              <w:top w:val="dotted" w:sz="4" w:space="0" w:color="auto"/>
              <w:left w:val="nil"/>
              <w:bottom w:val="single" w:sz="4" w:space="0" w:color="auto"/>
              <w:right w:val="single" w:sz="8" w:space="0" w:color="auto"/>
            </w:tcBorders>
            <w:shd w:val="clear" w:color="000000" w:fill="FFFFFF"/>
            <w:vAlign w:val="center"/>
            <w:hideMark/>
          </w:tcPr>
          <w:p w14:paraId="1B0FDA6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 </w:t>
            </w:r>
          </w:p>
        </w:tc>
        <w:tc>
          <w:tcPr>
            <w:tcW w:w="1338" w:type="dxa"/>
            <w:tcBorders>
              <w:top w:val="dotted" w:sz="4" w:space="0" w:color="auto"/>
              <w:left w:val="nil"/>
              <w:bottom w:val="single" w:sz="4" w:space="0" w:color="auto"/>
              <w:right w:val="dotted" w:sz="4" w:space="0" w:color="auto"/>
            </w:tcBorders>
            <w:shd w:val="clear" w:color="000000" w:fill="FFFFFF"/>
            <w:vAlign w:val="center"/>
            <w:hideMark/>
          </w:tcPr>
          <w:p w14:paraId="4A3A490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1,3</w:t>
            </w:r>
          </w:p>
        </w:tc>
        <w:tc>
          <w:tcPr>
            <w:tcW w:w="1624" w:type="dxa"/>
            <w:tcBorders>
              <w:top w:val="dotted" w:sz="4" w:space="0" w:color="auto"/>
              <w:left w:val="nil"/>
              <w:bottom w:val="single" w:sz="4" w:space="0" w:color="auto"/>
              <w:right w:val="dotted" w:sz="4" w:space="0" w:color="auto"/>
            </w:tcBorders>
            <w:shd w:val="clear" w:color="000000" w:fill="FFFFFF"/>
            <w:vAlign w:val="center"/>
            <w:hideMark/>
          </w:tcPr>
          <w:p w14:paraId="39117B4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0,6</w:t>
            </w:r>
          </w:p>
        </w:tc>
        <w:tc>
          <w:tcPr>
            <w:tcW w:w="1401" w:type="dxa"/>
            <w:tcBorders>
              <w:top w:val="dotted" w:sz="4" w:space="0" w:color="auto"/>
              <w:left w:val="nil"/>
              <w:bottom w:val="single" w:sz="4" w:space="0" w:color="auto"/>
              <w:right w:val="dotted" w:sz="4" w:space="0" w:color="auto"/>
            </w:tcBorders>
            <w:shd w:val="clear" w:color="000000" w:fill="FFFFFF"/>
            <w:vAlign w:val="center"/>
            <w:hideMark/>
          </w:tcPr>
          <w:p w14:paraId="6EB3EAF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-0,1</w:t>
            </w:r>
          </w:p>
        </w:tc>
        <w:tc>
          <w:tcPr>
            <w:tcW w:w="1443" w:type="dxa"/>
            <w:tcBorders>
              <w:top w:val="dotted" w:sz="4" w:space="0" w:color="auto"/>
              <w:left w:val="nil"/>
              <w:bottom w:val="single" w:sz="4" w:space="0" w:color="auto"/>
              <w:right w:val="dotted" w:sz="4" w:space="0" w:color="auto"/>
            </w:tcBorders>
            <w:shd w:val="clear" w:color="000000" w:fill="FFFFFF"/>
            <w:vAlign w:val="center"/>
            <w:hideMark/>
          </w:tcPr>
          <w:p w14:paraId="07494C0A"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-0,4</w:t>
            </w:r>
          </w:p>
        </w:tc>
        <w:tc>
          <w:tcPr>
            <w:tcW w:w="1447" w:type="dxa"/>
            <w:tcBorders>
              <w:top w:val="dotted" w:sz="4" w:space="0" w:color="auto"/>
              <w:left w:val="nil"/>
              <w:bottom w:val="single" w:sz="4" w:space="0" w:color="auto"/>
              <w:right w:val="double" w:sz="6" w:space="0" w:color="auto"/>
            </w:tcBorders>
            <w:shd w:val="clear" w:color="000000" w:fill="FFFFFF"/>
            <w:vAlign w:val="center"/>
            <w:hideMark/>
          </w:tcPr>
          <w:p w14:paraId="21F6D48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0,1</w:t>
            </w:r>
          </w:p>
        </w:tc>
      </w:tr>
      <w:tr w:rsidR="009B5DE5" w:rsidRPr="009B5DE5" w14:paraId="5B9F97A7" w14:textId="77777777" w:rsidTr="00396800">
        <w:trPr>
          <w:trHeight w:val="360"/>
        </w:trPr>
        <w:tc>
          <w:tcPr>
            <w:tcW w:w="6492" w:type="dxa"/>
            <w:tcBorders>
              <w:top w:val="nil"/>
              <w:left w:val="double" w:sz="6" w:space="0" w:color="auto"/>
              <w:bottom w:val="nil"/>
              <w:right w:val="dotted" w:sz="4" w:space="0" w:color="auto"/>
            </w:tcBorders>
            <w:shd w:val="clear" w:color="000000" w:fill="FFFFFF"/>
            <w:vAlign w:val="center"/>
            <w:hideMark/>
          </w:tcPr>
          <w:p w14:paraId="4D369DFC" w14:textId="77777777" w:rsidR="009B5DE5" w:rsidRPr="009B5DE5" w:rsidRDefault="009B5DE5" w:rsidP="009B5DE5">
            <w:pPr>
              <w:spacing w:after="0"/>
              <w:jc w:val="left"/>
              <w:rPr>
                <w:rFonts w:eastAsia="Times New Roman" w:cs="Times New Roman"/>
                <w:i/>
                <w:iCs/>
                <w:szCs w:val="24"/>
              </w:rPr>
            </w:pPr>
            <w:r w:rsidRPr="009B5DE5">
              <w:rPr>
                <w:rFonts w:eastAsia="Times New Roman" w:cs="Times New Roman"/>
                <w:i/>
                <w:iCs/>
                <w:szCs w:val="24"/>
              </w:rPr>
              <w:t>од чега:</w:t>
            </w:r>
          </w:p>
        </w:tc>
        <w:tc>
          <w:tcPr>
            <w:tcW w:w="1270" w:type="dxa"/>
            <w:tcBorders>
              <w:top w:val="nil"/>
              <w:left w:val="nil"/>
              <w:bottom w:val="nil"/>
              <w:right w:val="single" w:sz="8" w:space="0" w:color="auto"/>
            </w:tcBorders>
            <w:shd w:val="clear" w:color="000000" w:fill="FFFFFF"/>
            <w:vAlign w:val="center"/>
            <w:hideMark/>
          </w:tcPr>
          <w:p w14:paraId="4357B5BF"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 </w:t>
            </w:r>
          </w:p>
        </w:tc>
        <w:tc>
          <w:tcPr>
            <w:tcW w:w="1338" w:type="dxa"/>
            <w:tcBorders>
              <w:top w:val="nil"/>
              <w:left w:val="nil"/>
              <w:bottom w:val="nil"/>
              <w:right w:val="dotted" w:sz="4" w:space="0" w:color="auto"/>
            </w:tcBorders>
            <w:shd w:val="clear" w:color="000000" w:fill="FFFFFF"/>
            <w:vAlign w:val="center"/>
            <w:hideMark/>
          </w:tcPr>
          <w:p w14:paraId="16E43B2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624" w:type="dxa"/>
            <w:tcBorders>
              <w:top w:val="nil"/>
              <w:left w:val="nil"/>
              <w:bottom w:val="nil"/>
              <w:right w:val="dotted" w:sz="4" w:space="0" w:color="auto"/>
            </w:tcBorders>
            <w:shd w:val="clear" w:color="000000" w:fill="FFFFFF"/>
            <w:vAlign w:val="center"/>
            <w:hideMark/>
          </w:tcPr>
          <w:p w14:paraId="4CBD133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401" w:type="dxa"/>
            <w:tcBorders>
              <w:top w:val="nil"/>
              <w:left w:val="nil"/>
              <w:bottom w:val="nil"/>
              <w:right w:val="dotted" w:sz="4" w:space="0" w:color="auto"/>
            </w:tcBorders>
            <w:shd w:val="clear" w:color="000000" w:fill="FFFFFF"/>
            <w:vAlign w:val="center"/>
            <w:hideMark/>
          </w:tcPr>
          <w:p w14:paraId="0C960D1B"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443" w:type="dxa"/>
            <w:tcBorders>
              <w:top w:val="nil"/>
              <w:left w:val="nil"/>
              <w:bottom w:val="nil"/>
              <w:right w:val="dotted" w:sz="4" w:space="0" w:color="auto"/>
            </w:tcBorders>
            <w:shd w:val="clear" w:color="000000" w:fill="FFFFFF"/>
            <w:vAlign w:val="center"/>
            <w:hideMark/>
          </w:tcPr>
          <w:p w14:paraId="7381712A"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447" w:type="dxa"/>
            <w:tcBorders>
              <w:top w:val="nil"/>
              <w:left w:val="nil"/>
              <w:bottom w:val="nil"/>
              <w:right w:val="double" w:sz="6" w:space="0" w:color="auto"/>
            </w:tcBorders>
            <w:shd w:val="clear" w:color="000000" w:fill="FFFFFF"/>
            <w:vAlign w:val="center"/>
            <w:hideMark/>
          </w:tcPr>
          <w:p w14:paraId="47DF467A"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r>
      <w:tr w:rsidR="009B5DE5" w:rsidRPr="009B5DE5" w14:paraId="3D15F851" w14:textId="77777777" w:rsidTr="00396800">
        <w:trPr>
          <w:trHeight w:val="360"/>
        </w:trPr>
        <w:tc>
          <w:tcPr>
            <w:tcW w:w="6492" w:type="dxa"/>
            <w:tcBorders>
              <w:top w:val="nil"/>
              <w:left w:val="double" w:sz="6" w:space="0" w:color="auto"/>
              <w:bottom w:val="nil"/>
              <w:right w:val="dotted" w:sz="4" w:space="0" w:color="auto"/>
            </w:tcBorders>
            <w:shd w:val="clear" w:color="000000" w:fill="FFFFFF"/>
            <w:noWrap/>
            <w:vAlign w:val="bottom"/>
            <w:hideMark/>
          </w:tcPr>
          <w:p w14:paraId="1489B9A3"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xml:space="preserve">   - Разлике између готовинске и обрачунске основе[4]</w:t>
            </w:r>
          </w:p>
        </w:tc>
        <w:tc>
          <w:tcPr>
            <w:tcW w:w="1270" w:type="dxa"/>
            <w:tcBorders>
              <w:top w:val="nil"/>
              <w:left w:val="nil"/>
              <w:bottom w:val="nil"/>
              <w:right w:val="single" w:sz="8" w:space="0" w:color="auto"/>
            </w:tcBorders>
            <w:shd w:val="clear" w:color="000000" w:fill="FFFFFF"/>
            <w:vAlign w:val="center"/>
            <w:hideMark/>
          </w:tcPr>
          <w:p w14:paraId="02A35F2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 </w:t>
            </w:r>
          </w:p>
        </w:tc>
        <w:tc>
          <w:tcPr>
            <w:tcW w:w="1338" w:type="dxa"/>
            <w:tcBorders>
              <w:top w:val="nil"/>
              <w:left w:val="nil"/>
              <w:bottom w:val="nil"/>
              <w:right w:val="dotted" w:sz="4" w:space="0" w:color="auto"/>
            </w:tcBorders>
            <w:shd w:val="clear" w:color="000000" w:fill="FFFFFF"/>
            <w:vAlign w:val="center"/>
            <w:hideMark/>
          </w:tcPr>
          <w:p w14:paraId="508568AD"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624" w:type="dxa"/>
            <w:tcBorders>
              <w:top w:val="nil"/>
              <w:left w:val="nil"/>
              <w:bottom w:val="nil"/>
              <w:right w:val="dotted" w:sz="4" w:space="0" w:color="auto"/>
            </w:tcBorders>
            <w:shd w:val="clear" w:color="000000" w:fill="FFFFFF"/>
            <w:vAlign w:val="center"/>
            <w:hideMark/>
          </w:tcPr>
          <w:p w14:paraId="290DA01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401" w:type="dxa"/>
            <w:tcBorders>
              <w:top w:val="nil"/>
              <w:left w:val="nil"/>
              <w:bottom w:val="nil"/>
              <w:right w:val="dotted" w:sz="4" w:space="0" w:color="auto"/>
            </w:tcBorders>
            <w:shd w:val="clear" w:color="000000" w:fill="FFFFFF"/>
            <w:vAlign w:val="center"/>
            <w:hideMark/>
          </w:tcPr>
          <w:p w14:paraId="0AC2C09D"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443" w:type="dxa"/>
            <w:tcBorders>
              <w:top w:val="nil"/>
              <w:left w:val="nil"/>
              <w:bottom w:val="nil"/>
              <w:right w:val="dotted" w:sz="4" w:space="0" w:color="auto"/>
            </w:tcBorders>
            <w:shd w:val="clear" w:color="000000" w:fill="FFFFFF"/>
            <w:vAlign w:val="center"/>
            <w:hideMark/>
          </w:tcPr>
          <w:p w14:paraId="6C63F3FD"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447" w:type="dxa"/>
            <w:tcBorders>
              <w:top w:val="nil"/>
              <w:left w:val="nil"/>
              <w:bottom w:val="nil"/>
              <w:right w:val="double" w:sz="6" w:space="0" w:color="auto"/>
            </w:tcBorders>
            <w:shd w:val="clear" w:color="000000" w:fill="FFFFFF"/>
            <w:vAlign w:val="center"/>
            <w:hideMark/>
          </w:tcPr>
          <w:p w14:paraId="5194308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r>
      <w:tr w:rsidR="009B5DE5" w:rsidRPr="009B5DE5" w14:paraId="612109D4" w14:textId="77777777" w:rsidTr="00396800">
        <w:trPr>
          <w:trHeight w:val="360"/>
        </w:trPr>
        <w:tc>
          <w:tcPr>
            <w:tcW w:w="6492" w:type="dxa"/>
            <w:tcBorders>
              <w:top w:val="nil"/>
              <w:left w:val="double" w:sz="6" w:space="0" w:color="auto"/>
              <w:bottom w:val="single" w:sz="4" w:space="0" w:color="auto"/>
              <w:right w:val="dotted" w:sz="4" w:space="0" w:color="auto"/>
            </w:tcBorders>
            <w:shd w:val="clear" w:color="auto" w:fill="auto"/>
            <w:noWrap/>
            <w:vAlign w:val="bottom"/>
            <w:hideMark/>
          </w:tcPr>
          <w:p w14:paraId="0EE41664"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xml:space="preserve">  - Нето акумулација финансијских средстава [5]</w:t>
            </w:r>
          </w:p>
        </w:tc>
        <w:tc>
          <w:tcPr>
            <w:tcW w:w="1270" w:type="dxa"/>
            <w:tcBorders>
              <w:top w:val="nil"/>
              <w:left w:val="nil"/>
              <w:bottom w:val="single" w:sz="4" w:space="0" w:color="auto"/>
              <w:right w:val="single" w:sz="8" w:space="0" w:color="auto"/>
            </w:tcBorders>
            <w:shd w:val="clear" w:color="000000" w:fill="FFFFFF"/>
            <w:vAlign w:val="center"/>
            <w:hideMark/>
          </w:tcPr>
          <w:p w14:paraId="5F3BC16F"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 </w:t>
            </w:r>
          </w:p>
        </w:tc>
        <w:tc>
          <w:tcPr>
            <w:tcW w:w="1338" w:type="dxa"/>
            <w:tcBorders>
              <w:top w:val="nil"/>
              <w:left w:val="nil"/>
              <w:bottom w:val="single" w:sz="4" w:space="0" w:color="auto"/>
              <w:right w:val="dotted" w:sz="4" w:space="0" w:color="auto"/>
            </w:tcBorders>
            <w:shd w:val="clear" w:color="000000" w:fill="FFFFFF"/>
            <w:vAlign w:val="center"/>
            <w:hideMark/>
          </w:tcPr>
          <w:p w14:paraId="1278A7A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624" w:type="dxa"/>
            <w:tcBorders>
              <w:top w:val="nil"/>
              <w:left w:val="nil"/>
              <w:bottom w:val="single" w:sz="4" w:space="0" w:color="auto"/>
              <w:right w:val="dotted" w:sz="4" w:space="0" w:color="auto"/>
            </w:tcBorders>
            <w:shd w:val="clear" w:color="000000" w:fill="FFFFFF"/>
            <w:vAlign w:val="center"/>
            <w:hideMark/>
          </w:tcPr>
          <w:p w14:paraId="39C378F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401" w:type="dxa"/>
            <w:tcBorders>
              <w:top w:val="nil"/>
              <w:left w:val="nil"/>
              <w:bottom w:val="single" w:sz="4" w:space="0" w:color="auto"/>
              <w:right w:val="dotted" w:sz="4" w:space="0" w:color="auto"/>
            </w:tcBorders>
            <w:shd w:val="clear" w:color="000000" w:fill="FFFFFF"/>
            <w:vAlign w:val="center"/>
            <w:hideMark/>
          </w:tcPr>
          <w:p w14:paraId="1B04A5C0"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443" w:type="dxa"/>
            <w:tcBorders>
              <w:top w:val="nil"/>
              <w:left w:val="nil"/>
              <w:bottom w:val="single" w:sz="4" w:space="0" w:color="auto"/>
              <w:right w:val="dotted" w:sz="4" w:space="0" w:color="auto"/>
            </w:tcBorders>
            <w:shd w:val="clear" w:color="000000" w:fill="FFFFFF"/>
            <w:vAlign w:val="center"/>
            <w:hideMark/>
          </w:tcPr>
          <w:p w14:paraId="1C57808F"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447" w:type="dxa"/>
            <w:tcBorders>
              <w:top w:val="nil"/>
              <w:left w:val="nil"/>
              <w:bottom w:val="single" w:sz="4" w:space="0" w:color="auto"/>
              <w:right w:val="double" w:sz="6" w:space="0" w:color="auto"/>
            </w:tcBorders>
            <w:shd w:val="clear" w:color="000000" w:fill="FFFFFF"/>
            <w:vAlign w:val="center"/>
            <w:hideMark/>
          </w:tcPr>
          <w:p w14:paraId="63EB9E3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r>
      <w:tr w:rsidR="009B5DE5" w:rsidRPr="009B5DE5" w14:paraId="3FC5547B" w14:textId="77777777" w:rsidTr="00396800">
        <w:trPr>
          <w:trHeight w:val="360"/>
        </w:trPr>
        <w:tc>
          <w:tcPr>
            <w:tcW w:w="6492" w:type="dxa"/>
            <w:tcBorders>
              <w:top w:val="nil"/>
              <w:left w:val="double" w:sz="6" w:space="0" w:color="auto"/>
              <w:bottom w:val="nil"/>
              <w:right w:val="dotted" w:sz="4" w:space="0" w:color="auto"/>
            </w:tcBorders>
            <w:shd w:val="clear" w:color="000000" w:fill="FFFFFF"/>
            <w:vAlign w:val="center"/>
            <w:hideMark/>
          </w:tcPr>
          <w:p w14:paraId="4B82FB28" w14:textId="77777777" w:rsidR="009B5DE5" w:rsidRPr="009B5DE5" w:rsidRDefault="009B5DE5" w:rsidP="009B5DE5">
            <w:pPr>
              <w:spacing w:after="0"/>
              <w:jc w:val="left"/>
              <w:rPr>
                <w:rFonts w:eastAsia="Times New Roman" w:cs="Times New Roman"/>
                <w:i/>
                <w:iCs/>
                <w:szCs w:val="24"/>
              </w:rPr>
            </w:pPr>
            <w:r w:rsidRPr="009B5DE5">
              <w:rPr>
                <w:rFonts w:eastAsia="Times New Roman" w:cs="Times New Roman"/>
                <w:i/>
                <w:iCs/>
                <w:szCs w:val="24"/>
              </w:rPr>
              <w:t>од чега:</w:t>
            </w:r>
          </w:p>
        </w:tc>
        <w:tc>
          <w:tcPr>
            <w:tcW w:w="1270" w:type="dxa"/>
            <w:tcBorders>
              <w:top w:val="nil"/>
              <w:left w:val="nil"/>
              <w:bottom w:val="nil"/>
              <w:right w:val="single" w:sz="8" w:space="0" w:color="auto"/>
            </w:tcBorders>
            <w:shd w:val="clear" w:color="000000" w:fill="FFFFFF"/>
            <w:vAlign w:val="center"/>
            <w:hideMark/>
          </w:tcPr>
          <w:p w14:paraId="7AEA120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 </w:t>
            </w:r>
          </w:p>
        </w:tc>
        <w:tc>
          <w:tcPr>
            <w:tcW w:w="1338" w:type="dxa"/>
            <w:tcBorders>
              <w:top w:val="nil"/>
              <w:left w:val="nil"/>
              <w:bottom w:val="nil"/>
              <w:right w:val="dotted" w:sz="4" w:space="0" w:color="auto"/>
            </w:tcBorders>
            <w:shd w:val="clear" w:color="000000" w:fill="FFFFFF"/>
            <w:vAlign w:val="center"/>
            <w:hideMark/>
          </w:tcPr>
          <w:p w14:paraId="00C1C6D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624" w:type="dxa"/>
            <w:tcBorders>
              <w:top w:val="nil"/>
              <w:left w:val="nil"/>
              <w:bottom w:val="nil"/>
              <w:right w:val="dotted" w:sz="4" w:space="0" w:color="auto"/>
            </w:tcBorders>
            <w:shd w:val="clear" w:color="000000" w:fill="FFFFFF"/>
            <w:vAlign w:val="center"/>
            <w:hideMark/>
          </w:tcPr>
          <w:p w14:paraId="24F535F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401" w:type="dxa"/>
            <w:tcBorders>
              <w:top w:val="nil"/>
              <w:left w:val="nil"/>
              <w:bottom w:val="nil"/>
              <w:right w:val="dotted" w:sz="4" w:space="0" w:color="auto"/>
            </w:tcBorders>
            <w:shd w:val="clear" w:color="000000" w:fill="FFFFFF"/>
            <w:vAlign w:val="center"/>
            <w:hideMark/>
          </w:tcPr>
          <w:p w14:paraId="6E23153F"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443" w:type="dxa"/>
            <w:tcBorders>
              <w:top w:val="nil"/>
              <w:left w:val="nil"/>
              <w:bottom w:val="nil"/>
              <w:right w:val="dotted" w:sz="4" w:space="0" w:color="auto"/>
            </w:tcBorders>
            <w:shd w:val="clear" w:color="000000" w:fill="FFFFFF"/>
            <w:vAlign w:val="center"/>
            <w:hideMark/>
          </w:tcPr>
          <w:p w14:paraId="52F30E2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c>
          <w:tcPr>
            <w:tcW w:w="1447" w:type="dxa"/>
            <w:tcBorders>
              <w:top w:val="nil"/>
              <w:left w:val="nil"/>
              <w:bottom w:val="nil"/>
              <w:right w:val="double" w:sz="6" w:space="0" w:color="auto"/>
            </w:tcBorders>
            <w:shd w:val="clear" w:color="000000" w:fill="FFFFFF"/>
            <w:vAlign w:val="center"/>
            <w:hideMark/>
          </w:tcPr>
          <w:p w14:paraId="5172E4E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 </w:t>
            </w:r>
          </w:p>
        </w:tc>
      </w:tr>
      <w:tr w:rsidR="009B5DE5" w:rsidRPr="009B5DE5" w14:paraId="36F13CFA" w14:textId="77777777" w:rsidTr="00396800">
        <w:trPr>
          <w:trHeight w:val="360"/>
        </w:trPr>
        <w:tc>
          <w:tcPr>
            <w:tcW w:w="6492" w:type="dxa"/>
            <w:tcBorders>
              <w:top w:val="nil"/>
              <w:left w:val="double" w:sz="6" w:space="0" w:color="auto"/>
              <w:bottom w:val="nil"/>
              <w:right w:val="dotted" w:sz="4" w:space="0" w:color="auto"/>
            </w:tcBorders>
            <w:shd w:val="clear" w:color="000000" w:fill="FFFFFF"/>
            <w:vAlign w:val="center"/>
            <w:hideMark/>
          </w:tcPr>
          <w:p w14:paraId="1046BA3E"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xml:space="preserve">   - приходи од приватизације</w:t>
            </w:r>
          </w:p>
        </w:tc>
        <w:tc>
          <w:tcPr>
            <w:tcW w:w="1270" w:type="dxa"/>
            <w:tcBorders>
              <w:top w:val="nil"/>
              <w:left w:val="nil"/>
              <w:bottom w:val="nil"/>
              <w:right w:val="single" w:sz="8" w:space="0" w:color="auto"/>
            </w:tcBorders>
            <w:shd w:val="clear" w:color="000000" w:fill="FFFFFF"/>
            <w:vAlign w:val="center"/>
            <w:hideMark/>
          </w:tcPr>
          <w:p w14:paraId="0463A1E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 </w:t>
            </w:r>
          </w:p>
        </w:tc>
        <w:tc>
          <w:tcPr>
            <w:tcW w:w="1338" w:type="dxa"/>
            <w:tcBorders>
              <w:top w:val="nil"/>
              <w:left w:val="nil"/>
              <w:bottom w:val="nil"/>
              <w:right w:val="dotted" w:sz="4" w:space="0" w:color="auto"/>
            </w:tcBorders>
            <w:shd w:val="clear" w:color="000000" w:fill="FFFFFF"/>
            <w:vAlign w:val="center"/>
            <w:hideMark/>
          </w:tcPr>
          <w:p w14:paraId="7D4722C2"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624" w:type="dxa"/>
            <w:tcBorders>
              <w:top w:val="nil"/>
              <w:left w:val="nil"/>
              <w:bottom w:val="nil"/>
              <w:right w:val="dotted" w:sz="4" w:space="0" w:color="auto"/>
            </w:tcBorders>
            <w:shd w:val="clear" w:color="000000" w:fill="FFFFFF"/>
            <w:vAlign w:val="center"/>
            <w:hideMark/>
          </w:tcPr>
          <w:p w14:paraId="2D0D78B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401" w:type="dxa"/>
            <w:tcBorders>
              <w:top w:val="nil"/>
              <w:left w:val="nil"/>
              <w:bottom w:val="nil"/>
              <w:right w:val="dotted" w:sz="4" w:space="0" w:color="auto"/>
            </w:tcBorders>
            <w:shd w:val="clear" w:color="000000" w:fill="FFFFFF"/>
            <w:vAlign w:val="center"/>
            <w:hideMark/>
          </w:tcPr>
          <w:p w14:paraId="78DDEC0F"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443" w:type="dxa"/>
            <w:tcBorders>
              <w:top w:val="nil"/>
              <w:left w:val="nil"/>
              <w:bottom w:val="nil"/>
              <w:right w:val="dotted" w:sz="4" w:space="0" w:color="auto"/>
            </w:tcBorders>
            <w:shd w:val="clear" w:color="000000" w:fill="FFFFFF"/>
            <w:vAlign w:val="center"/>
            <w:hideMark/>
          </w:tcPr>
          <w:p w14:paraId="74B5EFE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447" w:type="dxa"/>
            <w:tcBorders>
              <w:top w:val="nil"/>
              <w:left w:val="nil"/>
              <w:bottom w:val="nil"/>
              <w:right w:val="double" w:sz="6" w:space="0" w:color="auto"/>
            </w:tcBorders>
            <w:shd w:val="clear" w:color="000000" w:fill="FFFFFF"/>
            <w:vAlign w:val="center"/>
            <w:hideMark/>
          </w:tcPr>
          <w:p w14:paraId="02C0BBCC"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r>
      <w:tr w:rsidR="009B5DE5" w:rsidRPr="009B5DE5" w14:paraId="3B6936E8" w14:textId="77777777" w:rsidTr="00396800">
        <w:trPr>
          <w:trHeight w:val="360"/>
        </w:trPr>
        <w:tc>
          <w:tcPr>
            <w:tcW w:w="6492" w:type="dxa"/>
            <w:tcBorders>
              <w:top w:val="nil"/>
              <w:left w:val="double" w:sz="6" w:space="0" w:color="auto"/>
              <w:bottom w:val="single" w:sz="4" w:space="0" w:color="auto"/>
              <w:right w:val="dotted" w:sz="4" w:space="0" w:color="auto"/>
            </w:tcBorders>
            <w:shd w:val="clear" w:color="auto" w:fill="auto"/>
            <w:noWrap/>
            <w:vAlign w:val="bottom"/>
            <w:hideMark/>
          </w:tcPr>
          <w:p w14:paraId="5FBD21AE" w14:textId="77777777" w:rsidR="009B5DE5" w:rsidRPr="009B5DE5" w:rsidRDefault="009B5DE5" w:rsidP="009B5DE5">
            <w:pPr>
              <w:spacing w:after="0"/>
              <w:jc w:val="left"/>
              <w:rPr>
                <w:rFonts w:eastAsia="Times New Roman" w:cs="Times New Roman"/>
                <w:sz w:val="20"/>
                <w:szCs w:val="20"/>
              </w:rPr>
            </w:pPr>
            <w:bookmarkStart w:id="160" w:name="RANGE!B20"/>
            <w:r w:rsidRPr="009B5DE5">
              <w:rPr>
                <w:rFonts w:eastAsia="Times New Roman" w:cs="Times New Roman"/>
                <w:sz w:val="20"/>
                <w:szCs w:val="20"/>
              </w:rPr>
              <w:t xml:space="preserve">   - ефекти вредновања и друго [6]</w:t>
            </w:r>
            <w:bookmarkEnd w:id="160"/>
          </w:p>
        </w:tc>
        <w:tc>
          <w:tcPr>
            <w:tcW w:w="1270" w:type="dxa"/>
            <w:tcBorders>
              <w:top w:val="nil"/>
              <w:left w:val="nil"/>
              <w:bottom w:val="single" w:sz="4" w:space="0" w:color="auto"/>
              <w:right w:val="single" w:sz="8" w:space="0" w:color="auto"/>
            </w:tcBorders>
            <w:shd w:val="clear" w:color="000000" w:fill="FFFFFF"/>
            <w:vAlign w:val="center"/>
            <w:hideMark/>
          </w:tcPr>
          <w:p w14:paraId="75C1FF6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 </w:t>
            </w:r>
          </w:p>
        </w:tc>
        <w:tc>
          <w:tcPr>
            <w:tcW w:w="1338" w:type="dxa"/>
            <w:tcBorders>
              <w:top w:val="nil"/>
              <w:left w:val="nil"/>
              <w:bottom w:val="single" w:sz="4" w:space="0" w:color="auto"/>
              <w:right w:val="dotted" w:sz="4" w:space="0" w:color="auto"/>
            </w:tcBorders>
            <w:shd w:val="clear" w:color="000000" w:fill="FFFFFF"/>
            <w:vAlign w:val="center"/>
            <w:hideMark/>
          </w:tcPr>
          <w:p w14:paraId="2E70018A"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624" w:type="dxa"/>
            <w:tcBorders>
              <w:top w:val="nil"/>
              <w:left w:val="nil"/>
              <w:bottom w:val="single" w:sz="4" w:space="0" w:color="auto"/>
              <w:right w:val="dotted" w:sz="4" w:space="0" w:color="auto"/>
            </w:tcBorders>
            <w:shd w:val="clear" w:color="000000" w:fill="FFFFFF"/>
            <w:vAlign w:val="center"/>
            <w:hideMark/>
          </w:tcPr>
          <w:p w14:paraId="19F7CCFF"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401" w:type="dxa"/>
            <w:tcBorders>
              <w:top w:val="nil"/>
              <w:left w:val="nil"/>
              <w:bottom w:val="single" w:sz="4" w:space="0" w:color="auto"/>
              <w:right w:val="dotted" w:sz="4" w:space="0" w:color="auto"/>
            </w:tcBorders>
            <w:shd w:val="clear" w:color="000000" w:fill="FFFFFF"/>
            <w:vAlign w:val="center"/>
            <w:hideMark/>
          </w:tcPr>
          <w:p w14:paraId="52801F8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443" w:type="dxa"/>
            <w:tcBorders>
              <w:top w:val="nil"/>
              <w:left w:val="nil"/>
              <w:bottom w:val="single" w:sz="4" w:space="0" w:color="auto"/>
              <w:right w:val="dotted" w:sz="4" w:space="0" w:color="auto"/>
            </w:tcBorders>
            <w:shd w:val="clear" w:color="000000" w:fill="FFFFFF"/>
            <w:vAlign w:val="center"/>
            <w:hideMark/>
          </w:tcPr>
          <w:p w14:paraId="1845CC5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447" w:type="dxa"/>
            <w:tcBorders>
              <w:top w:val="nil"/>
              <w:left w:val="nil"/>
              <w:bottom w:val="single" w:sz="4" w:space="0" w:color="auto"/>
              <w:right w:val="double" w:sz="6" w:space="0" w:color="auto"/>
            </w:tcBorders>
            <w:shd w:val="clear" w:color="000000" w:fill="FFFFFF"/>
            <w:vAlign w:val="center"/>
            <w:hideMark/>
          </w:tcPr>
          <w:p w14:paraId="48BDFB9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r>
      <w:tr w:rsidR="009B5DE5" w:rsidRPr="009B5DE5" w14:paraId="339F7B19" w14:textId="77777777" w:rsidTr="00396800">
        <w:trPr>
          <w:trHeight w:val="643"/>
        </w:trPr>
        <w:tc>
          <w:tcPr>
            <w:tcW w:w="6492" w:type="dxa"/>
            <w:tcBorders>
              <w:top w:val="nil"/>
              <w:left w:val="double" w:sz="6" w:space="0" w:color="auto"/>
              <w:bottom w:val="single" w:sz="8" w:space="0" w:color="auto"/>
              <w:right w:val="nil"/>
            </w:tcBorders>
            <w:shd w:val="clear" w:color="auto" w:fill="auto"/>
            <w:vAlign w:val="bottom"/>
            <w:hideMark/>
          </w:tcPr>
          <w:p w14:paraId="4E6C2976" w14:textId="77777777" w:rsidR="009B5DE5" w:rsidRPr="009B5DE5" w:rsidRDefault="009B5DE5" w:rsidP="009B5DE5">
            <w:pPr>
              <w:spacing w:after="0"/>
              <w:jc w:val="left"/>
              <w:rPr>
                <w:rFonts w:eastAsia="Times New Roman" w:cs="Times New Roman"/>
                <w:b/>
                <w:bCs/>
                <w:sz w:val="20"/>
                <w:szCs w:val="20"/>
              </w:rPr>
            </w:pPr>
            <w:r w:rsidRPr="009B5DE5">
              <w:rPr>
                <w:rFonts w:eastAsia="Times New Roman" w:cs="Times New Roman"/>
                <w:b/>
                <w:bCs/>
                <w:sz w:val="20"/>
                <w:szCs w:val="20"/>
              </w:rPr>
              <w:t xml:space="preserve"> Информативно: имплицитна каматна стопа на дуг [7]</w:t>
            </w:r>
          </w:p>
        </w:tc>
        <w:tc>
          <w:tcPr>
            <w:tcW w:w="1270" w:type="dxa"/>
            <w:tcBorders>
              <w:top w:val="nil"/>
              <w:left w:val="nil"/>
              <w:bottom w:val="single" w:sz="8" w:space="0" w:color="auto"/>
              <w:right w:val="single" w:sz="8" w:space="0" w:color="auto"/>
            </w:tcBorders>
            <w:shd w:val="clear" w:color="000000" w:fill="FFFFFF"/>
            <w:vAlign w:val="center"/>
            <w:hideMark/>
          </w:tcPr>
          <w:p w14:paraId="267F832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 </w:t>
            </w:r>
          </w:p>
        </w:tc>
        <w:tc>
          <w:tcPr>
            <w:tcW w:w="1338" w:type="dxa"/>
            <w:tcBorders>
              <w:top w:val="nil"/>
              <w:left w:val="nil"/>
              <w:bottom w:val="single" w:sz="8" w:space="0" w:color="000000"/>
              <w:right w:val="dotted" w:sz="4" w:space="0" w:color="auto"/>
            </w:tcBorders>
            <w:shd w:val="clear" w:color="auto" w:fill="auto"/>
            <w:vAlign w:val="center"/>
            <w:hideMark/>
          </w:tcPr>
          <w:p w14:paraId="04D6A571" w14:textId="77777777" w:rsidR="009B5DE5" w:rsidRPr="009B5DE5" w:rsidRDefault="009B5DE5" w:rsidP="009B5DE5">
            <w:pPr>
              <w:spacing w:after="0"/>
              <w:jc w:val="right"/>
              <w:rPr>
                <w:rFonts w:eastAsia="Times New Roman" w:cs="Times New Roman"/>
                <w:color w:val="000000"/>
                <w:sz w:val="20"/>
                <w:szCs w:val="20"/>
              </w:rPr>
            </w:pPr>
            <w:r w:rsidRPr="009B5DE5">
              <w:rPr>
                <w:rFonts w:eastAsia="Times New Roman" w:cs="Times New Roman"/>
                <w:color w:val="000000"/>
                <w:sz w:val="20"/>
                <w:szCs w:val="20"/>
              </w:rPr>
              <w:t>3,8</w:t>
            </w:r>
          </w:p>
        </w:tc>
        <w:tc>
          <w:tcPr>
            <w:tcW w:w="1624" w:type="dxa"/>
            <w:tcBorders>
              <w:top w:val="nil"/>
              <w:left w:val="nil"/>
              <w:bottom w:val="single" w:sz="8" w:space="0" w:color="000000"/>
              <w:right w:val="dotted" w:sz="4" w:space="0" w:color="auto"/>
            </w:tcBorders>
            <w:shd w:val="clear" w:color="auto" w:fill="auto"/>
            <w:vAlign w:val="center"/>
            <w:hideMark/>
          </w:tcPr>
          <w:p w14:paraId="39959DB8" w14:textId="77777777" w:rsidR="009B5DE5" w:rsidRPr="009B5DE5" w:rsidRDefault="009B5DE5" w:rsidP="009B5DE5">
            <w:pPr>
              <w:spacing w:after="0"/>
              <w:jc w:val="right"/>
              <w:rPr>
                <w:rFonts w:eastAsia="Times New Roman" w:cs="Times New Roman"/>
                <w:color w:val="000000"/>
                <w:sz w:val="20"/>
                <w:szCs w:val="20"/>
              </w:rPr>
            </w:pPr>
            <w:r w:rsidRPr="009B5DE5">
              <w:rPr>
                <w:rFonts w:eastAsia="Times New Roman" w:cs="Times New Roman"/>
                <w:color w:val="000000"/>
                <w:sz w:val="20"/>
                <w:szCs w:val="20"/>
              </w:rPr>
              <w:t>4,4</w:t>
            </w:r>
          </w:p>
        </w:tc>
        <w:tc>
          <w:tcPr>
            <w:tcW w:w="1401" w:type="dxa"/>
            <w:tcBorders>
              <w:top w:val="nil"/>
              <w:left w:val="nil"/>
              <w:bottom w:val="single" w:sz="8" w:space="0" w:color="000000"/>
              <w:right w:val="dotted" w:sz="4" w:space="0" w:color="auto"/>
            </w:tcBorders>
            <w:shd w:val="clear" w:color="auto" w:fill="auto"/>
            <w:vAlign w:val="center"/>
            <w:hideMark/>
          </w:tcPr>
          <w:p w14:paraId="3BD06221" w14:textId="77777777" w:rsidR="009B5DE5" w:rsidRPr="009B5DE5" w:rsidRDefault="009B5DE5" w:rsidP="009B5DE5">
            <w:pPr>
              <w:spacing w:after="0"/>
              <w:jc w:val="right"/>
              <w:rPr>
                <w:rFonts w:eastAsia="Times New Roman" w:cs="Times New Roman"/>
                <w:color w:val="000000"/>
                <w:sz w:val="20"/>
                <w:szCs w:val="20"/>
              </w:rPr>
            </w:pPr>
            <w:r w:rsidRPr="009B5DE5">
              <w:rPr>
                <w:rFonts w:eastAsia="Times New Roman" w:cs="Times New Roman"/>
                <w:color w:val="000000"/>
                <w:sz w:val="20"/>
                <w:szCs w:val="20"/>
              </w:rPr>
              <w:t>4,8</w:t>
            </w:r>
          </w:p>
        </w:tc>
        <w:tc>
          <w:tcPr>
            <w:tcW w:w="1443" w:type="dxa"/>
            <w:tcBorders>
              <w:top w:val="nil"/>
              <w:left w:val="nil"/>
              <w:bottom w:val="single" w:sz="8" w:space="0" w:color="000000"/>
              <w:right w:val="dotted" w:sz="4" w:space="0" w:color="auto"/>
            </w:tcBorders>
            <w:shd w:val="clear" w:color="auto" w:fill="auto"/>
            <w:vAlign w:val="center"/>
            <w:hideMark/>
          </w:tcPr>
          <w:p w14:paraId="44514E00" w14:textId="77777777" w:rsidR="009B5DE5" w:rsidRPr="009B5DE5" w:rsidRDefault="009B5DE5" w:rsidP="009B5DE5">
            <w:pPr>
              <w:spacing w:after="0"/>
              <w:jc w:val="right"/>
              <w:rPr>
                <w:rFonts w:eastAsia="Times New Roman" w:cs="Times New Roman"/>
                <w:color w:val="000000"/>
                <w:sz w:val="20"/>
                <w:szCs w:val="20"/>
              </w:rPr>
            </w:pPr>
            <w:r w:rsidRPr="009B5DE5">
              <w:rPr>
                <w:rFonts w:eastAsia="Times New Roman" w:cs="Times New Roman"/>
                <w:color w:val="000000"/>
                <w:sz w:val="20"/>
                <w:szCs w:val="20"/>
              </w:rPr>
              <w:t>4,8</w:t>
            </w:r>
          </w:p>
        </w:tc>
        <w:tc>
          <w:tcPr>
            <w:tcW w:w="1447" w:type="dxa"/>
            <w:tcBorders>
              <w:top w:val="nil"/>
              <w:left w:val="nil"/>
              <w:bottom w:val="single" w:sz="8" w:space="0" w:color="000000"/>
              <w:right w:val="double" w:sz="6" w:space="0" w:color="auto"/>
            </w:tcBorders>
            <w:shd w:val="clear" w:color="auto" w:fill="auto"/>
            <w:vAlign w:val="center"/>
            <w:hideMark/>
          </w:tcPr>
          <w:p w14:paraId="7E2A30CF" w14:textId="77777777" w:rsidR="009B5DE5" w:rsidRPr="009B5DE5" w:rsidRDefault="009B5DE5" w:rsidP="009B5DE5">
            <w:pPr>
              <w:spacing w:after="0"/>
              <w:jc w:val="right"/>
              <w:rPr>
                <w:rFonts w:eastAsia="Times New Roman" w:cs="Times New Roman"/>
                <w:color w:val="000000"/>
                <w:sz w:val="20"/>
                <w:szCs w:val="20"/>
              </w:rPr>
            </w:pPr>
            <w:r w:rsidRPr="009B5DE5">
              <w:rPr>
                <w:rFonts w:eastAsia="Times New Roman" w:cs="Times New Roman"/>
                <w:color w:val="000000"/>
                <w:sz w:val="20"/>
                <w:szCs w:val="20"/>
              </w:rPr>
              <w:t>4,5</w:t>
            </w:r>
          </w:p>
        </w:tc>
      </w:tr>
      <w:tr w:rsidR="009B5DE5" w:rsidRPr="009B5DE5" w14:paraId="6F78154E" w14:textId="77777777" w:rsidTr="00396800">
        <w:trPr>
          <w:trHeight w:val="360"/>
        </w:trPr>
        <w:tc>
          <w:tcPr>
            <w:tcW w:w="15019" w:type="dxa"/>
            <w:gridSpan w:val="7"/>
            <w:tcBorders>
              <w:top w:val="single" w:sz="8" w:space="0" w:color="auto"/>
              <w:left w:val="double" w:sz="6" w:space="0" w:color="auto"/>
              <w:bottom w:val="single" w:sz="8" w:space="0" w:color="auto"/>
              <w:right w:val="double" w:sz="6" w:space="0" w:color="auto"/>
            </w:tcBorders>
            <w:shd w:val="clear" w:color="000000" w:fill="FFFFFF"/>
            <w:vAlign w:val="center"/>
            <w:hideMark/>
          </w:tcPr>
          <w:p w14:paraId="08423857"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Остале релевантне променљиве</w:t>
            </w:r>
          </w:p>
        </w:tc>
      </w:tr>
      <w:tr w:rsidR="009B5DE5" w:rsidRPr="009B5DE5" w14:paraId="4CD94A74" w14:textId="77777777" w:rsidTr="00396800">
        <w:trPr>
          <w:trHeight w:val="360"/>
        </w:trPr>
        <w:tc>
          <w:tcPr>
            <w:tcW w:w="6492" w:type="dxa"/>
            <w:tcBorders>
              <w:top w:val="nil"/>
              <w:left w:val="double" w:sz="6" w:space="0" w:color="auto"/>
              <w:bottom w:val="dotted" w:sz="4" w:space="0" w:color="auto"/>
              <w:right w:val="dotted" w:sz="4" w:space="0" w:color="auto"/>
            </w:tcBorders>
            <w:shd w:val="clear" w:color="auto" w:fill="auto"/>
            <w:noWrap/>
            <w:vAlign w:val="bottom"/>
            <w:hideMark/>
          </w:tcPr>
          <w:p w14:paraId="6CD637E9"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xml:space="preserve">  8. Ликвидна финансијска средства [8]</w:t>
            </w:r>
          </w:p>
        </w:tc>
        <w:tc>
          <w:tcPr>
            <w:tcW w:w="1270" w:type="dxa"/>
            <w:tcBorders>
              <w:top w:val="nil"/>
              <w:left w:val="nil"/>
              <w:bottom w:val="dotted" w:sz="4" w:space="0" w:color="auto"/>
              <w:right w:val="single" w:sz="8" w:space="0" w:color="auto"/>
            </w:tcBorders>
            <w:shd w:val="clear" w:color="000000" w:fill="FFFFFF"/>
            <w:vAlign w:val="center"/>
            <w:hideMark/>
          </w:tcPr>
          <w:p w14:paraId="712BD91B" w14:textId="77777777" w:rsidR="009B5DE5" w:rsidRPr="009B5DE5" w:rsidRDefault="009B5DE5" w:rsidP="009B5DE5">
            <w:pPr>
              <w:spacing w:after="0"/>
              <w:jc w:val="center"/>
              <w:rPr>
                <w:rFonts w:eastAsia="Times New Roman" w:cs="Times New Roman"/>
                <w:szCs w:val="24"/>
              </w:rPr>
            </w:pPr>
            <w:bookmarkStart w:id="161" w:name="RANGE!D23"/>
            <w:r w:rsidRPr="009B5DE5">
              <w:rPr>
                <w:rFonts w:eastAsia="Times New Roman" w:cs="Times New Roman"/>
                <w:szCs w:val="24"/>
              </w:rPr>
              <w:t> </w:t>
            </w:r>
            <w:bookmarkEnd w:id="161"/>
          </w:p>
        </w:tc>
        <w:tc>
          <w:tcPr>
            <w:tcW w:w="1338" w:type="dxa"/>
            <w:tcBorders>
              <w:top w:val="nil"/>
              <w:left w:val="nil"/>
              <w:bottom w:val="dashed" w:sz="4" w:space="0" w:color="auto"/>
              <w:right w:val="dotted" w:sz="4" w:space="0" w:color="auto"/>
            </w:tcBorders>
            <w:shd w:val="clear" w:color="000000" w:fill="FFFFFF"/>
            <w:vAlign w:val="center"/>
            <w:hideMark/>
          </w:tcPr>
          <w:p w14:paraId="3A34DD9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624" w:type="dxa"/>
            <w:tcBorders>
              <w:top w:val="nil"/>
              <w:left w:val="nil"/>
              <w:bottom w:val="dotted" w:sz="4" w:space="0" w:color="auto"/>
              <w:right w:val="dotted" w:sz="4" w:space="0" w:color="auto"/>
            </w:tcBorders>
            <w:shd w:val="clear" w:color="000000" w:fill="FFFFFF"/>
            <w:vAlign w:val="center"/>
            <w:hideMark/>
          </w:tcPr>
          <w:p w14:paraId="1924C7CA"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401" w:type="dxa"/>
            <w:tcBorders>
              <w:top w:val="nil"/>
              <w:left w:val="nil"/>
              <w:bottom w:val="dotted" w:sz="4" w:space="0" w:color="auto"/>
              <w:right w:val="dotted" w:sz="4" w:space="0" w:color="auto"/>
            </w:tcBorders>
            <w:shd w:val="clear" w:color="000000" w:fill="FFFFFF"/>
            <w:vAlign w:val="center"/>
            <w:hideMark/>
          </w:tcPr>
          <w:p w14:paraId="3311482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443" w:type="dxa"/>
            <w:tcBorders>
              <w:top w:val="nil"/>
              <w:left w:val="nil"/>
              <w:bottom w:val="dotted" w:sz="4" w:space="0" w:color="auto"/>
              <w:right w:val="dotted" w:sz="4" w:space="0" w:color="auto"/>
            </w:tcBorders>
            <w:shd w:val="clear" w:color="000000" w:fill="FFFFFF"/>
            <w:vAlign w:val="center"/>
            <w:hideMark/>
          </w:tcPr>
          <w:p w14:paraId="3908F939"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447" w:type="dxa"/>
            <w:tcBorders>
              <w:top w:val="nil"/>
              <w:left w:val="nil"/>
              <w:bottom w:val="dotted" w:sz="4" w:space="0" w:color="auto"/>
              <w:right w:val="double" w:sz="6" w:space="0" w:color="auto"/>
            </w:tcBorders>
            <w:shd w:val="clear" w:color="000000" w:fill="FFFFFF"/>
            <w:vAlign w:val="center"/>
            <w:hideMark/>
          </w:tcPr>
          <w:p w14:paraId="284DD46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r>
      <w:tr w:rsidR="009B5DE5" w:rsidRPr="009B5DE5" w14:paraId="26543FF9" w14:textId="77777777" w:rsidTr="00396800">
        <w:trPr>
          <w:trHeight w:val="360"/>
        </w:trPr>
        <w:tc>
          <w:tcPr>
            <w:tcW w:w="6492" w:type="dxa"/>
            <w:tcBorders>
              <w:top w:val="nil"/>
              <w:left w:val="double" w:sz="6" w:space="0" w:color="auto"/>
              <w:bottom w:val="double" w:sz="6" w:space="0" w:color="auto"/>
              <w:right w:val="dotted" w:sz="4" w:space="0" w:color="auto"/>
            </w:tcBorders>
            <w:shd w:val="clear" w:color="000000" w:fill="FFFFFF"/>
            <w:vAlign w:val="center"/>
            <w:hideMark/>
          </w:tcPr>
          <w:p w14:paraId="470A2D57"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xml:space="preserve">  9. Нето финансијски дуг (7 = 1 - 8)</w:t>
            </w:r>
          </w:p>
        </w:tc>
        <w:tc>
          <w:tcPr>
            <w:tcW w:w="1270" w:type="dxa"/>
            <w:tcBorders>
              <w:top w:val="nil"/>
              <w:left w:val="nil"/>
              <w:bottom w:val="double" w:sz="6" w:space="0" w:color="auto"/>
              <w:right w:val="single" w:sz="8" w:space="0" w:color="auto"/>
            </w:tcBorders>
            <w:shd w:val="clear" w:color="000000" w:fill="FFFFFF"/>
            <w:vAlign w:val="center"/>
            <w:hideMark/>
          </w:tcPr>
          <w:p w14:paraId="6C7A3D57" w14:textId="77777777" w:rsidR="009B5DE5" w:rsidRPr="009B5DE5" w:rsidRDefault="009B5DE5" w:rsidP="009B5DE5">
            <w:pPr>
              <w:spacing w:after="0"/>
              <w:jc w:val="center"/>
              <w:rPr>
                <w:rFonts w:eastAsia="Times New Roman" w:cs="Times New Roman"/>
                <w:szCs w:val="24"/>
              </w:rPr>
            </w:pPr>
            <w:bookmarkStart w:id="162" w:name="RANGE!D24"/>
            <w:r w:rsidRPr="009B5DE5">
              <w:rPr>
                <w:rFonts w:eastAsia="Times New Roman" w:cs="Times New Roman"/>
                <w:szCs w:val="24"/>
              </w:rPr>
              <w:t> </w:t>
            </w:r>
            <w:bookmarkEnd w:id="162"/>
          </w:p>
        </w:tc>
        <w:tc>
          <w:tcPr>
            <w:tcW w:w="1338" w:type="dxa"/>
            <w:tcBorders>
              <w:top w:val="nil"/>
              <w:left w:val="nil"/>
              <w:bottom w:val="double" w:sz="6" w:space="0" w:color="auto"/>
              <w:right w:val="dotted" w:sz="4" w:space="0" w:color="auto"/>
            </w:tcBorders>
            <w:shd w:val="clear" w:color="000000" w:fill="FFFFFF"/>
            <w:vAlign w:val="center"/>
            <w:hideMark/>
          </w:tcPr>
          <w:p w14:paraId="28903189"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624" w:type="dxa"/>
            <w:tcBorders>
              <w:top w:val="nil"/>
              <w:left w:val="nil"/>
              <w:bottom w:val="double" w:sz="6" w:space="0" w:color="auto"/>
              <w:right w:val="dotted" w:sz="4" w:space="0" w:color="auto"/>
            </w:tcBorders>
            <w:shd w:val="clear" w:color="000000" w:fill="FFFFFF"/>
            <w:vAlign w:val="center"/>
            <w:hideMark/>
          </w:tcPr>
          <w:p w14:paraId="3EC92338"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401" w:type="dxa"/>
            <w:tcBorders>
              <w:top w:val="nil"/>
              <w:left w:val="nil"/>
              <w:bottom w:val="double" w:sz="6" w:space="0" w:color="auto"/>
              <w:right w:val="dotted" w:sz="4" w:space="0" w:color="auto"/>
            </w:tcBorders>
            <w:shd w:val="clear" w:color="000000" w:fill="FFFFFF"/>
            <w:vAlign w:val="center"/>
            <w:hideMark/>
          </w:tcPr>
          <w:p w14:paraId="4558FC00"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443" w:type="dxa"/>
            <w:tcBorders>
              <w:top w:val="nil"/>
              <w:left w:val="nil"/>
              <w:bottom w:val="double" w:sz="6" w:space="0" w:color="auto"/>
              <w:right w:val="dotted" w:sz="4" w:space="0" w:color="auto"/>
            </w:tcBorders>
            <w:shd w:val="clear" w:color="000000" w:fill="FFFFFF"/>
            <w:vAlign w:val="center"/>
            <w:hideMark/>
          </w:tcPr>
          <w:p w14:paraId="01C871FB"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c>
          <w:tcPr>
            <w:tcW w:w="1447" w:type="dxa"/>
            <w:tcBorders>
              <w:top w:val="nil"/>
              <w:left w:val="nil"/>
              <w:bottom w:val="double" w:sz="6" w:space="0" w:color="auto"/>
              <w:right w:val="double" w:sz="6" w:space="0" w:color="auto"/>
            </w:tcBorders>
            <w:shd w:val="clear" w:color="000000" w:fill="FFFFFF"/>
            <w:vAlign w:val="center"/>
            <w:hideMark/>
          </w:tcPr>
          <w:p w14:paraId="01C965D5"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w:t>
            </w:r>
          </w:p>
        </w:tc>
      </w:tr>
    </w:tbl>
    <w:p w14:paraId="092708A6" w14:textId="77777777" w:rsidR="00396800" w:rsidRPr="00396800" w:rsidRDefault="00396800" w:rsidP="00396800">
      <w:pPr>
        <w:spacing w:after="0"/>
        <w:jc w:val="left"/>
        <w:rPr>
          <w:rFonts w:eastAsia="Times New Roman" w:cs="Times New Roman"/>
          <w:bCs/>
          <w:sz w:val="20"/>
          <w:szCs w:val="20"/>
        </w:rPr>
      </w:pPr>
      <w:r w:rsidRPr="00396800">
        <w:rPr>
          <w:rFonts w:eastAsia="Times New Roman" w:cs="Times New Roman"/>
          <w:bCs/>
          <w:sz w:val="20"/>
          <w:szCs w:val="20"/>
        </w:rPr>
        <w:t>[1]   Као што је дефинисано у Уредби 3605/93 (није појам из ESA).</w:t>
      </w:r>
    </w:p>
    <w:p w14:paraId="3983884B" w14:textId="77777777" w:rsidR="00396800" w:rsidRPr="00396800" w:rsidRDefault="00396800" w:rsidP="00396800">
      <w:pPr>
        <w:spacing w:after="0"/>
        <w:jc w:val="left"/>
        <w:rPr>
          <w:rFonts w:eastAsia="Times New Roman" w:cs="Times New Roman"/>
          <w:bCs/>
          <w:sz w:val="20"/>
          <w:szCs w:val="20"/>
        </w:rPr>
      </w:pPr>
      <w:r w:rsidRPr="00396800">
        <w:rPr>
          <w:rFonts w:eastAsia="Times New Roman" w:cs="Times New Roman"/>
          <w:bCs/>
          <w:sz w:val="20"/>
          <w:szCs w:val="20"/>
        </w:rPr>
        <w:t>[2]   Уп. ставку 10 у табели 2.</w:t>
      </w:r>
    </w:p>
    <w:p w14:paraId="061083BC" w14:textId="77777777" w:rsidR="00396800" w:rsidRPr="00396800" w:rsidRDefault="00396800" w:rsidP="00396800">
      <w:pPr>
        <w:spacing w:after="0"/>
        <w:jc w:val="left"/>
        <w:rPr>
          <w:rFonts w:eastAsia="Times New Roman" w:cs="Times New Roman"/>
          <w:bCs/>
          <w:sz w:val="20"/>
          <w:szCs w:val="20"/>
        </w:rPr>
      </w:pPr>
      <w:r w:rsidRPr="00396800">
        <w:rPr>
          <w:rFonts w:eastAsia="Times New Roman" w:cs="Times New Roman"/>
          <w:bCs/>
          <w:sz w:val="20"/>
          <w:szCs w:val="20"/>
        </w:rPr>
        <w:t>[3]   Уп. ставку 9 у табели 2.</w:t>
      </w:r>
    </w:p>
    <w:p w14:paraId="429A78A5" w14:textId="77777777" w:rsidR="00396800" w:rsidRPr="00396800" w:rsidRDefault="00396800" w:rsidP="00396800">
      <w:pPr>
        <w:spacing w:after="0"/>
        <w:jc w:val="left"/>
        <w:rPr>
          <w:rFonts w:eastAsia="Times New Roman" w:cs="Times New Roman"/>
          <w:bCs/>
          <w:sz w:val="20"/>
          <w:szCs w:val="20"/>
        </w:rPr>
      </w:pPr>
      <w:r w:rsidRPr="00396800">
        <w:rPr>
          <w:rFonts w:eastAsia="Times New Roman" w:cs="Times New Roman"/>
          <w:bCs/>
          <w:sz w:val="20"/>
          <w:szCs w:val="20"/>
        </w:rPr>
        <w:t>[4]   Где је то релевантно, може се направити разлика између расхода на камату, других расхода и прихода.</w:t>
      </w:r>
    </w:p>
    <w:p w14:paraId="3B13385E" w14:textId="77777777" w:rsidR="00396800" w:rsidRPr="00396800" w:rsidRDefault="00396800" w:rsidP="00396800">
      <w:pPr>
        <w:spacing w:after="0"/>
        <w:jc w:val="left"/>
        <w:rPr>
          <w:rFonts w:eastAsia="Times New Roman" w:cs="Times New Roman"/>
          <w:bCs/>
          <w:sz w:val="20"/>
          <w:szCs w:val="20"/>
        </w:rPr>
      </w:pPr>
      <w:r w:rsidRPr="00396800">
        <w:rPr>
          <w:rFonts w:eastAsia="Times New Roman" w:cs="Times New Roman"/>
          <w:bCs/>
          <w:sz w:val="20"/>
          <w:szCs w:val="20"/>
        </w:rPr>
        <w:t>[5]   Где је то релевантно, може се направити разлика између ликвидних средстава, средстава у трећим државама, предузећа под контролом државе, и котираних и некотираних средстава.</w:t>
      </w:r>
    </w:p>
    <w:p w14:paraId="6B665399" w14:textId="77777777" w:rsidR="00396800" w:rsidRPr="00396800" w:rsidRDefault="00396800" w:rsidP="00396800">
      <w:pPr>
        <w:spacing w:after="0"/>
        <w:jc w:val="left"/>
        <w:rPr>
          <w:rFonts w:eastAsia="Times New Roman" w:cs="Times New Roman"/>
          <w:bCs/>
          <w:sz w:val="20"/>
          <w:szCs w:val="20"/>
        </w:rPr>
      </w:pPr>
      <w:r w:rsidRPr="00396800">
        <w:rPr>
          <w:rFonts w:eastAsia="Times New Roman" w:cs="Times New Roman"/>
          <w:bCs/>
          <w:sz w:val="20"/>
          <w:szCs w:val="20"/>
        </w:rPr>
        <w:t>[6]  Где је то релевантно, може се направити разлика између промена услед кретања девизног курса и операција на секундарном тржишту.</w:t>
      </w:r>
    </w:p>
    <w:p w14:paraId="4FA21289" w14:textId="77777777" w:rsidR="00396800" w:rsidRPr="00396800" w:rsidRDefault="00396800" w:rsidP="00396800">
      <w:pPr>
        <w:spacing w:after="0"/>
        <w:jc w:val="left"/>
        <w:rPr>
          <w:rFonts w:eastAsia="Times New Roman" w:cs="Times New Roman"/>
          <w:bCs/>
          <w:sz w:val="20"/>
          <w:szCs w:val="20"/>
        </w:rPr>
      </w:pPr>
      <w:r w:rsidRPr="00396800">
        <w:rPr>
          <w:rFonts w:eastAsia="Times New Roman" w:cs="Times New Roman"/>
          <w:bCs/>
          <w:sz w:val="20"/>
          <w:szCs w:val="20"/>
        </w:rPr>
        <w:t>[7]   Као изведена мера се користе расходи на камате подељени са нивоом дуга из претходне године.</w:t>
      </w:r>
    </w:p>
    <w:p w14:paraId="17ADF8A6" w14:textId="77777777" w:rsidR="009B5DE5" w:rsidRPr="00396800" w:rsidRDefault="00396800" w:rsidP="00396800">
      <w:pPr>
        <w:spacing w:after="0"/>
        <w:jc w:val="left"/>
        <w:rPr>
          <w:rFonts w:eastAsia="Times New Roman" w:cs="Times New Roman"/>
          <w:bCs/>
          <w:sz w:val="20"/>
          <w:szCs w:val="20"/>
        </w:rPr>
      </w:pPr>
      <w:r w:rsidRPr="00396800">
        <w:rPr>
          <w:rFonts w:eastAsia="Times New Roman" w:cs="Times New Roman"/>
          <w:bCs/>
          <w:sz w:val="20"/>
          <w:szCs w:val="20"/>
        </w:rPr>
        <w:t>[8]   AF1, AF2, AF3 (консолидовани по тржишној вредности, AF5 (уколико су котирани на берзи; укључујући акције узајамних фондова).</w:t>
      </w:r>
    </w:p>
    <w:p w14:paraId="0828BAD8" w14:textId="77777777" w:rsidR="009B5DE5" w:rsidRPr="009B5DE5" w:rsidRDefault="009B5DE5" w:rsidP="009B5DE5">
      <w:pPr>
        <w:spacing w:after="0"/>
        <w:jc w:val="left"/>
        <w:rPr>
          <w:rFonts w:eastAsia="Times New Roman" w:cs="Times New Roman"/>
          <w:bCs/>
          <w:sz w:val="22"/>
        </w:rPr>
      </w:pPr>
    </w:p>
    <w:tbl>
      <w:tblPr>
        <w:tblW w:w="14938" w:type="dxa"/>
        <w:tblLook w:val="04A0" w:firstRow="1" w:lastRow="0" w:firstColumn="1" w:lastColumn="0" w:noHBand="0" w:noVBand="1"/>
      </w:tblPr>
      <w:tblGrid>
        <w:gridCol w:w="656"/>
        <w:gridCol w:w="5134"/>
        <w:gridCol w:w="1167"/>
        <w:gridCol w:w="1192"/>
        <w:gridCol w:w="1581"/>
        <w:gridCol w:w="1313"/>
        <w:gridCol w:w="1362"/>
        <w:gridCol w:w="1366"/>
        <w:gridCol w:w="1167"/>
      </w:tblGrid>
      <w:tr w:rsidR="009B5DE5" w:rsidRPr="009B5DE5" w14:paraId="09891A35" w14:textId="77777777" w:rsidTr="00396800">
        <w:trPr>
          <w:trHeight w:val="250"/>
        </w:trPr>
        <w:tc>
          <w:tcPr>
            <w:tcW w:w="656" w:type="dxa"/>
            <w:tcBorders>
              <w:top w:val="single" w:sz="4" w:space="0" w:color="auto"/>
              <w:left w:val="single" w:sz="4" w:space="0" w:color="auto"/>
              <w:bottom w:val="nil"/>
              <w:right w:val="nil"/>
            </w:tcBorders>
            <w:shd w:val="clear" w:color="000000" w:fill="FFFFFF"/>
            <w:noWrap/>
            <w:vAlign w:val="center"/>
            <w:hideMark/>
          </w:tcPr>
          <w:p w14:paraId="1D94AF56"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w:t>
            </w:r>
          </w:p>
        </w:tc>
        <w:tc>
          <w:tcPr>
            <w:tcW w:w="5134" w:type="dxa"/>
            <w:tcBorders>
              <w:top w:val="single" w:sz="4" w:space="0" w:color="auto"/>
              <w:left w:val="nil"/>
              <w:bottom w:val="nil"/>
              <w:right w:val="nil"/>
            </w:tcBorders>
            <w:shd w:val="clear" w:color="000000" w:fill="FFFFFF"/>
            <w:noWrap/>
            <w:vAlign w:val="center"/>
            <w:hideMark/>
          </w:tcPr>
          <w:p w14:paraId="6C1738ED" w14:textId="77777777" w:rsidR="009B5DE5" w:rsidRPr="009B5DE5" w:rsidRDefault="009B5DE5" w:rsidP="009B5DE5">
            <w:pPr>
              <w:spacing w:after="0"/>
              <w:jc w:val="left"/>
              <w:rPr>
                <w:rFonts w:eastAsia="Times New Roman" w:cs="Times New Roman"/>
                <w:sz w:val="16"/>
                <w:szCs w:val="16"/>
              </w:rPr>
            </w:pPr>
            <w:r w:rsidRPr="009B5DE5">
              <w:rPr>
                <w:rFonts w:eastAsia="Times New Roman" w:cs="Times New Roman"/>
                <w:sz w:val="16"/>
                <w:szCs w:val="16"/>
              </w:rPr>
              <w:t> </w:t>
            </w:r>
          </w:p>
        </w:tc>
        <w:tc>
          <w:tcPr>
            <w:tcW w:w="1167" w:type="dxa"/>
            <w:tcBorders>
              <w:top w:val="single" w:sz="4" w:space="0" w:color="auto"/>
              <w:left w:val="nil"/>
              <w:bottom w:val="nil"/>
              <w:right w:val="nil"/>
            </w:tcBorders>
            <w:shd w:val="clear" w:color="000000" w:fill="FFFFFF"/>
            <w:noWrap/>
            <w:vAlign w:val="center"/>
            <w:hideMark/>
          </w:tcPr>
          <w:p w14:paraId="51EFCF43" w14:textId="77777777" w:rsidR="009B5DE5" w:rsidRPr="009B5DE5" w:rsidRDefault="009B5DE5" w:rsidP="009B5DE5">
            <w:pPr>
              <w:spacing w:after="0"/>
              <w:rPr>
                <w:rFonts w:eastAsia="Times New Roman" w:cs="Times New Roman"/>
                <w:sz w:val="16"/>
                <w:szCs w:val="16"/>
              </w:rPr>
            </w:pPr>
            <w:r w:rsidRPr="009B5DE5">
              <w:rPr>
                <w:rFonts w:eastAsia="Times New Roman" w:cs="Times New Roman"/>
                <w:sz w:val="16"/>
                <w:szCs w:val="16"/>
              </w:rPr>
              <w:t> </w:t>
            </w:r>
          </w:p>
        </w:tc>
        <w:tc>
          <w:tcPr>
            <w:tcW w:w="1192" w:type="dxa"/>
            <w:tcBorders>
              <w:top w:val="single" w:sz="4" w:space="0" w:color="auto"/>
              <w:left w:val="nil"/>
              <w:bottom w:val="nil"/>
              <w:right w:val="nil"/>
            </w:tcBorders>
            <w:shd w:val="clear" w:color="000000" w:fill="FFFFFF"/>
            <w:noWrap/>
            <w:vAlign w:val="center"/>
            <w:hideMark/>
          </w:tcPr>
          <w:p w14:paraId="77EF1E38"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w:t>
            </w:r>
          </w:p>
        </w:tc>
        <w:tc>
          <w:tcPr>
            <w:tcW w:w="1581" w:type="dxa"/>
            <w:tcBorders>
              <w:top w:val="single" w:sz="4" w:space="0" w:color="auto"/>
              <w:left w:val="nil"/>
              <w:bottom w:val="nil"/>
              <w:right w:val="nil"/>
            </w:tcBorders>
            <w:shd w:val="clear" w:color="000000" w:fill="FFFFFF"/>
            <w:noWrap/>
            <w:vAlign w:val="center"/>
            <w:hideMark/>
          </w:tcPr>
          <w:p w14:paraId="2B67453A"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w:t>
            </w:r>
          </w:p>
        </w:tc>
        <w:tc>
          <w:tcPr>
            <w:tcW w:w="1313" w:type="dxa"/>
            <w:tcBorders>
              <w:top w:val="single" w:sz="4" w:space="0" w:color="auto"/>
              <w:left w:val="nil"/>
              <w:bottom w:val="nil"/>
              <w:right w:val="nil"/>
            </w:tcBorders>
            <w:shd w:val="clear" w:color="000000" w:fill="FFFFFF"/>
            <w:noWrap/>
            <w:vAlign w:val="center"/>
            <w:hideMark/>
          </w:tcPr>
          <w:p w14:paraId="33D797B7"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w:t>
            </w:r>
          </w:p>
        </w:tc>
        <w:tc>
          <w:tcPr>
            <w:tcW w:w="1362" w:type="dxa"/>
            <w:tcBorders>
              <w:top w:val="single" w:sz="4" w:space="0" w:color="auto"/>
              <w:left w:val="nil"/>
              <w:bottom w:val="nil"/>
              <w:right w:val="nil"/>
            </w:tcBorders>
            <w:shd w:val="clear" w:color="000000" w:fill="FFFFFF"/>
            <w:noWrap/>
            <w:vAlign w:val="center"/>
            <w:hideMark/>
          </w:tcPr>
          <w:p w14:paraId="70E4128E"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w:t>
            </w:r>
          </w:p>
        </w:tc>
        <w:tc>
          <w:tcPr>
            <w:tcW w:w="1362" w:type="dxa"/>
            <w:tcBorders>
              <w:top w:val="single" w:sz="4" w:space="0" w:color="auto"/>
              <w:left w:val="nil"/>
              <w:bottom w:val="nil"/>
              <w:right w:val="nil"/>
            </w:tcBorders>
            <w:shd w:val="clear" w:color="000000" w:fill="FFFFFF"/>
            <w:noWrap/>
            <w:vAlign w:val="center"/>
            <w:hideMark/>
          </w:tcPr>
          <w:p w14:paraId="78A8D1EF"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w:t>
            </w:r>
          </w:p>
        </w:tc>
        <w:tc>
          <w:tcPr>
            <w:tcW w:w="1167" w:type="dxa"/>
            <w:tcBorders>
              <w:top w:val="single" w:sz="4" w:space="0" w:color="auto"/>
              <w:left w:val="nil"/>
              <w:bottom w:val="nil"/>
              <w:right w:val="single" w:sz="4" w:space="0" w:color="auto"/>
            </w:tcBorders>
            <w:shd w:val="clear" w:color="000000" w:fill="FFFFFF"/>
            <w:noWrap/>
            <w:vAlign w:val="center"/>
            <w:hideMark/>
          </w:tcPr>
          <w:p w14:paraId="7F8AC3DE"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w:t>
            </w:r>
          </w:p>
        </w:tc>
      </w:tr>
      <w:tr w:rsidR="009B5DE5" w:rsidRPr="009B5DE5" w14:paraId="5D328FC2" w14:textId="77777777" w:rsidTr="00396800">
        <w:trPr>
          <w:trHeight w:val="250"/>
        </w:trPr>
        <w:tc>
          <w:tcPr>
            <w:tcW w:w="656" w:type="dxa"/>
            <w:tcBorders>
              <w:top w:val="nil"/>
              <w:left w:val="single" w:sz="4" w:space="0" w:color="auto"/>
              <w:bottom w:val="nil"/>
              <w:right w:val="nil"/>
            </w:tcBorders>
            <w:shd w:val="clear" w:color="000000" w:fill="FFFFFF"/>
            <w:noWrap/>
            <w:vAlign w:val="center"/>
            <w:hideMark/>
          </w:tcPr>
          <w:p w14:paraId="6BBF0EC9"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w:t>
            </w:r>
          </w:p>
        </w:tc>
        <w:tc>
          <w:tcPr>
            <w:tcW w:w="13115" w:type="dxa"/>
            <w:gridSpan w:val="7"/>
            <w:tcBorders>
              <w:top w:val="nil"/>
              <w:left w:val="nil"/>
              <w:bottom w:val="nil"/>
              <w:right w:val="nil"/>
            </w:tcBorders>
            <w:shd w:val="clear" w:color="000000" w:fill="FFFFFF"/>
            <w:noWrap/>
            <w:vAlign w:val="center"/>
            <w:hideMark/>
          </w:tcPr>
          <w:p w14:paraId="1BA72351"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xml:space="preserve">Декомпозиција ефекта номиналног раста БДП на учешће дуга у периоду t - 1 (ефекат деноминатора) </w:t>
            </w:r>
          </w:p>
        </w:tc>
        <w:tc>
          <w:tcPr>
            <w:tcW w:w="1167" w:type="dxa"/>
            <w:tcBorders>
              <w:top w:val="nil"/>
              <w:left w:val="nil"/>
              <w:bottom w:val="nil"/>
              <w:right w:val="single" w:sz="4" w:space="0" w:color="auto"/>
            </w:tcBorders>
            <w:shd w:val="clear" w:color="000000" w:fill="FFFFFF"/>
            <w:noWrap/>
            <w:vAlign w:val="center"/>
            <w:hideMark/>
          </w:tcPr>
          <w:p w14:paraId="76029C49"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w:t>
            </w:r>
          </w:p>
        </w:tc>
      </w:tr>
      <w:tr w:rsidR="009B5DE5" w:rsidRPr="009B5DE5" w14:paraId="54C5D1D1" w14:textId="77777777" w:rsidTr="00396800">
        <w:trPr>
          <w:trHeight w:val="250"/>
        </w:trPr>
        <w:tc>
          <w:tcPr>
            <w:tcW w:w="656" w:type="dxa"/>
            <w:tcBorders>
              <w:top w:val="nil"/>
              <w:left w:val="single" w:sz="4" w:space="0" w:color="auto"/>
              <w:bottom w:val="nil"/>
              <w:right w:val="nil"/>
            </w:tcBorders>
            <w:shd w:val="clear" w:color="000000" w:fill="FFFFFF"/>
            <w:noWrap/>
            <w:vAlign w:val="center"/>
            <w:hideMark/>
          </w:tcPr>
          <w:p w14:paraId="77C1ED66"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w:t>
            </w:r>
          </w:p>
        </w:tc>
        <w:tc>
          <w:tcPr>
            <w:tcW w:w="5134" w:type="dxa"/>
            <w:tcBorders>
              <w:top w:val="nil"/>
              <w:left w:val="nil"/>
              <w:bottom w:val="nil"/>
              <w:right w:val="nil"/>
            </w:tcBorders>
            <w:shd w:val="clear" w:color="000000" w:fill="FFFFFF"/>
            <w:noWrap/>
            <w:vAlign w:val="center"/>
            <w:hideMark/>
          </w:tcPr>
          <w:p w14:paraId="65BD5FC8"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w:t>
            </w:r>
          </w:p>
        </w:tc>
        <w:tc>
          <w:tcPr>
            <w:tcW w:w="1167" w:type="dxa"/>
            <w:tcBorders>
              <w:top w:val="nil"/>
              <w:left w:val="nil"/>
              <w:bottom w:val="nil"/>
              <w:right w:val="nil"/>
            </w:tcBorders>
            <w:shd w:val="clear" w:color="000000" w:fill="FFFFFF"/>
            <w:noWrap/>
            <w:vAlign w:val="center"/>
            <w:hideMark/>
          </w:tcPr>
          <w:p w14:paraId="2D107411" w14:textId="77777777" w:rsidR="009B5DE5" w:rsidRPr="009B5DE5" w:rsidRDefault="009B5DE5" w:rsidP="009B5DE5">
            <w:pPr>
              <w:spacing w:after="0"/>
              <w:rPr>
                <w:rFonts w:ascii="Arial" w:eastAsia="Times New Roman" w:hAnsi="Arial" w:cs="Arial"/>
                <w:sz w:val="16"/>
                <w:szCs w:val="16"/>
              </w:rPr>
            </w:pPr>
            <w:r w:rsidRPr="009B5DE5">
              <w:rPr>
                <w:rFonts w:ascii="Arial" w:eastAsia="Times New Roman" w:hAnsi="Arial" w:cs="Arial"/>
                <w:sz w:val="16"/>
                <w:szCs w:val="16"/>
              </w:rPr>
              <w:t> </w:t>
            </w:r>
          </w:p>
        </w:tc>
        <w:tc>
          <w:tcPr>
            <w:tcW w:w="1192" w:type="dxa"/>
            <w:tcBorders>
              <w:top w:val="nil"/>
              <w:left w:val="nil"/>
              <w:bottom w:val="nil"/>
              <w:right w:val="nil"/>
            </w:tcBorders>
            <w:shd w:val="clear" w:color="000000" w:fill="FFFFFF"/>
            <w:noWrap/>
            <w:vAlign w:val="center"/>
            <w:hideMark/>
          </w:tcPr>
          <w:p w14:paraId="6B41860B"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w:t>
            </w:r>
          </w:p>
        </w:tc>
        <w:tc>
          <w:tcPr>
            <w:tcW w:w="1581" w:type="dxa"/>
            <w:tcBorders>
              <w:top w:val="nil"/>
              <w:left w:val="nil"/>
              <w:bottom w:val="nil"/>
              <w:right w:val="nil"/>
            </w:tcBorders>
            <w:shd w:val="clear" w:color="000000" w:fill="FFFFFF"/>
            <w:noWrap/>
            <w:vAlign w:val="center"/>
            <w:hideMark/>
          </w:tcPr>
          <w:p w14:paraId="4BC033FB"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w:t>
            </w:r>
          </w:p>
        </w:tc>
        <w:tc>
          <w:tcPr>
            <w:tcW w:w="1313" w:type="dxa"/>
            <w:tcBorders>
              <w:top w:val="nil"/>
              <w:left w:val="nil"/>
              <w:bottom w:val="nil"/>
              <w:right w:val="nil"/>
            </w:tcBorders>
            <w:shd w:val="clear" w:color="000000" w:fill="FFFFFF"/>
            <w:noWrap/>
            <w:vAlign w:val="center"/>
            <w:hideMark/>
          </w:tcPr>
          <w:p w14:paraId="2796F1E3"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w:t>
            </w:r>
          </w:p>
        </w:tc>
        <w:tc>
          <w:tcPr>
            <w:tcW w:w="1362" w:type="dxa"/>
            <w:tcBorders>
              <w:top w:val="nil"/>
              <w:left w:val="nil"/>
              <w:bottom w:val="nil"/>
              <w:right w:val="nil"/>
            </w:tcBorders>
            <w:shd w:val="clear" w:color="000000" w:fill="FFFFFF"/>
            <w:noWrap/>
            <w:vAlign w:val="center"/>
            <w:hideMark/>
          </w:tcPr>
          <w:p w14:paraId="64CA52CD"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w:t>
            </w:r>
          </w:p>
        </w:tc>
        <w:tc>
          <w:tcPr>
            <w:tcW w:w="1362" w:type="dxa"/>
            <w:tcBorders>
              <w:top w:val="nil"/>
              <w:left w:val="nil"/>
              <w:bottom w:val="nil"/>
              <w:right w:val="nil"/>
            </w:tcBorders>
            <w:shd w:val="clear" w:color="000000" w:fill="FFFFFF"/>
            <w:noWrap/>
            <w:vAlign w:val="center"/>
            <w:hideMark/>
          </w:tcPr>
          <w:p w14:paraId="40D76B4C"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w:t>
            </w:r>
          </w:p>
        </w:tc>
        <w:tc>
          <w:tcPr>
            <w:tcW w:w="1167" w:type="dxa"/>
            <w:tcBorders>
              <w:top w:val="nil"/>
              <w:left w:val="nil"/>
              <w:bottom w:val="nil"/>
              <w:right w:val="single" w:sz="4" w:space="0" w:color="auto"/>
            </w:tcBorders>
            <w:shd w:val="clear" w:color="000000" w:fill="FFFFFF"/>
            <w:noWrap/>
            <w:vAlign w:val="center"/>
            <w:hideMark/>
          </w:tcPr>
          <w:p w14:paraId="233C20DF"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w:t>
            </w:r>
          </w:p>
        </w:tc>
      </w:tr>
      <w:tr w:rsidR="009B5DE5" w:rsidRPr="009B5DE5" w14:paraId="4C86C6B1" w14:textId="77777777" w:rsidTr="00396800">
        <w:trPr>
          <w:trHeight w:val="250"/>
        </w:trPr>
        <w:tc>
          <w:tcPr>
            <w:tcW w:w="656" w:type="dxa"/>
            <w:tcBorders>
              <w:top w:val="nil"/>
              <w:left w:val="single" w:sz="4" w:space="0" w:color="auto"/>
              <w:bottom w:val="nil"/>
              <w:right w:val="nil"/>
            </w:tcBorders>
            <w:shd w:val="clear" w:color="000000" w:fill="FFFFFF"/>
            <w:noWrap/>
            <w:vAlign w:val="center"/>
            <w:hideMark/>
          </w:tcPr>
          <w:p w14:paraId="440F31B7"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w:t>
            </w:r>
          </w:p>
        </w:tc>
        <w:tc>
          <w:tcPr>
            <w:tcW w:w="5134" w:type="dxa"/>
            <w:tcBorders>
              <w:top w:val="nil"/>
              <w:left w:val="nil"/>
              <w:bottom w:val="single" w:sz="4" w:space="0" w:color="auto"/>
              <w:right w:val="single" w:sz="4" w:space="0" w:color="auto"/>
            </w:tcBorders>
            <w:shd w:val="clear" w:color="000000" w:fill="FFFFFF"/>
            <w:noWrap/>
            <w:vAlign w:val="center"/>
            <w:hideMark/>
          </w:tcPr>
          <w:p w14:paraId="15F31DD0" w14:textId="77777777" w:rsidR="009B5DE5" w:rsidRPr="009B5DE5" w:rsidRDefault="009B5DE5" w:rsidP="009B5DE5">
            <w:pPr>
              <w:spacing w:after="0"/>
              <w:jc w:val="left"/>
              <w:rPr>
                <w:rFonts w:ascii="Arial" w:eastAsia="Times New Roman" w:hAnsi="Arial" w:cs="Arial"/>
                <w:sz w:val="16"/>
                <w:szCs w:val="16"/>
              </w:rPr>
            </w:pPr>
            <w:r w:rsidRPr="009B5DE5">
              <w:rPr>
                <w:rFonts w:ascii="Arial" w:eastAsia="Times New Roman" w:hAnsi="Arial" w:cs="Arial"/>
                <w:sz w:val="16"/>
                <w:szCs w:val="16"/>
              </w:rPr>
              <w:t> </w:t>
            </w:r>
          </w:p>
        </w:tc>
        <w:tc>
          <w:tcPr>
            <w:tcW w:w="1167" w:type="dxa"/>
            <w:tcBorders>
              <w:top w:val="nil"/>
              <w:left w:val="nil"/>
              <w:bottom w:val="single" w:sz="4" w:space="0" w:color="auto"/>
              <w:right w:val="single" w:sz="4" w:space="0" w:color="auto"/>
            </w:tcBorders>
            <w:shd w:val="clear" w:color="000000" w:fill="FFFFFF"/>
            <w:noWrap/>
            <w:vAlign w:val="center"/>
            <w:hideMark/>
          </w:tcPr>
          <w:p w14:paraId="2ACB705B"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w:t>
            </w:r>
          </w:p>
        </w:tc>
        <w:tc>
          <w:tcPr>
            <w:tcW w:w="1192" w:type="dxa"/>
            <w:tcBorders>
              <w:top w:val="nil"/>
              <w:left w:val="nil"/>
              <w:bottom w:val="single" w:sz="4" w:space="0" w:color="auto"/>
              <w:right w:val="nil"/>
            </w:tcBorders>
            <w:shd w:val="clear" w:color="000000" w:fill="FFFFFF"/>
            <w:noWrap/>
            <w:vAlign w:val="center"/>
            <w:hideMark/>
          </w:tcPr>
          <w:p w14:paraId="59A22AF3"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2023</w:t>
            </w:r>
          </w:p>
        </w:tc>
        <w:tc>
          <w:tcPr>
            <w:tcW w:w="1581" w:type="dxa"/>
            <w:tcBorders>
              <w:top w:val="nil"/>
              <w:left w:val="nil"/>
              <w:bottom w:val="single" w:sz="4" w:space="0" w:color="auto"/>
              <w:right w:val="nil"/>
            </w:tcBorders>
            <w:shd w:val="clear" w:color="000000" w:fill="FFFFFF"/>
            <w:noWrap/>
            <w:vAlign w:val="center"/>
            <w:hideMark/>
          </w:tcPr>
          <w:p w14:paraId="3D568897"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2024</w:t>
            </w:r>
          </w:p>
        </w:tc>
        <w:tc>
          <w:tcPr>
            <w:tcW w:w="1313" w:type="dxa"/>
            <w:tcBorders>
              <w:top w:val="nil"/>
              <w:left w:val="nil"/>
              <w:bottom w:val="single" w:sz="4" w:space="0" w:color="auto"/>
              <w:right w:val="nil"/>
            </w:tcBorders>
            <w:shd w:val="clear" w:color="000000" w:fill="FFFFFF"/>
            <w:noWrap/>
            <w:vAlign w:val="center"/>
            <w:hideMark/>
          </w:tcPr>
          <w:p w14:paraId="3BC2DA4E"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2025</w:t>
            </w:r>
          </w:p>
        </w:tc>
        <w:tc>
          <w:tcPr>
            <w:tcW w:w="1362" w:type="dxa"/>
            <w:tcBorders>
              <w:top w:val="nil"/>
              <w:left w:val="nil"/>
              <w:bottom w:val="single" w:sz="4" w:space="0" w:color="auto"/>
              <w:right w:val="nil"/>
            </w:tcBorders>
            <w:shd w:val="clear" w:color="000000" w:fill="FFFFFF"/>
            <w:noWrap/>
            <w:vAlign w:val="center"/>
            <w:hideMark/>
          </w:tcPr>
          <w:p w14:paraId="3D3DA6D2"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2026</w:t>
            </w:r>
          </w:p>
        </w:tc>
        <w:tc>
          <w:tcPr>
            <w:tcW w:w="1362" w:type="dxa"/>
            <w:tcBorders>
              <w:top w:val="nil"/>
              <w:left w:val="nil"/>
              <w:bottom w:val="single" w:sz="4" w:space="0" w:color="auto"/>
              <w:right w:val="nil"/>
            </w:tcBorders>
            <w:shd w:val="clear" w:color="000000" w:fill="FFFFFF"/>
            <w:noWrap/>
            <w:vAlign w:val="center"/>
            <w:hideMark/>
          </w:tcPr>
          <w:p w14:paraId="0135A0E2"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2027</w:t>
            </w:r>
          </w:p>
        </w:tc>
        <w:tc>
          <w:tcPr>
            <w:tcW w:w="1167" w:type="dxa"/>
            <w:tcBorders>
              <w:top w:val="nil"/>
              <w:left w:val="nil"/>
              <w:bottom w:val="nil"/>
              <w:right w:val="single" w:sz="4" w:space="0" w:color="auto"/>
            </w:tcBorders>
            <w:shd w:val="clear" w:color="000000" w:fill="FFFFFF"/>
            <w:noWrap/>
            <w:vAlign w:val="center"/>
            <w:hideMark/>
          </w:tcPr>
          <w:p w14:paraId="0169A25F"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w:t>
            </w:r>
          </w:p>
        </w:tc>
      </w:tr>
      <w:tr w:rsidR="009B5DE5" w:rsidRPr="009B5DE5" w14:paraId="531DF847" w14:textId="77777777" w:rsidTr="00396800">
        <w:trPr>
          <w:trHeight w:val="250"/>
        </w:trPr>
        <w:tc>
          <w:tcPr>
            <w:tcW w:w="656" w:type="dxa"/>
            <w:tcBorders>
              <w:top w:val="nil"/>
              <w:left w:val="single" w:sz="4" w:space="0" w:color="auto"/>
              <w:bottom w:val="nil"/>
              <w:right w:val="nil"/>
            </w:tcBorders>
            <w:shd w:val="clear" w:color="000000" w:fill="FFFFFF"/>
            <w:noWrap/>
            <w:vAlign w:val="center"/>
            <w:hideMark/>
          </w:tcPr>
          <w:p w14:paraId="698151C5"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w:t>
            </w:r>
          </w:p>
        </w:tc>
        <w:tc>
          <w:tcPr>
            <w:tcW w:w="5134" w:type="dxa"/>
            <w:tcBorders>
              <w:top w:val="nil"/>
              <w:left w:val="nil"/>
              <w:bottom w:val="nil"/>
              <w:right w:val="single" w:sz="4" w:space="0" w:color="auto"/>
            </w:tcBorders>
            <w:shd w:val="clear" w:color="000000" w:fill="FFFFFF"/>
            <w:noWrap/>
            <w:vAlign w:val="center"/>
            <w:hideMark/>
          </w:tcPr>
          <w:p w14:paraId="212ADF84"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D(t-1)/GDP(t-1)</w:t>
            </w:r>
          </w:p>
        </w:tc>
        <w:tc>
          <w:tcPr>
            <w:tcW w:w="1167" w:type="dxa"/>
            <w:tcBorders>
              <w:top w:val="nil"/>
              <w:left w:val="nil"/>
              <w:bottom w:val="nil"/>
              <w:right w:val="single" w:sz="4" w:space="0" w:color="auto"/>
            </w:tcBorders>
            <w:shd w:val="clear" w:color="000000" w:fill="FFFFFF"/>
            <w:noWrap/>
            <w:vAlign w:val="center"/>
            <w:hideMark/>
          </w:tcPr>
          <w:p w14:paraId="04CD827B" w14:textId="77777777" w:rsidR="009B5DE5" w:rsidRPr="009B5DE5" w:rsidRDefault="009B5DE5" w:rsidP="009B5DE5">
            <w:pPr>
              <w:spacing w:after="0"/>
              <w:jc w:val="center"/>
              <w:rPr>
                <w:rFonts w:ascii="Arial" w:eastAsia="Times New Roman" w:hAnsi="Arial" w:cs="Arial"/>
                <w:sz w:val="16"/>
                <w:szCs w:val="16"/>
              </w:rPr>
            </w:pPr>
            <w:r w:rsidRPr="009B5DE5">
              <w:rPr>
                <w:rFonts w:ascii="Arial" w:eastAsia="Times New Roman" w:hAnsi="Arial" w:cs="Arial"/>
                <w:sz w:val="16"/>
                <w:szCs w:val="16"/>
              </w:rPr>
              <w:t>% БДП (t-1)</w:t>
            </w:r>
          </w:p>
        </w:tc>
        <w:tc>
          <w:tcPr>
            <w:tcW w:w="1192" w:type="dxa"/>
            <w:tcBorders>
              <w:top w:val="nil"/>
              <w:left w:val="nil"/>
              <w:bottom w:val="nil"/>
              <w:right w:val="nil"/>
            </w:tcBorders>
            <w:shd w:val="clear" w:color="000000" w:fill="FFFFFF"/>
            <w:noWrap/>
            <w:vAlign w:val="center"/>
            <w:hideMark/>
          </w:tcPr>
          <w:p w14:paraId="5B134CA6"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52,90</w:t>
            </w:r>
          </w:p>
        </w:tc>
        <w:tc>
          <w:tcPr>
            <w:tcW w:w="1581" w:type="dxa"/>
            <w:tcBorders>
              <w:top w:val="nil"/>
              <w:left w:val="nil"/>
              <w:bottom w:val="nil"/>
              <w:right w:val="nil"/>
            </w:tcBorders>
            <w:shd w:val="clear" w:color="000000" w:fill="FFFFFF"/>
            <w:noWrap/>
            <w:vAlign w:val="center"/>
            <w:hideMark/>
          </w:tcPr>
          <w:p w14:paraId="0E705D57"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48,39</w:t>
            </w:r>
          </w:p>
        </w:tc>
        <w:tc>
          <w:tcPr>
            <w:tcW w:w="1313" w:type="dxa"/>
            <w:tcBorders>
              <w:top w:val="nil"/>
              <w:left w:val="nil"/>
              <w:bottom w:val="nil"/>
              <w:right w:val="nil"/>
            </w:tcBorders>
            <w:shd w:val="clear" w:color="000000" w:fill="FFFFFF"/>
            <w:noWrap/>
            <w:vAlign w:val="center"/>
            <w:hideMark/>
          </w:tcPr>
          <w:p w14:paraId="07B98EB4"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47,86</w:t>
            </w:r>
          </w:p>
        </w:tc>
        <w:tc>
          <w:tcPr>
            <w:tcW w:w="1362" w:type="dxa"/>
            <w:tcBorders>
              <w:top w:val="nil"/>
              <w:left w:val="nil"/>
              <w:bottom w:val="nil"/>
              <w:right w:val="nil"/>
            </w:tcBorders>
            <w:shd w:val="clear" w:color="000000" w:fill="FFFFFF"/>
            <w:noWrap/>
            <w:vAlign w:val="center"/>
            <w:hideMark/>
          </w:tcPr>
          <w:p w14:paraId="74A4366D"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47,50</w:t>
            </w:r>
          </w:p>
        </w:tc>
        <w:tc>
          <w:tcPr>
            <w:tcW w:w="1362" w:type="dxa"/>
            <w:tcBorders>
              <w:top w:val="nil"/>
              <w:left w:val="nil"/>
              <w:bottom w:val="nil"/>
              <w:right w:val="nil"/>
            </w:tcBorders>
            <w:shd w:val="clear" w:color="000000" w:fill="FFFFFF"/>
            <w:noWrap/>
            <w:vAlign w:val="center"/>
            <w:hideMark/>
          </w:tcPr>
          <w:p w14:paraId="5AC8E5C9"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46,96</w:t>
            </w:r>
          </w:p>
        </w:tc>
        <w:tc>
          <w:tcPr>
            <w:tcW w:w="1167" w:type="dxa"/>
            <w:tcBorders>
              <w:top w:val="nil"/>
              <w:left w:val="nil"/>
              <w:bottom w:val="nil"/>
              <w:right w:val="single" w:sz="4" w:space="0" w:color="auto"/>
            </w:tcBorders>
            <w:shd w:val="clear" w:color="000000" w:fill="FFFFFF"/>
            <w:noWrap/>
            <w:vAlign w:val="center"/>
            <w:hideMark/>
          </w:tcPr>
          <w:p w14:paraId="68244954"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w:t>
            </w:r>
          </w:p>
        </w:tc>
      </w:tr>
      <w:tr w:rsidR="009B5DE5" w:rsidRPr="009B5DE5" w14:paraId="1E4DB4EC" w14:textId="77777777" w:rsidTr="00396800">
        <w:trPr>
          <w:trHeight w:val="250"/>
        </w:trPr>
        <w:tc>
          <w:tcPr>
            <w:tcW w:w="656" w:type="dxa"/>
            <w:tcBorders>
              <w:top w:val="nil"/>
              <w:left w:val="single" w:sz="4" w:space="0" w:color="auto"/>
              <w:bottom w:val="nil"/>
              <w:right w:val="nil"/>
            </w:tcBorders>
            <w:shd w:val="clear" w:color="000000" w:fill="FFFFFF"/>
            <w:noWrap/>
            <w:vAlign w:val="center"/>
            <w:hideMark/>
          </w:tcPr>
          <w:p w14:paraId="3FCA90B0"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w:t>
            </w:r>
          </w:p>
        </w:tc>
        <w:tc>
          <w:tcPr>
            <w:tcW w:w="5134" w:type="dxa"/>
            <w:tcBorders>
              <w:top w:val="nil"/>
              <w:left w:val="nil"/>
              <w:bottom w:val="single" w:sz="4" w:space="0" w:color="auto"/>
              <w:right w:val="single" w:sz="4" w:space="0" w:color="auto"/>
            </w:tcBorders>
            <w:shd w:val="clear" w:color="000000" w:fill="FFFFFF"/>
            <w:noWrap/>
            <w:vAlign w:val="center"/>
            <w:hideMark/>
          </w:tcPr>
          <w:p w14:paraId="591D820F"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D(t-1)/GDP(t)</w:t>
            </w:r>
          </w:p>
        </w:tc>
        <w:tc>
          <w:tcPr>
            <w:tcW w:w="1167" w:type="dxa"/>
            <w:tcBorders>
              <w:top w:val="nil"/>
              <w:left w:val="nil"/>
              <w:bottom w:val="single" w:sz="4" w:space="0" w:color="auto"/>
              <w:right w:val="single" w:sz="4" w:space="0" w:color="auto"/>
            </w:tcBorders>
            <w:shd w:val="clear" w:color="000000" w:fill="FFFFFF"/>
            <w:noWrap/>
            <w:vAlign w:val="center"/>
            <w:hideMark/>
          </w:tcPr>
          <w:p w14:paraId="5C135649" w14:textId="77777777" w:rsidR="009B5DE5" w:rsidRPr="009B5DE5" w:rsidRDefault="009B5DE5" w:rsidP="009B5DE5">
            <w:pPr>
              <w:spacing w:after="0"/>
              <w:jc w:val="center"/>
              <w:rPr>
                <w:rFonts w:ascii="Arial" w:eastAsia="Times New Roman" w:hAnsi="Arial" w:cs="Arial"/>
                <w:sz w:val="16"/>
                <w:szCs w:val="16"/>
              </w:rPr>
            </w:pPr>
            <w:r w:rsidRPr="009B5DE5">
              <w:rPr>
                <w:rFonts w:ascii="Arial" w:eastAsia="Times New Roman" w:hAnsi="Arial" w:cs="Arial"/>
                <w:sz w:val="16"/>
                <w:szCs w:val="16"/>
              </w:rPr>
              <w:t>% БДП (t)</w:t>
            </w:r>
          </w:p>
        </w:tc>
        <w:tc>
          <w:tcPr>
            <w:tcW w:w="1192" w:type="dxa"/>
            <w:tcBorders>
              <w:top w:val="nil"/>
              <w:left w:val="nil"/>
              <w:bottom w:val="single" w:sz="4" w:space="0" w:color="auto"/>
              <w:right w:val="nil"/>
            </w:tcBorders>
            <w:shd w:val="clear" w:color="000000" w:fill="FFFFFF"/>
            <w:noWrap/>
            <w:vAlign w:val="center"/>
            <w:hideMark/>
          </w:tcPr>
          <w:p w14:paraId="6CE20A61"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44,75</w:t>
            </w:r>
          </w:p>
        </w:tc>
        <w:tc>
          <w:tcPr>
            <w:tcW w:w="1581" w:type="dxa"/>
            <w:tcBorders>
              <w:top w:val="nil"/>
              <w:left w:val="nil"/>
              <w:bottom w:val="single" w:sz="4" w:space="0" w:color="auto"/>
              <w:right w:val="nil"/>
            </w:tcBorders>
            <w:shd w:val="clear" w:color="000000" w:fill="FFFFFF"/>
            <w:noWrap/>
            <w:vAlign w:val="center"/>
            <w:hideMark/>
          </w:tcPr>
          <w:p w14:paraId="36B51F9A"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44,42</w:t>
            </w:r>
          </w:p>
        </w:tc>
        <w:tc>
          <w:tcPr>
            <w:tcW w:w="1313" w:type="dxa"/>
            <w:tcBorders>
              <w:top w:val="nil"/>
              <w:left w:val="nil"/>
              <w:bottom w:val="single" w:sz="4" w:space="0" w:color="auto"/>
              <w:right w:val="nil"/>
            </w:tcBorders>
            <w:shd w:val="clear" w:color="000000" w:fill="FFFFFF"/>
            <w:noWrap/>
            <w:vAlign w:val="center"/>
            <w:hideMark/>
          </w:tcPr>
          <w:p w14:paraId="5D8A343B"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44,50</w:t>
            </w:r>
          </w:p>
        </w:tc>
        <w:tc>
          <w:tcPr>
            <w:tcW w:w="1362" w:type="dxa"/>
            <w:tcBorders>
              <w:top w:val="nil"/>
              <w:left w:val="nil"/>
              <w:bottom w:val="single" w:sz="4" w:space="0" w:color="auto"/>
              <w:right w:val="nil"/>
            </w:tcBorders>
            <w:shd w:val="clear" w:color="000000" w:fill="FFFFFF"/>
            <w:noWrap/>
            <w:vAlign w:val="center"/>
            <w:hideMark/>
          </w:tcPr>
          <w:p w14:paraId="1A029ABF"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44,25</w:t>
            </w:r>
          </w:p>
        </w:tc>
        <w:tc>
          <w:tcPr>
            <w:tcW w:w="1362" w:type="dxa"/>
            <w:tcBorders>
              <w:top w:val="nil"/>
              <w:left w:val="nil"/>
              <w:bottom w:val="single" w:sz="4" w:space="0" w:color="auto"/>
              <w:right w:val="nil"/>
            </w:tcBorders>
            <w:shd w:val="clear" w:color="000000" w:fill="FFFFFF"/>
            <w:noWrap/>
            <w:vAlign w:val="center"/>
            <w:hideMark/>
          </w:tcPr>
          <w:p w14:paraId="70F746A8"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43,41</w:t>
            </w:r>
          </w:p>
        </w:tc>
        <w:tc>
          <w:tcPr>
            <w:tcW w:w="1167" w:type="dxa"/>
            <w:tcBorders>
              <w:top w:val="nil"/>
              <w:left w:val="nil"/>
              <w:bottom w:val="nil"/>
              <w:right w:val="single" w:sz="4" w:space="0" w:color="auto"/>
            </w:tcBorders>
            <w:shd w:val="clear" w:color="000000" w:fill="FFFFFF"/>
            <w:noWrap/>
            <w:vAlign w:val="center"/>
            <w:hideMark/>
          </w:tcPr>
          <w:p w14:paraId="595EA0DA"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w:t>
            </w:r>
          </w:p>
        </w:tc>
      </w:tr>
      <w:tr w:rsidR="009B5DE5" w:rsidRPr="009B5DE5" w14:paraId="61013BD4" w14:textId="77777777" w:rsidTr="00396800">
        <w:trPr>
          <w:trHeight w:val="500"/>
        </w:trPr>
        <w:tc>
          <w:tcPr>
            <w:tcW w:w="656" w:type="dxa"/>
            <w:tcBorders>
              <w:top w:val="nil"/>
              <w:left w:val="single" w:sz="4" w:space="0" w:color="auto"/>
              <w:bottom w:val="nil"/>
              <w:right w:val="nil"/>
            </w:tcBorders>
            <w:shd w:val="clear" w:color="000000" w:fill="FFFFFF"/>
            <w:noWrap/>
            <w:vAlign w:val="center"/>
            <w:hideMark/>
          </w:tcPr>
          <w:p w14:paraId="26228087"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w:t>
            </w:r>
          </w:p>
        </w:tc>
        <w:tc>
          <w:tcPr>
            <w:tcW w:w="5134" w:type="dxa"/>
            <w:tcBorders>
              <w:top w:val="nil"/>
              <w:left w:val="nil"/>
              <w:bottom w:val="single" w:sz="4" w:space="0" w:color="auto"/>
              <w:right w:val="single" w:sz="4" w:space="0" w:color="auto"/>
            </w:tcBorders>
            <w:shd w:val="clear" w:color="000000" w:fill="FFFFFF"/>
            <w:vAlign w:val="center"/>
            <w:hideMark/>
          </w:tcPr>
          <w:p w14:paraId="14A976C4"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xml:space="preserve">Утицај номиналног раста БДП на учешће дуга (ефекат деноминатора) </w:t>
            </w:r>
          </w:p>
        </w:tc>
        <w:tc>
          <w:tcPr>
            <w:tcW w:w="1167" w:type="dxa"/>
            <w:tcBorders>
              <w:top w:val="nil"/>
              <w:left w:val="nil"/>
              <w:bottom w:val="single" w:sz="4" w:space="0" w:color="auto"/>
              <w:right w:val="single" w:sz="4" w:space="0" w:color="auto"/>
            </w:tcBorders>
            <w:shd w:val="clear" w:color="000000" w:fill="FFFFFF"/>
            <w:noWrap/>
            <w:vAlign w:val="center"/>
            <w:hideMark/>
          </w:tcPr>
          <w:p w14:paraId="443DE7C3" w14:textId="77777777" w:rsidR="009B5DE5" w:rsidRPr="009B5DE5" w:rsidRDefault="009B5DE5" w:rsidP="009B5DE5">
            <w:pPr>
              <w:spacing w:after="0"/>
              <w:jc w:val="center"/>
              <w:rPr>
                <w:rFonts w:ascii="Arial" w:eastAsia="Times New Roman" w:hAnsi="Arial" w:cs="Arial"/>
                <w:sz w:val="16"/>
                <w:szCs w:val="16"/>
              </w:rPr>
            </w:pPr>
            <w:r w:rsidRPr="009B5DE5">
              <w:rPr>
                <w:rFonts w:ascii="Arial" w:eastAsia="Times New Roman" w:hAnsi="Arial" w:cs="Arial"/>
                <w:sz w:val="16"/>
                <w:szCs w:val="16"/>
              </w:rPr>
              <w:t>% БДП (t)</w:t>
            </w:r>
          </w:p>
        </w:tc>
        <w:tc>
          <w:tcPr>
            <w:tcW w:w="1192" w:type="dxa"/>
            <w:tcBorders>
              <w:top w:val="nil"/>
              <w:left w:val="nil"/>
              <w:bottom w:val="single" w:sz="4" w:space="0" w:color="auto"/>
              <w:right w:val="nil"/>
            </w:tcBorders>
            <w:shd w:val="clear" w:color="000000" w:fill="FFFFFF"/>
            <w:vAlign w:val="center"/>
            <w:hideMark/>
          </w:tcPr>
          <w:p w14:paraId="15F10447"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-8,15</w:t>
            </w:r>
          </w:p>
        </w:tc>
        <w:tc>
          <w:tcPr>
            <w:tcW w:w="1581" w:type="dxa"/>
            <w:tcBorders>
              <w:top w:val="nil"/>
              <w:left w:val="nil"/>
              <w:bottom w:val="single" w:sz="4" w:space="0" w:color="auto"/>
              <w:right w:val="nil"/>
            </w:tcBorders>
            <w:shd w:val="clear" w:color="000000" w:fill="FFFFFF"/>
            <w:vAlign w:val="center"/>
            <w:hideMark/>
          </w:tcPr>
          <w:p w14:paraId="5A3DC280"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-3,96</w:t>
            </w:r>
          </w:p>
        </w:tc>
        <w:tc>
          <w:tcPr>
            <w:tcW w:w="1313" w:type="dxa"/>
            <w:tcBorders>
              <w:top w:val="nil"/>
              <w:left w:val="nil"/>
              <w:bottom w:val="single" w:sz="4" w:space="0" w:color="auto"/>
              <w:right w:val="nil"/>
            </w:tcBorders>
            <w:shd w:val="clear" w:color="000000" w:fill="FFFFFF"/>
            <w:vAlign w:val="center"/>
            <w:hideMark/>
          </w:tcPr>
          <w:p w14:paraId="0E5B96DF"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-3,36</w:t>
            </w:r>
          </w:p>
        </w:tc>
        <w:tc>
          <w:tcPr>
            <w:tcW w:w="1362" w:type="dxa"/>
            <w:tcBorders>
              <w:top w:val="nil"/>
              <w:left w:val="nil"/>
              <w:bottom w:val="single" w:sz="4" w:space="0" w:color="auto"/>
              <w:right w:val="nil"/>
            </w:tcBorders>
            <w:shd w:val="clear" w:color="000000" w:fill="FFFFFF"/>
            <w:vAlign w:val="center"/>
            <w:hideMark/>
          </w:tcPr>
          <w:p w14:paraId="6AB7B1D7"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-3,25</w:t>
            </w:r>
          </w:p>
        </w:tc>
        <w:tc>
          <w:tcPr>
            <w:tcW w:w="1362" w:type="dxa"/>
            <w:tcBorders>
              <w:top w:val="nil"/>
              <w:left w:val="nil"/>
              <w:bottom w:val="single" w:sz="4" w:space="0" w:color="auto"/>
              <w:right w:val="nil"/>
            </w:tcBorders>
            <w:shd w:val="clear" w:color="000000" w:fill="FFFFFF"/>
            <w:vAlign w:val="center"/>
            <w:hideMark/>
          </w:tcPr>
          <w:p w14:paraId="242E743A"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-3,55</w:t>
            </w:r>
          </w:p>
        </w:tc>
        <w:tc>
          <w:tcPr>
            <w:tcW w:w="1167" w:type="dxa"/>
            <w:tcBorders>
              <w:top w:val="nil"/>
              <w:left w:val="nil"/>
              <w:bottom w:val="nil"/>
              <w:right w:val="single" w:sz="4" w:space="0" w:color="auto"/>
            </w:tcBorders>
            <w:shd w:val="clear" w:color="000000" w:fill="FFFFFF"/>
            <w:vAlign w:val="center"/>
            <w:hideMark/>
          </w:tcPr>
          <w:p w14:paraId="252D96D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r>
      <w:tr w:rsidR="009B5DE5" w:rsidRPr="009B5DE5" w14:paraId="6A509F2E" w14:textId="77777777" w:rsidTr="00396800">
        <w:trPr>
          <w:trHeight w:val="250"/>
        </w:trPr>
        <w:tc>
          <w:tcPr>
            <w:tcW w:w="656" w:type="dxa"/>
            <w:tcBorders>
              <w:top w:val="nil"/>
              <w:left w:val="single" w:sz="4" w:space="0" w:color="auto"/>
              <w:bottom w:val="nil"/>
              <w:right w:val="nil"/>
            </w:tcBorders>
            <w:shd w:val="clear" w:color="000000" w:fill="FFFFFF"/>
            <w:noWrap/>
            <w:vAlign w:val="center"/>
            <w:hideMark/>
          </w:tcPr>
          <w:p w14:paraId="07611FEB"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w:t>
            </w:r>
          </w:p>
        </w:tc>
        <w:tc>
          <w:tcPr>
            <w:tcW w:w="5134" w:type="dxa"/>
            <w:tcBorders>
              <w:top w:val="nil"/>
              <w:left w:val="nil"/>
              <w:bottom w:val="nil"/>
              <w:right w:val="single" w:sz="4" w:space="0" w:color="auto"/>
            </w:tcBorders>
            <w:shd w:val="clear" w:color="000000" w:fill="FFFFFF"/>
            <w:vAlign w:val="center"/>
            <w:hideMark/>
          </w:tcPr>
          <w:p w14:paraId="34121D10"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од чега:</w:t>
            </w:r>
          </w:p>
        </w:tc>
        <w:tc>
          <w:tcPr>
            <w:tcW w:w="1167" w:type="dxa"/>
            <w:tcBorders>
              <w:top w:val="nil"/>
              <w:left w:val="nil"/>
              <w:bottom w:val="nil"/>
              <w:right w:val="single" w:sz="4" w:space="0" w:color="auto"/>
            </w:tcBorders>
            <w:shd w:val="clear" w:color="000000" w:fill="FFFFFF"/>
            <w:noWrap/>
            <w:vAlign w:val="center"/>
            <w:hideMark/>
          </w:tcPr>
          <w:p w14:paraId="35F1CC79" w14:textId="77777777" w:rsidR="009B5DE5" w:rsidRPr="009B5DE5" w:rsidRDefault="009B5DE5" w:rsidP="009B5DE5">
            <w:pPr>
              <w:spacing w:after="0"/>
              <w:jc w:val="center"/>
              <w:rPr>
                <w:rFonts w:ascii="Arial" w:eastAsia="Times New Roman" w:hAnsi="Arial" w:cs="Arial"/>
                <w:sz w:val="16"/>
                <w:szCs w:val="16"/>
              </w:rPr>
            </w:pPr>
            <w:r w:rsidRPr="009B5DE5">
              <w:rPr>
                <w:rFonts w:ascii="Arial" w:eastAsia="Times New Roman" w:hAnsi="Arial" w:cs="Arial"/>
                <w:sz w:val="16"/>
                <w:szCs w:val="16"/>
              </w:rPr>
              <w:t> </w:t>
            </w:r>
          </w:p>
        </w:tc>
        <w:tc>
          <w:tcPr>
            <w:tcW w:w="1192" w:type="dxa"/>
            <w:tcBorders>
              <w:top w:val="nil"/>
              <w:left w:val="nil"/>
              <w:bottom w:val="nil"/>
              <w:right w:val="nil"/>
            </w:tcBorders>
            <w:shd w:val="clear" w:color="000000" w:fill="FFFFFF"/>
            <w:vAlign w:val="center"/>
            <w:hideMark/>
          </w:tcPr>
          <w:p w14:paraId="183E19BF"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 </w:t>
            </w:r>
          </w:p>
        </w:tc>
        <w:tc>
          <w:tcPr>
            <w:tcW w:w="1581" w:type="dxa"/>
            <w:tcBorders>
              <w:top w:val="nil"/>
              <w:left w:val="nil"/>
              <w:bottom w:val="nil"/>
              <w:right w:val="nil"/>
            </w:tcBorders>
            <w:shd w:val="clear" w:color="000000" w:fill="FFFFFF"/>
            <w:vAlign w:val="center"/>
            <w:hideMark/>
          </w:tcPr>
          <w:p w14:paraId="216E7B6C"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 </w:t>
            </w:r>
          </w:p>
        </w:tc>
        <w:tc>
          <w:tcPr>
            <w:tcW w:w="1313" w:type="dxa"/>
            <w:tcBorders>
              <w:top w:val="nil"/>
              <w:left w:val="nil"/>
              <w:bottom w:val="nil"/>
              <w:right w:val="nil"/>
            </w:tcBorders>
            <w:shd w:val="clear" w:color="000000" w:fill="FFFFFF"/>
            <w:vAlign w:val="center"/>
            <w:hideMark/>
          </w:tcPr>
          <w:p w14:paraId="26819934"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 </w:t>
            </w:r>
          </w:p>
        </w:tc>
        <w:tc>
          <w:tcPr>
            <w:tcW w:w="1362" w:type="dxa"/>
            <w:tcBorders>
              <w:top w:val="nil"/>
              <w:left w:val="nil"/>
              <w:bottom w:val="nil"/>
              <w:right w:val="nil"/>
            </w:tcBorders>
            <w:shd w:val="clear" w:color="000000" w:fill="FFFFFF"/>
            <w:vAlign w:val="center"/>
            <w:hideMark/>
          </w:tcPr>
          <w:p w14:paraId="54DF37DB"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 </w:t>
            </w:r>
          </w:p>
        </w:tc>
        <w:tc>
          <w:tcPr>
            <w:tcW w:w="1362" w:type="dxa"/>
            <w:tcBorders>
              <w:top w:val="nil"/>
              <w:left w:val="nil"/>
              <w:bottom w:val="nil"/>
              <w:right w:val="nil"/>
            </w:tcBorders>
            <w:shd w:val="clear" w:color="000000" w:fill="FFFFFF"/>
            <w:vAlign w:val="center"/>
            <w:hideMark/>
          </w:tcPr>
          <w:p w14:paraId="126EAFD7"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 </w:t>
            </w:r>
          </w:p>
        </w:tc>
        <w:tc>
          <w:tcPr>
            <w:tcW w:w="1167" w:type="dxa"/>
            <w:tcBorders>
              <w:top w:val="nil"/>
              <w:left w:val="nil"/>
              <w:bottom w:val="nil"/>
              <w:right w:val="single" w:sz="4" w:space="0" w:color="auto"/>
            </w:tcBorders>
            <w:shd w:val="clear" w:color="000000" w:fill="FFFFFF"/>
            <w:vAlign w:val="center"/>
            <w:hideMark/>
          </w:tcPr>
          <w:p w14:paraId="3B5C986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r>
      <w:tr w:rsidR="009B5DE5" w:rsidRPr="009B5DE5" w14:paraId="34D4049F" w14:textId="77777777" w:rsidTr="00396800">
        <w:trPr>
          <w:trHeight w:val="250"/>
        </w:trPr>
        <w:tc>
          <w:tcPr>
            <w:tcW w:w="656" w:type="dxa"/>
            <w:tcBorders>
              <w:top w:val="nil"/>
              <w:left w:val="single" w:sz="4" w:space="0" w:color="auto"/>
              <w:bottom w:val="nil"/>
              <w:right w:val="nil"/>
            </w:tcBorders>
            <w:shd w:val="clear" w:color="000000" w:fill="FFFFFF"/>
            <w:noWrap/>
            <w:vAlign w:val="center"/>
            <w:hideMark/>
          </w:tcPr>
          <w:p w14:paraId="31F7A524"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w:t>
            </w:r>
          </w:p>
        </w:tc>
        <w:tc>
          <w:tcPr>
            <w:tcW w:w="5134" w:type="dxa"/>
            <w:tcBorders>
              <w:top w:val="nil"/>
              <w:left w:val="nil"/>
              <w:bottom w:val="nil"/>
              <w:right w:val="single" w:sz="4" w:space="0" w:color="auto"/>
            </w:tcBorders>
            <w:shd w:val="clear" w:color="000000" w:fill="FFFFFF"/>
            <w:vAlign w:val="center"/>
            <w:hideMark/>
          </w:tcPr>
          <w:p w14:paraId="04873278"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Ефекат реалног раста</w:t>
            </w:r>
          </w:p>
        </w:tc>
        <w:tc>
          <w:tcPr>
            <w:tcW w:w="1167" w:type="dxa"/>
            <w:tcBorders>
              <w:top w:val="nil"/>
              <w:left w:val="nil"/>
              <w:bottom w:val="nil"/>
              <w:right w:val="single" w:sz="4" w:space="0" w:color="auto"/>
            </w:tcBorders>
            <w:shd w:val="clear" w:color="000000" w:fill="FFFFFF"/>
            <w:noWrap/>
            <w:vAlign w:val="center"/>
            <w:hideMark/>
          </w:tcPr>
          <w:p w14:paraId="51A7D7A5" w14:textId="77777777" w:rsidR="009B5DE5" w:rsidRPr="009B5DE5" w:rsidRDefault="009B5DE5" w:rsidP="009B5DE5">
            <w:pPr>
              <w:spacing w:after="0"/>
              <w:jc w:val="center"/>
              <w:rPr>
                <w:rFonts w:ascii="Arial" w:eastAsia="Times New Roman" w:hAnsi="Arial" w:cs="Arial"/>
                <w:sz w:val="16"/>
                <w:szCs w:val="16"/>
              </w:rPr>
            </w:pPr>
            <w:r w:rsidRPr="009B5DE5">
              <w:rPr>
                <w:rFonts w:ascii="Arial" w:eastAsia="Times New Roman" w:hAnsi="Arial" w:cs="Arial"/>
                <w:sz w:val="16"/>
                <w:szCs w:val="16"/>
              </w:rPr>
              <w:t>% БДП (t)</w:t>
            </w:r>
          </w:p>
        </w:tc>
        <w:tc>
          <w:tcPr>
            <w:tcW w:w="1192" w:type="dxa"/>
            <w:tcBorders>
              <w:top w:val="nil"/>
              <w:left w:val="nil"/>
              <w:bottom w:val="nil"/>
              <w:right w:val="nil"/>
            </w:tcBorders>
            <w:shd w:val="clear" w:color="000000" w:fill="FFFFFF"/>
            <w:vAlign w:val="center"/>
            <w:hideMark/>
          </w:tcPr>
          <w:p w14:paraId="2F08BBAB"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-1,72</w:t>
            </w:r>
          </w:p>
        </w:tc>
        <w:tc>
          <w:tcPr>
            <w:tcW w:w="1581" w:type="dxa"/>
            <w:tcBorders>
              <w:top w:val="nil"/>
              <w:left w:val="nil"/>
              <w:bottom w:val="nil"/>
              <w:right w:val="nil"/>
            </w:tcBorders>
            <w:shd w:val="clear" w:color="000000" w:fill="FFFFFF"/>
            <w:vAlign w:val="center"/>
            <w:hideMark/>
          </w:tcPr>
          <w:p w14:paraId="7D146A15"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-1,67</w:t>
            </w:r>
          </w:p>
        </w:tc>
        <w:tc>
          <w:tcPr>
            <w:tcW w:w="1313" w:type="dxa"/>
            <w:tcBorders>
              <w:top w:val="nil"/>
              <w:left w:val="nil"/>
              <w:bottom w:val="nil"/>
              <w:right w:val="nil"/>
            </w:tcBorders>
            <w:shd w:val="clear" w:color="000000" w:fill="FFFFFF"/>
            <w:vAlign w:val="center"/>
            <w:hideMark/>
          </w:tcPr>
          <w:p w14:paraId="1336951A"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-1,85</w:t>
            </w:r>
          </w:p>
        </w:tc>
        <w:tc>
          <w:tcPr>
            <w:tcW w:w="1362" w:type="dxa"/>
            <w:tcBorders>
              <w:top w:val="nil"/>
              <w:left w:val="nil"/>
              <w:bottom w:val="nil"/>
              <w:right w:val="nil"/>
            </w:tcBorders>
            <w:shd w:val="clear" w:color="000000" w:fill="FFFFFF"/>
            <w:vAlign w:val="center"/>
            <w:hideMark/>
          </w:tcPr>
          <w:p w14:paraId="3002C875"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-1,76</w:t>
            </w:r>
          </w:p>
        </w:tc>
        <w:tc>
          <w:tcPr>
            <w:tcW w:w="1362" w:type="dxa"/>
            <w:tcBorders>
              <w:top w:val="nil"/>
              <w:left w:val="nil"/>
              <w:bottom w:val="nil"/>
              <w:right w:val="nil"/>
            </w:tcBorders>
            <w:shd w:val="clear" w:color="000000" w:fill="FFFFFF"/>
            <w:vAlign w:val="center"/>
            <w:hideMark/>
          </w:tcPr>
          <w:p w14:paraId="75D10B50"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-2,17</w:t>
            </w:r>
          </w:p>
        </w:tc>
        <w:tc>
          <w:tcPr>
            <w:tcW w:w="1167" w:type="dxa"/>
            <w:tcBorders>
              <w:top w:val="nil"/>
              <w:left w:val="nil"/>
              <w:bottom w:val="nil"/>
              <w:right w:val="single" w:sz="4" w:space="0" w:color="auto"/>
            </w:tcBorders>
            <w:shd w:val="clear" w:color="000000" w:fill="FFFFFF"/>
            <w:vAlign w:val="center"/>
            <w:hideMark/>
          </w:tcPr>
          <w:p w14:paraId="6FAC01F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r>
      <w:tr w:rsidR="009B5DE5" w:rsidRPr="009B5DE5" w14:paraId="03695EC7" w14:textId="77777777" w:rsidTr="00396800">
        <w:trPr>
          <w:trHeight w:val="250"/>
        </w:trPr>
        <w:tc>
          <w:tcPr>
            <w:tcW w:w="656" w:type="dxa"/>
            <w:tcBorders>
              <w:top w:val="nil"/>
              <w:left w:val="single" w:sz="4" w:space="0" w:color="auto"/>
              <w:bottom w:val="nil"/>
              <w:right w:val="nil"/>
            </w:tcBorders>
            <w:shd w:val="clear" w:color="000000" w:fill="FFFFFF"/>
            <w:noWrap/>
            <w:vAlign w:val="center"/>
            <w:hideMark/>
          </w:tcPr>
          <w:p w14:paraId="44C221E7"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w:t>
            </w:r>
          </w:p>
        </w:tc>
        <w:tc>
          <w:tcPr>
            <w:tcW w:w="5134" w:type="dxa"/>
            <w:tcBorders>
              <w:top w:val="nil"/>
              <w:left w:val="nil"/>
              <w:bottom w:val="nil"/>
              <w:right w:val="single" w:sz="4" w:space="0" w:color="auto"/>
            </w:tcBorders>
            <w:shd w:val="clear" w:color="000000" w:fill="FFFFFF"/>
            <w:vAlign w:val="center"/>
            <w:hideMark/>
          </w:tcPr>
          <w:p w14:paraId="669B6219"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Ефекат дефлатора</w:t>
            </w:r>
          </w:p>
        </w:tc>
        <w:tc>
          <w:tcPr>
            <w:tcW w:w="1167" w:type="dxa"/>
            <w:tcBorders>
              <w:top w:val="nil"/>
              <w:left w:val="nil"/>
              <w:bottom w:val="nil"/>
              <w:right w:val="single" w:sz="4" w:space="0" w:color="auto"/>
            </w:tcBorders>
            <w:shd w:val="clear" w:color="000000" w:fill="FFFFFF"/>
            <w:noWrap/>
            <w:vAlign w:val="center"/>
            <w:hideMark/>
          </w:tcPr>
          <w:p w14:paraId="720F4859" w14:textId="77777777" w:rsidR="009B5DE5" w:rsidRPr="009B5DE5" w:rsidRDefault="009B5DE5" w:rsidP="009B5DE5">
            <w:pPr>
              <w:spacing w:after="0"/>
              <w:jc w:val="center"/>
              <w:rPr>
                <w:rFonts w:ascii="Arial" w:eastAsia="Times New Roman" w:hAnsi="Arial" w:cs="Arial"/>
                <w:sz w:val="16"/>
                <w:szCs w:val="16"/>
              </w:rPr>
            </w:pPr>
            <w:r w:rsidRPr="009B5DE5">
              <w:rPr>
                <w:rFonts w:ascii="Arial" w:eastAsia="Times New Roman" w:hAnsi="Arial" w:cs="Arial"/>
                <w:sz w:val="16"/>
                <w:szCs w:val="16"/>
              </w:rPr>
              <w:t>% БДП (t)</w:t>
            </w:r>
          </w:p>
        </w:tc>
        <w:tc>
          <w:tcPr>
            <w:tcW w:w="1192" w:type="dxa"/>
            <w:tcBorders>
              <w:top w:val="nil"/>
              <w:left w:val="nil"/>
              <w:bottom w:val="nil"/>
              <w:right w:val="nil"/>
            </w:tcBorders>
            <w:shd w:val="clear" w:color="000000" w:fill="FFFFFF"/>
            <w:vAlign w:val="center"/>
            <w:hideMark/>
          </w:tcPr>
          <w:p w14:paraId="4F57746B"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-6,19</w:t>
            </w:r>
          </w:p>
        </w:tc>
        <w:tc>
          <w:tcPr>
            <w:tcW w:w="1581" w:type="dxa"/>
            <w:tcBorders>
              <w:top w:val="nil"/>
              <w:left w:val="nil"/>
              <w:bottom w:val="nil"/>
              <w:right w:val="nil"/>
            </w:tcBorders>
            <w:shd w:val="clear" w:color="000000" w:fill="FFFFFF"/>
            <w:vAlign w:val="center"/>
            <w:hideMark/>
          </w:tcPr>
          <w:p w14:paraId="691A10E6"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-2,22</w:t>
            </w:r>
          </w:p>
        </w:tc>
        <w:tc>
          <w:tcPr>
            <w:tcW w:w="1313" w:type="dxa"/>
            <w:tcBorders>
              <w:top w:val="nil"/>
              <w:left w:val="nil"/>
              <w:bottom w:val="nil"/>
              <w:right w:val="nil"/>
            </w:tcBorders>
            <w:shd w:val="clear" w:color="000000" w:fill="FFFFFF"/>
            <w:vAlign w:val="center"/>
            <w:hideMark/>
          </w:tcPr>
          <w:p w14:paraId="28073434"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-1,44</w:t>
            </w:r>
          </w:p>
        </w:tc>
        <w:tc>
          <w:tcPr>
            <w:tcW w:w="1362" w:type="dxa"/>
            <w:tcBorders>
              <w:top w:val="nil"/>
              <w:left w:val="nil"/>
              <w:bottom w:val="nil"/>
              <w:right w:val="nil"/>
            </w:tcBorders>
            <w:shd w:val="clear" w:color="000000" w:fill="FFFFFF"/>
            <w:vAlign w:val="center"/>
            <w:hideMark/>
          </w:tcPr>
          <w:p w14:paraId="376A70E7"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-1,43</w:t>
            </w:r>
          </w:p>
        </w:tc>
        <w:tc>
          <w:tcPr>
            <w:tcW w:w="1362" w:type="dxa"/>
            <w:tcBorders>
              <w:top w:val="nil"/>
              <w:left w:val="nil"/>
              <w:bottom w:val="nil"/>
              <w:right w:val="nil"/>
            </w:tcBorders>
            <w:shd w:val="clear" w:color="000000" w:fill="FFFFFF"/>
            <w:vAlign w:val="center"/>
            <w:hideMark/>
          </w:tcPr>
          <w:p w14:paraId="097A28BC"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-1,31</w:t>
            </w:r>
          </w:p>
        </w:tc>
        <w:tc>
          <w:tcPr>
            <w:tcW w:w="1167" w:type="dxa"/>
            <w:tcBorders>
              <w:top w:val="nil"/>
              <w:left w:val="nil"/>
              <w:bottom w:val="nil"/>
              <w:right w:val="single" w:sz="4" w:space="0" w:color="auto"/>
            </w:tcBorders>
            <w:shd w:val="clear" w:color="000000" w:fill="FFFFFF"/>
            <w:vAlign w:val="center"/>
            <w:hideMark/>
          </w:tcPr>
          <w:p w14:paraId="2E796D7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r>
      <w:tr w:rsidR="009B5DE5" w:rsidRPr="009B5DE5" w14:paraId="4423C161" w14:textId="77777777" w:rsidTr="00396800">
        <w:trPr>
          <w:trHeight w:val="250"/>
        </w:trPr>
        <w:tc>
          <w:tcPr>
            <w:tcW w:w="656" w:type="dxa"/>
            <w:tcBorders>
              <w:top w:val="nil"/>
              <w:left w:val="single" w:sz="4" w:space="0" w:color="auto"/>
              <w:bottom w:val="nil"/>
              <w:right w:val="nil"/>
            </w:tcBorders>
            <w:shd w:val="clear" w:color="000000" w:fill="FFFFFF"/>
            <w:noWrap/>
            <w:vAlign w:val="center"/>
            <w:hideMark/>
          </w:tcPr>
          <w:p w14:paraId="7C65A506"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w:t>
            </w:r>
          </w:p>
        </w:tc>
        <w:tc>
          <w:tcPr>
            <w:tcW w:w="5134" w:type="dxa"/>
            <w:tcBorders>
              <w:top w:val="nil"/>
              <w:left w:val="nil"/>
              <w:bottom w:val="single" w:sz="4" w:space="0" w:color="auto"/>
              <w:right w:val="single" w:sz="4" w:space="0" w:color="auto"/>
            </w:tcBorders>
            <w:shd w:val="clear" w:color="000000" w:fill="FFFFFF"/>
            <w:vAlign w:val="center"/>
            <w:hideMark/>
          </w:tcPr>
          <w:p w14:paraId="6278C1E0"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Комбиновани ефекат</w:t>
            </w:r>
          </w:p>
        </w:tc>
        <w:tc>
          <w:tcPr>
            <w:tcW w:w="1167" w:type="dxa"/>
            <w:tcBorders>
              <w:top w:val="nil"/>
              <w:left w:val="nil"/>
              <w:bottom w:val="single" w:sz="4" w:space="0" w:color="auto"/>
              <w:right w:val="single" w:sz="4" w:space="0" w:color="auto"/>
            </w:tcBorders>
            <w:shd w:val="clear" w:color="000000" w:fill="FFFFFF"/>
            <w:noWrap/>
            <w:vAlign w:val="center"/>
            <w:hideMark/>
          </w:tcPr>
          <w:p w14:paraId="4DB2A164" w14:textId="77777777" w:rsidR="009B5DE5" w:rsidRPr="009B5DE5" w:rsidRDefault="009B5DE5" w:rsidP="009B5DE5">
            <w:pPr>
              <w:spacing w:after="0"/>
              <w:jc w:val="center"/>
              <w:rPr>
                <w:rFonts w:ascii="Arial" w:eastAsia="Times New Roman" w:hAnsi="Arial" w:cs="Arial"/>
                <w:sz w:val="16"/>
                <w:szCs w:val="16"/>
              </w:rPr>
            </w:pPr>
            <w:r w:rsidRPr="009B5DE5">
              <w:rPr>
                <w:rFonts w:ascii="Arial" w:eastAsia="Times New Roman" w:hAnsi="Arial" w:cs="Arial"/>
                <w:sz w:val="16"/>
                <w:szCs w:val="16"/>
              </w:rPr>
              <w:t>% БДП (t)</w:t>
            </w:r>
          </w:p>
        </w:tc>
        <w:tc>
          <w:tcPr>
            <w:tcW w:w="1192" w:type="dxa"/>
            <w:tcBorders>
              <w:top w:val="nil"/>
              <w:left w:val="nil"/>
              <w:bottom w:val="single" w:sz="4" w:space="0" w:color="auto"/>
              <w:right w:val="nil"/>
            </w:tcBorders>
            <w:shd w:val="clear" w:color="000000" w:fill="FFFFFF"/>
            <w:vAlign w:val="center"/>
            <w:hideMark/>
          </w:tcPr>
          <w:p w14:paraId="58E64C33"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-0,24</w:t>
            </w:r>
          </w:p>
        </w:tc>
        <w:tc>
          <w:tcPr>
            <w:tcW w:w="1581" w:type="dxa"/>
            <w:tcBorders>
              <w:top w:val="nil"/>
              <w:left w:val="nil"/>
              <w:bottom w:val="single" w:sz="4" w:space="0" w:color="auto"/>
              <w:right w:val="nil"/>
            </w:tcBorders>
            <w:shd w:val="clear" w:color="000000" w:fill="FFFFFF"/>
            <w:vAlign w:val="center"/>
            <w:hideMark/>
          </w:tcPr>
          <w:p w14:paraId="16061653"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-0,08</w:t>
            </w:r>
          </w:p>
        </w:tc>
        <w:tc>
          <w:tcPr>
            <w:tcW w:w="1313" w:type="dxa"/>
            <w:tcBorders>
              <w:top w:val="nil"/>
              <w:left w:val="nil"/>
              <w:bottom w:val="single" w:sz="4" w:space="0" w:color="auto"/>
              <w:right w:val="nil"/>
            </w:tcBorders>
            <w:shd w:val="clear" w:color="000000" w:fill="FFFFFF"/>
            <w:vAlign w:val="center"/>
            <w:hideMark/>
          </w:tcPr>
          <w:p w14:paraId="029320CF"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-0,06</w:t>
            </w:r>
          </w:p>
        </w:tc>
        <w:tc>
          <w:tcPr>
            <w:tcW w:w="1362" w:type="dxa"/>
            <w:tcBorders>
              <w:top w:val="nil"/>
              <w:left w:val="nil"/>
              <w:bottom w:val="single" w:sz="4" w:space="0" w:color="auto"/>
              <w:right w:val="nil"/>
            </w:tcBorders>
            <w:shd w:val="clear" w:color="000000" w:fill="FFFFFF"/>
            <w:vAlign w:val="center"/>
            <w:hideMark/>
          </w:tcPr>
          <w:p w14:paraId="615E5095"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-0,06</w:t>
            </w:r>
          </w:p>
        </w:tc>
        <w:tc>
          <w:tcPr>
            <w:tcW w:w="1362" w:type="dxa"/>
            <w:tcBorders>
              <w:top w:val="nil"/>
              <w:left w:val="nil"/>
              <w:bottom w:val="single" w:sz="4" w:space="0" w:color="auto"/>
              <w:right w:val="nil"/>
            </w:tcBorders>
            <w:shd w:val="clear" w:color="000000" w:fill="FFFFFF"/>
            <w:vAlign w:val="center"/>
            <w:hideMark/>
          </w:tcPr>
          <w:p w14:paraId="7A46447C"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-0,07</w:t>
            </w:r>
          </w:p>
        </w:tc>
        <w:tc>
          <w:tcPr>
            <w:tcW w:w="1167" w:type="dxa"/>
            <w:tcBorders>
              <w:top w:val="nil"/>
              <w:left w:val="nil"/>
              <w:bottom w:val="nil"/>
              <w:right w:val="single" w:sz="4" w:space="0" w:color="auto"/>
            </w:tcBorders>
            <w:shd w:val="clear" w:color="000000" w:fill="FFFFFF"/>
            <w:vAlign w:val="center"/>
            <w:hideMark/>
          </w:tcPr>
          <w:p w14:paraId="74BE508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r>
      <w:tr w:rsidR="009B5DE5" w:rsidRPr="009B5DE5" w14:paraId="5C2705DA" w14:textId="77777777" w:rsidTr="00396800">
        <w:trPr>
          <w:trHeight w:val="250"/>
        </w:trPr>
        <w:tc>
          <w:tcPr>
            <w:tcW w:w="656" w:type="dxa"/>
            <w:tcBorders>
              <w:top w:val="nil"/>
              <w:left w:val="single" w:sz="4" w:space="0" w:color="auto"/>
              <w:bottom w:val="nil"/>
              <w:right w:val="nil"/>
            </w:tcBorders>
            <w:shd w:val="clear" w:color="000000" w:fill="FFFFFF"/>
            <w:noWrap/>
            <w:vAlign w:val="center"/>
            <w:hideMark/>
          </w:tcPr>
          <w:p w14:paraId="2ABE6F98"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w:t>
            </w:r>
          </w:p>
        </w:tc>
        <w:tc>
          <w:tcPr>
            <w:tcW w:w="5134" w:type="dxa"/>
            <w:tcBorders>
              <w:top w:val="nil"/>
              <w:left w:val="nil"/>
              <w:bottom w:val="nil"/>
              <w:right w:val="single" w:sz="4" w:space="0" w:color="auto"/>
            </w:tcBorders>
            <w:shd w:val="clear" w:color="000000" w:fill="FFFFFF"/>
            <w:vAlign w:val="center"/>
            <w:hideMark/>
          </w:tcPr>
          <w:p w14:paraId="66CBED63"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провера</w:t>
            </w:r>
          </w:p>
        </w:tc>
        <w:tc>
          <w:tcPr>
            <w:tcW w:w="1167" w:type="dxa"/>
            <w:tcBorders>
              <w:top w:val="nil"/>
              <w:left w:val="nil"/>
              <w:bottom w:val="nil"/>
              <w:right w:val="single" w:sz="4" w:space="0" w:color="auto"/>
            </w:tcBorders>
            <w:shd w:val="clear" w:color="000000" w:fill="FFFFFF"/>
            <w:noWrap/>
            <w:vAlign w:val="center"/>
            <w:hideMark/>
          </w:tcPr>
          <w:p w14:paraId="385EE0A2"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w:t>
            </w:r>
          </w:p>
        </w:tc>
        <w:tc>
          <w:tcPr>
            <w:tcW w:w="1192" w:type="dxa"/>
            <w:tcBorders>
              <w:top w:val="nil"/>
              <w:left w:val="nil"/>
              <w:bottom w:val="nil"/>
              <w:right w:val="nil"/>
            </w:tcBorders>
            <w:shd w:val="clear" w:color="000000" w:fill="FFFFFF"/>
            <w:vAlign w:val="center"/>
            <w:hideMark/>
          </w:tcPr>
          <w:p w14:paraId="2ADC6F62"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0,00</w:t>
            </w:r>
          </w:p>
        </w:tc>
        <w:tc>
          <w:tcPr>
            <w:tcW w:w="1581" w:type="dxa"/>
            <w:tcBorders>
              <w:top w:val="nil"/>
              <w:left w:val="nil"/>
              <w:bottom w:val="nil"/>
              <w:right w:val="nil"/>
            </w:tcBorders>
            <w:shd w:val="clear" w:color="000000" w:fill="FFFFFF"/>
            <w:vAlign w:val="center"/>
            <w:hideMark/>
          </w:tcPr>
          <w:p w14:paraId="65A9D5D8"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0,00</w:t>
            </w:r>
          </w:p>
        </w:tc>
        <w:tc>
          <w:tcPr>
            <w:tcW w:w="1313" w:type="dxa"/>
            <w:tcBorders>
              <w:top w:val="nil"/>
              <w:left w:val="nil"/>
              <w:bottom w:val="nil"/>
              <w:right w:val="nil"/>
            </w:tcBorders>
            <w:shd w:val="clear" w:color="000000" w:fill="FFFFFF"/>
            <w:vAlign w:val="center"/>
            <w:hideMark/>
          </w:tcPr>
          <w:p w14:paraId="3F7DB81B"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0,00</w:t>
            </w:r>
          </w:p>
        </w:tc>
        <w:tc>
          <w:tcPr>
            <w:tcW w:w="1362" w:type="dxa"/>
            <w:tcBorders>
              <w:top w:val="nil"/>
              <w:left w:val="nil"/>
              <w:bottom w:val="nil"/>
              <w:right w:val="nil"/>
            </w:tcBorders>
            <w:shd w:val="clear" w:color="000000" w:fill="FFFFFF"/>
            <w:vAlign w:val="center"/>
            <w:hideMark/>
          </w:tcPr>
          <w:p w14:paraId="550CA838"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0,00</w:t>
            </w:r>
          </w:p>
        </w:tc>
        <w:tc>
          <w:tcPr>
            <w:tcW w:w="1362" w:type="dxa"/>
            <w:tcBorders>
              <w:top w:val="nil"/>
              <w:left w:val="nil"/>
              <w:bottom w:val="nil"/>
              <w:right w:val="nil"/>
            </w:tcBorders>
            <w:shd w:val="clear" w:color="000000" w:fill="FFFFFF"/>
            <w:vAlign w:val="center"/>
            <w:hideMark/>
          </w:tcPr>
          <w:p w14:paraId="619E3FF6" w14:textId="77777777" w:rsidR="009B5DE5" w:rsidRPr="009B5DE5" w:rsidRDefault="009B5DE5" w:rsidP="009B5DE5">
            <w:pPr>
              <w:spacing w:after="0"/>
              <w:jc w:val="right"/>
              <w:rPr>
                <w:rFonts w:ascii="Arial" w:eastAsia="Times New Roman" w:hAnsi="Arial" w:cs="Arial"/>
                <w:sz w:val="20"/>
                <w:szCs w:val="20"/>
              </w:rPr>
            </w:pPr>
            <w:r w:rsidRPr="009B5DE5">
              <w:rPr>
                <w:rFonts w:ascii="Arial" w:eastAsia="Times New Roman" w:hAnsi="Arial" w:cs="Arial"/>
                <w:sz w:val="20"/>
                <w:szCs w:val="20"/>
              </w:rPr>
              <w:t>0,00</w:t>
            </w:r>
          </w:p>
        </w:tc>
        <w:tc>
          <w:tcPr>
            <w:tcW w:w="1167" w:type="dxa"/>
            <w:tcBorders>
              <w:top w:val="nil"/>
              <w:left w:val="nil"/>
              <w:bottom w:val="nil"/>
              <w:right w:val="single" w:sz="4" w:space="0" w:color="auto"/>
            </w:tcBorders>
            <w:shd w:val="clear" w:color="000000" w:fill="FFFFFF"/>
            <w:vAlign w:val="center"/>
            <w:hideMark/>
          </w:tcPr>
          <w:p w14:paraId="0F08B57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r>
      <w:tr w:rsidR="009B5DE5" w:rsidRPr="009B5DE5" w14:paraId="276C5B80" w14:textId="77777777" w:rsidTr="00396800">
        <w:trPr>
          <w:trHeight w:val="265"/>
        </w:trPr>
        <w:tc>
          <w:tcPr>
            <w:tcW w:w="656" w:type="dxa"/>
            <w:tcBorders>
              <w:top w:val="nil"/>
              <w:left w:val="single" w:sz="4" w:space="0" w:color="auto"/>
              <w:bottom w:val="single" w:sz="4" w:space="0" w:color="auto"/>
              <w:right w:val="nil"/>
            </w:tcBorders>
            <w:shd w:val="clear" w:color="000000" w:fill="FFFFFF"/>
            <w:noWrap/>
            <w:vAlign w:val="center"/>
            <w:hideMark/>
          </w:tcPr>
          <w:p w14:paraId="601851B0" w14:textId="77777777" w:rsidR="009B5DE5" w:rsidRPr="009B5DE5" w:rsidRDefault="009B5DE5" w:rsidP="009B5DE5">
            <w:pPr>
              <w:spacing w:after="0"/>
              <w:jc w:val="left"/>
              <w:rPr>
                <w:rFonts w:ascii="Arial" w:eastAsia="Times New Roman" w:hAnsi="Arial" w:cs="Arial"/>
                <w:sz w:val="20"/>
                <w:szCs w:val="20"/>
              </w:rPr>
            </w:pPr>
            <w:r w:rsidRPr="009B5DE5">
              <w:rPr>
                <w:rFonts w:ascii="Arial" w:eastAsia="Times New Roman" w:hAnsi="Arial" w:cs="Arial"/>
                <w:sz w:val="20"/>
                <w:szCs w:val="20"/>
              </w:rPr>
              <w:t> </w:t>
            </w:r>
          </w:p>
        </w:tc>
        <w:tc>
          <w:tcPr>
            <w:tcW w:w="5134" w:type="dxa"/>
            <w:tcBorders>
              <w:top w:val="nil"/>
              <w:left w:val="nil"/>
              <w:bottom w:val="single" w:sz="4" w:space="0" w:color="auto"/>
              <w:right w:val="nil"/>
            </w:tcBorders>
            <w:shd w:val="clear" w:color="000000" w:fill="FFFFFF"/>
            <w:noWrap/>
            <w:vAlign w:val="center"/>
            <w:hideMark/>
          </w:tcPr>
          <w:p w14:paraId="2002B072" w14:textId="77777777" w:rsidR="009B5DE5" w:rsidRPr="009B5DE5" w:rsidRDefault="009B5DE5" w:rsidP="009B5DE5">
            <w:pPr>
              <w:spacing w:after="0"/>
              <w:jc w:val="left"/>
              <w:rPr>
                <w:rFonts w:eastAsia="Times New Roman" w:cs="Times New Roman"/>
                <w:sz w:val="16"/>
                <w:szCs w:val="16"/>
              </w:rPr>
            </w:pPr>
            <w:r w:rsidRPr="009B5DE5">
              <w:rPr>
                <w:rFonts w:eastAsia="Times New Roman" w:cs="Times New Roman"/>
                <w:sz w:val="16"/>
                <w:szCs w:val="16"/>
              </w:rPr>
              <w:t> </w:t>
            </w:r>
          </w:p>
        </w:tc>
        <w:tc>
          <w:tcPr>
            <w:tcW w:w="1167" w:type="dxa"/>
            <w:tcBorders>
              <w:top w:val="nil"/>
              <w:left w:val="nil"/>
              <w:bottom w:val="single" w:sz="4" w:space="0" w:color="auto"/>
              <w:right w:val="nil"/>
            </w:tcBorders>
            <w:shd w:val="clear" w:color="000000" w:fill="FFFFFF"/>
            <w:vAlign w:val="center"/>
            <w:hideMark/>
          </w:tcPr>
          <w:p w14:paraId="2237C149"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192" w:type="dxa"/>
            <w:tcBorders>
              <w:top w:val="nil"/>
              <w:left w:val="nil"/>
              <w:bottom w:val="single" w:sz="4" w:space="0" w:color="auto"/>
              <w:right w:val="nil"/>
            </w:tcBorders>
            <w:shd w:val="clear" w:color="000000" w:fill="FFFFFF"/>
            <w:vAlign w:val="center"/>
            <w:hideMark/>
          </w:tcPr>
          <w:p w14:paraId="4FFEC60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581" w:type="dxa"/>
            <w:tcBorders>
              <w:top w:val="nil"/>
              <w:left w:val="nil"/>
              <w:bottom w:val="single" w:sz="4" w:space="0" w:color="auto"/>
              <w:right w:val="nil"/>
            </w:tcBorders>
            <w:shd w:val="clear" w:color="000000" w:fill="FFFFFF"/>
            <w:vAlign w:val="center"/>
            <w:hideMark/>
          </w:tcPr>
          <w:p w14:paraId="7BFF5FA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313" w:type="dxa"/>
            <w:tcBorders>
              <w:top w:val="nil"/>
              <w:left w:val="nil"/>
              <w:bottom w:val="single" w:sz="4" w:space="0" w:color="auto"/>
              <w:right w:val="nil"/>
            </w:tcBorders>
            <w:shd w:val="clear" w:color="000000" w:fill="FFFFFF"/>
            <w:vAlign w:val="center"/>
            <w:hideMark/>
          </w:tcPr>
          <w:p w14:paraId="0F050EC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362" w:type="dxa"/>
            <w:tcBorders>
              <w:top w:val="nil"/>
              <w:left w:val="nil"/>
              <w:bottom w:val="single" w:sz="4" w:space="0" w:color="auto"/>
              <w:right w:val="nil"/>
            </w:tcBorders>
            <w:shd w:val="clear" w:color="000000" w:fill="FFFFFF"/>
            <w:vAlign w:val="center"/>
            <w:hideMark/>
          </w:tcPr>
          <w:p w14:paraId="5014362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362" w:type="dxa"/>
            <w:tcBorders>
              <w:top w:val="nil"/>
              <w:left w:val="nil"/>
              <w:bottom w:val="single" w:sz="4" w:space="0" w:color="auto"/>
              <w:right w:val="nil"/>
            </w:tcBorders>
            <w:shd w:val="clear" w:color="000000" w:fill="FFFFFF"/>
            <w:vAlign w:val="center"/>
            <w:hideMark/>
          </w:tcPr>
          <w:p w14:paraId="326ED59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167" w:type="dxa"/>
            <w:tcBorders>
              <w:top w:val="nil"/>
              <w:left w:val="nil"/>
              <w:bottom w:val="single" w:sz="4" w:space="0" w:color="auto"/>
              <w:right w:val="single" w:sz="4" w:space="0" w:color="auto"/>
            </w:tcBorders>
            <w:shd w:val="clear" w:color="000000" w:fill="FFFFFF"/>
            <w:vAlign w:val="center"/>
            <w:hideMark/>
          </w:tcPr>
          <w:p w14:paraId="610567C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r>
    </w:tbl>
    <w:p w14:paraId="02FEF52D" w14:textId="77777777" w:rsidR="009B5DE5" w:rsidRPr="009B5DE5" w:rsidRDefault="009B5DE5" w:rsidP="009B5DE5">
      <w:pPr>
        <w:spacing w:after="0"/>
        <w:jc w:val="left"/>
        <w:rPr>
          <w:rFonts w:eastAsia="Times New Roman" w:cs="Times New Roman"/>
          <w:bCs/>
          <w:sz w:val="22"/>
        </w:rPr>
      </w:pPr>
    </w:p>
    <w:p w14:paraId="0A107141" w14:textId="77777777" w:rsidR="009B5DE5" w:rsidRPr="009B5DE5" w:rsidRDefault="009B5DE5" w:rsidP="009B5DE5">
      <w:pPr>
        <w:spacing w:after="0"/>
        <w:jc w:val="left"/>
        <w:rPr>
          <w:rFonts w:eastAsia="Times New Roman" w:cs="Times New Roman"/>
          <w:bCs/>
          <w:sz w:val="22"/>
          <w:lang w:val="sr-Cyrl-RS"/>
        </w:rPr>
      </w:pPr>
      <w:r w:rsidRPr="009B5DE5">
        <w:rPr>
          <w:rFonts w:eastAsia="Times New Roman" w:cs="Times New Roman"/>
          <w:bCs/>
          <w:sz w:val="22"/>
          <w:lang w:val="sr-Cyrl-RS"/>
        </w:rPr>
        <w:t>Табела 5: Циклична кретања</w:t>
      </w:r>
    </w:p>
    <w:p w14:paraId="33D57D0B" w14:textId="77777777" w:rsidR="009B5DE5" w:rsidRPr="009B5DE5" w:rsidRDefault="009B5DE5" w:rsidP="009B5DE5">
      <w:pPr>
        <w:spacing w:after="0"/>
        <w:jc w:val="left"/>
        <w:rPr>
          <w:rFonts w:eastAsia="Times New Roman" w:cs="Times New Roman"/>
          <w:bCs/>
          <w:sz w:val="22"/>
          <w:lang w:val="sr-Cyrl-RS"/>
        </w:rPr>
      </w:pPr>
    </w:p>
    <w:p w14:paraId="202AE2D5" w14:textId="77777777" w:rsidR="009B5DE5" w:rsidRPr="009B5DE5" w:rsidRDefault="009B5DE5" w:rsidP="009B5DE5">
      <w:pPr>
        <w:spacing w:after="0"/>
        <w:jc w:val="left"/>
        <w:rPr>
          <w:rFonts w:eastAsia="Times New Roman" w:cs="Times New Roman"/>
          <w:bCs/>
          <w:sz w:val="22"/>
        </w:rPr>
      </w:pPr>
      <w:r w:rsidRPr="009B5DE5">
        <w:rPr>
          <w:rFonts w:ascii="Calibri" w:eastAsia="Calibri" w:hAnsi="Calibri" w:cs="Times New Roman"/>
          <w:noProof/>
          <w:sz w:val="22"/>
        </w:rPr>
        <w:drawing>
          <wp:inline distT="0" distB="0" distL="0" distR="0" wp14:anchorId="53EFAADA" wp14:editId="2C7A5FC3">
            <wp:extent cx="9443923" cy="195051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468292" cy="1955543"/>
                    </a:xfrm>
                    <a:prstGeom prst="rect">
                      <a:avLst/>
                    </a:prstGeom>
                    <a:noFill/>
                    <a:ln>
                      <a:noFill/>
                    </a:ln>
                  </pic:spPr>
                </pic:pic>
              </a:graphicData>
            </a:graphic>
          </wp:inline>
        </w:drawing>
      </w:r>
    </w:p>
    <w:p w14:paraId="284CD9CA" w14:textId="77777777" w:rsidR="009B5DE5" w:rsidRDefault="009B5DE5" w:rsidP="009B5DE5">
      <w:pPr>
        <w:spacing w:after="0"/>
        <w:jc w:val="left"/>
        <w:rPr>
          <w:rFonts w:eastAsia="Times New Roman" w:cs="Times New Roman"/>
          <w:bCs/>
          <w:sz w:val="22"/>
        </w:rPr>
      </w:pPr>
    </w:p>
    <w:p w14:paraId="274BD265" w14:textId="77777777" w:rsidR="00396800" w:rsidRDefault="00396800" w:rsidP="009B5DE5">
      <w:pPr>
        <w:spacing w:after="0"/>
        <w:jc w:val="left"/>
        <w:rPr>
          <w:rFonts w:eastAsia="Times New Roman" w:cs="Times New Roman"/>
          <w:bCs/>
          <w:sz w:val="22"/>
        </w:rPr>
      </w:pPr>
    </w:p>
    <w:p w14:paraId="22D32AC6" w14:textId="77777777" w:rsidR="00396800" w:rsidRDefault="00396800" w:rsidP="009B5DE5">
      <w:pPr>
        <w:spacing w:after="0"/>
        <w:jc w:val="left"/>
        <w:rPr>
          <w:rFonts w:eastAsia="Times New Roman" w:cs="Times New Roman"/>
          <w:bCs/>
          <w:sz w:val="22"/>
        </w:rPr>
      </w:pPr>
    </w:p>
    <w:p w14:paraId="1A1CA0FF" w14:textId="77777777" w:rsidR="00396800" w:rsidRDefault="00396800" w:rsidP="009B5DE5">
      <w:pPr>
        <w:spacing w:after="0"/>
        <w:jc w:val="left"/>
        <w:rPr>
          <w:rFonts w:eastAsia="Times New Roman" w:cs="Times New Roman"/>
          <w:bCs/>
          <w:sz w:val="22"/>
        </w:rPr>
      </w:pPr>
    </w:p>
    <w:p w14:paraId="5759152A" w14:textId="77777777" w:rsidR="00396800" w:rsidRDefault="00396800" w:rsidP="009B5DE5">
      <w:pPr>
        <w:spacing w:after="0"/>
        <w:jc w:val="left"/>
        <w:rPr>
          <w:rFonts w:eastAsia="Times New Roman" w:cs="Times New Roman"/>
          <w:bCs/>
          <w:sz w:val="22"/>
        </w:rPr>
      </w:pPr>
    </w:p>
    <w:p w14:paraId="0F8DC922" w14:textId="77777777" w:rsidR="00396800" w:rsidRDefault="00396800" w:rsidP="009B5DE5">
      <w:pPr>
        <w:spacing w:after="0"/>
        <w:jc w:val="left"/>
        <w:rPr>
          <w:rFonts w:eastAsia="Times New Roman" w:cs="Times New Roman"/>
          <w:bCs/>
          <w:sz w:val="22"/>
        </w:rPr>
      </w:pPr>
    </w:p>
    <w:p w14:paraId="4D69E97A" w14:textId="77777777" w:rsidR="00396800" w:rsidRDefault="00396800" w:rsidP="009B5DE5">
      <w:pPr>
        <w:spacing w:after="0"/>
        <w:jc w:val="left"/>
        <w:rPr>
          <w:rFonts w:eastAsia="Times New Roman" w:cs="Times New Roman"/>
          <w:bCs/>
          <w:sz w:val="22"/>
        </w:rPr>
      </w:pPr>
    </w:p>
    <w:p w14:paraId="732EDC23" w14:textId="77777777" w:rsidR="00396800" w:rsidRDefault="00396800" w:rsidP="009B5DE5">
      <w:pPr>
        <w:spacing w:after="0"/>
        <w:jc w:val="left"/>
        <w:rPr>
          <w:rFonts w:eastAsia="Times New Roman" w:cs="Times New Roman"/>
          <w:bCs/>
          <w:sz w:val="22"/>
        </w:rPr>
      </w:pPr>
    </w:p>
    <w:p w14:paraId="67C01D5A" w14:textId="77777777" w:rsidR="00396800" w:rsidRDefault="00396800" w:rsidP="009B5DE5">
      <w:pPr>
        <w:spacing w:after="0"/>
        <w:jc w:val="left"/>
        <w:rPr>
          <w:rFonts w:eastAsia="Times New Roman" w:cs="Times New Roman"/>
          <w:bCs/>
          <w:sz w:val="22"/>
        </w:rPr>
      </w:pPr>
    </w:p>
    <w:p w14:paraId="5033029A" w14:textId="77777777" w:rsidR="00396800" w:rsidRPr="009B5DE5" w:rsidRDefault="00396800" w:rsidP="009B5DE5">
      <w:pPr>
        <w:spacing w:after="0"/>
        <w:jc w:val="left"/>
        <w:rPr>
          <w:rFonts w:eastAsia="Times New Roman" w:cs="Times New Roman"/>
          <w:bCs/>
          <w:sz w:val="22"/>
        </w:rPr>
      </w:pPr>
    </w:p>
    <w:tbl>
      <w:tblPr>
        <w:tblW w:w="14888" w:type="dxa"/>
        <w:tblLook w:val="04A0" w:firstRow="1" w:lastRow="0" w:firstColumn="1" w:lastColumn="0" w:noHBand="0" w:noVBand="1"/>
      </w:tblPr>
      <w:tblGrid>
        <w:gridCol w:w="6488"/>
        <w:gridCol w:w="1503"/>
        <w:gridCol w:w="1628"/>
        <w:gridCol w:w="1317"/>
        <w:gridCol w:w="1317"/>
        <w:gridCol w:w="1317"/>
        <w:gridCol w:w="1318"/>
      </w:tblGrid>
      <w:tr w:rsidR="009B5DE5" w:rsidRPr="009B5DE5" w14:paraId="221A0AF8" w14:textId="77777777" w:rsidTr="00396800">
        <w:trPr>
          <w:trHeight w:val="250"/>
        </w:trPr>
        <w:tc>
          <w:tcPr>
            <w:tcW w:w="6488" w:type="dxa"/>
            <w:tcBorders>
              <w:top w:val="double" w:sz="6" w:space="0" w:color="000000"/>
              <w:left w:val="double" w:sz="6" w:space="0" w:color="000000"/>
              <w:bottom w:val="nil"/>
              <w:right w:val="nil"/>
            </w:tcBorders>
            <w:shd w:val="clear" w:color="000000" w:fill="FFFFFF"/>
            <w:vAlign w:val="bottom"/>
            <w:hideMark/>
          </w:tcPr>
          <w:p w14:paraId="4FF79FE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lastRenderedPageBreak/>
              <w:t>% БДП</w:t>
            </w:r>
          </w:p>
        </w:tc>
        <w:tc>
          <w:tcPr>
            <w:tcW w:w="1503" w:type="dxa"/>
            <w:tcBorders>
              <w:top w:val="double" w:sz="6" w:space="0" w:color="000000"/>
              <w:left w:val="single" w:sz="4" w:space="0" w:color="000000"/>
              <w:bottom w:val="nil"/>
              <w:right w:val="single" w:sz="4" w:space="0" w:color="000000"/>
            </w:tcBorders>
            <w:shd w:val="clear" w:color="000000" w:fill="FFFFFF"/>
            <w:noWrap/>
            <w:vAlign w:val="bottom"/>
            <w:hideMark/>
          </w:tcPr>
          <w:p w14:paraId="69BEC94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ESA шифра</w:t>
            </w:r>
          </w:p>
        </w:tc>
        <w:tc>
          <w:tcPr>
            <w:tcW w:w="1628" w:type="dxa"/>
            <w:tcBorders>
              <w:top w:val="double" w:sz="6" w:space="0" w:color="000000"/>
              <w:left w:val="nil"/>
              <w:bottom w:val="nil"/>
              <w:right w:val="nil"/>
            </w:tcBorders>
            <w:shd w:val="clear" w:color="000000" w:fill="FFFFFF"/>
            <w:vAlign w:val="bottom"/>
            <w:hideMark/>
          </w:tcPr>
          <w:p w14:paraId="573C402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Година</w:t>
            </w:r>
          </w:p>
        </w:tc>
        <w:tc>
          <w:tcPr>
            <w:tcW w:w="1317" w:type="dxa"/>
            <w:tcBorders>
              <w:top w:val="double" w:sz="6" w:space="0" w:color="000000"/>
              <w:left w:val="dotted" w:sz="4" w:space="0" w:color="000000"/>
              <w:bottom w:val="nil"/>
              <w:right w:val="dotted" w:sz="4" w:space="0" w:color="000000"/>
            </w:tcBorders>
            <w:shd w:val="clear" w:color="000000" w:fill="FFFFFF"/>
            <w:vAlign w:val="bottom"/>
            <w:hideMark/>
          </w:tcPr>
          <w:p w14:paraId="3D76A53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Година</w:t>
            </w:r>
          </w:p>
        </w:tc>
        <w:tc>
          <w:tcPr>
            <w:tcW w:w="1317" w:type="dxa"/>
            <w:tcBorders>
              <w:top w:val="double" w:sz="6" w:space="0" w:color="000000"/>
              <w:left w:val="nil"/>
              <w:bottom w:val="nil"/>
              <w:right w:val="dotted" w:sz="4" w:space="0" w:color="000000"/>
            </w:tcBorders>
            <w:shd w:val="clear" w:color="000000" w:fill="FFFFFF"/>
            <w:vAlign w:val="bottom"/>
            <w:hideMark/>
          </w:tcPr>
          <w:p w14:paraId="0BADD30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Година</w:t>
            </w:r>
          </w:p>
        </w:tc>
        <w:tc>
          <w:tcPr>
            <w:tcW w:w="1317" w:type="dxa"/>
            <w:tcBorders>
              <w:top w:val="double" w:sz="6" w:space="0" w:color="000000"/>
              <w:left w:val="nil"/>
              <w:bottom w:val="nil"/>
              <w:right w:val="dotted" w:sz="4" w:space="0" w:color="000000"/>
            </w:tcBorders>
            <w:shd w:val="clear" w:color="000000" w:fill="FFFFFF"/>
            <w:vAlign w:val="bottom"/>
            <w:hideMark/>
          </w:tcPr>
          <w:p w14:paraId="268674E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Година</w:t>
            </w:r>
          </w:p>
        </w:tc>
        <w:tc>
          <w:tcPr>
            <w:tcW w:w="1318" w:type="dxa"/>
            <w:tcBorders>
              <w:top w:val="double" w:sz="6" w:space="0" w:color="000000"/>
              <w:left w:val="nil"/>
              <w:bottom w:val="nil"/>
              <w:right w:val="double" w:sz="6" w:space="0" w:color="000000"/>
            </w:tcBorders>
            <w:shd w:val="clear" w:color="000000" w:fill="FFFFFF"/>
            <w:vAlign w:val="bottom"/>
            <w:hideMark/>
          </w:tcPr>
          <w:p w14:paraId="0F3FEAA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Година</w:t>
            </w:r>
          </w:p>
        </w:tc>
      </w:tr>
      <w:tr w:rsidR="009B5DE5" w:rsidRPr="009B5DE5" w14:paraId="1BE2F34A" w14:textId="77777777" w:rsidTr="00396800">
        <w:trPr>
          <w:trHeight w:val="236"/>
        </w:trPr>
        <w:tc>
          <w:tcPr>
            <w:tcW w:w="6488" w:type="dxa"/>
            <w:tcBorders>
              <w:top w:val="nil"/>
              <w:left w:val="double" w:sz="6" w:space="0" w:color="000000"/>
              <w:bottom w:val="single" w:sz="4" w:space="0" w:color="000000"/>
              <w:right w:val="nil"/>
            </w:tcBorders>
            <w:shd w:val="clear" w:color="000000" w:fill="FFFFFF"/>
            <w:vAlign w:val="bottom"/>
            <w:hideMark/>
          </w:tcPr>
          <w:p w14:paraId="5C23A110"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503" w:type="dxa"/>
            <w:tcBorders>
              <w:top w:val="nil"/>
              <w:left w:val="single" w:sz="4" w:space="0" w:color="000000"/>
              <w:bottom w:val="single" w:sz="4" w:space="0" w:color="000000"/>
              <w:right w:val="single" w:sz="4" w:space="0" w:color="000000"/>
            </w:tcBorders>
            <w:shd w:val="clear" w:color="000000" w:fill="FFFFFF"/>
            <w:noWrap/>
            <w:vAlign w:val="bottom"/>
            <w:hideMark/>
          </w:tcPr>
          <w:p w14:paraId="5DE6BBE7"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628" w:type="dxa"/>
            <w:tcBorders>
              <w:top w:val="nil"/>
              <w:left w:val="nil"/>
              <w:bottom w:val="single" w:sz="4" w:space="0" w:color="000000"/>
              <w:right w:val="nil"/>
            </w:tcBorders>
            <w:shd w:val="clear" w:color="000000" w:fill="FFFFFF"/>
            <w:vAlign w:val="bottom"/>
            <w:hideMark/>
          </w:tcPr>
          <w:p w14:paraId="77C365A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2023</w:t>
            </w:r>
          </w:p>
        </w:tc>
        <w:tc>
          <w:tcPr>
            <w:tcW w:w="1317" w:type="dxa"/>
            <w:tcBorders>
              <w:top w:val="nil"/>
              <w:left w:val="dotted" w:sz="4" w:space="0" w:color="000000"/>
              <w:bottom w:val="single" w:sz="4" w:space="0" w:color="000000"/>
              <w:right w:val="dotted" w:sz="4" w:space="0" w:color="000000"/>
            </w:tcBorders>
            <w:shd w:val="clear" w:color="000000" w:fill="FFFFFF"/>
            <w:vAlign w:val="bottom"/>
            <w:hideMark/>
          </w:tcPr>
          <w:p w14:paraId="1E1ED41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2024</w:t>
            </w:r>
          </w:p>
        </w:tc>
        <w:tc>
          <w:tcPr>
            <w:tcW w:w="1317" w:type="dxa"/>
            <w:tcBorders>
              <w:top w:val="nil"/>
              <w:left w:val="nil"/>
              <w:bottom w:val="single" w:sz="4" w:space="0" w:color="000000"/>
              <w:right w:val="dotted" w:sz="4" w:space="0" w:color="000000"/>
            </w:tcBorders>
            <w:shd w:val="clear" w:color="000000" w:fill="FFFFFF"/>
            <w:vAlign w:val="bottom"/>
            <w:hideMark/>
          </w:tcPr>
          <w:p w14:paraId="1FBB40E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2025</w:t>
            </w:r>
          </w:p>
        </w:tc>
        <w:tc>
          <w:tcPr>
            <w:tcW w:w="1317" w:type="dxa"/>
            <w:tcBorders>
              <w:top w:val="nil"/>
              <w:left w:val="nil"/>
              <w:bottom w:val="single" w:sz="4" w:space="0" w:color="000000"/>
              <w:right w:val="dotted" w:sz="4" w:space="0" w:color="000000"/>
            </w:tcBorders>
            <w:shd w:val="clear" w:color="000000" w:fill="FFFFFF"/>
            <w:vAlign w:val="bottom"/>
            <w:hideMark/>
          </w:tcPr>
          <w:p w14:paraId="6DB5FA3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2026</w:t>
            </w:r>
          </w:p>
        </w:tc>
        <w:tc>
          <w:tcPr>
            <w:tcW w:w="1318" w:type="dxa"/>
            <w:tcBorders>
              <w:top w:val="nil"/>
              <w:left w:val="nil"/>
              <w:bottom w:val="single" w:sz="4" w:space="0" w:color="000000"/>
              <w:right w:val="double" w:sz="6" w:space="0" w:color="000000"/>
            </w:tcBorders>
            <w:shd w:val="clear" w:color="000000" w:fill="FFFFFF"/>
            <w:vAlign w:val="bottom"/>
            <w:hideMark/>
          </w:tcPr>
          <w:p w14:paraId="794D0C6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2027</w:t>
            </w:r>
          </w:p>
        </w:tc>
      </w:tr>
      <w:tr w:rsidR="009B5DE5" w:rsidRPr="009B5DE5" w14:paraId="591EC693" w14:textId="77777777" w:rsidTr="00396800">
        <w:trPr>
          <w:trHeight w:val="236"/>
        </w:trPr>
        <w:tc>
          <w:tcPr>
            <w:tcW w:w="6488" w:type="dxa"/>
            <w:tcBorders>
              <w:top w:val="nil"/>
              <w:left w:val="double" w:sz="6" w:space="0" w:color="000000"/>
              <w:bottom w:val="dotted" w:sz="4" w:space="0" w:color="000000"/>
              <w:right w:val="nil"/>
            </w:tcBorders>
            <w:shd w:val="clear" w:color="000000" w:fill="FFFFFF"/>
            <w:vAlign w:val="bottom"/>
            <w:hideMark/>
          </w:tcPr>
          <w:p w14:paraId="6C9C2630"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1. Реални раст БДП-а (%, мг.)</w:t>
            </w:r>
          </w:p>
        </w:tc>
        <w:tc>
          <w:tcPr>
            <w:tcW w:w="1503" w:type="dxa"/>
            <w:tcBorders>
              <w:top w:val="nil"/>
              <w:left w:val="single" w:sz="4" w:space="0" w:color="000000"/>
              <w:bottom w:val="dotted" w:sz="4" w:space="0" w:color="000000"/>
              <w:right w:val="single" w:sz="4" w:space="0" w:color="000000"/>
            </w:tcBorders>
            <w:shd w:val="clear" w:color="000000" w:fill="FFFFFF"/>
            <w:vAlign w:val="bottom"/>
            <w:hideMark/>
          </w:tcPr>
          <w:p w14:paraId="3D71E424" w14:textId="77777777" w:rsidR="009B5DE5" w:rsidRPr="009B5DE5" w:rsidRDefault="009B5DE5" w:rsidP="009B5DE5">
            <w:pPr>
              <w:spacing w:after="0"/>
              <w:jc w:val="left"/>
              <w:rPr>
                <w:rFonts w:eastAsia="Times New Roman" w:cs="Times New Roman"/>
                <w:sz w:val="18"/>
                <w:szCs w:val="18"/>
              </w:rPr>
            </w:pPr>
            <w:r w:rsidRPr="009B5DE5">
              <w:rPr>
                <w:rFonts w:eastAsia="Times New Roman" w:cs="Times New Roman"/>
                <w:sz w:val="18"/>
                <w:szCs w:val="18"/>
              </w:rPr>
              <w:t>B1g</w:t>
            </w:r>
          </w:p>
        </w:tc>
        <w:tc>
          <w:tcPr>
            <w:tcW w:w="1628" w:type="dxa"/>
            <w:tcBorders>
              <w:top w:val="nil"/>
              <w:left w:val="nil"/>
              <w:bottom w:val="dotted" w:sz="4" w:space="0" w:color="000000"/>
              <w:right w:val="dotted" w:sz="4" w:space="0" w:color="000000"/>
            </w:tcBorders>
            <w:shd w:val="clear" w:color="000000" w:fill="FFFFFF"/>
            <w:vAlign w:val="bottom"/>
            <w:hideMark/>
          </w:tcPr>
          <w:p w14:paraId="554A17B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3,8</w:t>
            </w:r>
          </w:p>
        </w:tc>
        <w:tc>
          <w:tcPr>
            <w:tcW w:w="1317" w:type="dxa"/>
            <w:tcBorders>
              <w:top w:val="nil"/>
              <w:left w:val="nil"/>
              <w:bottom w:val="dotted" w:sz="4" w:space="0" w:color="000000"/>
              <w:right w:val="dotted" w:sz="4" w:space="0" w:color="000000"/>
            </w:tcBorders>
            <w:shd w:val="clear" w:color="000000" w:fill="FFFFFF"/>
            <w:vAlign w:val="bottom"/>
            <w:hideMark/>
          </w:tcPr>
          <w:p w14:paraId="167C8AC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3,8</w:t>
            </w:r>
          </w:p>
        </w:tc>
        <w:tc>
          <w:tcPr>
            <w:tcW w:w="1317" w:type="dxa"/>
            <w:tcBorders>
              <w:top w:val="nil"/>
              <w:left w:val="nil"/>
              <w:bottom w:val="dotted" w:sz="4" w:space="0" w:color="000000"/>
              <w:right w:val="dotted" w:sz="4" w:space="0" w:color="000000"/>
            </w:tcBorders>
            <w:shd w:val="clear" w:color="000000" w:fill="FFFFFF"/>
            <w:vAlign w:val="bottom"/>
            <w:hideMark/>
          </w:tcPr>
          <w:p w14:paraId="42E45F63"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4,2</w:t>
            </w:r>
          </w:p>
        </w:tc>
        <w:tc>
          <w:tcPr>
            <w:tcW w:w="1317" w:type="dxa"/>
            <w:tcBorders>
              <w:top w:val="nil"/>
              <w:left w:val="nil"/>
              <w:bottom w:val="dotted" w:sz="4" w:space="0" w:color="000000"/>
              <w:right w:val="dotted" w:sz="4" w:space="0" w:color="000000"/>
            </w:tcBorders>
            <w:shd w:val="clear" w:color="000000" w:fill="FFFFFF"/>
            <w:vAlign w:val="bottom"/>
            <w:hideMark/>
          </w:tcPr>
          <w:p w14:paraId="4E2C3F2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4,0</w:t>
            </w:r>
          </w:p>
        </w:tc>
        <w:tc>
          <w:tcPr>
            <w:tcW w:w="1318" w:type="dxa"/>
            <w:tcBorders>
              <w:top w:val="nil"/>
              <w:left w:val="nil"/>
              <w:bottom w:val="dotted" w:sz="4" w:space="0" w:color="000000"/>
              <w:right w:val="double" w:sz="6" w:space="0" w:color="000000"/>
            </w:tcBorders>
            <w:shd w:val="clear" w:color="000000" w:fill="FFFFFF"/>
            <w:vAlign w:val="bottom"/>
            <w:hideMark/>
          </w:tcPr>
          <w:p w14:paraId="1280252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5,0</w:t>
            </w:r>
          </w:p>
        </w:tc>
      </w:tr>
      <w:tr w:rsidR="009B5DE5" w:rsidRPr="009B5DE5" w14:paraId="11660958" w14:textId="77777777" w:rsidTr="00396800">
        <w:trPr>
          <w:trHeight w:val="278"/>
        </w:trPr>
        <w:tc>
          <w:tcPr>
            <w:tcW w:w="6488" w:type="dxa"/>
            <w:tcBorders>
              <w:top w:val="nil"/>
              <w:left w:val="double" w:sz="6" w:space="0" w:color="000000"/>
              <w:bottom w:val="dotted" w:sz="4" w:space="0" w:color="000000"/>
              <w:right w:val="nil"/>
            </w:tcBorders>
            <w:shd w:val="clear" w:color="000000" w:fill="FFFFFF"/>
            <w:vAlign w:val="bottom"/>
            <w:hideMark/>
          </w:tcPr>
          <w:p w14:paraId="0CB4DB15"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2. Нето позајмице сектора државе</w:t>
            </w:r>
          </w:p>
        </w:tc>
        <w:tc>
          <w:tcPr>
            <w:tcW w:w="1503" w:type="dxa"/>
            <w:tcBorders>
              <w:top w:val="nil"/>
              <w:left w:val="single" w:sz="4" w:space="0" w:color="000000"/>
              <w:bottom w:val="dotted" w:sz="4" w:space="0" w:color="000000"/>
              <w:right w:val="single" w:sz="4" w:space="0" w:color="000000"/>
            </w:tcBorders>
            <w:shd w:val="clear" w:color="000000" w:fill="FFFFFF"/>
            <w:vAlign w:val="bottom"/>
            <w:hideMark/>
          </w:tcPr>
          <w:p w14:paraId="11457AC4" w14:textId="77777777" w:rsidR="009B5DE5" w:rsidRPr="009B5DE5" w:rsidRDefault="009B5DE5" w:rsidP="009B5DE5">
            <w:pPr>
              <w:spacing w:after="0"/>
              <w:jc w:val="left"/>
              <w:rPr>
                <w:rFonts w:eastAsia="Times New Roman" w:cs="Times New Roman"/>
                <w:sz w:val="18"/>
                <w:szCs w:val="18"/>
              </w:rPr>
            </w:pPr>
            <w:r w:rsidRPr="009B5DE5">
              <w:rPr>
                <w:rFonts w:eastAsia="Times New Roman" w:cs="Times New Roman"/>
                <w:sz w:val="18"/>
                <w:szCs w:val="18"/>
              </w:rPr>
              <w:t>EDP.B.9</w:t>
            </w:r>
          </w:p>
        </w:tc>
        <w:tc>
          <w:tcPr>
            <w:tcW w:w="1628" w:type="dxa"/>
            <w:tcBorders>
              <w:top w:val="nil"/>
              <w:left w:val="nil"/>
              <w:bottom w:val="dotted" w:sz="4" w:space="0" w:color="000000"/>
              <w:right w:val="dotted" w:sz="4" w:space="0" w:color="000000"/>
            </w:tcBorders>
            <w:shd w:val="clear" w:color="000000" w:fill="FFFFFF"/>
            <w:vAlign w:val="bottom"/>
            <w:hideMark/>
          </w:tcPr>
          <w:p w14:paraId="3183654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-2,1</w:t>
            </w:r>
          </w:p>
        </w:tc>
        <w:tc>
          <w:tcPr>
            <w:tcW w:w="1317" w:type="dxa"/>
            <w:tcBorders>
              <w:top w:val="nil"/>
              <w:left w:val="nil"/>
              <w:bottom w:val="dotted" w:sz="4" w:space="0" w:color="000000"/>
              <w:right w:val="dotted" w:sz="4" w:space="0" w:color="000000"/>
            </w:tcBorders>
            <w:shd w:val="clear" w:color="000000" w:fill="FFFFFF"/>
            <w:vAlign w:val="bottom"/>
            <w:hideMark/>
          </w:tcPr>
          <w:p w14:paraId="18D137D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-2,7</w:t>
            </w:r>
          </w:p>
        </w:tc>
        <w:tc>
          <w:tcPr>
            <w:tcW w:w="1317" w:type="dxa"/>
            <w:tcBorders>
              <w:top w:val="nil"/>
              <w:left w:val="nil"/>
              <w:bottom w:val="dotted" w:sz="4" w:space="0" w:color="000000"/>
              <w:right w:val="dotted" w:sz="4" w:space="0" w:color="000000"/>
            </w:tcBorders>
            <w:shd w:val="clear" w:color="000000" w:fill="FFFFFF"/>
            <w:vAlign w:val="bottom"/>
            <w:hideMark/>
          </w:tcPr>
          <w:p w14:paraId="2D585E9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-3,0</w:t>
            </w:r>
          </w:p>
        </w:tc>
        <w:tc>
          <w:tcPr>
            <w:tcW w:w="1317" w:type="dxa"/>
            <w:tcBorders>
              <w:top w:val="nil"/>
              <w:left w:val="nil"/>
              <w:bottom w:val="dotted" w:sz="4" w:space="0" w:color="000000"/>
              <w:right w:val="dotted" w:sz="4" w:space="0" w:color="000000"/>
            </w:tcBorders>
            <w:shd w:val="clear" w:color="000000" w:fill="FFFFFF"/>
            <w:vAlign w:val="bottom"/>
            <w:hideMark/>
          </w:tcPr>
          <w:p w14:paraId="3232A49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-3,0</w:t>
            </w:r>
          </w:p>
        </w:tc>
        <w:tc>
          <w:tcPr>
            <w:tcW w:w="1318" w:type="dxa"/>
            <w:tcBorders>
              <w:top w:val="nil"/>
              <w:left w:val="nil"/>
              <w:bottom w:val="dotted" w:sz="4" w:space="0" w:color="000000"/>
              <w:right w:val="double" w:sz="6" w:space="0" w:color="000000"/>
            </w:tcBorders>
            <w:shd w:val="clear" w:color="000000" w:fill="FFFFFF"/>
            <w:vAlign w:val="bottom"/>
            <w:hideMark/>
          </w:tcPr>
          <w:p w14:paraId="5BE23DB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-3,0</w:t>
            </w:r>
          </w:p>
        </w:tc>
      </w:tr>
      <w:tr w:rsidR="009B5DE5" w:rsidRPr="009B5DE5" w14:paraId="5D88728C" w14:textId="77777777" w:rsidTr="00396800">
        <w:trPr>
          <w:trHeight w:val="278"/>
        </w:trPr>
        <w:tc>
          <w:tcPr>
            <w:tcW w:w="6488" w:type="dxa"/>
            <w:tcBorders>
              <w:top w:val="nil"/>
              <w:left w:val="double" w:sz="6" w:space="0" w:color="000000"/>
              <w:bottom w:val="dotted" w:sz="4" w:space="0" w:color="000000"/>
              <w:right w:val="nil"/>
            </w:tcBorders>
            <w:shd w:val="clear" w:color="000000" w:fill="FFFFFF"/>
            <w:vAlign w:val="bottom"/>
            <w:hideMark/>
          </w:tcPr>
          <w:p w14:paraId="12813E7A"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3. Расходи за камате</w:t>
            </w:r>
          </w:p>
        </w:tc>
        <w:tc>
          <w:tcPr>
            <w:tcW w:w="1503" w:type="dxa"/>
            <w:tcBorders>
              <w:top w:val="nil"/>
              <w:left w:val="single" w:sz="4" w:space="0" w:color="000000"/>
              <w:bottom w:val="dotted" w:sz="4" w:space="0" w:color="000000"/>
              <w:right w:val="single" w:sz="4" w:space="0" w:color="000000"/>
            </w:tcBorders>
            <w:shd w:val="clear" w:color="000000" w:fill="FFFFFF"/>
            <w:vAlign w:val="bottom"/>
            <w:hideMark/>
          </w:tcPr>
          <w:p w14:paraId="03468911" w14:textId="77777777" w:rsidR="009B5DE5" w:rsidRPr="009B5DE5" w:rsidRDefault="009B5DE5" w:rsidP="009B5DE5">
            <w:pPr>
              <w:spacing w:after="0"/>
              <w:jc w:val="left"/>
              <w:rPr>
                <w:rFonts w:eastAsia="Times New Roman" w:cs="Times New Roman"/>
                <w:sz w:val="16"/>
                <w:szCs w:val="16"/>
              </w:rPr>
            </w:pPr>
            <w:r w:rsidRPr="009B5DE5">
              <w:rPr>
                <w:rFonts w:eastAsia="Times New Roman" w:cs="Times New Roman"/>
                <w:sz w:val="16"/>
                <w:szCs w:val="16"/>
              </w:rPr>
              <w:t>EDP.D.41</w:t>
            </w:r>
          </w:p>
        </w:tc>
        <w:tc>
          <w:tcPr>
            <w:tcW w:w="1628" w:type="dxa"/>
            <w:tcBorders>
              <w:top w:val="nil"/>
              <w:left w:val="nil"/>
              <w:bottom w:val="dotted" w:sz="4" w:space="0" w:color="000000"/>
              <w:right w:val="dotted" w:sz="4" w:space="0" w:color="000000"/>
            </w:tcBorders>
            <w:shd w:val="clear" w:color="000000" w:fill="FFFFFF"/>
            <w:hideMark/>
          </w:tcPr>
          <w:p w14:paraId="4405143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1,7</w:t>
            </w:r>
          </w:p>
        </w:tc>
        <w:tc>
          <w:tcPr>
            <w:tcW w:w="1317" w:type="dxa"/>
            <w:tcBorders>
              <w:top w:val="nil"/>
              <w:left w:val="nil"/>
              <w:bottom w:val="dotted" w:sz="4" w:space="0" w:color="000000"/>
              <w:right w:val="dotted" w:sz="4" w:space="0" w:color="000000"/>
            </w:tcBorders>
            <w:shd w:val="clear" w:color="000000" w:fill="FFFFFF"/>
            <w:hideMark/>
          </w:tcPr>
          <w:p w14:paraId="11E6317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w:t>
            </w:r>
          </w:p>
        </w:tc>
        <w:tc>
          <w:tcPr>
            <w:tcW w:w="1317" w:type="dxa"/>
            <w:tcBorders>
              <w:top w:val="nil"/>
              <w:left w:val="nil"/>
              <w:bottom w:val="dotted" w:sz="4" w:space="0" w:color="000000"/>
              <w:right w:val="dotted" w:sz="4" w:space="0" w:color="000000"/>
            </w:tcBorders>
            <w:shd w:val="clear" w:color="000000" w:fill="FFFFFF"/>
            <w:hideMark/>
          </w:tcPr>
          <w:p w14:paraId="47039F4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2,2</w:t>
            </w:r>
          </w:p>
        </w:tc>
        <w:tc>
          <w:tcPr>
            <w:tcW w:w="1317" w:type="dxa"/>
            <w:tcBorders>
              <w:top w:val="nil"/>
              <w:left w:val="nil"/>
              <w:bottom w:val="dotted" w:sz="4" w:space="0" w:color="000000"/>
              <w:right w:val="dotted" w:sz="4" w:space="0" w:color="000000"/>
            </w:tcBorders>
            <w:shd w:val="clear" w:color="000000" w:fill="FFFFFF"/>
            <w:hideMark/>
          </w:tcPr>
          <w:p w14:paraId="71016D5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2,1</w:t>
            </w:r>
          </w:p>
        </w:tc>
        <w:tc>
          <w:tcPr>
            <w:tcW w:w="1318" w:type="dxa"/>
            <w:tcBorders>
              <w:top w:val="nil"/>
              <w:left w:val="nil"/>
              <w:bottom w:val="dotted" w:sz="4" w:space="0" w:color="000000"/>
              <w:right w:val="double" w:sz="6" w:space="0" w:color="000000"/>
            </w:tcBorders>
            <w:shd w:val="clear" w:color="000000" w:fill="FFFFFF"/>
            <w:hideMark/>
          </w:tcPr>
          <w:p w14:paraId="5ECC453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w:t>
            </w:r>
          </w:p>
        </w:tc>
      </w:tr>
      <w:tr w:rsidR="009B5DE5" w:rsidRPr="009B5DE5" w14:paraId="43BFBD57" w14:textId="77777777" w:rsidTr="00396800">
        <w:trPr>
          <w:trHeight w:val="264"/>
        </w:trPr>
        <w:tc>
          <w:tcPr>
            <w:tcW w:w="6488" w:type="dxa"/>
            <w:tcBorders>
              <w:top w:val="nil"/>
              <w:left w:val="double" w:sz="6" w:space="0" w:color="000000"/>
              <w:bottom w:val="dotted" w:sz="4" w:space="0" w:color="000000"/>
              <w:right w:val="nil"/>
            </w:tcBorders>
            <w:shd w:val="clear" w:color="000000" w:fill="FFFFFF"/>
            <w:noWrap/>
            <w:vAlign w:val="bottom"/>
            <w:hideMark/>
          </w:tcPr>
          <w:p w14:paraId="569F52B4"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4. Једнократне и друге привремене мере [1]</w:t>
            </w:r>
          </w:p>
        </w:tc>
        <w:tc>
          <w:tcPr>
            <w:tcW w:w="1503" w:type="dxa"/>
            <w:tcBorders>
              <w:top w:val="nil"/>
              <w:left w:val="single" w:sz="4" w:space="0" w:color="000000"/>
              <w:bottom w:val="dotted" w:sz="4" w:space="0" w:color="000000"/>
              <w:right w:val="single" w:sz="4" w:space="0" w:color="000000"/>
            </w:tcBorders>
            <w:shd w:val="clear" w:color="000000" w:fill="FFFFFF"/>
            <w:vAlign w:val="bottom"/>
            <w:hideMark/>
          </w:tcPr>
          <w:p w14:paraId="3934A82B" w14:textId="77777777" w:rsidR="009B5DE5" w:rsidRPr="009B5DE5" w:rsidRDefault="009B5DE5" w:rsidP="009B5DE5">
            <w:pPr>
              <w:spacing w:after="0"/>
              <w:jc w:val="left"/>
              <w:rPr>
                <w:rFonts w:eastAsia="Times New Roman" w:cs="Times New Roman"/>
                <w:sz w:val="16"/>
                <w:szCs w:val="16"/>
              </w:rPr>
            </w:pPr>
            <w:r w:rsidRPr="009B5DE5">
              <w:rPr>
                <w:rFonts w:eastAsia="Times New Roman" w:cs="Times New Roman"/>
                <w:sz w:val="16"/>
                <w:szCs w:val="16"/>
              </w:rPr>
              <w:t> </w:t>
            </w:r>
          </w:p>
        </w:tc>
        <w:tc>
          <w:tcPr>
            <w:tcW w:w="1628" w:type="dxa"/>
            <w:tcBorders>
              <w:top w:val="nil"/>
              <w:left w:val="nil"/>
              <w:bottom w:val="dotted" w:sz="4" w:space="0" w:color="000000"/>
              <w:right w:val="dotted" w:sz="4" w:space="0" w:color="000000"/>
            </w:tcBorders>
            <w:shd w:val="clear" w:color="auto" w:fill="auto"/>
            <w:hideMark/>
          </w:tcPr>
          <w:p w14:paraId="34245F3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-0,7</w:t>
            </w:r>
          </w:p>
        </w:tc>
        <w:tc>
          <w:tcPr>
            <w:tcW w:w="1317" w:type="dxa"/>
            <w:tcBorders>
              <w:top w:val="nil"/>
              <w:left w:val="nil"/>
              <w:bottom w:val="dotted" w:sz="4" w:space="0" w:color="000000"/>
              <w:right w:val="dotted" w:sz="4" w:space="0" w:color="000000"/>
            </w:tcBorders>
            <w:shd w:val="clear" w:color="auto" w:fill="auto"/>
            <w:hideMark/>
          </w:tcPr>
          <w:p w14:paraId="7265F33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-0,4</w:t>
            </w:r>
          </w:p>
        </w:tc>
        <w:tc>
          <w:tcPr>
            <w:tcW w:w="1317" w:type="dxa"/>
            <w:tcBorders>
              <w:top w:val="nil"/>
              <w:left w:val="nil"/>
              <w:bottom w:val="dotted" w:sz="4" w:space="0" w:color="000000"/>
              <w:right w:val="dotted" w:sz="4" w:space="0" w:color="000000"/>
            </w:tcBorders>
            <w:shd w:val="clear" w:color="auto" w:fill="auto"/>
            <w:hideMark/>
          </w:tcPr>
          <w:p w14:paraId="4C31235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-0,7</w:t>
            </w:r>
          </w:p>
        </w:tc>
        <w:tc>
          <w:tcPr>
            <w:tcW w:w="1317" w:type="dxa"/>
            <w:tcBorders>
              <w:top w:val="nil"/>
              <w:left w:val="nil"/>
              <w:bottom w:val="dotted" w:sz="4" w:space="0" w:color="000000"/>
              <w:right w:val="dotted" w:sz="4" w:space="0" w:color="000000"/>
            </w:tcBorders>
            <w:shd w:val="clear" w:color="auto" w:fill="auto"/>
            <w:hideMark/>
          </w:tcPr>
          <w:p w14:paraId="14263CE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-1,3</w:t>
            </w:r>
          </w:p>
        </w:tc>
        <w:tc>
          <w:tcPr>
            <w:tcW w:w="1318" w:type="dxa"/>
            <w:tcBorders>
              <w:top w:val="nil"/>
              <w:left w:val="nil"/>
              <w:bottom w:val="dotted" w:sz="4" w:space="0" w:color="000000"/>
              <w:right w:val="double" w:sz="6" w:space="0" w:color="000000"/>
            </w:tcBorders>
            <w:shd w:val="clear" w:color="auto" w:fill="auto"/>
            <w:hideMark/>
          </w:tcPr>
          <w:p w14:paraId="19FAC0B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-1,5</w:t>
            </w:r>
          </w:p>
        </w:tc>
      </w:tr>
      <w:tr w:rsidR="009B5DE5" w:rsidRPr="009B5DE5" w14:paraId="7E339EE8" w14:textId="77777777" w:rsidTr="00396800">
        <w:trPr>
          <w:trHeight w:val="236"/>
        </w:trPr>
        <w:tc>
          <w:tcPr>
            <w:tcW w:w="6488" w:type="dxa"/>
            <w:tcBorders>
              <w:top w:val="nil"/>
              <w:left w:val="double" w:sz="6" w:space="0" w:color="000000"/>
              <w:bottom w:val="dotted" w:sz="4" w:space="0" w:color="000000"/>
              <w:right w:val="nil"/>
            </w:tcBorders>
            <w:shd w:val="clear" w:color="000000" w:fill="FFFFFF"/>
            <w:vAlign w:val="bottom"/>
            <w:hideMark/>
          </w:tcPr>
          <w:p w14:paraId="2DCF876D"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5. Потенцијални раст БДП-а (%, мг.)</w:t>
            </w:r>
          </w:p>
        </w:tc>
        <w:tc>
          <w:tcPr>
            <w:tcW w:w="1503" w:type="dxa"/>
            <w:tcBorders>
              <w:top w:val="nil"/>
              <w:left w:val="single" w:sz="4" w:space="0" w:color="000000"/>
              <w:bottom w:val="single" w:sz="4" w:space="0" w:color="auto"/>
              <w:right w:val="single" w:sz="4" w:space="0" w:color="000000"/>
            </w:tcBorders>
            <w:shd w:val="clear" w:color="000000" w:fill="FFFFFF"/>
            <w:vAlign w:val="bottom"/>
            <w:hideMark/>
          </w:tcPr>
          <w:p w14:paraId="0D8B2BC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628" w:type="dxa"/>
            <w:tcBorders>
              <w:top w:val="nil"/>
              <w:left w:val="nil"/>
              <w:bottom w:val="single" w:sz="4" w:space="0" w:color="auto"/>
              <w:right w:val="dotted" w:sz="4" w:space="0" w:color="000000"/>
            </w:tcBorders>
            <w:shd w:val="clear" w:color="auto" w:fill="auto"/>
            <w:vAlign w:val="bottom"/>
            <w:hideMark/>
          </w:tcPr>
          <w:p w14:paraId="2F1A45B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4,0</w:t>
            </w:r>
          </w:p>
        </w:tc>
        <w:tc>
          <w:tcPr>
            <w:tcW w:w="1317" w:type="dxa"/>
            <w:tcBorders>
              <w:top w:val="nil"/>
              <w:left w:val="nil"/>
              <w:bottom w:val="single" w:sz="4" w:space="0" w:color="auto"/>
              <w:right w:val="dotted" w:sz="4" w:space="0" w:color="000000"/>
            </w:tcBorders>
            <w:shd w:val="clear" w:color="auto" w:fill="auto"/>
            <w:vAlign w:val="bottom"/>
            <w:hideMark/>
          </w:tcPr>
          <w:p w14:paraId="1DF10C3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4,0</w:t>
            </w:r>
          </w:p>
        </w:tc>
        <w:tc>
          <w:tcPr>
            <w:tcW w:w="1317" w:type="dxa"/>
            <w:tcBorders>
              <w:top w:val="nil"/>
              <w:left w:val="nil"/>
              <w:bottom w:val="single" w:sz="4" w:space="0" w:color="auto"/>
              <w:right w:val="dotted" w:sz="4" w:space="0" w:color="000000"/>
            </w:tcBorders>
            <w:shd w:val="clear" w:color="auto" w:fill="auto"/>
            <w:vAlign w:val="bottom"/>
            <w:hideMark/>
          </w:tcPr>
          <w:p w14:paraId="436F780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4,1</w:t>
            </w:r>
          </w:p>
        </w:tc>
        <w:tc>
          <w:tcPr>
            <w:tcW w:w="1317" w:type="dxa"/>
            <w:tcBorders>
              <w:top w:val="nil"/>
              <w:left w:val="nil"/>
              <w:bottom w:val="single" w:sz="4" w:space="0" w:color="auto"/>
              <w:right w:val="dotted" w:sz="4" w:space="0" w:color="000000"/>
            </w:tcBorders>
            <w:shd w:val="clear" w:color="auto" w:fill="auto"/>
            <w:vAlign w:val="bottom"/>
            <w:hideMark/>
          </w:tcPr>
          <w:p w14:paraId="265D2FD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4,1</w:t>
            </w:r>
          </w:p>
        </w:tc>
        <w:tc>
          <w:tcPr>
            <w:tcW w:w="1318" w:type="dxa"/>
            <w:tcBorders>
              <w:top w:val="nil"/>
              <w:left w:val="nil"/>
              <w:bottom w:val="single" w:sz="4" w:space="0" w:color="auto"/>
              <w:right w:val="double" w:sz="6" w:space="0" w:color="000000"/>
            </w:tcBorders>
            <w:shd w:val="clear" w:color="auto" w:fill="auto"/>
            <w:vAlign w:val="bottom"/>
            <w:hideMark/>
          </w:tcPr>
          <w:p w14:paraId="6000150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4,1</w:t>
            </w:r>
          </w:p>
        </w:tc>
      </w:tr>
      <w:tr w:rsidR="009B5DE5" w:rsidRPr="009B5DE5" w14:paraId="17B17594" w14:textId="77777777" w:rsidTr="00396800">
        <w:trPr>
          <w:trHeight w:val="236"/>
        </w:trPr>
        <w:tc>
          <w:tcPr>
            <w:tcW w:w="6488" w:type="dxa"/>
            <w:tcBorders>
              <w:top w:val="nil"/>
              <w:left w:val="double" w:sz="6" w:space="0" w:color="000000"/>
              <w:bottom w:val="dotted" w:sz="4" w:space="0" w:color="000000"/>
              <w:right w:val="nil"/>
            </w:tcBorders>
            <w:shd w:val="clear" w:color="000000" w:fill="FFFFFF"/>
            <w:vAlign w:val="bottom"/>
            <w:hideMark/>
          </w:tcPr>
          <w:p w14:paraId="1D6423AB"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Доприноси:</w:t>
            </w:r>
          </w:p>
        </w:tc>
        <w:tc>
          <w:tcPr>
            <w:tcW w:w="1503" w:type="dxa"/>
            <w:tcBorders>
              <w:top w:val="nil"/>
              <w:left w:val="single" w:sz="4" w:space="0" w:color="000000"/>
              <w:bottom w:val="dotted" w:sz="4" w:space="0" w:color="000000"/>
              <w:right w:val="single" w:sz="4" w:space="0" w:color="000000"/>
            </w:tcBorders>
            <w:shd w:val="clear" w:color="000000" w:fill="FFFFFF"/>
            <w:vAlign w:val="bottom"/>
            <w:hideMark/>
          </w:tcPr>
          <w:p w14:paraId="25B9147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628" w:type="dxa"/>
            <w:tcBorders>
              <w:top w:val="nil"/>
              <w:left w:val="nil"/>
              <w:bottom w:val="dotted" w:sz="4" w:space="0" w:color="000000"/>
              <w:right w:val="dotted" w:sz="4" w:space="0" w:color="000000"/>
            </w:tcBorders>
            <w:shd w:val="clear" w:color="auto" w:fill="auto"/>
            <w:vAlign w:val="bottom"/>
            <w:hideMark/>
          </w:tcPr>
          <w:p w14:paraId="4853D02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317" w:type="dxa"/>
            <w:tcBorders>
              <w:top w:val="nil"/>
              <w:left w:val="nil"/>
              <w:bottom w:val="dotted" w:sz="4" w:space="0" w:color="000000"/>
              <w:right w:val="dotted" w:sz="4" w:space="0" w:color="000000"/>
            </w:tcBorders>
            <w:shd w:val="clear" w:color="auto" w:fill="auto"/>
            <w:vAlign w:val="bottom"/>
            <w:hideMark/>
          </w:tcPr>
          <w:p w14:paraId="52666D9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317" w:type="dxa"/>
            <w:tcBorders>
              <w:top w:val="nil"/>
              <w:left w:val="nil"/>
              <w:bottom w:val="dotted" w:sz="4" w:space="0" w:color="000000"/>
              <w:right w:val="dotted" w:sz="4" w:space="0" w:color="000000"/>
            </w:tcBorders>
            <w:shd w:val="clear" w:color="auto" w:fill="auto"/>
            <w:vAlign w:val="bottom"/>
            <w:hideMark/>
          </w:tcPr>
          <w:p w14:paraId="3E86535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317" w:type="dxa"/>
            <w:tcBorders>
              <w:top w:val="nil"/>
              <w:left w:val="nil"/>
              <w:bottom w:val="dotted" w:sz="4" w:space="0" w:color="000000"/>
              <w:right w:val="dotted" w:sz="4" w:space="0" w:color="000000"/>
            </w:tcBorders>
            <w:shd w:val="clear" w:color="auto" w:fill="auto"/>
            <w:vAlign w:val="bottom"/>
            <w:hideMark/>
          </w:tcPr>
          <w:p w14:paraId="4238915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318" w:type="dxa"/>
            <w:tcBorders>
              <w:top w:val="nil"/>
              <w:left w:val="nil"/>
              <w:bottom w:val="dotted" w:sz="4" w:space="0" w:color="000000"/>
              <w:right w:val="double" w:sz="6" w:space="0" w:color="000000"/>
            </w:tcBorders>
            <w:shd w:val="clear" w:color="auto" w:fill="auto"/>
            <w:vAlign w:val="bottom"/>
            <w:hideMark/>
          </w:tcPr>
          <w:p w14:paraId="0F2BA04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r>
      <w:tr w:rsidR="009B5DE5" w:rsidRPr="009B5DE5" w14:paraId="0D8FECDB" w14:textId="77777777" w:rsidTr="00396800">
        <w:trPr>
          <w:trHeight w:val="278"/>
        </w:trPr>
        <w:tc>
          <w:tcPr>
            <w:tcW w:w="6488" w:type="dxa"/>
            <w:tcBorders>
              <w:top w:val="nil"/>
              <w:left w:val="double" w:sz="6" w:space="0" w:color="000000"/>
              <w:bottom w:val="dotted" w:sz="4" w:space="0" w:color="000000"/>
              <w:right w:val="nil"/>
            </w:tcBorders>
            <w:shd w:val="clear" w:color="000000" w:fill="FFFFFF"/>
            <w:vAlign w:val="bottom"/>
            <w:hideMark/>
          </w:tcPr>
          <w:p w14:paraId="0DF86CCF"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рад</w:t>
            </w:r>
          </w:p>
        </w:tc>
        <w:tc>
          <w:tcPr>
            <w:tcW w:w="1503" w:type="dxa"/>
            <w:tcBorders>
              <w:top w:val="nil"/>
              <w:left w:val="single" w:sz="4" w:space="0" w:color="000000"/>
              <w:bottom w:val="dotted" w:sz="4" w:space="0" w:color="000000"/>
              <w:right w:val="single" w:sz="4" w:space="0" w:color="000000"/>
            </w:tcBorders>
            <w:shd w:val="clear" w:color="000000" w:fill="FFFFFF"/>
            <w:vAlign w:val="bottom"/>
            <w:hideMark/>
          </w:tcPr>
          <w:p w14:paraId="0E7303F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628" w:type="dxa"/>
            <w:tcBorders>
              <w:top w:val="nil"/>
              <w:left w:val="nil"/>
              <w:bottom w:val="dotted" w:sz="4" w:space="0" w:color="000000"/>
              <w:right w:val="dotted" w:sz="4" w:space="0" w:color="000000"/>
            </w:tcBorders>
            <w:shd w:val="clear" w:color="auto" w:fill="auto"/>
            <w:hideMark/>
          </w:tcPr>
          <w:p w14:paraId="6D6BC82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0,8</w:t>
            </w:r>
          </w:p>
        </w:tc>
        <w:tc>
          <w:tcPr>
            <w:tcW w:w="1317" w:type="dxa"/>
            <w:tcBorders>
              <w:top w:val="nil"/>
              <w:left w:val="nil"/>
              <w:bottom w:val="dotted" w:sz="4" w:space="0" w:color="000000"/>
              <w:right w:val="dotted" w:sz="4" w:space="0" w:color="000000"/>
            </w:tcBorders>
            <w:shd w:val="clear" w:color="auto" w:fill="auto"/>
            <w:hideMark/>
          </w:tcPr>
          <w:p w14:paraId="5AE9C36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0,8</w:t>
            </w:r>
          </w:p>
        </w:tc>
        <w:tc>
          <w:tcPr>
            <w:tcW w:w="1317" w:type="dxa"/>
            <w:tcBorders>
              <w:top w:val="nil"/>
              <w:left w:val="nil"/>
              <w:bottom w:val="dotted" w:sz="4" w:space="0" w:color="000000"/>
              <w:right w:val="dotted" w:sz="4" w:space="0" w:color="000000"/>
            </w:tcBorders>
            <w:shd w:val="clear" w:color="auto" w:fill="auto"/>
            <w:hideMark/>
          </w:tcPr>
          <w:p w14:paraId="54FA146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0,6</w:t>
            </w:r>
          </w:p>
        </w:tc>
        <w:tc>
          <w:tcPr>
            <w:tcW w:w="1317" w:type="dxa"/>
            <w:tcBorders>
              <w:top w:val="nil"/>
              <w:left w:val="nil"/>
              <w:bottom w:val="dotted" w:sz="4" w:space="0" w:color="000000"/>
              <w:right w:val="dotted" w:sz="4" w:space="0" w:color="000000"/>
            </w:tcBorders>
            <w:shd w:val="clear" w:color="auto" w:fill="auto"/>
            <w:hideMark/>
          </w:tcPr>
          <w:p w14:paraId="18EE2A1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0,5</w:t>
            </w:r>
          </w:p>
        </w:tc>
        <w:tc>
          <w:tcPr>
            <w:tcW w:w="1318" w:type="dxa"/>
            <w:tcBorders>
              <w:top w:val="nil"/>
              <w:left w:val="nil"/>
              <w:bottom w:val="dotted" w:sz="4" w:space="0" w:color="000000"/>
              <w:right w:val="double" w:sz="6" w:space="0" w:color="000000"/>
            </w:tcBorders>
            <w:shd w:val="clear" w:color="auto" w:fill="auto"/>
            <w:hideMark/>
          </w:tcPr>
          <w:p w14:paraId="03D13FF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0,4</w:t>
            </w:r>
          </w:p>
        </w:tc>
      </w:tr>
      <w:tr w:rsidR="009B5DE5" w:rsidRPr="009B5DE5" w14:paraId="1F2692C4" w14:textId="77777777" w:rsidTr="00396800">
        <w:trPr>
          <w:trHeight w:val="278"/>
        </w:trPr>
        <w:tc>
          <w:tcPr>
            <w:tcW w:w="6488" w:type="dxa"/>
            <w:tcBorders>
              <w:top w:val="nil"/>
              <w:left w:val="double" w:sz="6" w:space="0" w:color="000000"/>
              <w:bottom w:val="dotted" w:sz="4" w:space="0" w:color="000000"/>
              <w:right w:val="nil"/>
            </w:tcBorders>
            <w:shd w:val="clear" w:color="000000" w:fill="FFFFFF"/>
            <w:vAlign w:val="bottom"/>
            <w:hideMark/>
          </w:tcPr>
          <w:p w14:paraId="657E4647"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капитал</w:t>
            </w:r>
          </w:p>
        </w:tc>
        <w:tc>
          <w:tcPr>
            <w:tcW w:w="1503" w:type="dxa"/>
            <w:tcBorders>
              <w:top w:val="nil"/>
              <w:left w:val="single" w:sz="4" w:space="0" w:color="000000"/>
              <w:bottom w:val="dotted" w:sz="4" w:space="0" w:color="000000"/>
              <w:right w:val="single" w:sz="4" w:space="0" w:color="000000"/>
            </w:tcBorders>
            <w:shd w:val="clear" w:color="000000" w:fill="FFFFFF"/>
            <w:vAlign w:val="bottom"/>
            <w:hideMark/>
          </w:tcPr>
          <w:p w14:paraId="385AFEE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628" w:type="dxa"/>
            <w:tcBorders>
              <w:top w:val="nil"/>
              <w:left w:val="nil"/>
              <w:bottom w:val="dotted" w:sz="4" w:space="0" w:color="000000"/>
              <w:right w:val="dotted" w:sz="4" w:space="0" w:color="000000"/>
            </w:tcBorders>
            <w:shd w:val="clear" w:color="auto" w:fill="auto"/>
            <w:hideMark/>
          </w:tcPr>
          <w:p w14:paraId="15F1364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1,7</w:t>
            </w:r>
          </w:p>
        </w:tc>
        <w:tc>
          <w:tcPr>
            <w:tcW w:w="1317" w:type="dxa"/>
            <w:tcBorders>
              <w:top w:val="nil"/>
              <w:left w:val="nil"/>
              <w:bottom w:val="dotted" w:sz="4" w:space="0" w:color="000000"/>
              <w:right w:val="dotted" w:sz="4" w:space="0" w:color="000000"/>
            </w:tcBorders>
            <w:shd w:val="clear" w:color="auto" w:fill="auto"/>
            <w:hideMark/>
          </w:tcPr>
          <w:p w14:paraId="61BC76F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1,8</w:t>
            </w:r>
          </w:p>
        </w:tc>
        <w:tc>
          <w:tcPr>
            <w:tcW w:w="1317" w:type="dxa"/>
            <w:tcBorders>
              <w:top w:val="nil"/>
              <w:left w:val="nil"/>
              <w:bottom w:val="dotted" w:sz="4" w:space="0" w:color="000000"/>
              <w:right w:val="dotted" w:sz="4" w:space="0" w:color="000000"/>
            </w:tcBorders>
            <w:shd w:val="clear" w:color="auto" w:fill="auto"/>
            <w:hideMark/>
          </w:tcPr>
          <w:p w14:paraId="162CE9E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1,9</w:t>
            </w:r>
          </w:p>
        </w:tc>
        <w:tc>
          <w:tcPr>
            <w:tcW w:w="1317" w:type="dxa"/>
            <w:tcBorders>
              <w:top w:val="nil"/>
              <w:left w:val="nil"/>
              <w:bottom w:val="dotted" w:sz="4" w:space="0" w:color="000000"/>
              <w:right w:val="dotted" w:sz="4" w:space="0" w:color="000000"/>
            </w:tcBorders>
            <w:shd w:val="clear" w:color="auto" w:fill="auto"/>
            <w:hideMark/>
          </w:tcPr>
          <w:p w14:paraId="541511C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2,0</w:t>
            </w:r>
          </w:p>
        </w:tc>
        <w:tc>
          <w:tcPr>
            <w:tcW w:w="1318" w:type="dxa"/>
            <w:tcBorders>
              <w:top w:val="nil"/>
              <w:left w:val="nil"/>
              <w:bottom w:val="dotted" w:sz="4" w:space="0" w:color="000000"/>
              <w:right w:val="double" w:sz="6" w:space="0" w:color="000000"/>
            </w:tcBorders>
            <w:shd w:val="clear" w:color="auto" w:fill="auto"/>
            <w:hideMark/>
          </w:tcPr>
          <w:p w14:paraId="47583CF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2,1</w:t>
            </w:r>
          </w:p>
        </w:tc>
      </w:tr>
      <w:tr w:rsidR="009B5DE5" w:rsidRPr="009B5DE5" w14:paraId="00897387" w14:textId="77777777" w:rsidTr="00396800">
        <w:trPr>
          <w:trHeight w:val="236"/>
        </w:trPr>
        <w:tc>
          <w:tcPr>
            <w:tcW w:w="6488" w:type="dxa"/>
            <w:tcBorders>
              <w:top w:val="nil"/>
              <w:left w:val="double" w:sz="6" w:space="0" w:color="000000"/>
              <w:bottom w:val="single" w:sz="4" w:space="0" w:color="auto"/>
              <w:right w:val="nil"/>
            </w:tcBorders>
            <w:shd w:val="clear" w:color="000000" w:fill="FFFFFF"/>
            <w:vAlign w:val="bottom"/>
            <w:hideMark/>
          </w:tcPr>
          <w:p w14:paraId="25D918EF"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укупна факторска продуктивност</w:t>
            </w:r>
          </w:p>
        </w:tc>
        <w:tc>
          <w:tcPr>
            <w:tcW w:w="1503" w:type="dxa"/>
            <w:tcBorders>
              <w:top w:val="nil"/>
              <w:left w:val="single" w:sz="4" w:space="0" w:color="000000"/>
              <w:bottom w:val="single" w:sz="4" w:space="0" w:color="auto"/>
              <w:right w:val="single" w:sz="4" w:space="0" w:color="000000"/>
            </w:tcBorders>
            <w:shd w:val="clear" w:color="000000" w:fill="FFFFFF"/>
            <w:vAlign w:val="bottom"/>
            <w:hideMark/>
          </w:tcPr>
          <w:p w14:paraId="149E575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628" w:type="dxa"/>
            <w:tcBorders>
              <w:top w:val="nil"/>
              <w:left w:val="nil"/>
              <w:bottom w:val="single" w:sz="4" w:space="0" w:color="auto"/>
              <w:right w:val="dotted" w:sz="4" w:space="0" w:color="000000"/>
            </w:tcBorders>
            <w:shd w:val="clear" w:color="auto" w:fill="auto"/>
            <w:hideMark/>
          </w:tcPr>
          <w:p w14:paraId="1989D8F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1,5</w:t>
            </w:r>
          </w:p>
        </w:tc>
        <w:tc>
          <w:tcPr>
            <w:tcW w:w="1317" w:type="dxa"/>
            <w:tcBorders>
              <w:top w:val="nil"/>
              <w:left w:val="nil"/>
              <w:bottom w:val="single" w:sz="4" w:space="0" w:color="auto"/>
              <w:right w:val="dotted" w:sz="4" w:space="0" w:color="000000"/>
            </w:tcBorders>
            <w:shd w:val="clear" w:color="auto" w:fill="auto"/>
            <w:hideMark/>
          </w:tcPr>
          <w:p w14:paraId="585510D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1,4</w:t>
            </w:r>
          </w:p>
        </w:tc>
        <w:tc>
          <w:tcPr>
            <w:tcW w:w="1317" w:type="dxa"/>
            <w:tcBorders>
              <w:top w:val="nil"/>
              <w:left w:val="nil"/>
              <w:bottom w:val="single" w:sz="4" w:space="0" w:color="auto"/>
              <w:right w:val="dotted" w:sz="4" w:space="0" w:color="000000"/>
            </w:tcBorders>
            <w:shd w:val="clear" w:color="auto" w:fill="auto"/>
            <w:hideMark/>
          </w:tcPr>
          <w:p w14:paraId="5274AA4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1,5</w:t>
            </w:r>
          </w:p>
        </w:tc>
        <w:tc>
          <w:tcPr>
            <w:tcW w:w="1317" w:type="dxa"/>
            <w:tcBorders>
              <w:top w:val="nil"/>
              <w:left w:val="nil"/>
              <w:bottom w:val="single" w:sz="4" w:space="0" w:color="auto"/>
              <w:right w:val="dotted" w:sz="4" w:space="0" w:color="000000"/>
            </w:tcBorders>
            <w:shd w:val="clear" w:color="auto" w:fill="auto"/>
            <w:hideMark/>
          </w:tcPr>
          <w:p w14:paraId="60B638C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1,5</w:t>
            </w:r>
          </w:p>
        </w:tc>
        <w:tc>
          <w:tcPr>
            <w:tcW w:w="1318" w:type="dxa"/>
            <w:tcBorders>
              <w:top w:val="nil"/>
              <w:left w:val="nil"/>
              <w:bottom w:val="single" w:sz="4" w:space="0" w:color="auto"/>
              <w:right w:val="double" w:sz="6" w:space="0" w:color="000000"/>
            </w:tcBorders>
            <w:shd w:val="clear" w:color="auto" w:fill="auto"/>
            <w:hideMark/>
          </w:tcPr>
          <w:p w14:paraId="49ACAD8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1,6</w:t>
            </w:r>
          </w:p>
        </w:tc>
      </w:tr>
      <w:tr w:rsidR="009B5DE5" w:rsidRPr="009B5DE5" w14:paraId="762729BD" w14:textId="77777777" w:rsidTr="00396800">
        <w:trPr>
          <w:trHeight w:val="236"/>
        </w:trPr>
        <w:tc>
          <w:tcPr>
            <w:tcW w:w="6488" w:type="dxa"/>
            <w:tcBorders>
              <w:top w:val="nil"/>
              <w:left w:val="double" w:sz="6" w:space="0" w:color="000000"/>
              <w:bottom w:val="dotted" w:sz="4" w:space="0" w:color="000000"/>
              <w:right w:val="nil"/>
            </w:tcBorders>
            <w:shd w:val="clear" w:color="000000" w:fill="FFFFFF"/>
            <w:vAlign w:val="bottom"/>
            <w:hideMark/>
          </w:tcPr>
          <w:p w14:paraId="3421BBF7"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6. Производни јаз</w:t>
            </w:r>
          </w:p>
        </w:tc>
        <w:tc>
          <w:tcPr>
            <w:tcW w:w="1503" w:type="dxa"/>
            <w:tcBorders>
              <w:top w:val="nil"/>
              <w:left w:val="single" w:sz="4" w:space="0" w:color="000000"/>
              <w:bottom w:val="dotted" w:sz="4" w:space="0" w:color="000000"/>
              <w:right w:val="single" w:sz="4" w:space="0" w:color="000000"/>
            </w:tcBorders>
            <w:shd w:val="clear" w:color="000000" w:fill="FFFFFF"/>
            <w:vAlign w:val="bottom"/>
            <w:hideMark/>
          </w:tcPr>
          <w:p w14:paraId="0D34B5D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628" w:type="dxa"/>
            <w:tcBorders>
              <w:top w:val="nil"/>
              <w:left w:val="nil"/>
              <w:bottom w:val="dotted" w:sz="4" w:space="0" w:color="000000"/>
              <w:right w:val="dotted" w:sz="4" w:space="0" w:color="000000"/>
            </w:tcBorders>
            <w:shd w:val="clear" w:color="auto" w:fill="auto"/>
            <w:vAlign w:val="bottom"/>
            <w:hideMark/>
          </w:tcPr>
          <w:p w14:paraId="3A31E16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0,1</w:t>
            </w:r>
          </w:p>
        </w:tc>
        <w:tc>
          <w:tcPr>
            <w:tcW w:w="1317" w:type="dxa"/>
            <w:tcBorders>
              <w:top w:val="nil"/>
              <w:left w:val="nil"/>
              <w:bottom w:val="dotted" w:sz="4" w:space="0" w:color="000000"/>
              <w:right w:val="dotted" w:sz="4" w:space="0" w:color="000000"/>
            </w:tcBorders>
            <w:shd w:val="clear" w:color="auto" w:fill="auto"/>
            <w:vAlign w:val="bottom"/>
            <w:hideMark/>
          </w:tcPr>
          <w:p w14:paraId="26A0DCC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-0,2</w:t>
            </w:r>
          </w:p>
        </w:tc>
        <w:tc>
          <w:tcPr>
            <w:tcW w:w="1317" w:type="dxa"/>
            <w:tcBorders>
              <w:top w:val="nil"/>
              <w:left w:val="nil"/>
              <w:bottom w:val="dotted" w:sz="4" w:space="0" w:color="000000"/>
              <w:right w:val="dotted" w:sz="4" w:space="0" w:color="000000"/>
            </w:tcBorders>
            <w:shd w:val="clear" w:color="auto" w:fill="auto"/>
            <w:vAlign w:val="bottom"/>
            <w:hideMark/>
          </w:tcPr>
          <w:p w14:paraId="0442DB3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0,0</w:t>
            </w:r>
          </w:p>
        </w:tc>
        <w:tc>
          <w:tcPr>
            <w:tcW w:w="1317" w:type="dxa"/>
            <w:tcBorders>
              <w:top w:val="nil"/>
              <w:left w:val="nil"/>
              <w:bottom w:val="dotted" w:sz="4" w:space="0" w:color="000000"/>
              <w:right w:val="dotted" w:sz="4" w:space="0" w:color="000000"/>
            </w:tcBorders>
            <w:shd w:val="clear" w:color="auto" w:fill="auto"/>
            <w:vAlign w:val="bottom"/>
            <w:hideMark/>
          </w:tcPr>
          <w:p w14:paraId="13DFCE4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0,0</w:t>
            </w:r>
          </w:p>
        </w:tc>
        <w:tc>
          <w:tcPr>
            <w:tcW w:w="1318" w:type="dxa"/>
            <w:tcBorders>
              <w:top w:val="nil"/>
              <w:left w:val="nil"/>
              <w:bottom w:val="dotted" w:sz="4" w:space="0" w:color="000000"/>
              <w:right w:val="double" w:sz="6" w:space="0" w:color="000000"/>
            </w:tcBorders>
            <w:shd w:val="clear" w:color="auto" w:fill="auto"/>
            <w:vAlign w:val="bottom"/>
            <w:hideMark/>
          </w:tcPr>
          <w:p w14:paraId="0BF94DB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0,7</w:t>
            </w:r>
          </w:p>
        </w:tc>
      </w:tr>
      <w:tr w:rsidR="009B5DE5" w:rsidRPr="009B5DE5" w14:paraId="594FCD11" w14:textId="77777777" w:rsidTr="00396800">
        <w:trPr>
          <w:trHeight w:val="278"/>
        </w:trPr>
        <w:tc>
          <w:tcPr>
            <w:tcW w:w="6488" w:type="dxa"/>
            <w:tcBorders>
              <w:top w:val="nil"/>
              <w:left w:val="double" w:sz="6" w:space="0" w:color="000000"/>
              <w:bottom w:val="single" w:sz="4" w:space="0" w:color="auto"/>
              <w:right w:val="nil"/>
            </w:tcBorders>
            <w:shd w:val="clear" w:color="000000" w:fill="FFFFFF"/>
            <w:vAlign w:val="bottom"/>
            <w:hideMark/>
          </w:tcPr>
          <w:p w14:paraId="577923B5"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7. Циклична компонента буџета</w:t>
            </w:r>
          </w:p>
        </w:tc>
        <w:tc>
          <w:tcPr>
            <w:tcW w:w="1503" w:type="dxa"/>
            <w:tcBorders>
              <w:top w:val="nil"/>
              <w:left w:val="single" w:sz="4" w:space="0" w:color="000000"/>
              <w:bottom w:val="single" w:sz="4" w:space="0" w:color="auto"/>
              <w:right w:val="single" w:sz="4" w:space="0" w:color="000000"/>
            </w:tcBorders>
            <w:shd w:val="clear" w:color="000000" w:fill="FFFFFF"/>
            <w:vAlign w:val="bottom"/>
            <w:hideMark/>
          </w:tcPr>
          <w:p w14:paraId="5D5BADE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628" w:type="dxa"/>
            <w:tcBorders>
              <w:top w:val="nil"/>
              <w:left w:val="nil"/>
              <w:bottom w:val="single" w:sz="4" w:space="0" w:color="auto"/>
              <w:right w:val="dotted" w:sz="4" w:space="0" w:color="000000"/>
            </w:tcBorders>
            <w:shd w:val="clear" w:color="auto" w:fill="auto"/>
            <w:vAlign w:val="bottom"/>
            <w:hideMark/>
          </w:tcPr>
          <w:p w14:paraId="212B0D8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0,0</w:t>
            </w:r>
          </w:p>
        </w:tc>
        <w:tc>
          <w:tcPr>
            <w:tcW w:w="1317" w:type="dxa"/>
            <w:tcBorders>
              <w:top w:val="nil"/>
              <w:left w:val="nil"/>
              <w:bottom w:val="single" w:sz="4" w:space="0" w:color="auto"/>
              <w:right w:val="dotted" w:sz="4" w:space="0" w:color="000000"/>
            </w:tcBorders>
            <w:shd w:val="clear" w:color="auto" w:fill="auto"/>
            <w:vAlign w:val="bottom"/>
            <w:hideMark/>
          </w:tcPr>
          <w:p w14:paraId="0BB3882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-0,1</w:t>
            </w:r>
          </w:p>
        </w:tc>
        <w:tc>
          <w:tcPr>
            <w:tcW w:w="1317" w:type="dxa"/>
            <w:tcBorders>
              <w:top w:val="nil"/>
              <w:left w:val="nil"/>
              <w:bottom w:val="single" w:sz="4" w:space="0" w:color="auto"/>
              <w:right w:val="dotted" w:sz="4" w:space="0" w:color="000000"/>
            </w:tcBorders>
            <w:shd w:val="clear" w:color="auto" w:fill="auto"/>
            <w:vAlign w:val="bottom"/>
            <w:hideMark/>
          </w:tcPr>
          <w:p w14:paraId="017B274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0,0</w:t>
            </w:r>
          </w:p>
        </w:tc>
        <w:tc>
          <w:tcPr>
            <w:tcW w:w="1317" w:type="dxa"/>
            <w:tcBorders>
              <w:top w:val="nil"/>
              <w:left w:val="nil"/>
              <w:bottom w:val="single" w:sz="4" w:space="0" w:color="auto"/>
              <w:right w:val="dotted" w:sz="4" w:space="0" w:color="000000"/>
            </w:tcBorders>
            <w:shd w:val="clear" w:color="auto" w:fill="auto"/>
            <w:vAlign w:val="bottom"/>
            <w:hideMark/>
          </w:tcPr>
          <w:p w14:paraId="6C9E598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0,0</w:t>
            </w:r>
          </w:p>
        </w:tc>
        <w:tc>
          <w:tcPr>
            <w:tcW w:w="1318" w:type="dxa"/>
            <w:tcBorders>
              <w:top w:val="nil"/>
              <w:left w:val="nil"/>
              <w:bottom w:val="single" w:sz="4" w:space="0" w:color="auto"/>
              <w:right w:val="double" w:sz="6" w:space="0" w:color="000000"/>
            </w:tcBorders>
            <w:shd w:val="clear" w:color="auto" w:fill="auto"/>
            <w:vAlign w:val="bottom"/>
            <w:hideMark/>
          </w:tcPr>
          <w:p w14:paraId="11DCA91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0,2</w:t>
            </w:r>
          </w:p>
        </w:tc>
      </w:tr>
      <w:tr w:rsidR="009B5DE5" w:rsidRPr="009B5DE5" w14:paraId="660B51A9" w14:textId="77777777" w:rsidTr="00396800">
        <w:trPr>
          <w:trHeight w:val="278"/>
        </w:trPr>
        <w:tc>
          <w:tcPr>
            <w:tcW w:w="6488" w:type="dxa"/>
            <w:tcBorders>
              <w:top w:val="nil"/>
              <w:left w:val="double" w:sz="6" w:space="0" w:color="000000"/>
              <w:bottom w:val="dotted" w:sz="4" w:space="0" w:color="000000"/>
              <w:right w:val="nil"/>
            </w:tcBorders>
            <w:shd w:val="clear" w:color="000000" w:fill="FFFFFF"/>
            <w:vAlign w:val="bottom"/>
            <w:hideMark/>
          </w:tcPr>
          <w:p w14:paraId="657AECBA"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8. Циклично прилагођени биланс (2-7)</w:t>
            </w:r>
          </w:p>
        </w:tc>
        <w:tc>
          <w:tcPr>
            <w:tcW w:w="1503" w:type="dxa"/>
            <w:tcBorders>
              <w:top w:val="nil"/>
              <w:left w:val="single" w:sz="4" w:space="0" w:color="000000"/>
              <w:bottom w:val="dotted" w:sz="4" w:space="0" w:color="000000"/>
              <w:right w:val="single" w:sz="4" w:space="0" w:color="000000"/>
            </w:tcBorders>
            <w:shd w:val="clear" w:color="000000" w:fill="FFFFFF"/>
            <w:vAlign w:val="bottom"/>
            <w:hideMark/>
          </w:tcPr>
          <w:p w14:paraId="37D8767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628" w:type="dxa"/>
            <w:tcBorders>
              <w:top w:val="nil"/>
              <w:left w:val="nil"/>
              <w:bottom w:val="dotted" w:sz="4" w:space="0" w:color="000000"/>
              <w:right w:val="dotted" w:sz="4" w:space="0" w:color="000000"/>
            </w:tcBorders>
            <w:shd w:val="clear" w:color="auto" w:fill="auto"/>
            <w:vAlign w:val="bottom"/>
            <w:hideMark/>
          </w:tcPr>
          <w:p w14:paraId="06454D0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-2,1</w:t>
            </w:r>
          </w:p>
        </w:tc>
        <w:tc>
          <w:tcPr>
            <w:tcW w:w="1317" w:type="dxa"/>
            <w:tcBorders>
              <w:top w:val="nil"/>
              <w:left w:val="nil"/>
              <w:bottom w:val="dotted" w:sz="4" w:space="0" w:color="000000"/>
              <w:right w:val="dotted" w:sz="4" w:space="0" w:color="000000"/>
            </w:tcBorders>
            <w:shd w:val="clear" w:color="auto" w:fill="auto"/>
            <w:vAlign w:val="bottom"/>
            <w:hideMark/>
          </w:tcPr>
          <w:p w14:paraId="2BA80BC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-2,6</w:t>
            </w:r>
          </w:p>
        </w:tc>
        <w:tc>
          <w:tcPr>
            <w:tcW w:w="1317" w:type="dxa"/>
            <w:tcBorders>
              <w:top w:val="nil"/>
              <w:left w:val="nil"/>
              <w:bottom w:val="dotted" w:sz="4" w:space="0" w:color="000000"/>
              <w:right w:val="dotted" w:sz="4" w:space="0" w:color="000000"/>
            </w:tcBorders>
            <w:shd w:val="clear" w:color="auto" w:fill="auto"/>
            <w:vAlign w:val="bottom"/>
            <w:hideMark/>
          </w:tcPr>
          <w:p w14:paraId="68D8F17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-3,0</w:t>
            </w:r>
          </w:p>
        </w:tc>
        <w:tc>
          <w:tcPr>
            <w:tcW w:w="1317" w:type="dxa"/>
            <w:tcBorders>
              <w:top w:val="nil"/>
              <w:left w:val="nil"/>
              <w:bottom w:val="dotted" w:sz="4" w:space="0" w:color="000000"/>
              <w:right w:val="dotted" w:sz="4" w:space="0" w:color="000000"/>
            </w:tcBorders>
            <w:shd w:val="clear" w:color="auto" w:fill="auto"/>
            <w:vAlign w:val="bottom"/>
            <w:hideMark/>
          </w:tcPr>
          <w:p w14:paraId="65B52F9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-3,0</w:t>
            </w:r>
          </w:p>
        </w:tc>
        <w:tc>
          <w:tcPr>
            <w:tcW w:w="1318" w:type="dxa"/>
            <w:tcBorders>
              <w:top w:val="nil"/>
              <w:left w:val="nil"/>
              <w:bottom w:val="dotted" w:sz="4" w:space="0" w:color="000000"/>
              <w:right w:val="double" w:sz="6" w:space="0" w:color="000000"/>
            </w:tcBorders>
            <w:shd w:val="clear" w:color="auto" w:fill="auto"/>
            <w:vAlign w:val="bottom"/>
            <w:hideMark/>
          </w:tcPr>
          <w:p w14:paraId="72EF6BE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-3,2</w:t>
            </w:r>
          </w:p>
        </w:tc>
      </w:tr>
      <w:tr w:rsidR="009B5DE5" w:rsidRPr="009B5DE5" w14:paraId="2634A71B" w14:textId="77777777" w:rsidTr="00396800">
        <w:trPr>
          <w:trHeight w:val="278"/>
        </w:trPr>
        <w:tc>
          <w:tcPr>
            <w:tcW w:w="6488" w:type="dxa"/>
            <w:tcBorders>
              <w:top w:val="nil"/>
              <w:left w:val="double" w:sz="6" w:space="0" w:color="000000"/>
              <w:bottom w:val="dotted" w:sz="4" w:space="0" w:color="000000"/>
              <w:right w:val="nil"/>
            </w:tcBorders>
            <w:shd w:val="clear" w:color="000000" w:fill="FFFFFF"/>
            <w:noWrap/>
            <w:vAlign w:val="bottom"/>
            <w:hideMark/>
          </w:tcPr>
          <w:p w14:paraId="5B48AB04"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9. Циклично прилагођени примарни биланс (8+3)</w:t>
            </w:r>
          </w:p>
        </w:tc>
        <w:tc>
          <w:tcPr>
            <w:tcW w:w="1503" w:type="dxa"/>
            <w:tcBorders>
              <w:top w:val="nil"/>
              <w:left w:val="single" w:sz="4" w:space="0" w:color="000000"/>
              <w:bottom w:val="dotted" w:sz="4" w:space="0" w:color="000000"/>
              <w:right w:val="single" w:sz="4" w:space="0" w:color="000000"/>
            </w:tcBorders>
            <w:shd w:val="clear" w:color="000000" w:fill="FFFFFF"/>
            <w:vAlign w:val="bottom"/>
            <w:hideMark/>
          </w:tcPr>
          <w:p w14:paraId="0DD5A48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628" w:type="dxa"/>
            <w:tcBorders>
              <w:top w:val="nil"/>
              <w:left w:val="nil"/>
              <w:bottom w:val="dotted" w:sz="4" w:space="0" w:color="000000"/>
              <w:right w:val="dotted" w:sz="4" w:space="0" w:color="000000"/>
            </w:tcBorders>
            <w:shd w:val="clear" w:color="auto" w:fill="auto"/>
            <w:vAlign w:val="bottom"/>
            <w:hideMark/>
          </w:tcPr>
          <w:p w14:paraId="5814997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-0,4</w:t>
            </w:r>
          </w:p>
        </w:tc>
        <w:tc>
          <w:tcPr>
            <w:tcW w:w="1317" w:type="dxa"/>
            <w:tcBorders>
              <w:top w:val="nil"/>
              <w:left w:val="nil"/>
              <w:bottom w:val="dotted" w:sz="4" w:space="0" w:color="000000"/>
              <w:right w:val="dotted" w:sz="4" w:space="0" w:color="000000"/>
            </w:tcBorders>
            <w:shd w:val="clear" w:color="auto" w:fill="auto"/>
            <w:vAlign w:val="bottom"/>
            <w:hideMark/>
          </w:tcPr>
          <w:p w14:paraId="29514C3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-0,7</w:t>
            </w:r>
          </w:p>
        </w:tc>
        <w:tc>
          <w:tcPr>
            <w:tcW w:w="1317" w:type="dxa"/>
            <w:tcBorders>
              <w:top w:val="nil"/>
              <w:left w:val="nil"/>
              <w:bottom w:val="dotted" w:sz="4" w:space="0" w:color="000000"/>
              <w:right w:val="dotted" w:sz="4" w:space="0" w:color="000000"/>
            </w:tcBorders>
            <w:shd w:val="clear" w:color="auto" w:fill="auto"/>
            <w:vAlign w:val="bottom"/>
            <w:hideMark/>
          </w:tcPr>
          <w:p w14:paraId="2EE4D05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-0,9</w:t>
            </w:r>
          </w:p>
        </w:tc>
        <w:tc>
          <w:tcPr>
            <w:tcW w:w="1317" w:type="dxa"/>
            <w:tcBorders>
              <w:top w:val="nil"/>
              <w:left w:val="nil"/>
              <w:bottom w:val="dotted" w:sz="4" w:space="0" w:color="000000"/>
              <w:right w:val="dotted" w:sz="4" w:space="0" w:color="000000"/>
            </w:tcBorders>
            <w:shd w:val="clear" w:color="auto" w:fill="auto"/>
            <w:vAlign w:val="bottom"/>
            <w:hideMark/>
          </w:tcPr>
          <w:p w14:paraId="1B19599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-0,9</w:t>
            </w:r>
          </w:p>
        </w:tc>
        <w:tc>
          <w:tcPr>
            <w:tcW w:w="1318" w:type="dxa"/>
            <w:tcBorders>
              <w:top w:val="nil"/>
              <w:left w:val="nil"/>
              <w:bottom w:val="dotted" w:sz="4" w:space="0" w:color="000000"/>
              <w:right w:val="double" w:sz="6" w:space="0" w:color="000000"/>
            </w:tcBorders>
            <w:shd w:val="clear" w:color="auto" w:fill="auto"/>
            <w:vAlign w:val="bottom"/>
            <w:hideMark/>
          </w:tcPr>
          <w:p w14:paraId="368EFAB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-1,2</w:t>
            </w:r>
          </w:p>
        </w:tc>
      </w:tr>
      <w:tr w:rsidR="009B5DE5" w:rsidRPr="009B5DE5" w14:paraId="466C515E" w14:textId="77777777" w:rsidTr="00396800">
        <w:trPr>
          <w:trHeight w:val="250"/>
        </w:trPr>
        <w:tc>
          <w:tcPr>
            <w:tcW w:w="6488" w:type="dxa"/>
            <w:tcBorders>
              <w:top w:val="nil"/>
              <w:left w:val="double" w:sz="6" w:space="0" w:color="000000"/>
              <w:bottom w:val="double" w:sz="6" w:space="0" w:color="000000"/>
              <w:right w:val="nil"/>
            </w:tcBorders>
            <w:shd w:val="clear" w:color="000000" w:fill="FFFFFF"/>
            <w:vAlign w:val="bottom"/>
            <w:hideMark/>
          </w:tcPr>
          <w:p w14:paraId="4CFB76DF"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xml:space="preserve">   10. Структурни биланс (8-4)</w:t>
            </w:r>
          </w:p>
        </w:tc>
        <w:tc>
          <w:tcPr>
            <w:tcW w:w="1503" w:type="dxa"/>
            <w:tcBorders>
              <w:top w:val="nil"/>
              <w:left w:val="single" w:sz="4" w:space="0" w:color="000000"/>
              <w:bottom w:val="double" w:sz="6" w:space="0" w:color="000000"/>
              <w:right w:val="single" w:sz="4" w:space="0" w:color="000000"/>
            </w:tcBorders>
            <w:shd w:val="clear" w:color="000000" w:fill="FFFFFF"/>
            <w:vAlign w:val="bottom"/>
            <w:hideMark/>
          </w:tcPr>
          <w:p w14:paraId="660C2E7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628" w:type="dxa"/>
            <w:tcBorders>
              <w:top w:val="nil"/>
              <w:left w:val="nil"/>
              <w:bottom w:val="double" w:sz="6" w:space="0" w:color="000000"/>
              <w:right w:val="dotted" w:sz="4" w:space="0" w:color="000000"/>
            </w:tcBorders>
            <w:shd w:val="clear" w:color="auto" w:fill="auto"/>
            <w:vAlign w:val="bottom"/>
            <w:hideMark/>
          </w:tcPr>
          <w:p w14:paraId="7C5F62D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-1,4</w:t>
            </w:r>
          </w:p>
        </w:tc>
        <w:tc>
          <w:tcPr>
            <w:tcW w:w="1317" w:type="dxa"/>
            <w:tcBorders>
              <w:top w:val="nil"/>
              <w:left w:val="nil"/>
              <w:bottom w:val="double" w:sz="6" w:space="0" w:color="000000"/>
              <w:right w:val="dotted" w:sz="4" w:space="0" w:color="000000"/>
            </w:tcBorders>
            <w:shd w:val="clear" w:color="auto" w:fill="auto"/>
            <w:vAlign w:val="bottom"/>
            <w:hideMark/>
          </w:tcPr>
          <w:p w14:paraId="725EF91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-2,2</w:t>
            </w:r>
          </w:p>
        </w:tc>
        <w:tc>
          <w:tcPr>
            <w:tcW w:w="1317" w:type="dxa"/>
            <w:tcBorders>
              <w:top w:val="nil"/>
              <w:left w:val="nil"/>
              <w:bottom w:val="double" w:sz="6" w:space="0" w:color="000000"/>
              <w:right w:val="dotted" w:sz="4" w:space="0" w:color="000000"/>
            </w:tcBorders>
            <w:shd w:val="clear" w:color="auto" w:fill="auto"/>
            <w:vAlign w:val="bottom"/>
            <w:hideMark/>
          </w:tcPr>
          <w:p w14:paraId="4086C94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-2,3</w:t>
            </w:r>
          </w:p>
        </w:tc>
        <w:tc>
          <w:tcPr>
            <w:tcW w:w="1317" w:type="dxa"/>
            <w:tcBorders>
              <w:top w:val="nil"/>
              <w:left w:val="nil"/>
              <w:bottom w:val="double" w:sz="6" w:space="0" w:color="000000"/>
              <w:right w:val="dotted" w:sz="4" w:space="0" w:color="000000"/>
            </w:tcBorders>
            <w:shd w:val="clear" w:color="auto" w:fill="auto"/>
            <w:vAlign w:val="bottom"/>
            <w:hideMark/>
          </w:tcPr>
          <w:p w14:paraId="0DE4DEF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-1,7</w:t>
            </w:r>
          </w:p>
        </w:tc>
        <w:tc>
          <w:tcPr>
            <w:tcW w:w="1318" w:type="dxa"/>
            <w:tcBorders>
              <w:top w:val="nil"/>
              <w:left w:val="nil"/>
              <w:bottom w:val="double" w:sz="6" w:space="0" w:color="000000"/>
              <w:right w:val="double" w:sz="6" w:space="0" w:color="000000"/>
            </w:tcBorders>
            <w:shd w:val="clear" w:color="auto" w:fill="auto"/>
            <w:vAlign w:val="bottom"/>
            <w:hideMark/>
          </w:tcPr>
          <w:p w14:paraId="2049B33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-1,7</w:t>
            </w:r>
          </w:p>
        </w:tc>
      </w:tr>
    </w:tbl>
    <w:p w14:paraId="447A5293" w14:textId="77777777" w:rsidR="009B5DE5" w:rsidRPr="00396800" w:rsidRDefault="009B5DE5" w:rsidP="00396800">
      <w:pPr>
        <w:spacing w:after="240"/>
        <w:jc w:val="left"/>
        <w:rPr>
          <w:rFonts w:eastAsia="Times New Roman" w:cs="Times New Roman"/>
          <w:bCs/>
          <w:sz w:val="22"/>
        </w:rPr>
      </w:pPr>
      <w:r w:rsidRPr="009B5DE5">
        <w:rPr>
          <w:rFonts w:eastAsia="Times New Roman" w:cs="Times New Roman"/>
          <w:sz w:val="20"/>
          <w:szCs w:val="20"/>
        </w:rPr>
        <w:t>[1] Позитиван знак значи једнократне мере за смањење дефицита</w:t>
      </w:r>
    </w:p>
    <w:p w14:paraId="23BE998F" w14:textId="77777777" w:rsidR="00396800" w:rsidRDefault="00396800" w:rsidP="009B5DE5">
      <w:pPr>
        <w:spacing w:after="0"/>
        <w:jc w:val="left"/>
        <w:rPr>
          <w:rFonts w:eastAsia="Times New Roman" w:cs="Times New Roman"/>
          <w:bCs/>
          <w:sz w:val="22"/>
        </w:rPr>
      </w:pPr>
    </w:p>
    <w:p w14:paraId="6215D9B7" w14:textId="77777777" w:rsidR="00396800" w:rsidRDefault="00396800" w:rsidP="009B5DE5">
      <w:pPr>
        <w:spacing w:after="0"/>
        <w:jc w:val="left"/>
        <w:rPr>
          <w:rFonts w:eastAsia="Times New Roman" w:cs="Times New Roman"/>
          <w:bCs/>
          <w:sz w:val="22"/>
        </w:rPr>
      </w:pPr>
    </w:p>
    <w:p w14:paraId="7B4E285B" w14:textId="77777777" w:rsidR="00396800" w:rsidRDefault="00396800" w:rsidP="009B5DE5">
      <w:pPr>
        <w:spacing w:after="0"/>
        <w:jc w:val="left"/>
        <w:rPr>
          <w:rFonts w:eastAsia="Times New Roman" w:cs="Times New Roman"/>
          <w:bCs/>
          <w:sz w:val="22"/>
        </w:rPr>
      </w:pPr>
    </w:p>
    <w:p w14:paraId="006F13F6" w14:textId="77777777" w:rsidR="00396800" w:rsidRDefault="00396800" w:rsidP="009B5DE5">
      <w:pPr>
        <w:spacing w:after="0"/>
        <w:jc w:val="left"/>
        <w:rPr>
          <w:rFonts w:eastAsia="Times New Roman" w:cs="Times New Roman"/>
          <w:bCs/>
          <w:sz w:val="22"/>
        </w:rPr>
      </w:pPr>
    </w:p>
    <w:p w14:paraId="405D833B" w14:textId="77777777" w:rsidR="00396800" w:rsidRDefault="00396800" w:rsidP="009B5DE5">
      <w:pPr>
        <w:spacing w:after="0"/>
        <w:jc w:val="left"/>
        <w:rPr>
          <w:rFonts w:eastAsia="Times New Roman" w:cs="Times New Roman"/>
          <w:bCs/>
          <w:sz w:val="22"/>
        </w:rPr>
      </w:pPr>
    </w:p>
    <w:p w14:paraId="5E80577C" w14:textId="77777777" w:rsidR="00396800" w:rsidRDefault="00396800" w:rsidP="009B5DE5">
      <w:pPr>
        <w:spacing w:after="0"/>
        <w:jc w:val="left"/>
        <w:rPr>
          <w:rFonts w:eastAsia="Times New Roman" w:cs="Times New Roman"/>
          <w:bCs/>
          <w:sz w:val="22"/>
        </w:rPr>
      </w:pPr>
    </w:p>
    <w:p w14:paraId="7CA9084F" w14:textId="77777777" w:rsidR="00396800" w:rsidRDefault="00396800" w:rsidP="009B5DE5">
      <w:pPr>
        <w:spacing w:after="0"/>
        <w:jc w:val="left"/>
        <w:rPr>
          <w:rFonts w:eastAsia="Times New Roman" w:cs="Times New Roman"/>
          <w:bCs/>
          <w:sz w:val="22"/>
        </w:rPr>
      </w:pPr>
    </w:p>
    <w:p w14:paraId="7BB0BDD9" w14:textId="77777777" w:rsidR="00396800" w:rsidRDefault="00396800" w:rsidP="009B5DE5">
      <w:pPr>
        <w:spacing w:after="0"/>
        <w:jc w:val="left"/>
        <w:rPr>
          <w:rFonts w:eastAsia="Times New Roman" w:cs="Times New Roman"/>
          <w:bCs/>
          <w:sz w:val="22"/>
        </w:rPr>
      </w:pPr>
    </w:p>
    <w:p w14:paraId="4670377A" w14:textId="77777777" w:rsidR="00396800" w:rsidRDefault="00396800" w:rsidP="009B5DE5">
      <w:pPr>
        <w:spacing w:after="0"/>
        <w:jc w:val="left"/>
        <w:rPr>
          <w:rFonts w:eastAsia="Times New Roman" w:cs="Times New Roman"/>
          <w:bCs/>
          <w:sz w:val="22"/>
        </w:rPr>
      </w:pPr>
    </w:p>
    <w:p w14:paraId="5A0D10B8" w14:textId="77777777" w:rsidR="00396800" w:rsidRDefault="00396800" w:rsidP="009B5DE5">
      <w:pPr>
        <w:spacing w:after="0"/>
        <w:jc w:val="left"/>
        <w:rPr>
          <w:rFonts w:eastAsia="Times New Roman" w:cs="Times New Roman"/>
          <w:bCs/>
          <w:sz w:val="22"/>
        </w:rPr>
      </w:pPr>
    </w:p>
    <w:p w14:paraId="42475509" w14:textId="77777777" w:rsidR="00396800" w:rsidRDefault="00396800" w:rsidP="009B5DE5">
      <w:pPr>
        <w:spacing w:after="0"/>
        <w:jc w:val="left"/>
        <w:rPr>
          <w:rFonts w:eastAsia="Times New Roman" w:cs="Times New Roman"/>
          <w:bCs/>
          <w:sz w:val="22"/>
        </w:rPr>
      </w:pPr>
    </w:p>
    <w:p w14:paraId="45960D37" w14:textId="77777777" w:rsidR="00396800" w:rsidRDefault="00396800" w:rsidP="009B5DE5">
      <w:pPr>
        <w:spacing w:after="0"/>
        <w:jc w:val="left"/>
        <w:rPr>
          <w:rFonts w:eastAsia="Times New Roman" w:cs="Times New Roman"/>
          <w:bCs/>
          <w:sz w:val="22"/>
        </w:rPr>
      </w:pPr>
    </w:p>
    <w:p w14:paraId="2885D3BE" w14:textId="77777777" w:rsidR="00396800" w:rsidRDefault="00396800" w:rsidP="009B5DE5">
      <w:pPr>
        <w:spacing w:after="0"/>
        <w:jc w:val="left"/>
        <w:rPr>
          <w:rFonts w:eastAsia="Times New Roman" w:cs="Times New Roman"/>
          <w:bCs/>
          <w:sz w:val="22"/>
        </w:rPr>
      </w:pPr>
    </w:p>
    <w:p w14:paraId="3118F4EB" w14:textId="77777777" w:rsidR="00396800" w:rsidRDefault="00396800" w:rsidP="009B5DE5">
      <w:pPr>
        <w:spacing w:after="0"/>
        <w:jc w:val="left"/>
        <w:rPr>
          <w:rFonts w:eastAsia="Times New Roman" w:cs="Times New Roman"/>
          <w:bCs/>
          <w:sz w:val="22"/>
        </w:rPr>
      </w:pPr>
    </w:p>
    <w:p w14:paraId="2578AD7F" w14:textId="77777777" w:rsidR="00396800" w:rsidRDefault="00396800" w:rsidP="009B5DE5">
      <w:pPr>
        <w:spacing w:after="0"/>
        <w:jc w:val="left"/>
        <w:rPr>
          <w:rFonts w:eastAsia="Times New Roman" w:cs="Times New Roman"/>
          <w:bCs/>
          <w:sz w:val="22"/>
        </w:rPr>
      </w:pPr>
    </w:p>
    <w:p w14:paraId="21A4979D" w14:textId="77777777" w:rsidR="00396800" w:rsidRDefault="00396800" w:rsidP="009B5DE5">
      <w:pPr>
        <w:spacing w:after="0"/>
        <w:jc w:val="left"/>
        <w:rPr>
          <w:rFonts w:eastAsia="Times New Roman" w:cs="Times New Roman"/>
          <w:bCs/>
          <w:sz w:val="22"/>
        </w:rPr>
      </w:pPr>
    </w:p>
    <w:p w14:paraId="42591789" w14:textId="77777777" w:rsidR="00396800" w:rsidRDefault="00396800" w:rsidP="009B5DE5">
      <w:pPr>
        <w:spacing w:after="0"/>
        <w:jc w:val="left"/>
        <w:rPr>
          <w:rFonts w:eastAsia="Times New Roman" w:cs="Times New Roman"/>
          <w:bCs/>
          <w:sz w:val="22"/>
        </w:rPr>
      </w:pPr>
    </w:p>
    <w:p w14:paraId="6EE8B0C4" w14:textId="77777777" w:rsidR="00396800" w:rsidRDefault="00396800" w:rsidP="009B5DE5">
      <w:pPr>
        <w:spacing w:after="0"/>
        <w:jc w:val="left"/>
        <w:rPr>
          <w:rFonts w:eastAsia="Times New Roman" w:cs="Times New Roman"/>
          <w:bCs/>
          <w:sz w:val="22"/>
        </w:rPr>
      </w:pPr>
    </w:p>
    <w:p w14:paraId="6FD252C6" w14:textId="77777777" w:rsidR="00396800" w:rsidRDefault="00396800" w:rsidP="009B5DE5">
      <w:pPr>
        <w:spacing w:after="0"/>
        <w:jc w:val="left"/>
        <w:rPr>
          <w:rFonts w:eastAsia="Times New Roman" w:cs="Times New Roman"/>
          <w:bCs/>
          <w:sz w:val="22"/>
        </w:rPr>
      </w:pPr>
    </w:p>
    <w:p w14:paraId="72BE74A1" w14:textId="77777777" w:rsidR="00396800" w:rsidRDefault="00396800" w:rsidP="009B5DE5">
      <w:pPr>
        <w:spacing w:after="0"/>
        <w:jc w:val="left"/>
        <w:rPr>
          <w:rFonts w:eastAsia="Times New Roman" w:cs="Times New Roman"/>
          <w:bCs/>
          <w:sz w:val="22"/>
        </w:rPr>
      </w:pPr>
    </w:p>
    <w:p w14:paraId="0F8D4AB0" w14:textId="77777777" w:rsidR="00396800" w:rsidRDefault="00396800" w:rsidP="009B5DE5">
      <w:pPr>
        <w:spacing w:after="0"/>
        <w:jc w:val="left"/>
        <w:rPr>
          <w:rFonts w:eastAsia="Times New Roman" w:cs="Times New Roman"/>
          <w:bCs/>
          <w:sz w:val="22"/>
        </w:rPr>
      </w:pPr>
    </w:p>
    <w:p w14:paraId="3A7701B4" w14:textId="77777777" w:rsidR="009B5DE5" w:rsidRPr="009B5DE5" w:rsidRDefault="009B5DE5" w:rsidP="009B5DE5">
      <w:pPr>
        <w:spacing w:after="0"/>
        <w:jc w:val="left"/>
        <w:rPr>
          <w:rFonts w:eastAsia="Times New Roman" w:cs="Times New Roman"/>
          <w:bCs/>
          <w:sz w:val="22"/>
        </w:rPr>
      </w:pPr>
      <w:r w:rsidRPr="009B5DE5">
        <w:rPr>
          <w:rFonts w:eastAsia="Times New Roman" w:cs="Times New Roman"/>
          <w:bCs/>
          <w:sz w:val="22"/>
        </w:rPr>
        <w:lastRenderedPageBreak/>
        <w:t>Табела 6: Одступање од претходног Програма</w:t>
      </w:r>
    </w:p>
    <w:p w14:paraId="02891FF9" w14:textId="77777777" w:rsidR="009B5DE5" w:rsidRPr="009B5DE5" w:rsidRDefault="009B5DE5" w:rsidP="009B5DE5">
      <w:pPr>
        <w:spacing w:after="0"/>
        <w:jc w:val="left"/>
        <w:rPr>
          <w:rFonts w:eastAsia="Times New Roman" w:cs="Times New Roman"/>
          <w:bCs/>
          <w:sz w:val="22"/>
        </w:rPr>
      </w:pPr>
    </w:p>
    <w:tbl>
      <w:tblPr>
        <w:tblW w:w="14942" w:type="dxa"/>
        <w:tblLook w:val="04A0" w:firstRow="1" w:lastRow="0" w:firstColumn="1" w:lastColumn="0" w:noHBand="0" w:noVBand="1"/>
      </w:tblPr>
      <w:tblGrid>
        <w:gridCol w:w="7006"/>
        <w:gridCol w:w="1625"/>
        <w:gridCol w:w="1436"/>
        <w:gridCol w:w="975"/>
        <w:gridCol w:w="975"/>
        <w:gridCol w:w="975"/>
        <w:gridCol w:w="975"/>
        <w:gridCol w:w="975"/>
      </w:tblGrid>
      <w:tr w:rsidR="009B5DE5" w:rsidRPr="009B5DE5" w14:paraId="761905BC" w14:textId="77777777" w:rsidTr="00396800">
        <w:trPr>
          <w:trHeight w:val="321"/>
        </w:trPr>
        <w:tc>
          <w:tcPr>
            <w:tcW w:w="7006" w:type="dxa"/>
            <w:tcBorders>
              <w:top w:val="double" w:sz="6" w:space="0" w:color="auto"/>
              <w:left w:val="double" w:sz="6" w:space="0" w:color="auto"/>
              <w:bottom w:val="double" w:sz="6" w:space="0" w:color="auto"/>
              <w:right w:val="nil"/>
            </w:tcBorders>
            <w:shd w:val="clear" w:color="auto" w:fill="auto"/>
            <w:noWrap/>
            <w:vAlign w:val="center"/>
            <w:hideMark/>
          </w:tcPr>
          <w:p w14:paraId="619C552B" w14:textId="77777777" w:rsidR="009B5DE5" w:rsidRPr="009B5DE5" w:rsidRDefault="009B5DE5" w:rsidP="009B5DE5">
            <w:pPr>
              <w:spacing w:after="0"/>
              <w:jc w:val="left"/>
              <w:rPr>
                <w:rFonts w:eastAsia="Times New Roman" w:cs="Times New Roman"/>
                <w:b/>
                <w:bCs/>
                <w:sz w:val="20"/>
                <w:szCs w:val="20"/>
              </w:rPr>
            </w:pPr>
            <w:r w:rsidRPr="009B5DE5">
              <w:rPr>
                <w:rFonts w:eastAsia="Times New Roman" w:cs="Times New Roman"/>
                <w:b/>
                <w:bCs/>
                <w:sz w:val="20"/>
                <w:szCs w:val="20"/>
              </w:rPr>
              <w:t>Табела 6:  Одступање од претходног Програма</w:t>
            </w:r>
          </w:p>
        </w:tc>
        <w:tc>
          <w:tcPr>
            <w:tcW w:w="1625" w:type="dxa"/>
            <w:tcBorders>
              <w:top w:val="double" w:sz="6" w:space="0" w:color="auto"/>
              <w:left w:val="single" w:sz="8" w:space="0" w:color="auto"/>
              <w:bottom w:val="double" w:sz="6" w:space="0" w:color="auto"/>
              <w:right w:val="nil"/>
            </w:tcBorders>
            <w:shd w:val="clear" w:color="auto" w:fill="auto"/>
            <w:noWrap/>
            <w:vAlign w:val="center"/>
            <w:hideMark/>
          </w:tcPr>
          <w:p w14:paraId="457C37E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435" w:type="dxa"/>
            <w:tcBorders>
              <w:top w:val="double" w:sz="6" w:space="0" w:color="auto"/>
              <w:left w:val="nil"/>
              <w:bottom w:val="double" w:sz="6" w:space="0" w:color="auto"/>
              <w:right w:val="single" w:sz="8" w:space="0" w:color="auto"/>
            </w:tcBorders>
            <w:shd w:val="clear" w:color="auto" w:fill="auto"/>
            <w:noWrap/>
            <w:vAlign w:val="center"/>
            <w:hideMark/>
          </w:tcPr>
          <w:p w14:paraId="497A5FC1"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 </w:t>
            </w:r>
          </w:p>
        </w:tc>
        <w:tc>
          <w:tcPr>
            <w:tcW w:w="975" w:type="dxa"/>
            <w:tcBorders>
              <w:top w:val="double" w:sz="6" w:space="0" w:color="auto"/>
              <w:left w:val="nil"/>
              <w:bottom w:val="double" w:sz="6" w:space="0" w:color="auto"/>
              <w:right w:val="dashed" w:sz="4" w:space="0" w:color="auto"/>
            </w:tcBorders>
            <w:shd w:val="clear" w:color="auto" w:fill="auto"/>
            <w:noWrap/>
            <w:vAlign w:val="center"/>
            <w:hideMark/>
          </w:tcPr>
          <w:p w14:paraId="76B85516"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2023</w:t>
            </w:r>
          </w:p>
        </w:tc>
        <w:tc>
          <w:tcPr>
            <w:tcW w:w="975" w:type="dxa"/>
            <w:tcBorders>
              <w:top w:val="double" w:sz="6" w:space="0" w:color="auto"/>
              <w:left w:val="nil"/>
              <w:bottom w:val="double" w:sz="6" w:space="0" w:color="auto"/>
              <w:right w:val="dashed" w:sz="4" w:space="0" w:color="auto"/>
            </w:tcBorders>
            <w:shd w:val="clear" w:color="auto" w:fill="auto"/>
            <w:noWrap/>
            <w:vAlign w:val="center"/>
            <w:hideMark/>
          </w:tcPr>
          <w:p w14:paraId="18A5355D"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2024</w:t>
            </w:r>
          </w:p>
        </w:tc>
        <w:tc>
          <w:tcPr>
            <w:tcW w:w="975" w:type="dxa"/>
            <w:tcBorders>
              <w:top w:val="double" w:sz="6" w:space="0" w:color="auto"/>
              <w:left w:val="nil"/>
              <w:bottom w:val="double" w:sz="6" w:space="0" w:color="auto"/>
              <w:right w:val="dashed" w:sz="4" w:space="0" w:color="auto"/>
            </w:tcBorders>
            <w:shd w:val="clear" w:color="auto" w:fill="auto"/>
            <w:noWrap/>
            <w:vAlign w:val="center"/>
            <w:hideMark/>
          </w:tcPr>
          <w:p w14:paraId="14FCFABE"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2025</w:t>
            </w:r>
          </w:p>
        </w:tc>
        <w:tc>
          <w:tcPr>
            <w:tcW w:w="975" w:type="dxa"/>
            <w:tcBorders>
              <w:top w:val="double" w:sz="6" w:space="0" w:color="auto"/>
              <w:left w:val="nil"/>
              <w:bottom w:val="double" w:sz="6" w:space="0" w:color="auto"/>
              <w:right w:val="dashed" w:sz="4" w:space="0" w:color="auto"/>
            </w:tcBorders>
            <w:shd w:val="clear" w:color="auto" w:fill="auto"/>
            <w:noWrap/>
            <w:vAlign w:val="center"/>
            <w:hideMark/>
          </w:tcPr>
          <w:p w14:paraId="482C0937"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2026</w:t>
            </w:r>
          </w:p>
        </w:tc>
        <w:tc>
          <w:tcPr>
            <w:tcW w:w="975" w:type="dxa"/>
            <w:tcBorders>
              <w:top w:val="double" w:sz="6" w:space="0" w:color="auto"/>
              <w:left w:val="nil"/>
              <w:bottom w:val="double" w:sz="6" w:space="0" w:color="auto"/>
              <w:right w:val="double" w:sz="6" w:space="0" w:color="auto"/>
            </w:tcBorders>
            <w:shd w:val="clear" w:color="auto" w:fill="auto"/>
            <w:noWrap/>
            <w:vAlign w:val="center"/>
            <w:hideMark/>
          </w:tcPr>
          <w:p w14:paraId="5C6A53AD"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2027</w:t>
            </w:r>
          </w:p>
        </w:tc>
      </w:tr>
      <w:tr w:rsidR="009B5DE5" w:rsidRPr="009B5DE5" w14:paraId="3605A55F" w14:textId="77777777" w:rsidTr="00396800">
        <w:trPr>
          <w:trHeight w:val="304"/>
        </w:trPr>
        <w:tc>
          <w:tcPr>
            <w:tcW w:w="7006" w:type="dxa"/>
            <w:tcBorders>
              <w:top w:val="nil"/>
              <w:left w:val="double" w:sz="6" w:space="0" w:color="auto"/>
              <w:bottom w:val="dashed" w:sz="4" w:space="0" w:color="auto"/>
              <w:right w:val="nil"/>
            </w:tcBorders>
            <w:shd w:val="clear" w:color="auto" w:fill="auto"/>
            <w:hideMark/>
          </w:tcPr>
          <w:p w14:paraId="38FE0119"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1. Раст БДП</w:t>
            </w:r>
          </w:p>
        </w:tc>
        <w:tc>
          <w:tcPr>
            <w:tcW w:w="3061" w:type="dxa"/>
            <w:gridSpan w:val="2"/>
            <w:tcBorders>
              <w:top w:val="double" w:sz="6" w:space="0" w:color="auto"/>
              <w:left w:val="single" w:sz="8" w:space="0" w:color="auto"/>
              <w:bottom w:val="dashed" w:sz="4" w:space="0" w:color="auto"/>
              <w:right w:val="single" w:sz="8" w:space="0" w:color="000000"/>
            </w:tcBorders>
            <w:shd w:val="clear" w:color="auto" w:fill="auto"/>
            <w:noWrap/>
            <w:hideMark/>
          </w:tcPr>
          <w:p w14:paraId="037CE30B"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мг., претходни програм</w:t>
            </w:r>
          </w:p>
        </w:tc>
        <w:tc>
          <w:tcPr>
            <w:tcW w:w="975" w:type="dxa"/>
            <w:tcBorders>
              <w:top w:val="nil"/>
              <w:left w:val="nil"/>
              <w:bottom w:val="dotted" w:sz="4" w:space="0" w:color="auto"/>
              <w:right w:val="dotted" w:sz="4" w:space="0" w:color="auto"/>
            </w:tcBorders>
            <w:shd w:val="clear" w:color="auto" w:fill="auto"/>
            <w:hideMark/>
          </w:tcPr>
          <w:p w14:paraId="691ED0F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2,5</w:t>
            </w:r>
          </w:p>
        </w:tc>
        <w:tc>
          <w:tcPr>
            <w:tcW w:w="975" w:type="dxa"/>
            <w:tcBorders>
              <w:top w:val="nil"/>
              <w:left w:val="nil"/>
              <w:bottom w:val="dotted" w:sz="4" w:space="0" w:color="auto"/>
              <w:right w:val="dotted" w:sz="4" w:space="0" w:color="auto"/>
            </w:tcBorders>
            <w:shd w:val="clear" w:color="auto" w:fill="auto"/>
            <w:hideMark/>
          </w:tcPr>
          <w:p w14:paraId="5E44A2B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3,5</w:t>
            </w:r>
          </w:p>
        </w:tc>
        <w:tc>
          <w:tcPr>
            <w:tcW w:w="975" w:type="dxa"/>
            <w:tcBorders>
              <w:top w:val="nil"/>
              <w:left w:val="nil"/>
              <w:bottom w:val="dotted" w:sz="4" w:space="0" w:color="auto"/>
              <w:right w:val="dotted" w:sz="4" w:space="0" w:color="auto"/>
            </w:tcBorders>
            <w:shd w:val="clear" w:color="auto" w:fill="auto"/>
            <w:hideMark/>
          </w:tcPr>
          <w:p w14:paraId="0A23761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4,0</w:t>
            </w:r>
          </w:p>
        </w:tc>
        <w:tc>
          <w:tcPr>
            <w:tcW w:w="975" w:type="dxa"/>
            <w:tcBorders>
              <w:top w:val="nil"/>
              <w:left w:val="nil"/>
              <w:bottom w:val="dotted" w:sz="4" w:space="0" w:color="auto"/>
              <w:right w:val="dotted" w:sz="4" w:space="0" w:color="auto"/>
            </w:tcBorders>
            <w:shd w:val="clear" w:color="auto" w:fill="auto"/>
            <w:hideMark/>
          </w:tcPr>
          <w:p w14:paraId="0D770763"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4,3</w:t>
            </w:r>
          </w:p>
        </w:tc>
        <w:tc>
          <w:tcPr>
            <w:tcW w:w="975" w:type="dxa"/>
            <w:tcBorders>
              <w:top w:val="nil"/>
              <w:left w:val="nil"/>
              <w:bottom w:val="dotted" w:sz="4" w:space="0" w:color="auto"/>
              <w:right w:val="double" w:sz="6" w:space="0" w:color="auto"/>
            </w:tcBorders>
            <w:shd w:val="clear" w:color="auto" w:fill="auto"/>
            <w:hideMark/>
          </w:tcPr>
          <w:p w14:paraId="2A63141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r>
      <w:tr w:rsidR="009B5DE5" w:rsidRPr="009B5DE5" w14:paraId="5FF26979" w14:textId="77777777" w:rsidTr="00396800">
        <w:trPr>
          <w:trHeight w:val="287"/>
        </w:trPr>
        <w:tc>
          <w:tcPr>
            <w:tcW w:w="7006" w:type="dxa"/>
            <w:tcBorders>
              <w:top w:val="nil"/>
              <w:left w:val="double" w:sz="6" w:space="0" w:color="auto"/>
              <w:bottom w:val="dashed" w:sz="4" w:space="0" w:color="auto"/>
              <w:right w:val="nil"/>
            </w:tcBorders>
            <w:shd w:val="clear" w:color="auto" w:fill="auto"/>
            <w:noWrap/>
            <w:hideMark/>
          </w:tcPr>
          <w:p w14:paraId="11A5F525"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xml:space="preserve">2. Нето позајмице сектора државе </w:t>
            </w:r>
          </w:p>
        </w:tc>
        <w:tc>
          <w:tcPr>
            <w:tcW w:w="3061" w:type="dxa"/>
            <w:gridSpan w:val="2"/>
            <w:tcBorders>
              <w:top w:val="dashed" w:sz="4" w:space="0" w:color="auto"/>
              <w:left w:val="single" w:sz="8" w:space="0" w:color="auto"/>
              <w:bottom w:val="dashed" w:sz="4" w:space="0" w:color="auto"/>
              <w:right w:val="single" w:sz="8" w:space="0" w:color="000000"/>
            </w:tcBorders>
            <w:shd w:val="clear" w:color="auto" w:fill="auto"/>
            <w:noWrap/>
            <w:hideMark/>
          </w:tcPr>
          <w:p w14:paraId="26BA58CC"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БДП, претходни програм</w:t>
            </w:r>
          </w:p>
        </w:tc>
        <w:tc>
          <w:tcPr>
            <w:tcW w:w="975" w:type="dxa"/>
            <w:tcBorders>
              <w:top w:val="nil"/>
              <w:left w:val="nil"/>
              <w:bottom w:val="dashed" w:sz="4" w:space="0" w:color="auto"/>
              <w:right w:val="dotted" w:sz="4" w:space="0" w:color="auto"/>
            </w:tcBorders>
            <w:shd w:val="clear" w:color="auto" w:fill="auto"/>
            <w:hideMark/>
          </w:tcPr>
          <w:p w14:paraId="55ED411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-2,8</w:t>
            </w:r>
          </w:p>
        </w:tc>
        <w:tc>
          <w:tcPr>
            <w:tcW w:w="975" w:type="dxa"/>
            <w:tcBorders>
              <w:top w:val="nil"/>
              <w:left w:val="nil"/>
              <w:bottom w:val="dashed" w:sz="4" w:space="0" w:color="auto"/>
              <w:right w:val="dotted" w:sz="4" w:space="0" w:color="auto"/>
            </w:tcBorders>
            <w:shd w:val="clear" w:color="auto" w:fill="auto"/>
            <w:hideMark/>
          </w:tcPr>
          <w:p w14:paraId="09E78F1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-2,2</w:t>
            </w:r>
          </w:p>
        </w:tc>
        <w:tc>
          <w:tcPr>
            <w:tcW w:w="975" w:type="dxa"/>
            <w:tcBorders>
              <w:top w:val="nil"/>
              <w:left w:val="nil"/>
              <w:bottom w:val="dashed" w:sz="4" w:space="0" w:color="auto"/>
              <w:right w:val="dotted" w:sz="4" w:space="0" w:color="auto"/>
            </w:tcBorders>
            <w:shd w:val="clear" w:color="auto" w:fill="auto"/>
            <w:hideMark/>
          </w:tcPr>
          <w:p w14:paraId="13691683"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-1,5</w:t>
            </w:r>
          </w:p>
        </w:tc>
        <w:tc>
          <w:tcPr>
            <w:tcW w:w="975" w:type="dxa"/>
            <w:tcBorders>
              <w:top w:val="nil"/>
              <w:left w:val="nil"/>
              <w:bottom w:val="dashed" w:sz="4" w:space="0" w:color="auto"/>
              <w:right w:val="dotted" w:sz="4" w:space="0" w:color="auto"/>
            </w:tcBorders>
            <w:shd w:val="clear" w:color="auto" w:fill="auto"/>
            <w:hideMark/>
          </w:tcPr>
          <w:p w14:paraId="4191590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-1,5</w:t>
            </w:r>
          </w:p>
        </w:tc>
        <w:tc>
          <w:tcPr>
            <w:tcW w:w="975" w:type="dxa"/>
            <w:tcBorders>
              <w:top w:val="nil"/>
              <w:left w:val="nil"/>
              <w:bottom w:val="dashed" w:sz="4" w:space="0" w:color="auto"/>
              <w:right w:val="double" w:sz="6" w:space="0" w:color="auto"/>
            </w:tcBorders>
            <w:shd w:val="clear" w:color="auto" w:fill="auto"/>
            <w:hideMark/>
          </w:tcPr>
          <w:p w14:paraId="00127A8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r>
      <w:tr w:rsidR="009B5DE5" w:rsidRPr="009B5DE5" w14:paraId="35622F52" w14:textId="77777777" w:rsidTr="00396800">
        <w:trPr>
          <w:trHeight w:val="304"/>
        </w:trPr>
        <w:tc>
          <w:tcPr>
            <w:tcW w:w="7006" w:type="dxa"/>
            <w:tcBorders>
              <w:top w:val="nil"/>
              <w:left w:val="double" w:sz="6" w:space="0" w:color="auto"/>
              <w:bottom w:val="double" w:sz="6" w:space="0" w:color="auto"/>
              <w:right w:val="nil"/>
            </w:tcBorders>
            <w:shd w:val="clear" w:color="auto" w:fill="auto"/>
            <w:noWrap/>
            <w:hideMark/>
          </w:tcPr>
          <w:p w14:paraId="71C53327"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xml:space="preserve">3. Бруто дуг сектора државе </w:t>
            </w:r>
          </w:p>
        </w:tc>
        <w:tc>
          <w:tcPr>
            <w:tcW w:w="3061" w:type="dxa"/>
            <w:gridSpan w:val="2"/>
            <w:tcBorders>
              <w:top w:val="nil"/>
              <w:left w:val="single" w:sz="8" w:space="0" w:color="auto"/>
              <w:bottom w:val="double" w:sz="6" w:space="0" w:color="auto"/>
              <w:right w:val="single" w:sz="8" w:space="0" w:color="000000"/>
            </w:tcBorders>
            <w:shd w:val="clear" w:color="auto" w:fill="auto"/>
            <w:noWrap/>
            <w:hideMark/>
          </w:tcPr>
          <w:p w14:paraId="354851BC"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БДП, претходни програм</w:t>
            </w:r>
          </w:p>
        </w:tc>
        <w:tc>
          <w:tcPr>
            <w:tcW w:w="975" w:type="dxa"/>
            <w:tcBorders>
              <w:top w:val="nil"/>
              <w:left w:val="nil"/>
              <w:bottom w:val="double" w:sz="6" w:space="0" w:color="auto"/>
              <w:right w:val="dotted" w:sz="4" w:space="0" w:color="auto"/>
            </w:tcBorders>
            <w:shd w:val="clear" w:color="auto" w:fill="auto"/>
            <w:hideMark/>
          </w:tcPr>
          <w:p w14:paraId="327468C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53,3</w:t>
            </w:r>
          </w:p>
        </w:tc>
        <w:tc>
          <w:tcPr>
            <w:tcW w:w="975" w:type="dxa"/>
            <w:tcBorders>
              <w:top w:val="nil"/>
              <w:left w:val="nil"/>
              <w:bottom w:val="double" w:sz="6" w:space="0" w:color="auto"/>
              <w:right w:val="dotted" w:sz="4" w:space="0" w:color="auto"/>
            </w:tcBorders>
            <w:shd w:val="clear" w:color="auto" w:fill="auto"/>
            <w:hideMark/>
          </w:tcPr>
          <w:p w14:paraId="36E5293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51,7</w:t>
            </w:r>
          </w:p>
        </w:tc>
        <w:tc>
          <w:tcPr>
            <w:tcW w:w="975" w:type="dxa"/>
            <w:tcBorders>
              <w:top w:val="nil"/>
              <w:left w:val="nil"/>
              <w:bottom w:val="double" w:sz="6" w:space="0" w:color="auto"/>
              <w:right w:val="dotted" w:sz="4" w:space="0" w:color="auto"/>
            </w:tcBorders>
            <w:shd w:val="clear" w:color="auto" w:fill="auto"/>
            <w:hideMark/>
          </w:tcPr>
          <w:p w14:paraId="106BB57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50,7</w:t>
            </w:r>
          </w:p>
        </w:tc>
        <w:tc>
          <w:tcPr>
            <w:tcW w:w="975" w:type="dxa"/>
            <w:tcBorders>
              <w:top w:val="nil"/>
              <w:left w:val="nil"/>
              <w:bottom w:val="double" w:sz="6" w:space="0" w:color="auto"/>
              <w:right w:val="dotted" w:sz="4" w:space="0" w:color="auto"/>
            </w:tcBorders>
            <w:shd w:val="clear" w:color="auto" w:fill="auto"/>
            <w:hideMark/>
          </w:tcPr>
          <w:p w14:paraId="0F1C974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50,0</w:t>
            </w:r>
          </w:p>
        </w:tc>
        <w:tc>
          <w:tcPr>
            <w:tcW w:w="975" w:type="dxa"/>
            <w:tcBorders>
              <w:top w:val="nil"/>
              <w:left w:val="nil"/>
              <w:bottom w:val="double" w:sz="6" w:space="0" w:color="auto"/>
              <w:right w:val="double" w:sz="6" w:space="0" w:color="auto"/>
            </w:tcBorders>
            <w:shd w:val="clear" w:color="auto" w:fill="auto"/>
            <w:hideMark/>
          </w:tcPr>
          <w:p w14:paraId="56E54A5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r>
    </w:tbl>
    <w:p w14:paraId="12BE215A" w14:textId="77777777" w:rsidR="009B5DE5" w:rsidRPr="009B5DE5" w:rsidRDefault="009B5DE5" w:rsidP="009B5DE5">
      <w:pPr>
        <w:spacing w:after="0"/>
        <w:jc w:val="left"/>
        <w:rPr>
          <w:rFonts w:eastAsia="Times New Roman" w:cs="Times New Roman"/>
          <w:bCs/>
          <w:sz w:val="22"/>
        </w:rPr>
      </w:pPr>
    </w:p>
    <w:p w14:paraId="231234E4" w14:textId="77777777" w:rsidR="009B5DE5" w:rsidRPr="009B5DE5" w:rsidRDefault="009B5DE5" w:rsidP="009B5DE5">
      <w:pPr>
        <w:spacing w:after="0"/>
        <w:jc w:val="left"/>
        <w:rPr>
          <w:rFonts w:eastAsia="Times New Roman" w:cs="Times New Roman"/>
          <w:bCs/>
          <w:sz w:val="22"/>
        </w:rPr>
      </w:pPr>
    </w:p>
    <w:tbl>
      <w:tblPr>
        <w:tblW w:w="14634" w:type="dxa"/>
        <w:tblLook w:val="04A0" w:firstRow="1" w:lastRow="0" w:firstColumn="1" w:lastColumn="0" w:noHBand="0" w:noVBand="1"/>
      </w:tblPr>
      <w:tblGrid>
        <w:gridCol w:w="6141"/>
        <w:gridCol w:w="1698"/>
        <w:gridCol w:w="1698"/>
        <w:gridCol w:w="1698"/>
        <w:gridCol w:w="1698"/>
        <w:gridCol w:w="1701"/>
      </w:tblGrid>
      <w:tr w:rsidR="009B5DE5" w:rsidRPr="009B5DE5" w14:paraId="2BAD0919" w14:textId="77777777" w:rsidTr="00396800">
        <w:trPr>
          <w:trHeight w:val="315"/>
        </w:trPr>
        <w:tc>
          <w:tcPr>
            <w:tcW w:w="6141" w:type="dxa"/>
            <w:vMerge w:val="restart"/>
            <w:tcBorders>
              <w:top w:val="double" w:sz="6" w:space="0" w:color="auto"/>
              <w:left w:val="double" w:sz="6" w:space="0" w:color="auto"/>
              <w:bottom w:val="single" w:sz="8" w:space="0" w:color="000000"/>
              <w:right w:val="single" w:sz="8" w:space="0" w:color="auto"/>
            </w:tcBorders>
            <w:shd w:val="clear" w:color="000000" w:fill="FFFFFF"/>
            <w:hideMark/>
          </w:tcPr>
          <w:p w14:paraId="0C83D557"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 </w:t>
            </w:r>
          </w:p>
        </w:tc>
        <w:tc>
          <w:tcPr>
            <w:tcW w:w="1698" w:type="dxa"/>
            <w:tcBorders>
              <w:top w:val="double" w:sz="6" w:space="0" w:color="auto"/>
              <w:left w:val="nil"/>
              <w:bottom w:val="nil"/>
              <w:right w:val="dotted" w:sz="4" w:space="0" w:color="auto"/>
            </w:tcBorders>
            <w:shd w:val="clear" w:color="000000" w:fill="FFFFFF"/>
            <w:hideMark/>
          </w:tcPr>
          <w:p w14:paraId="389C1B2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Година</w:t>
            </w:r>
          </w:p>
        </w:tc>
        <w:tc>
          <w:tcPr>
            <w:tcW w:w="1698" w:type="dxa"/>
            <w:tcBorders>
              <w:top w:val="double" w:sz="6" w:space="0" w:color="auto"/>
              <w:left w:val="nil"/>
              <w:bottom w:val="nil"/>
              <w:right w:val="dotted" w:sz="4" w:space="0" w:color="auto"/>
            </w:tcBorders>
            <w:shd w:val="clear" w:color="000000" w:fill="FFFFFF"/>
            <w:hideMark/>
          </w:tcPr>
          <w:p w14:paraId="57CAC25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Година</w:t>
            </w:r>
          </w:p>
        </w:tc>
        <w:tc>
          <w:tcPr>
            <w:tcW w:w="1698" w:type="dxa"/>
            <w:tcBorders>
              <w:top w:val="double" w:sz="6" w:space="0" w:color="auto"/>
              <w:left w:val="nil"/>
              <w:bottom w:val="nil"/>
              <w:right w:val="dotted" w:sz="4" w:space="0" w:color="auto"/>
            </w:tcBorders>
            <w:shd w:val="clear" w:color="000000" w:fill="FFFFFF"/>
            <w:hideMark/>
          </w:tcPr>
          <w:p w14:paraId="188E8AA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Година</w:t>
            </w:r>
          </w:p>
        </w:tc>
        <w:tc>
          <w:tcPr>
            <w:tcW w:w="1698" w:type="dxa"/>
            <w:tcBorders>
              <w:top w:val="double" w:sz="6" w:space="0" w:color="auto"/>
              <w:left w:val="nil"/>
              <w:bottom w:val="nil"/>
              <w:right w:val="dotted" w:sz="4" w:space="0" w:color="auto"/>
            </w:tcBorders>
            <w:shd w:val="clear" w:color="000000" w:fill="FFFFFF"/>
            <w:hideMark/>
          </w:tcPr>
          <w:p w14:paraId="2F69021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Година</w:t>
            </w:r>
          </w:p>
        </w:tc>
        <w:tc>
          <w:tcPr>
            <w:tcW w:w="1698" w:type="dxa"/>
            <w:tcBorders>
              <w:top w:val="double" w:sz="6" w:space="0" w:color="auto"/>
              <w:left w:val="nil"/>
              <w:bottom w:val="nil"/>
              <w:right w:val="double" w:sz="6" w:space="0" w:color="auto"/>
            </w:tcBorders>
            <w:shd w:val="clear" w:color="000000" w:fill="FFFFFF"/>
            <w:hideMark/>
          </w:tcPr>
          <w:p w14:paraId="6A828173"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Година</w:t>
            </w:r>
          </w:p>
        </w:tc>
      </w:tr>
      <w:tr w:rsidR="009B5DE5" w:rsidRPr="009B5DE5" w14:paraId="615D7B4C" w14:textId="77777777" w:rsidTr="00396800">
        <w:trPr>
          <w:trHeight w:val="315"/>
        </w:trPr>
        <w:tc>
          <w:tcPr>
            <w:tcW w:w="6141" w:type="dxa"/>
            <w:vMerge/>
            <w:tcBorders>
              <w:top w:val="double" w:sz="6" w:space="0" w:color="auto"/>
              <w:left w:val="double" w:sz="6" w:space="0" w:color="auto"/>
              <w:bottom w:val="single" w:sz="8" w:space="0" w:color="000000"/>
              <w:right w:val="single" w:sz="8" w:space="0" w:color="auto"/>
            </w:tcBorders>
            <w:vAlign w:val="center"/>
            <w:hideMark/>
          </w:tcPr>
          <w:p w14:paraId="2842C246" w14:textId="77777777" w:rsidR="009B5DE5" w:rsidRPr="009B5DE5" w:rsidRDefault="009B5DE5" w:rsidP="009B5DE5">
            <w:pPr>
              <w:spacing w:after="0"/>
              <w:jc w:val="left"/>
              <w:rPr>
                <w:rFonts w:eastAsia="Times New Roman" w:cs="Times New Roman"/>
                <w:szCs w:val="24"/>
              </w:rPr>
            </w:pPr>
          </w:p>
        </w:tc>
        <w:tc>
          <w:tcPr>
            <w:tcW w:w="1698" w:type="dxa"/>
            <w:tcBorders>
              <w:top w:val="nil"/>
              <w:left w:val="nil"/>
              <w:bottom w:val="single" w:sz="8" w:space="0" w:color="auto"/>
              <w:right w:val="dotted" w:sz="4" w:space="0" w:color="auto"/>
            </w:tcBorders>
            <w:shd w:val="clear" w:color="000000" w:fill="FFFFFF"/>
            <w:hideMark/>
          </w:tcPr>
          <w:p w14:paraId="2423C82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2023</w:t>
            </w:r>
          </w:p>
        </w:tc>
        <w:tc>
          <w:tcPr>
            <w:tcW w:w="1698" w:type="dxa"/>
            <w:tcBorders>
              <w:top w:val="nil"/>
              <w:left w:val="nil"/>
              <w:bottom w:val="single" w:sz="8" w:space="0" w:color="auto"/>
              <w:right w:val="dotted" w:sz="4" w:space="0" w:color="auto"/>
            </w:tcBorders>
            <w:shd w:val="clear" w:color="000000" w:fill="FFFFFF"/>
            <w:hideMark/>
          </w:tcPr>
          <w:p w14:paraId="0BC1658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2024</w:t>
            </w:r>
          </w:p>
        </w:tc>
        <w:tc>
          <w:tcPr>
            <w:tcW w:w="1698" w:type="dxa"/>
            <w:tcBorders>
              <w:top w:val="nil"/>
              <w:left w:val="nil"/>
              <w:bottom w:val="single" w:sz="8" w:space="0" w:color="auto"/>
              <w:right w:val="dotted" w:sz="4" w:space="0" w:color="auto"/>
            </w:tcBorders>
            <w:shd w:val="clear" w:color="000000" w:fill="FFFFFF"/>
            <w:hideMark/>
          </w:tcPr>
          <w:p w14:paraId="1560566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2025</w:t>
            </w:r>
          </w:p>
        </w:tc>
        <w:tc>
          <w:tcPr>
            <w:tcW w:w="1698" w:type="dxa"/>
            <w:tcBorders>
              <w:top w:val="nil"/>
              <w:left w:val="nil"/>
              <w:bottom w:val="single" w:sz="8" w:space="0" w:color="auto"/>
              <w:right w:val="dotted" w:sz="4" w:space="0" w:color="auto"/>
            </w:tcBorders>
            <w:shd w:val="clear" w:color="000000" w:fill="FFFFFF"/>
            <w:hideMark/>
          </w:tcPr>
          <w:p w14:paraId="2BDF013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2026</w:t>
            </w:r>
          </w:p>
        </w:tc>
        <w:tc>
          <w:tcPr>
            <w:tcW w:w="1698" w:type="dxa"/>
            <w:tcBorders>
              <w:top w:val="nil"/>
              <w:left w:val="nil"/>
              <w:bottom w:val="single" w:sz="8" w:space="0" w:color="auto"/>
              <w:right w:val="double" w:sz="6" w:space="0" w:color="auto"/>
            </w:tcBorders>
            <w:shd w:val="clear" w:color="000000" w:fill="FFFFFF"/>
            <w:hideMark/>
          </w:tcPr>
          <w:p w14:paraId="253E480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2027</w:t>
            </w:r>
          </w:p>
        </w:tc>
      </w:tr>
      <w:tr w:rsidR="009B5DE5" w:rsidRPr="009B5DE5" w14:paraId="487C3A72" w14:textId="77777777" w:rsidTr="00396800">
        <w:trPr>
          <w:trHeight w:val="315"/>
        </w:trPr>
        <w:tc>
          <w:tcPr>
            <w:tcW w:w="14634" w:type="dxa"/>
            <w:gridSpan w:val="6"/>
            <w:tcBorders>
              <w:top w:val="single" w:sz="8" w:space="0" w:color="auto"/>
              <w:left w:val="double" w:sz="6" w:space="0" w:color="auto"/>
              <w:bottom w:val="single" w:sz="4" w:space="0" w:color="auto"/>
              <w:right w:val="double" w:sz="6" w:space="0" w:color="000000"/>
            </w:tcBorders>
            <w:shd w:val="clear" w:color="000000" w:fill="FFFFFF"/>
            <w:hideMark/>
          </w:tcPr>
          <w:p w14:paraId="5A4FF524"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1. Раст БДП-а (%, мг.)</w:t>
            </w:r>
          </w:p>
        </w:tc>
      </w:tr>
      <w:tr w:rsidR="009B5DE5" w:rsidRPr="009B5DE5" w14:paraId="54E2A14C" w14:textId="77777777" w:rsidTr="00396800">
        <w:trPr>
          <w:trHeight w:val="315"/>
        </w:trPr>
        <w:tc>
          <w:tcPr>
            <w:tcW w:w="6141" w:type="dxa"/>
            <w:tcBorders>
              <w:top w:val="nil"/>
              <w:left w:val="double" w:sz="6" w:space="0" w:color="auto"/>
              <w:bottom w:val="dotted" w:sz="4" w:space="0" w:color="auto"/>
              <w:right w:val="single" w:sz="8" w:space="0" w:color="auto"/>
            </w:tcBorders>
            <w:shd w:val="clear" w:color="000000" w:fill="FFFFFF"/>
            <w:hideMark/>
          </w:tcPr>
          <w:p w14:paraId="60DB157B"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Претходни</w:t>
            </w:r>
          </w:p>
        </w:tc>
        <w:tc>
          <w:tcPr>
            <w:tcW w:w="1698" w:type="dxa"/>
            <w:tcBorders>
              <w:top w:val="nil"/>
              <w:left w:val="nil"/>
              <w:bottom w:val="dotted" w:sz="4" w:space="0" w:color="auto"/>
              <w:right w:val="dotted" w:sz="4" w:space="0" w:color="auto"/>
            </w:tcBorders>
            <w:shd w:val="clear" w:color="auto" w:fill="auto"/>
            <w:hideMark/>
          </w:tcPr>
          <w:p w14:paraId="4FD4095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2,5</w:t>
            </w:r>
          </w:p>
        </w:tc>
        <w:tc>
          <w:tcPr>
            <w:tcW w:w="1698" w:type="dxa"/>
            <w:tcBorders>
              <w:top w:val="nil"/>
              <w:left w:val="nil"/>
              <w:bottom w:val="dotted" w:sz="4" w:space="0" w:color="auto"/>
              <w:right w:val="dotted" w:sz="4" w:space="0" w:color="auto"/>
            </w:tcBorders>
            <w:shd w:val="clear" w:color="auto" w:fill="auto"/>
            <w:hideMark/>
          </w:tcPr>
          <w:p w14:paraId="1478346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3,5</w:t>
            </w:r>
          </w:p>
        </w:tc>
        <w:tc>
          <w:tcPr>
            <w:tcW w:w="1698" w:type="dxa"/>
            <w:tcBorders>
              <w:top w:val="nil"/>
              <w:left w:val="nil"/>
              <w:bottom w:val="dotted" w:sz="4" w:space="0" w:color="auto"/>
              <w:right w:val="dotted" w:sz="4" w:space="0" w:color="auto"/>
            </w:tcBorders>
            <w:shd w:val="clear" w:color="auto" w:fill="auto"/>
            <w:hideMark/>
          </w:tcPr>
          <w:p w14:paraId="627EA09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4,0</w:t>
            </w:r>
          </w:p>
        </w:tc>
        <w:tc>
          <w:tcPr>
            <w:tcW w:w="1698" w:type="dxa"/>
            <w:tcBorders>
              <w:top w:val="nil"/>
              <w:left w:val="nil"/>
              <w:bottom w:val="dotted" w:sz="4" w:space="0" w:color="auto"/>
              <w:right w:val="dotted" w:sz="4" w:space="0" w:color="auto"/>
            </w:tcBorders>
            <w:shd w:val="clear" w:color="auto" w:fill="auto"/>
            <w:hideMark/>
          </w:tcPr>
          <w:p w14:paraId="2EE4A16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4,3</w:t>
            </w:r>
          </w:p>
        </w:tc>
        <w:tc>
          <w:tcPr>
            <w:tcW w:w="1698" w:type="dxa"/>
            <w:tcBorders>
              <w:top w:val="nil"/>
              <w:left w:val="nil"/>
              <w:bottom w:val="dotted" w:sz="4" w:space="0" w:color="auto"/>
              <w:right w:val="double" w:sz="6" w:space="0" w:color="auto"/>
            </w:tcBorders>
            <w:shd w:val="clear" w:color="auto" w:fill="auto"/>
            <w:hideMark/>
          </w:tcPr>
          <w:p w14:paraId="14106AE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r>
      <w:tr w:rsidR="009B5DE5" w:rsidRPr="009B5DE5" w14:paraId="1C76E862" w14:textId="77777777" w:rsidTr="00396800">
        <w:trPr>
          <w:trHeight w:val="315"/>
        </w:trPr>
        <w:tc>
          <w:tcPr>
            <w:tcW w:w="6141" w:type="dxa"/>
            <w:tcBorders>
              <w:top w:val="nil"/>
              <w:left w:val="double" w:sz="6" w:space="0" w:color="auto"/>
              <w:bottom w:val="dotted" w:sz="4" w:space="0" w:color="auto"/>
              <w:right w:val="single" w:sz="8" w:space="0" w:color="auto"/>
            </w:tcBorders>
            <w:shd w:val="clear" w:color="000000" w:fill="FFFFFF"/>
            <w:hideMark/>
          </w:tcPr>
          <w:p w14:paraId="1552B7FB"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Садашњи</w:t>
            </w:r>
          </w:p>
        </w:tc>
        <w:tc>
          <w:tcPr>
            <w:tcW w:w="1698" w:type="dxa"/>
            <w:tcBorders>
              <w:top w:val="nil"/>
              <w:left w:val="nil"/>
              <w:bottom w:val="dotted" w:sz="4" w:space="0" w:color="auto"/>
              <w:right w:val="dotted" w:sz="4" w:space="0" w:color="auto"/>
            </w:tcBorders>
            <w:shd w:val="clear" w:color="000000" w:fill="FFFFFF"/>
            <w:hideMark/>
          </w:tcPr>
          <w:p w14:paraId="2168C3B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3,8</w:t>
            </w:r>
          </w:p>
        </w:tc>
        <w:tc>
          <w:tcPr>
            <w:tcW w:w="1698" w:type="dxa"/>
            <w:tcBorders>
              <w:top w:val="nil"/>
              <w:left w:val="nil"/>
              <w:bottom w:val="dotted" w:sz="4" w:space="0" w:color="auto"/>
              <w:right w:val="dotted" w:sz="4" w:space="0" w:color="auto"/>
            </w:tcBorders>
            <w:shd w:val="clear" w:color="000000" w:fill="FFFFFF"/>
            <w:hideMark/>
          </w:tcPr>
          <w:p w14:paraId="4B2931C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3,8</w:t>
            </w:r>
          </w:p>
        </w:tc>
        <w:tc>
          <w:tcPr>
            <w:tcW w:w="1698" w:type="dxa"/>
            <w:tcBorders>
              <w:top w:val="nil"/>
              <w:left w:val="nil"/>
              <w:bottom w:val="dotted" w:sz="4" w:space="0" w:color="auto"/>
              <w:right w:val="dotted" w:sz="4" w:space="0" w:color="auto"/>
            </w:tcBorders>
            <w:shd w:val="clear" w:color="000000" w:fill="FFFFFF"/>
            <w:hideMark/>
          </w:tcPr>
          <w:p w14:paraId="0667612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4,2</w:t>
            </w:r>
          </w:p>
        </w:tc>
        <w:tc>
          <w:tcPr>
            <w:tcW w:w="1698" w:type="dxa"/>
            <w:tcBorders>
              <w:top w:val="nil"/>
              <w:left w:val="nil"/>
              <w:bottom w:val="dotted" w:sz="4" w:space="0" w:color="auto"/>
              <w:right w:val="dotted" w:sz="4" w:space="0" w:color="auto"/>
            </w:tcBorders>
            <w:shd w:val="clear" w:color="000000" w:fill="FFFFFF"/>
            <w:hideMark/>
          </w:tcPr>
          <w:p w14:paraId="4707086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4,0</w:t>
            </w:r>
          </w:p>
        </w:tc>
        <w:tc>
          <w:tcPr>
            <w:tcW w:w="1698" w:type="dxa"/>
            <w:tcBorders>
              <w:top w:val="nil"/>
              <w:left w:val="nil"/>
              <w:bottom w:val="dotted" w:sz="4" w:space="0" w:color="auto"/>
              <w:right w:val="double" w:sz="6" w:space="0" w:color="auto"/>
            </w:tcBorders>
            <w:shd w:val="clear" w:color="000000" w:fill="FFFFFF"/>
            <w:hideMark/>
          </w:tcPr>
          <w:p w14:paraId="73DA658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5,0</w:t>
            </w:r>
          </w:p>
        </w:tc>
      </w:tr>
      <w:tr w:rsidR="009B5DE5" w:rsidRPr="009B5DE5" w14:paraId="6F12DDAF" w14:textId="77777777" w:rsidTr="00396800">
        <w:trPr>
          <w:trHeight w:val="315"/>
        </w:trPr>
        <w:tc>
          <w:tcPr>
            <w:tcW w:w="6141" w:type="dxa"/>
            <w:tcBorders>
              <w:top w:val="nil"/>
              <w:left w:val="double" w:sz="6" w:space="0" w:color="auto"/>
              <w:bottom w:val="single" w:sz="8" w:space="0" w:color="auto"/>
              <w:right w:val="single" w:sz="8" w:space="0" w:color="auto"/>
            </w:tcBorders>
            <w:shd w:val="clear" w:color="000000" w:fill="FFFFFF"/>
            <w:hideMark/>
          </w:tcPr>
          <w:p w14:paraId="18BDAB61"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Разлика (процентни поени)</w:t>
            </w:r>
          </w:p>
        </w:tc>
        <w:tc>
          <w:tcPr>
            <w:tcW w:w="1698" w:type="dxa"/>
            <w:tcBorders>
              <w:top w:val="nil"/>
              <w:left w:val="nil"/>
              <w:bottom w:val="single" w:sz="8" w:space="0" w:color="auto"/>
              <w:right w:val="dotted" w:sz="4" w:space="0" w:color="auto"/>
            </w:tcBorders>
            <w:shd w:val="clear" w:color="000000" w:fill="FFFFFF"/>
            <w:hideMark/>
          </w:tcPr>
          <w:p w14:paraId="3F646F6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1,3</w:t>
            </w:r>
          </w:p>
        </w:tc>
        <w:tc>
          <w:tcPr>
            <w:tcW w:w="1698" w:type="dxa"/>
            <w:tcBorders>
              <w:top w:val="nil"/>
              <w:left w:val="nil"/>
              <w:bottom w:val="single" w:sz="8" w:space="0" w:color="auto"/>
              <w:right w:val="dotted" w:sz="4" w:space="0" w:color="auto"/>
            </w:tcBorders>
            <w:shd w:val="clear" w:color="000000" w:fill="FFFFFF"/>
            <w:hideMark/>
          </w:tcPr>
          <w:p w14:paraId="0B134B2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0,3</w:t>
            </w:r>
          </w:p>
        </w:tc>
        <w:tc>
          <w:tcPr>
            <w:tcW w:w="1698" w:type="dxa"/>
            <w:tcBorders>
              <w:top w:val="nil"/>
              <w:left w:val="nil"/>
              <w:bottom w:val="single" w:sz="8" w:space="0" w:color="auto"/>
              <w:right w:val="dotted" w:sz="4" w:space="0" w:color="auto"/>
            </w:tcBorders>
            <w:shd w:val="clear" w:color="000000" w:fill="FFFFFF"/>
            <w:hideMark/>
          </w:tcPr>
          <w:p w14:paraId="7E3673C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0,2</w:t>
            </w:r>
          </w:p>
        </w:tc>
        <w:tc>
          <w:tcPr>
            <w:tcW w:w="1698" w:type="dxa"/>
            <w:tcBorders>
              <w:top w:val="nil"/>
              <w:left w:val="nil"/>
              <w:bottom w:val="single" w:sz="8" w:space="0" w:color="auto"/>
              <w:right w:val="dotted" w:sz="4" w:space="0" w:color="auto"/>
            </w:tcBorders>
            <w:shd w:val="clear" w:color="000000" w:fill="FFFFFF"/>
            <w:hideMark/>
          </w:tcPr>
          <w:p w14:paraId="0A05638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-0,3</w:t>
            </w:r>
          </w:p>
        </w:tc>
        <w:tc>
          <w:tcPr>
            <w:tcW w:w="1698" w:type="dxa"/>
            <w:tcBorders>
              <w:top w:val="nil"/>
              <w:left w:val="nil"/>
              <w:bottom w:val="single" w:sz="8" w:space="0" w:color="auto"/>
              <w:right w:val="double" w:sz="6" w:space="0" w:color="auto"/>
            </w:tcBorders>
            <w:shd w:val="clear" w:color="000000" w:fill="FFFFFF"/>
            <w:hideMark/>
          </w:tcPr>
          <w:p w14:paraId="0BC7123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r>
      <w:tr w:rsidR="009B5DE5" w:rsidRPr="009B5DE5" w14:paraId="50602379" w14:textId="77777777" w:rsidTr="00396800">
        <w:trPr>
          <w:trHeight w:val="315"/>
        </w:trPr>
        <w:tc>
          <w:tcPr>
            <w:tcW w:w="14634" w:type="dxa"/>
            <w:gridSpan w:val="6"/>
            <w:tcBorders>
              <w:top w:val="single" w:sz="8" w:space="0" w:color="auto"/>
              <w:left w:val="double" w:sz="6" w:space="0" w:color="auto"/>
              <w:bottom w:val="single" w:sz="4" w:space="0" w:color="auto"/>
              <w:right w:val="double" w:sz="6" w:space="0" w:color="000000"/>
            </w:tcBorders>
            <w:shd w:val="clear" w:color="000000" w:fill="FFFFFF"/>
            <w:hideMark/>
          </w:tcPr>
          <w:p w14:paraId="41CF7FA1"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2. Нето позајмице сектора државе (% БДП-а)</w:t>
            </w:r>
          </w:p>
        </w:tc>
      </w:tr>
      <w:tr w:rsidR="009B5DE5" w:rsidRPr="009B5DE5" w14:paraId="43E4E4FE" w14:textId="77777777" w:rsidTr="00396800">
        <w:trPr>
          <w:trHeight w:val="315"/>
        </w:trPr>
        <w:tc>
          <w:tcPr>
            <w:tcW w:w="6141" w:type="dxa"/>
            <w:tcBorders>
              <w:top w:val="nil"/>
              <w:left w:val="double" w:sz="6" w:space="0" w:color="auto"/>
              <w:bottom w:val="dotted" w:sz="4" w:space="0" w:color="auto"/>
              <w:right w:val="single" w:sz="8" w:space="0" w:color="auto"/>
            </w:tcBorders>
            <w:shd w:val="clear" w:color="000000" w:fill="FFFFFF"/>
            <w:hideMark/>
          </w:tcPr>
          <w:p w14:paraId="133DA696"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Претходни</w:t>
            </w:r>
          </w:p>
        </w:tc>
        <w:tc>
          <w:tcPr>
            <w:tcW w:w="1698" w:type="dxa"/>
            <w:tcBorders>
              <w:top w:val="nil"/>
              <w:left w:val="nil"/>
              <w:bottom w:val="dotted" w:sz="4" w:space="0" w:color="auto"/>
              <w:right w:val="dotted" w:sz="4" w:space="0" w:color="auto"/>
            </w:tcBorders>
            <w:shd w:val="clear" w:color="auto" w:fill="auto"/>
            <w:hideMark/>
          </w:tcPr>
          <w:p w14:paraId="3F2C82D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-2,8</w:t>
            </w:r>
          </w:p>
        </w:tc>
        <w:tc>
          <w:tcPr>
            <w:tcW w:w="1698" w:type="dxa"/>
            <w:tcBorders>
              <w:top w:val="nil"/>
              <w:left w:val="nil"/>
              <w:bottom w:val="dotted" w:sz="4" w:space="0" w:color="auto"/>
              <w:right w:val="dotted" w:sz="4" w:space="0" w:color="auto"/>
            </w:tcBorders>
            <w:shd w:val="clear" w:color="auto" w:fill="auto"/>
            <w:hideMark/>
          </w:tcPr>
          <w:p w14:paraId="29A51EDF"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-2,2</w:t>
            </w:r>
          </w:p>
        </w:tc>
        <w:tc>
          <w:tcPr>
            <w:tcW w:w="1698" w:type="dxa"/>
            <w:tcBorders>
              <w:top w:val="nil"/>
              <w:left w:val="nil"/>
              <w:bottom w:val="dotted" w:sz="4" w:space="0" w:color="auto"/>
              <w:right w:val="dotted" w:sz="4" w:space="0" w:color="auto"/>
            </w:tcBorders>
            <w:shd w:val="clear" w:color="auto" w:fill="auto"/>
            <w:hideMark/>
          </w:tcPr>
          <w:p w14:paraId="3E9E088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-1,5</w:t>
            </w:r>
          </w:p>
        </w:tc>
        <w:tc>
          <w:tcPr>
            <w:tcW w:w="1698" w:type="dxa"/>
            <w:tcBorders>
              <w:top w:val="nil"/>
              <w:left w:val="nil"/>
              <w:bottom w:val="dotted" w:sz="4" w:space="0" w:color="auto"/>
              <w:right w:val="dotted" w:sz="4" w:space="0" w:color="auto"/>
            </w:tcBorders>
            <w:shd w:val="clear" w:color="auto" w:fill="auto"/>
            <w:hideMark/>
          </w:tcPr>
          <w:p w14:paraId="4FBA3A1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-1,5</w:t>
            </w:r>
          </w:p>
        </w:tc>
        <w:tc>
          <w:tcPr>
            <w:tcW w:w="1698" w:type="dxa"/>
            <w:tcBorders>
              <w:top w:val="nil"/>
              <w:left w:val="nil"/>
              <w:bottom w:val="dotted" w:sz="4" w:space="0" w:color="auto"/>
              <w:right w:val="double" w:sz="6" w:space="0" w:color="auto"/>
            </w:tcBorders>
            <w:shd w:val="clear" w:color="auto" w:fill="auto"/>
            <w:hideMark/>
          </w:tcPr>
          <w:p w14:paraId="3653B21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r>
      <w:tr w:rsidR="009B5DE5" w:rsidRPr="009B5DE5" w14:paraId="570EDFB7" w14:textId="77777777" w:rsidTr="00396800">
        <w:trPr>
          <w:trHeight w:val="315"/>
        </w:trPr>
        <w:tc>
          <w:tcPr>
            <w:tcW w:w="6141" w:type="dxa"/>
            <w:tcBorders>
              <w:top w:val="nil"/>
              <w:left w:val="double" w:sz="6" w:space="0" w:color="auto"/>
              <w:bottom w:val="dotted" w:sz="4" w:space="0" w:color="auto"/>
              <w:right w:val="single" w:sz="8" w:space="0" w:color="auto"/>
            </w:tcBorders>
            <w:shd w:val="clear" w:color="000000" w:fill="FFFFFF"/>
            <w:hideMark/>
          </w:tcPr>
          <w:p w14:paraId="3F31B1AD"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Садашњи</w:t>
            </w:r>
          </w:p>
        </w:tc>
        <w:tc>
          <w:tcPr>
            <w:tcW w:w="1698" w:type="dxa"/>
            <w:tcBorders>
              <w:top w:val="nil"/>
              <w:left w:val="nil"/>
              <w:bottom w:val="dotted" w:sz="4" w:space="0" w:color="auto"/>
              <w:right w:val="dotted" w:sz="4" w:space="0" w:color="auto"/>
            </w:tcBorders>
            <w:shd w:val="clear" w:color="000000" w:fill="FFFFFF"/>
            <w:hideMark/>
          </w:tcPr>
          <w:p w14:paraId="707A05A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-2,1</w:t>
            </w:r>
          </w:p>
        </w:tc>
        <w:tc>
          <w:tcPr>
            <w:tcW w:w="1698" w:type="dxa"/>
            <w:tcBorders>
              <w:top w:val="nil"/>
              <w:left w:val="nil"/>
              <w:bottom w:val="dotted" w:sz="4" w:space="0" w:color="auto"/>
              <w:right w:val="dotted" w:sz="4" w:space="0" w:color="auto"/>
            </w:tcBorders>
            <w:shd w:val="clear" w:color="000000" w:fill="FFFFFF"/>
            <w:hideMark/>
          </w:tcPr>
          <w:p w14:paraId="143890C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-2,7</w:t>
            </w:r>
          </w:p>
        </w:tc>
        <w:tc>
          <w:tcPr>
            <w:tcW w:w="1698" w:type="dxa"/>
            <w:tcBorders>
              <w:top w:val="nil"/>
              <w:left w:val="nil"/>
              <w:bottom w:val="dotted" w:sz="4" w:space="0" w:color="auto"/>
              <w:right w:val="dotted" w:sz="4" w:space="0" w:color="auto"/>
            </w:tcBorders>
            <w:shd w:val="clear" w:color="000000" w:fill="FFFFFF"/>
            <w:hideMark/>
          </w:tcPr>
          <w:p w14:paraId="5917989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-3,0</w:t>
            </w:r>
          </w:p>
        </w:tc>
        <w:tc>
          <w:tcPr>
            <w:tcW w:w="1698" w:type="dxa"/>
            <w:tcBorders>
              <w:top w:val="nil"/>
              <w:left w:val="nil"/>
              <w:bottom w:val="dotted" w:sz="4" w:space="0" w:color="auto"/>
              <w:right w:val="dotted" w:sz="4" w:space="0" w:color="auto"/>
            </w:tcBorders>
            <w:shd w:val="clear" w:color="000000" w:fill="FFFFFF"/>
            <w:hideMark/>
          </w:tcPr>
          <w:p w14:paraId="794567F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-3,0</w:t>
            </w:r>
          </w:p>
        </w:tc>
        <w:tc>
          <w:tcPr>
            <w:tcW w:w="1698" w:type="dxa"/>
            <w:tcBorders>
              <w:top w:val="nil"/>
              <w:left w:val="nil"/>
              <w:bottom w:val="dotted" w:sz="4" w:space="0" w:color="auto"/>
              <w:right w:val="double" w:sz="6" w:space="0" w:color="auto"/>
            </w:tcBorders>
            <w:shd w:val="clear" w:color="000000" w:fill="FFFFFF"/>
            <w:hideMark/>
          </w:tcPr>
          <w:p w14:paraId="76B3494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-3,0</w:t>
            </w:r>
          </w:p>
        </w:tc>
      </w:tr>
      <w:tr w:rsidR="009B5DE5" w:rsidRPr="009B5DE5" w14:paraId="18143078" w14:textId="77777777" w:rsidTr="00396800">
        <w:trPr>
          <w:trHeight w:val="315"/>
        </w:trPr>
        <w:tc>
          <w:tcPr>
            <w:tcW w:w="6141" w:type="dxa"/>
            <w:tcBorders>
              <w:top w:val="nil"/>
              <w:left w:val="double" w:sz="6" w:space="0" w:color="auto"/>
              <w:bottom w:val="single" w:sz="8" w:space="0" w:color="auto"/>
              <w:right w:val="single" w:sz="8" w:space="0" w:color="auto"/>
            </w:tcBorders>
            <w:shd w:val="clear" w:color="000000" w:fill="FFFFFF"/>
            <w:hideMark/>
          </w:tcPr>
          <w:p w14:paraId="70A94EDD"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Разлика (процентни поени)</w:t>
            </w:r>
          </w:p>
        </w:tc>
        <w:tc>
          <w:tcPr>
            <w:tcW w:w="1698" w:type="dxa"/>
            <w:tcBorders>
              <w:top w:val="nil"/>
              <w:left w:val="nil"/>
              <w:bottom w:val="single" w:sz="8" w:space="0" w:color="auto"/>
              <w:right w:val="dotted" w:sz="4" w:space="0" w:color="auto"/>
            </w:tcBorders>
            <w:shd w:val="clear" w:color="000000" w:fill="FFFFFF"/>
            <w:hideMark/>
          </w:tcPr>
          <w:p w14:paraId="2A4356E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0,7</w:t>
            </w:r>
          </w:p>
        </w:tc>
        <w:tc>
          <w:tcPr>
            <w:tcW w:w="1698" w:type="dxa"/>
            <w:tcBorders>
              <w:top w:val="nil"/>
              <w:left w:val="nil"/>
              <w:bottom w:val="single" w:sz="8" w:space="0" w:color="auto"/>
              <w:right w:val="dotted" w:sz="4" w:space="0" w:color="auto"/>
            </w:tcBorders>
            <w:shd w:val="clear" w:color="000000" w:fill="FFFFFF"/>
            <w:hideMark/>
          </w:tcPr>
          <w:p w14:paraId="7469442A"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-0,5</w:t>
            </w:r>
          </w:p>
        </w:tc>
        <w:tc>
          <w:tcPr>
            <w:tcW w:w="1698" w:type="dxa"/>
            <w:tcBorders>
              <w:top w:val="nil"/>
              <w:left w:val="nil"/>
              <w:bottom w:val="single" w:sz="8" w:space="0" w:color="auto"/>
              <w:right w:val="dotted" w:sz="4" w:space="0" w:color="auto"/>
            </w:tcBorders>
            <w:shd w:val="clear" w:color="000000" w:fill="FFFFFF"/>
            <w:hideMark/>
          </w:tcPr>
          <w:p w14:paraId="0568E93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-1,5</w:t>
            </w:r>
          </w:p>
        </w:tc>
        <w:tc>
          <w:tcPr>
            <w:tcW w:w="1698" w:type="dxa"/>
            <w:tcBorders>
              <w:top w:val="nil"/>
              <w:left w:val="nil"/>
              <w:bottom w:val="single" w:sz="8" w:space="0" w:color="auto"/>
              <w:right w:val="dotted" w:sz="4" w:space="0" w:color="auto"/>
            </w:tcBorders>
            <w:shd w:val="clear" w:color="000000" w:fill="FFFFFF"/>
            <w:hideMark/>
          </w:tcPr>
          <w:p w14:paraId="24C76A1A"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-1,5</w:t>
            </w:r>
          </w:p>
        </w:tc>
        <w:tc>
          <w:tcPr>
            <w:tcW w:w="1698" w:type="dxa"/>
            <w:tcBorders>
              <w:top w:val="nil"/>
              <w:left w:val="nil"/>
              <w:bottom w:val="single" w:sz="8" w:space="0" w:color="auto"/>
              <w:right w:val="double" w:sz="6" w:space="0" w:color="auto"/>
            </w:tcBorders>
            <w:shd w:val="clear" w:color="000000" w:fill="FFFFFF"/>
            <w:hideMark/>
          </w:tcPr>
          <w:p w14:paraId="113E24B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r>
      <w:tr w:rsidR="009B5DE5" w:rsidRPr="009B5DE5" w14:paraId="21FD2CC6" w14:textId="77777777" w:rsidTr="00396800">
        <w:trPr>
          <w:trHeight w:val="315"/>
        </w:trPr>
        <w:tc>
          <w:tcPr>
            <w:tcW w:w="14634" w:type="dxa"/>
            <w:gridSpan w:val="6"/>
            <w:tcBorders>
              <w:top w:val="single" w:sz="8" w:space="0" w:color="auto"/>
              <w:left w:val="double" w:sz="6" w:space="0" w:color="auto"/>
              <w:bottom w:val="single" w:sz="4" w:space="0" w:color="auto"/>
              <w:right w:val="double" w:sz="6" w:space="0" w:color="000000"/>
            </w:tcBorders>
            <w:shd w:val="clear" w:color="000000" w:fill="FFFFFF"/>
            <w:hideMark/>
          </w:tcPr>
          <w:p w14:paraId="59941BD9"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3. Бруто дуг сектора државе (% БДП-а)</w:t>
            </w:r>
          </w:p>
        </w:tc>
      </w:tr>
      <w:tr w:rsidR="009B5DE5" w:rsidRPr="009B5DE5" w14:paraId="2210E571" w14:textId="77777777" w:rsidTr="00396800">
        <w:trPr>
          <w:trHeight w:val="315"/>
        </w:trPr>
        <w:tc>
          <w:tcPr>
            <w:tcW w:w="6141" w:type="dxa"/>
            <w:tcBorders>
              <w:top w:val="nil"/>
              <w:left w:val="double" w:sz="6" w:space="0" w:color="auto"/>
              <w:bottom w:val="dotted" w:sz="4" w:space="0" w:color="auto"/>
              <w:right w:val="single" w:sz="8" w:space="0" w:color="auto"/>
            </w:tcBorders>
            <w:shd w:val="clear" w:color="000000" w:fill="FFFFFF"/>
            <w:hideMark/>
          </w:tcPr>
          <w:p w14:paraId="08AB72B6"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Претходни</w:t>
            </w:r>
          </w:p>
        </w:tc>
        <w:tc>
          <w:tcPr>
            <w:tcW w:w="1698" w:type="dxa"/>
            <w:tcBorders>
              <w:top w:val="nil"/>
              <w:left w:val="nil"/>
              <w:bottom w:val="dotted" w:sz="4" w:space="0" w:color="auto"/>
              <w:right w:val="dotted" w:sz="4" w:space="0" w:color="auto"/>
            </w:tcBorders>
            <w:shd w:val="clear" w:color="auto" w:fill="auto"/>
            <w:hideMark/>
          </w:tcPr>
          <w:p w14:paraId="345C6E3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53,3</w:t>
            </w:r>
          </w:p>
        </w:tc>
        <w:tc>
          <w:tcPr>
            <w:tcW w:w="1698" w:type="dxa"/>
            <w:tcBorders>
              <w:top w:val="nil"/>
              <w:left w:val="nil"/>
              <w:bottom w:val="dotted" w:sz="4" w:space="0" w:color="auto"/>
              <w:right w:val="dotted" w:sz="4" w:space="0" w:color="auto"/>
            </w:tcBorders>
            <w:shd w:val="clear" w:color="auto" w:fill="auto"/>
            <w:hideMark/>
          </w:tcPr>
          <w:p w14:paraId="58FDBD8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51,7</w:t>
            </w:r>
          </w:p>
        </w:tc>
        <w:tc>
          <w:tcPr>
            <w:tcW w:w="1698" w:type="dxa"/>
            <w:tcBorders>
              <w:top w:val="nil"/>
              <w:left w:val="nil"/>
              <w:bottom w:val="dotted" w:sz="4" w:space="0" w:color="auto"/>
              <w:right w:val="dotted" w:sz="4" w:space="0" w:color="auto"/>
            </w:tcBorders>
            <w:shd w:val="clear" w:color="auto" w:fill="auto"/>
            <w:hideMark/>
          </w:tcPr>
          <w:p w14:paraId="195CB3B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50,7</w:t>
            </w:r>
          </w:p>
        </w:tc>
        <w:tc>
          <w:tcPr>
            <w:tcW w:w="1698" w:type="dxa"/>
            <w:tcBorders>
              <w:top w:val="nil"/>
              <w:left w:val="nil"/>
              <w:bottom w:val="dotted" w:sz="4" w:space="0" w:color="auto"/>
              <w:right w:val="dotted" w:sz="4" w:space="0" w:color="auto"/>
            </w:tcBorders>
            <w:shd w:val="clear" w:color="auto" w:fill="auto"/>
            <w:hideMark/>
          </w:tcPr>
          <w:p w14:paraId="14666A5D"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50,0</w:t>
            </w:r>
          </w:p>
        </w:tc>
        <w:tc>
          <w:tcPr>
            <w:tcW w:w="1698" w:type="dxa"/>
            <w:tcBorders>
              <w:top w:val="nil"/>
              <w:left w:val="nil"/>
              <w:bottom w:val="dotted" w:sz="4" w:space="0" w:color="auto"/>
              <w:right w:val="double" w:sz="6" w:space="0" w:color="auto"/>
            </w:tcBorders>
            <w:shd w:val="clear" w:color="auto" w:fill="auto"/>
            <w:hideMark/>
          </w:tcPr>
          <w:p w14:paraId="380B3C31"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r>
      <w:tr w:rsidR="009B5DE5" w:rsidRPr="009B5DE5" w14:paraId="556168B6" w14:textId="77777777" w:rsidTr="00396800">
        <w:trPr>
          <w:trHeight w:val="315"/>
        </w:trPr>
        <w:tc>
          <w:tcPr>
            <w:tcW w:w="6141" w:type="dxa"/>
            <w:tcBorders>
              <w:top w:val="nil"/>
              <w:left w:val="double" w:sz="6" w:space="0" w:color="auto"/>
              <w:bottom w:val="dotted" w:sz="4" w:space="0" w:color="auto"/>
              <w:right w:val="single" w:sz="8" w:space="0" w:color="auto"/>
            </w:tcBorders>
            <w:shd w:val="clear" w:color="000000" w:fill="FFFFFF"/>
            <w:hideMark/>
          </w:tcPr>
          <w:p w14:paraId="7D3ED805"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Садашњи</w:t>
            </w:r>
          </w:p>
        </w:tc>
        <w:tc>
          <w:tcPr>
            <w:tcW w:w="1698" w:type="dxa"/>
            <w:tcBorders>
              <w:top w:val="nil"/>
              <w:left w:val="nil"/>
              <w:bottom w:val="dotted" w:sz="4" w:space="0" w:color="auto"/>
              <w:right w:val="dotted" w:sz="4" w:space="0" w:color="auto"/>
            </w:tcBorders>
            <w:shd w:val="clear" w:color="000000" w:fill="FFFFFF"/>
            <w:hideMark/>
          </w:tcPr>
          <w:p w14:paraId="6EF22BF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48,4</w:t>
            </w:r>
          </w:p>
        </w:tc>
        <w:tc>
          <w:tcPr>
            <w:tcW w:w="1698" w:type="dxa"/>
            <w:tcBorders>
              <w:top w:val="nil"/>
              <w:left w:val="nil"/>
              <w:bottom w:val="dotted" w:sz="4" w:space="0" w:color="auto"/>
              <w:right w:val="dotted" w:sz="4" w:space="0" w:color="auto"/>
            </w:tcBorders>
            <w:shd w:val="clear" w:color="000000" w:fill="FFFFFF"/>
            <w:hideMark/>
          </w:tcPr>
          <w:p w14:paraId="5B8D1E7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47,9</w:t>
            </w:r>
          </w:p>
        </w:tc>
        <w:tc>
          <w:tcPr>
            <w:tcW w:w="1698" w:type="dxa"/>
            <w:tcBorders>
              <w:top w:val="nil"/>
              <w:left w:val="nil"/>
              <w:bottom w:val="dotted" w:sz="4" w:space="0" w:color="auto"/>
              <w:right w:val="dotted" w:sz="4" w:space="0" w:color="auto"/>
            </w:tcBorders>
            <w:shd w:val="clear" w:color="000000" w:fill="FFFFFF"/>
            <w:hideMark/>
          </w:tcPr>
          <w:p w14:paraId="4FD6613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47,5</w:t>
            </w:r>
          </w:p>
        </w:tc>
        <w:tc>
          <w:tcPr>
            <w:tcW w:w="1698" w:type="dxa"/>
            <w:tcBorders>
              <w:top w:val="nil"/>
              <w:left w:val="nil"/>
              <w:bottom w:val="dotted" w:sz="4" w:space="0" w:color="auto"/>
              <w:right w:val="dotted" w:sz="4" w:space="0" w:color="auto"/>
            </w:tcBorders>
            <w:shd w:val="clear" w:color="000000" w:fill="FFFFFF"/>
            <w:hideMark/>
          </w:tcPr>
          <w:p w14:paraId="6E5C7EB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47,0</w:t>
            </w:r>
          </w:p>
        </w:tc>
        <w:tc>
          <w:tcPr>
            <w:tcW w:w="1698" w:type="dxa"/>
            <w:tcBorders>
              <w:top w:val="nil"/>
              <w:left w:val="nil"/>
              <w:bottom w:val="dotted" w:sz="4" w:space="0" w:color="auto"/>
              <w:right w:val="double" w:sz="6" w:space="0" w:color="auto"/>
            </w:tcBorders>
            <w:shd w:val="clear" w:color="000000" w:fill="FFFFFF"/>
            <w:hideMark/>
          </w:tcPr>
          <w:p w14:paraId="6D75A5AA"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46,5</w:t>
            </w:r>
          </w:p>
        </w:tc>
      </w:tr>
      <w:tr w:rsidR="009B5DE5" w:rsidRPr="009B5DE5" w14:paraId="7E7AAA3F" w14:textId="77777777" w:rsidTr="00396800">
        <w:trPr>
          <w:trHeight w:val="315"/>
        </w:trPr>
        <w:tc>
          <w:tcPr>
            <w:tcW w:w="6141" w:type="dxa"/>
            <w:tcBorders>
              <w:top w:val="nil"/>
              <w:left w:val="double" w:sz="6" w:space="0" w:color="auto"/>
              <w:bottom w:val="single" w:sz="8" w:space="0" w:color="auto"/>
              <w:right w:val="single" w:sz="8" w:space="0" w:color="auto"/>
            </w:tcBorders>
            <w:shd w:val="clear" w:color="000000" w:fill="FFFFFF"/>
            <w:hideMark/>
          </w:tcPr>
          <w:p w14:paraId="14FAF4FF" w14:textId="77777777" w:rsidR="009B5DE5" w:rsidRPr="009B5DE5" w:rsidRDefault="009B5DE5" w:rsidP="009B5DE5">
            <w:pPr>
              <w:spacing w:after="0"/>
              <w:jc w:val="left"/>
              <w:rPr>
                <w:rFonts w:eastAsia="Times New Roman" w:cs="Times New Roman"/>
                <w:szCs w:val="24"/>
              </w:rPr>
            </w:pPr>
            <w:bookmarkStart w:id="163" w:name="RANGE!B17"/>
            <w:r w:rsidRPr="009B5DE5">
              <w:rPr>
                <w:rFonts w:eastAsia="Times New Roman" w:cs="Times New Roman"/>
                <w:szCs w:val="24"/>
              </w:rPr>
              <w:t>Разлика (процентни поени)</w:t>
            </w:r>
            <w:bookmarkEnd w:id="163"/>
          </w:p>
        </w:tc>
        <w:tc>
          <w:tcPr>
            <w:tcW w:w="1698" w:type="dxa"/>
            <w:tcBorders>
              <w:top w:val="nil"/>
              <w:left w:val="nil"/>
              <w:bottom w:val="double" w:sz="6" w:space="0" w:color="auto"/>
              <w:right w:val="dotted" w:sz="4" w:space="0" w:color="auto"/>
            </w:tcBorders>
            <w:shd w:val="clear" w:color="000000" w:fill="FFFFFF"/>
            <w:hideMark/>
          </w:tcPr>
          <w:p w14:paraId="7A959D2B"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-4,9</w:t>
            </w:r>
          </w:p>
        </w:tc>
        <w:tc>
          <w:tcPr>
            <w:tcW w:w="1698" w:type="dxa"/>
            <w:tcBorders>
              <w:top w:val="nil"/>
              <w:left w:val="nil"/>
              <w:bottom w:val="double" w:sz="6" w:space="0" w:color="auto"/>
              <w:right w:val="dotted" w:sz="4" w:space="0" w:color="auto"/>
            </w:tcBorders>
            <w:shd w:val="clear" w:color="000000" w:fill="FFFFFF"/>
            <w:hideMark/>
          </w:tcPr>
          <w:p w14:paraId="58BB863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-3,8</w:t>
            </w:r>
          </w:p>
        </w:tc>
        <w:tc>
          <w:tcPr>
            <w:tcW w:w="1698" w:type="dxa"/>
            <w:tcBorders>
              <w:top w:val="nil"/>
              <w:left w:val="nil"/>
              <w:bottom w:val="double" w:sz="6" w:space="0" w:color="auto"/>
              <w:right w:val="dotted" w:sz="4" w:space="0" w:color="auto"/>
            </w:tcBorders>
            <w:shd w:val="clear" w:color="000000" w:fill="FFFFFF"/>
            <w:hideMark/>
          </w:tcPr>
          <w:p w14:paraId="2D18AEBE"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-3,2</w:t>
            </w:r>
          </w:p>
        </w:tc>
        <w:tc>
          <w:tcPr>
            <w:tcW w:w="1698" w:type="dxa"/>
            <w:tcBorders>
              <w:top w:val="nil"/>
              <w:left w:val="nil"/>
              <w:bottom w:val="double" w:sz="6" w:space="0" w:color="auto"/>
              <w:right w:val="dotted" w:sz="4" w:space="0" w:color="auto"/>
            </w:tcBorders>
            <w:shd w:val="clear" w:color="000000" w:fill="FFFFFF"/>
            <w:hideMark/>
          </w:tcPr>
          <w:p w14:paraId="26F482CC"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-3,0</w:t>
            </w:r>
          </w:p>
        </w:tc>
        <w:tc>
          <w:tcPr>
            <w:tcW w:w="1698" w:type="dxa"/>
            <w:tcBorders>
              <w:top w:val="nil"/>
              <w:left w:val="nil"/>
              <w:bottom w:val="double" w:sz="6" w:space="0" w:color="auto"/>
              <w:right w:val="double" w:sz="6" w:space="0" w:color="auto"/>
            </w:tcBorders>
            <w:shd w:val="clear" w:color="000000" w:fill="FFFFFF"/>
            <w:hideMark/>
          </w:tcPr>
          <w:p w14:paraId="0D4A8270"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w:t>
            </w:r>
          </w:p>
        </w:tc>
      </w:tr>
    </w:tbl>
    <w:p w14:paraId="42E22F7E" w14:textId="77777777" w:rsidR="009B5DE5" w:rsidRPr="009B5DE5" w:rsidRDefault="009B5DE5" w:rsidP="009B5DE5">
      <w:pPr>
        <w:spacing w:after="0"/>
        <w:jc w:val="left"/>
        <w:rPr>
          <w:rFonts w:eastAsia="Times New Roman" w:cs="Times New Roman"/>
          <w:bCs/>
          <w:sz w:val="22"/>
        </w:rPr>
      </w:pPr>
    </w:p>
    <w:p w14:paraId="7A44D14F" w14:textId="77777777" w:rsidR="009B5DE5" w:rsidRPr="009B5DE5" w:rsidRDefault="009B5DE5" w:rsidP="009B5DE5">
      <w:pPr>
        <w:spacing w:after="160" w:line="259" w:lineRule="auto"/>
        <w:jc w:val="left"/>
        <w:rPr>
          <w:rFonts w:ascii="Calibri" w:eastAsia="Calibri" w:hAnsi="Calibri" w:cs="Times New Roman"/>
          <w:sz w:val="22"/>
          <w:lang w:val="sr-Cyrl-RS"/>
        </w:rPr>
      </w:pPr>
    </w:p>
    <w:p w14:paraId="3D1EAA0D" w14:textId="77777777" w:rsidR="009B5DE5" w:rsidRPr="009B5DE5" w:rsidRDefault="009B5DE5" w:rsidP="009B5DE5">
      <w:pPr>
        <w:spacing w:after="160" w:line="259" w:lineRule="auto"/>
        <w:jc w:val="left"/>
        <w:rPr>
          <w:rFonts w:ascii="Calibri" w:eastAsia="Calibri" w:hAnsi="Calibri" w:cs="Times New Roman"/>
          <w:sz w:val="22"/>
          <w:lang w:val="sr-Cyrl-RS"/>
        </w:rPr>
      </w:pPr>
    </w:p>
    <w:p w14:paraId="5C6E935B" w14:textId="77777777" w:rsidR="009B5DE5" w:rsidRDefault="009B5DE5" w:rsidP="009B5DE5">
      <w:pPr>
        <w:spacing w:after="160" w:line="259" w:lineRule="auto"/>
        <w:jc w:val="left"/>
        <w:rPr>
          <w:rFonts w:ascii="Calibri" w:eastAsia="Calibri" w:hAnsi="Calibri" w:cs="Times New Roman"/>
          <w:sz w:val="22"/>
          <w:lang w:val="sr-Cyrl-RS"/>
        </w:rPr>
      </w:pPr>
    </w:p>
    <w:p w14:paraId="1917F3B6" w14:textId="77777777" w:rsidR="00396800" w:rsidRDefault="00396800" w:rsidP="009B5DE5">
      <w:pPr>
        <w:spacing w:after="160" w:line="259" w:lineRule="auto"/>
        <w:jc w:val="left"/>
        <w:rPr>
          <w:rFonts w:ascii="Calibri" w:eastAsia="Calibri" w:hAnsi="Calibri" w:cs="Times New Roman"/>
          <w:sz w:val="22"/>
          <w:lang w:val="sr-Cyrl-RS"/>
        </w:rPr>
      </w:pPr>
    </w:p>
    <w:p w14:paraId="46ED44F0" w14:textId="77777777" w:rsidR="00396800" w:rsidRDefault="00396800" w:rsidP="009B5DE5">
      <w:pPr>
        <w:spacing w:after="160" w:line="259" w:lineRule="auto"/>
        <w:jc w:val="left"/>
        <w:rPr>
          <w:rFonts w:ascii="Calibri" w:eastAsia="Calibri" w:hAnsi="Calibri" w:cs="Times New Roman"/>
          <w:sz w:val="22"/>
          <w:lang w:val="sr-Cyrl-RS"/>
        </w:rPr>
      </w:pPr>
    </w:p>
    <w:p w14:paraId="177A9164" w14:textId="77777777" w:rsidR="00396800" w:rsidRPr="009B5DE5" w:rsidRDefault="00396800" w:rsidP="009B5DE5">
      <w:pPr>
        <w:spacing w:after="160" w:line="259" w:lineRule="auto"/>
        <w:jc w:val="left"/>
        <w:rPr>
          <w:rFonts w:ascii="Calibri" w:eastAsia="Calibri" w:hAnsi="Calibri" w:cs="Times New Roman"/>
          <w:sz w:val="22"/>
          <w:lang w:val="sr-Cyrl-RS"/>
        </w:rPr>
      </w:pPr>
    </w:p>
    <w:p w14:paraId="542879E0" w14:textId="77777777" w:rsidR="009B5DE5" w:rsidRPr="009B5DE5" w:rsidRDefault="009B5DE5" w:rsidP="009B5DE5">
      <w:pPr>
        <w:spacing w:after="160" w:line="259" w:lineRule="auto"/>
        <w:jc w:val="left"/>
        <w:rPr>
          <w:rFonts w:ascii="Calibri" w:eastAsia="Calibri" w:hAnsi="Calibri" w:cs="Times New Roman"/>
          <w:sz w:val="22"/>
          <w:lang w:val="sr-Cyrl-RS"/>
        </w:rPr>
      </w:pPr>
      <w:r w:rsidRPr="009B5DE5">
        <w:rPr>
          <w:rFonts w:eastAsia="Times New Roman" w:cs="Times New Roman"/>
          <w:bCs/>
          <w:sz w:val="22"/>
        </w:rPr>
        <w:lastRenderedPageBreak/>
        <w:t>Табела 7: Дугорочна одрживост јавних финансија (% БДП)</w:t>
      </w:r>
    </w:p>
    <w:tbl>
      <w:tblPr>
        <w:tblW w:w="14894" w:type="dxa"/>
        <w:tblLook w:val="04A0" w:firstRow="1" w:lastRow="0" w:firstColumn="1" w:lastColumn="0" w:noHBand="0" w:noVBand="1"/>
      </w:tblPr>
      <w:tblGrid>
        <w:gridCol w:w="7061"/>
        <w:gridCol w:w="1552"/>
        <w:gridCol w:w="1371"/>
        <w:gridCol w:w="982"/>
        <w:gridCol w:w="982"/>
        <w:gridCol w:w="982"/>
        <w:gridCol w:w="982"/>
        <w:gridCol w:w="982"/>
      </w:tblGrid>
      <w:tr w:rsidR="009B5DE5" w:rsidRPr="009B5DE5" w14:paraId="12027E21" w14:textId="77777777" w:rsidTr="00396800">
        <w:trPr>
          <w:trHeight w:val="324"/>
        </w:trPr>
        <w:tc>
          <w:tcPr>
            <w:tcW w:w="7061" w:type="dxa"/>
            <w:tcBorders>
              <w:top w:val="double" w:sz="6" w:space="0" w:color="auto"/>
              <w:left w:val="double" w:sz="6" w:space="0" w:color="auto"/>
              <w:bottom w:val="double" w:sz="6" w:space="0" w:color="auto"/>
              <w:right w:val="nil"/>
            </w:tcBorders>
            <w:shd w:val="clear" w:color="auto" w:fill="auto"/>
            <w:noWrap/>
            <w:vAlign w:val="center"/>
            <w:hideMark/>
          </w:tcPr>
          <w:p w14:paraId="2FD86A55" w14:textId="77777777" w:rsidR="009B5DE5" w:rsidRPr="009B5DE5" w:rsidRDefault="009B5DE5" w:rsidP="009B5DE5">
            <w:pPr>
              <w:spacing w:after="0"/>
              <w:jc w:val="left"/>
              <w:rPr>
                <w:rFonts w:eastAsia="Times New Roman" w:cs="Times New Roman"/>
                <w:b/>
                <w:bCs/>
                <w:sz w:val="20"/>
                <w:szCs w:val="20"/>
              </w:rPr>
            </w:pPr>
          </w:p>
        </w:tc>
        <w:tc>
          <w:tcPr>
            <w:tcW w:w="1552" w:type="dxa"/>
            <w:tcBorders>
              <w:top w:val="double" w:sz="6" w:space="0" w:color="auto"/>
              <w:left w:val="single" w:sz="8" w:space="0" w:color="auto"/>
              <w:bottom w:val="double" w:sz="6" w:space="0" w:color="auto"/>
              <w:right w:val="dashed" w:sz="4" w:space="0" w:color="auto"/>
            </w:tcBorders>
            <w:shd w:val="clear" w:color="auto" w:fill="auto"/>
            <w:noWrap/>
            <w:vAlign w:val="center"/>
            <w:hideMark/>
          </w:tcPr>
          <w:p w14:paraId="1C73FE32"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2007</w:t>
            </w:r>
          </w:p>
        </w:tc>
        <w:tc>
          <w:tcPr>
            <w:tcW w:w="1371" w:type="dxa"/>
            <w:tcBorders>
              <w:top w:val="double" w:sz="6" w:space="0" w:color="auto"/>
              <w:left w:val="nil"/>
              <w:bottom w:val="double" w:sz="6" w:space="0" w:color="auto"/>
              <w:right w:val="dashed" w:sz="4" w:space="0" w:color="auto"/>
            </w:tcBorders>
            <w:shd w:val="clear" w:color="auto" w:fill="auto"/>
            <w:noWrap/>
            <w:vAlign w:val="center"/>
            <w:hideMark/>
          </w:tcPr>
          <w:p w14:paraId="28EB8A4C"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2010</w:t>
            </w:r>
          </w:p>
        </w:tc>
        <w:tc>
          <w:tcPr>
            <w:tcW w:w="982" w:type="dxa"/>
            <w:tcBorders>
              <w:top w:val="double" w:sz="6" w:space="0" w:color="auto"/>
              <w:left w:val="nil"/>
              <w:bottom w:val="double" w:sz="6" w:space="0" w:color="auto"/>
              <w:right w:val="dashed" w:sz="4" w:space="0" w:color="auto"/>
            </w:tcBorders>
            <w:shd w:val="clear" w:color="auto" w:fill="auto"/>
            <w:noWrap/>
            <w:vAlign w:val="center"/>
            <w:hideMark/>
          </w:tcPr>
          <w:p w14:paraId="6F25600C"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2020</w:t>
            </w:r>
          </w:p>
        </w:tc>
        <w:tc>
          <w:tcPr>
            <w:tcW w:w="982" w:type="dxa"/>
            <w:tcBorders>
              <w:top w:val="double" w:sz="6" w:space="0" w:color="auto"/>
              <w:left w:val="nil"/>
              <w:bottom w:val="double" w:sz="6" w:space="0" w:color="auto"/>
              <w:right w:val="dashed" w:sz="4" w:space="0" w:color="auto"/>
            </w:tcBorders>
            <w:shd w:val="clear" w:color="auto" w:fill="auto"/>
            <w:noWrap/>
            <w:vAlign w:val="center"/>
            <w:hideMark/>
          </w:tcPr>
          <w:p w14:paraId="07E28F6B"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2030</w:t>
            </w:r>
          </w:p>
        </w:tc>
        <w:tc>
          <w:tcPr>
            <w:tcW w:w="982" w:type="dxa"/>
            <w:tcBorders>
              <w:top w:val="double" w:sz="6" w:space="0" w:color="auto"/>
              <w:left w:val="nil"/>
              <w:bottom w:val="double" w:sz="6" w:space="0" w:color="auto"/>
              <w:right w:val="dashed" w:sz="4" w:space="0" w:color="auto"/>
            </w:tcBorders>
            <w:shd w:val="clear" w:color="auto" w:fill="auto"/>
            <w:noWrap/>
            <w:vAlign w:val="center"/>
            <w:hideMark/>
          </w:tcPr>
          <w:p w14:paraId="19A4B472"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2040</w:t>
            </w:r>
          </w:p>
        </w:tc>
        <w:tc>
          <w:tcPr>
            <w:tcW w:w="982" w:type="dxa"/>
            <w:tcBorders>
              <w:top w:val="double" w:sz="6" w:space="0" w:color="auto"/>
              <w:left w:val="nil"/>
              <w:bottom w:val="double" w:sz="6" w:space="0" w:color="auto"/>
              <w:right w:val="dashed" w:sz="4" w:space="0" w:color="auto"/>
            </w:tcBorders>
            <w:shd w:val="clear" w:color="auto" w:fill="auto"/>
            <w:noWrap/>
            <w:vAlign w:val="center"/>
            <w:hideMark/>
          </w:tcPr>
          <w:p w14:paraId="5EAB3235"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2050</w:t>
            </w:r>
          </w:p>
        </w:tc>
        <w:tc>
          <w:tcPr>
            <w:tcW w:w="982" w:type="dxa"/>
            <w:tcBorders>
              <w:top w:val="double" w:sz="6" w:space="0" w:color="auto"/>
              <w:left w:val="nil"/>
              <w:bottom w:val="double" w:sz="6" w:space="0" w:color="auto"/>
              <w:right w:val="double" w:sz="6" w:space="0" w:color="auto"/>
            </w:tcBorders>
            <w:shd w:val="clear" w:color="auto" w:fill="auto"/>
            <w:noWrap/>
            <w:vAlign w:val="center"/>
            <w:hideMark/>
          </w:tcPr>
          <w:p w14:paraId="68B20F51"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2060</w:t>
            </w:r>
          </w:p>
        </w:tc>
      </w:tr>
      <w:tr w:rsidR="009B5DE5" w:rsidRPr="009B5DE5" w14:paraId="7FBA49D4" w14:textId="77777777" w:rsidTr="00396800">
        <w:trPr>
          <w:trHeight w:val="307"/>
        </w:trPr>
        <w:tc>
          <w:tcPr>
            <w:tcW w:w="7061" w:type="dxa"/>
            <w:tcBorders>
              <w:top w:val="single" w:sz="4" w:space="0" w:color="auto"/>
              <w:left w:val="double" w:sz="6" w:space="0" w:color="000000"/>
              <w:bottom w:val="dotted" w:sz="4" w:space="0" w:color="000000"/>
              <w:right w:val="single" w:sz="4" w:space="0" w:color="auto"/>
            </w:tcBorders>
            <w:shd w:val="clear" w:color="auto" w:fill="auto"/>
            <w:hideMark/>
          </w:tcPr>
          <w:p w14:paraId="04AD7A74"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Укупни расходи</w:t>
            </w:r>
          </w:p>
        </w:tc>
        <w:tc>
          <w:tcPr>
            <w:tcW w:w="1552" w:type="dxa"/>
            <w:tcBorders>
              <w:top w:val="nil"/>
              <w:left w:val="nil"/>
              <w:bottom w:val="dotted" w:sz="4" w:space="0" w:color="000000"/>
              <w:right w:val="dotted" w:sz="4" w:space="0" w:color="000000"/>
            </w:tcBorders>
            <w:shd w:val="clear" w:color="auto" w:fill="auto"/>
            <w:hideMark/>
          </w:tcPr>
          <w:p w14:paraId="0E3F6C0A"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 </w:t>
            </w:r>
          </w:p>
        </w:tc>
        <w:tc>
          <w:tcPr>
            <w:tcW w:w="1371" w:type="dxa"/>
            <w:tcBorders>
              <w:top w:val="nil"/>
              <w:left w:val="nil"/>
              <w:bottom w:val="dotted" w:sz="4" w:space="0" w:color="000000"/>
              <w:right w:val="dotted" w:sz="4" w:space="0" w:color="000000"/>
            </w:tcBorders>
            <w:shd w:val="clear" w:color="auto" w:fill="auto"/>
            <w:hideMark/>
          </w:tcPr>
          <w:p w14:paraId="32208271"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2438F57B"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382E2DA6"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5E9A1B76"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591C55C2"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uble" w:sz="6" w:space="0" w:color="000000"/>
            </w:tcBorders>
            <w:shd w:val="clear" w:color="auto" w:fill="auto"/>
            <w:hideMark/>
          </w:tcPr>
          <w:p w14:paraId="2F12CFCA"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 </w:t>
            </w:r>
          </w:p>
        </w:tc>
      </w:tr>
      <w:tr w:rsidR="009B5DE5" w:rsidRPr="009B5DE5" w14:paraId="7713371B" w14:textId="77777777" w:rsidTr="00396800">
        <w:trPr>
          <w:trHeight w:val="290"/>
        </w:trPr>
        <w:tc>
          <w:tcPr>
            <w:tcW w:w="7061" w:type="dxa"/>
            <w:tcBorders>
              <w:top w:val="nil"/>
              <w:left w:val="double" w:sz="6" w:space="0" w:color="000000"/>
              <w:bottom w:val="dotted" w:sz="4" w:space="0" w:color="000000"/>
              <w:right w:val="single" w:sz="4" w:space="0" w:color="auto"/>
            </w:tcBorders>
            <w:shd w:val="clear" w:color="auto" w:fill="auto"/>
            <w:hideMark/>
          </w:tcPr>
          <w:p w14:paraId="28AF34DD"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 xml:space="preserve">од чега: </w:t>
            </w:r>
          </w:p>
        </w:tc>
        <w:tc>
          <w:tcPr>
            <w:tcW w:w="1552" w:type="dxa"/>
            <w:tcBorders>
              <w:top w:val="nil"/>
              <w:left w:val="nil"/>
              <w:bottom w:val="dotted" w:sz="4" w:space="0" w:color="000000"/>
              <w:right w:val="dotted" w:sz="4" w:space="0" w:color="000000"/>
            </w:tcBorders>
            <w:shd w:val="clear" w:color="auto" w:fill="auto"/>
            <w:hideMark/>
          </w:tcPr>
          <w:p w14:paraId="648BDD05"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 </w:t>
            </w:r>
          </w:p>
        </w:tc>
        <w:tc>
          <w:tcPr>
            <w:tcW w:w="1371" w:type="dxa"/>
            <w:tcBorders>
              <w:top w:val="nil"/>
              <w:left w:val="nil"/>
              <w:bottom w:val="dotted" w:sz="4" w:space="0" w:color="000000"/>
              <w:right w:val="dotted" w:sz="4" w:space="0" w:color="000000"/>
            </w:tcBorders>
            <w:shd w:val="clear" w:color="auto" w:fill="auto"/>
            <w:hideMark/>
          </w:tcPr>
          <w:p w14:paraId="64AB07BE"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1054F8B1"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26D54AA9"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5F9DFD40"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4B096182"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uble" w:sz="6" w:space="0" w:color="000000"/>
            </w:tcBorders>
            <w:shd w:val="clear" w:color="auto" w:fill="auto"/>
            <w:hideMark/>
          </w:tcPr>
          <w:p w14:paraId="41EE8939"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 </w:t>
            </w:r>
          </w:p>
        </w:tc>
      </w:tr>
      <w:tr w:rsidR="009B5DE5" w:rsidRPr="009B5DE5" w14:paraId="769FFD01" w14:textId="77777777" w:rsidTr="00396800">
        <w:trPr>
          <w:trHeight w:val="290"/>
        </w:trPr>
        <w:tc>
          <w:tcPr>
            <w:tcW w:w="7061" w:type="dxa"/>
            <w:tcBorders>
              <w:top w:val="nil"/>
              <w:left w:val="double" w:sz="6" w:space="0" w:color="000000"/>
              <w:bottom w:val="dotted" w:sz="4" w:space="0" w:color="000000"/>
              <w:right w:val="single" w:sz="4" w:space="0" w:color="auto"/>
            </w:tcBorders>
            <w:shd w:val="clear" w:color="auto" w:fill="auto"/>
            <w:hideMark/>
          </w:tcPr>
          <w:p w14:paraId="3735FA20"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 Расходи везани за године живота</w:t>
            </w:r>
          </w:p>
        </w:tc>
        <w:tc>
          <w:tcPr>
            <w:tcW w:w="1552" w:type="dxa"/>
            <w:tcBorders>
              <w:top w:val="nil"/>
              <w:left w:val="nil"/>
              <w:bottom w:val="dotted" w:sz="4" w:space="0" w:color="000000"/>
              <w:right w:val="dotted" w:sz="4" w:space="0" w:color="000000"/>
            </w:tcBorders>
            <w:shd w:val="clear" w:color="auto" w:fill="auto"/>
            <w:hideMark/>
          </w:tcPr>
          <w:p w14:paraId="2CC9661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371" w:type="dxa"/>
            <w:tcBorders>
              <w:top w:val="nil"/>
              <w:left w:val="nil"/>
              <w:bottom w:val="dotted" w:sz="4" w:space="0" w:color="000000"/>
              <w:right w:val="dotted" w:sz="4" w:space="0" w:color="000000"/>
            </w:tcBorders>
            <w:shd w:val="clear" w:color="auto" w:fill="auto"/>
            <w:hideMark/>
          </w:tcPr>
          <w:p w14:paraId="455DFFE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tted" w:sz="4" w:space="0" w:color="000000"/>
            </w:tcBorders>
            <w:shd w:val="clear" w:color="auto" w:fill="auto"/>
            <w:hideMark/>
          </w:tcPr>
          <w:p w14:paraId="422F3DA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tted" w:sz="4" w:space="0" w:color="000000"/>
            </w:tcBorders>
            <w:shd w:val="clear" w:color="auto" w:fill="auto"/>
            <w:hideMark/>
          </w:tcPr>
          <w:p w14:paraId="295DD9E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tted" w:sz="4" w:space="0" w:color="000000"/>
            </w:tcBorders>
            <w:shd w:val="clear" w:color="auto" w:fill="auto"/>
            <w:hideMark/>
          </w:tcPr>
          <w:p w14:paraId="107C8A3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tted" w:sz="4" w:space="0" w:color="000000"/>
            </w:tcBorders>
            <w:shd w:val="clear" w:color="auto" w:fill="auto"/>
            <w:hideMark/>
          </w:tcPr>
          <w:p w14:paraId="14D04FE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uble" w:sz="6" w:space="0" w:color="000000"/>
            </w:tcBorders>
            <w:shd w:val="clear" w:color="auto" w:fill="auto"/>
            <w:hideMark/>
          </w:tcPr>
          <w:p w14:paraId="16953F0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r>
      <w:tr w:rsidR="009B5DE5" w:rsidRPr="009B5DE5" w14:paraId="526348E6" w14:textId="77777777" w:rsidTr="00396800">
        <w:trPr>
          <w:trHeight w:val="290"/>
        </w:trPr>
        <w:tc>
          <w:tcPr>
            <w:tcW w:w="7061" w:type="dxa"/>
            <w:tcBorders>
              <w:top w:val="nil"/>
              <w:left w:val="double" w:sz="6" w:space="0" w:color="000000"/>
              <w:bottom w:val="dotted" w:sz="4" w:space="0" w:color="000000"/>
              <w:right w:val="single" w:sz="4" w:space="0" w:color="auto"/>
            </w:tcBorders>
            <w:shd w:val="clear" w:color="auto" w:fill="auto"/>
            <w:hideMark/>
          </w:tcPr>
          <w:p w14:paraId="72BA0D2A"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 расходи за пензије</w:t>
            </w:r>
          </w:p>
        </w:tc>
        <w:tc>
          <w:tcPr>
            <w:tcW w:w="1552" w:type="dxa"/>
            <w:tcBorders>
              <w:top w:val="nil"/>
              <w:left w:val="nil"/>
              <w:bottom w:val="dotted" w:sz="4" w:space="0" w:color="000000"/>
              <w:right w:val="dotted" w:sz="4" w:space="0" w:color="000000"/>
            </w:tcBorders>
            <w:shd w:val="clear" w:color="auto" w:fill="auto"/>
            <w:hideMark/>
          </w:tcPr>
          <w:p w14:paraId="6698038F"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1371" w:type="dxa"/>
            <w:tcBorders>
              <w:top w:val="nil"/>
              <w:left w:val="nil"/>
              <w:bottom w:val="dotted" w:sz="4" w:space="0" w:color="000000"/>
              <w:right w:val="dotted" w:sz="4" w:space="0" w:color="000000"/>
            </w:tcBorders>
            <w:shd w:val="clear" w:color="auto" w:fill="auto"/>
            <w:hideMark/>
          </w:tcPr>
          <w:p w14:paraId="70CD762A"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153B14B5"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16962984"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19C3648D"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77F54684"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uble" w:sz="6" w:space="0" w:color="000000"/>
            </w:tcBorders>
            <w:shd w:val="clear" w:color="auto" w:fill="auto"/>
            <w:hideMark/>
          </w:tcPr>
          <w:p w14:paraId="179F393B"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r>
      <w:tr w:rsidR="009B5DE5" w:rsidRPr="009B5DE5" w14:paraId="3451BA7F" w14:textId="77777777" w:rsidTr="00396800">
        <w:trPr>
          <w:trHeight w:val="290"/>
        </w:trPr>
        <w:tc>
          <w:tcPr>
            <w:tcW w:w="7061" w:type="dxa"/>
            <w:tcBorders>
              <w:top w:val="nil"/>
              <w:left w:val="double" w:sz="6" w:space="0" w:color="000000"/>
              <w:bottom w:val="dotted" w:sz="4" w:space="0" w:color="000000"/>
              <w:right w:val="single" w:sz="4" w:space="0" w:color="auto"/>
            </w:tcBorders>
            <w:shd w:val="clear" w:color="auto" w:fill="auto"/>
            <w:hideMark/>
          </w:tcPr>
          <w:p w14:paraId="45F08FCC"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 Социјалне пензије </w:t>
            </w:r>
          </w:p>
        </w:tc>
        <w:tc>
          <w:tcPr>
            <w:tcW w:w="1552" w:type="dxa"/>
            <w:tcBorders>
              <w:top w:val="nil"/>
              <w:left w:val="nil"/>
              <w:bottom w:val="dotted" w:sz="4" w:space="0" w:color="000000"/>
              <w:right w:val="dotted" w:sz="4" w:space="0" w:color="000000"/>
            </w:tcBorders>
            <w:shd w:val="clear" w:color="auto" w:fill="auto"/>
            <w:hideMark/>
          </w:tcPr>
          <w:p w14:paraId="38C962B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371" w:type="dxa"/>
            <w:tcBorders>
              <w:top w:val="nil"/>
              <w:left w:val="nil"/>
              <w:bottom w:val="dotted" w:sz="4" w:space="0" w:color="000000"/>
              <w:right w:val="dotted" w:sz="4" w:space="0" w:color="000000"/>
            </w:tcBorders>
            <w:shd w:val="clear" w:color="auto" w:fill="auto"/>
            <w:hideMark/>
          </w:tcPr>
          <w:p w14:paraId="20DC1B7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tted" w:sz="4" w:space="0" w:color="000000"/>
            </w:tcBorders>
            <w:shd w:val="clear" w:color="auto" w:fill="auto"/>
            <w:hideMark/>
          </w:tcPr>
          <w:p w14:paraId="37172F33"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tted" w:sz="4" w:space="0" w:color="000000"/>
            </w:tcBorders>
            <w:shd w:val="clear" w:color="auto" w:fill="auto"/>
            <w:hideMark/>
          </w:tcPr>
          <w:p w14:paraId="0F7A987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tted" w:sz="4" w:space="0" w:color="000000"/>
            </w:tcBorders>
            <w:shd w:val="clear" w:color="auto" w:fill="auto"/>
            <w:hideMark/>
          </w:tcPr>
          <w:p w14:paraId="6D38A88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tted" w:sz="4" w:space="0" w:color="000000"/>
            </w:tcBorders>
            <w:shd w:val="clear" w:color="auto" w:fill="auto"/>
            <w:hideMark/>
          </w:tcPr>
          <w:p w14:paraId="31A6614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uble" w:sz="6" w:space="0" w:color="000000"/>
            </w:tcBorders>
            <w:shd w:val="clear" w:color="auto" w:fill="auto"/>
            <w:hideMark/>
          </w:tcPr>
          <w:p w14:paraId="56EF45B3"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r>
      <w:tr w:rsidR="009B5DE5" w:rsidRPr="009B5DE5" w14:paraId="722AE8AE" w14:textId="77777777" w:rsidTr="00396800">
        <w:trPr>
          <w:trHeight w:val="290"/>
        </w:trPr>
        <w:tc>
          <w:tcPr>
            <w:tcW w:w="7061" w:type="dxa"/>
            <w:tcBorders>
              <w:top w:val="nil"/>
              <w:left w:val="double" w:sz="6" w:space="0" w:color="000000"/>
              <w:bottom w:val="dotted" w:sz="4" w:space="0" w:color="000000"/>
              <w:right w:val="single" w:sz="4" w:space="0" w:color="auto"/>
            </w:tcBorders>
            <w:shd w:val="clear" w:color="auto" w:fill="auto"/>
            <w:hideMark/>
          </w:tcPr>
          <w:p w14:paraId="3E6C6524"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 Старосне и превремене пензије</w:t>
            </w:r>
          </w:p>
        </w:tc>
        <w:tc>
          <w:tcPr>
            <w:tcW w:w="1552" w:type="dxa"/>
            <w:tcBorders>
              <w:top w:val="nil"/>
              <w:left w:val="nil"/>
              <w:bottom w:val="dotted" w:sz="4" w:space="0" w:color="000000"/>
              <w:right w:val="dotted" w:sz="4" w:space="0" w:color="000000"/>
            </w:tcBorders>
            <w:shd w:val="clear" w:color="auto" w:fill="auto"/>
            <w:hideMark/>
          </w:tcPr>
          <w:p w14:paraId="5F70E91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371" w:type="dxa"/>
            <w:tcBorders>
              <w:top w:val="nil"/>
              <w:left w:val="nil"/>
              <w:bottom w:val="dotted" w:sz="4" w:space="0" w:color="000000"/>
              <w:right w:val="dotted" w:sz="4" w:space="0" w:color="000000"/>
            </w:tcBorders>
            <w:shd w:val="clear" w:color="auto" w:fill="auto"/>
            <w:hideMark/>
          </w:tcPr>
          <w:p w14:paraId="09AB47D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tted" w:sz="4" w:space="0" w:color="000000"/>
            </w:tcBorders>
            <w:shd w:val="clear" w:color="auto" w:fill="auto"/>
            <w:hideMark/>
          </w:tcPr>
          <w:p w14:paraId="0AEEC75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tted" w:sz="4" w:space="0" w:color="000000"/>
            </w:tcBorders>
            <w:shd w:val="clear" w:color="auto" w:fill="auto"/>
            <w:hideMark/>
          </w:tcPr>
          <w:p w14:paraId="056200B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tted" w:sz="4" w:space="0" w:color="000000"/>
            </w:tcBorders>
            <w:shd w:val="clear" w:color="auto" w:fill="auto"/>
            <w:hideMark/>
          </w:tcPr>
          <w:p w14:paraId="1BC32BF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tted" w:sz="4" w:space="0" w:color="000000"/>
            </w:tcBorders>
            <w:shd w:val="clear" w:color="auto" w:fill="auto"/>
            <w:hideMark/>
          </w:tcPr>
          <w:p w14:paraId="297ADD1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uble" w:sz="6" w:space="0" w:color="000000"/>
            </w:tcBorders>
            <w:shd w:val="clear" w:color="auto" w:fill="auto"/>
            <w:hideMark/>
          </w:tcPr>
          <w:p w14:paraId="69801823"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r>
      <w:tr w:rsidR="009B5DE5" w:rsidRPr="009B5DE5" w14:paraId="6D034B1E" w14:textId="77777777" w:rsidTr="00396800">
        <w:trPr>
          <w:trHeight w:val="290"/>
        </w:trPr>
        <w:tc>
          <w:tcPr>
            <w:tcW w:w="7061" w:type="dxa"/>
            <w:tcBorders>
              <w:top w:val="nil"/>
              <w:left w:val="double" w:sz="6" w:space="0" w:color="000000"/>
              <w:bottom w:val="dotted" w:sz="4" w:space="0" w:color="000000"/>
              <w:right w:val="single" w:sz="4" w:space="0" w:color="auto"/>
            </w:tcBorders>
            <w:shd w:val="clear" w:color="auto" w:fill="auto"/>
            <w:hideMark/>
          </w:tcPr>
          <w:p w14:paraId="732D3F9D"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 Остале пензије (инвалидске, породичне)</w:t>
            </w:r>
          </w:p>
        </w:tc>
        <w:tc>
          <w:tcPr>
            <w:tcW w:w="1552" w:type="dxa"/>
            <w:tcBorders>
              <w:top w:val="nil"/>
              <w:left w:val="nil"/>
              <w:bottom w:val="dotted" w:sz="4" w:space="0" w:color="000000"/>
              <w:right w:val="dotted" w:sz="4" w:space="0" w:color="000000"/>
            </w:tcBorders>
            <w:shd w:val="clear" w:color="auto" w:fill="auto"/>
            <w:hideMark/>
          </w:tcPr>
          <w:p w14:paraId="29EE532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371" w:type="dxa"/>
            <w:tcBorders>
              <w:top w:val="nil"/>
              <w:left w:val="nil"/>
              <w:bottom w:val="dotted" w:sz="4" w:space="0" w:color="000000"/>
              <w:right w:val="dotted" w:sz="4" w:space="0" w:color="000000"/>
            </w:tcBorders>
            <w:shd w:val="clear" w:color="auto" w:fill="auto"/>
            <w:hideMark/>
          </w:tcPr>
          <w:p w14:paraId="36F91FB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tted" w:sz="4" w:space="0" w:color="000000"/>
            </w:tcBorders>
            <w:shd w:val="clear" w:color="auto" w:fill="auto"/>
            <w:hideMark/>
          </w:tcPr>
          <w:p w14:paraId="0E437951"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tted" w:sz="4" w:space="0" w:color="000000"/>
            </w:tcBorders>
            <w:shd w:val="clear" w:color="auto" w:fill="auto"/>
            <w:hideMark/>
          </w:tcPr>
          <w:p w14:paraId="4D91E23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tted" w:sz="4" w:space="0" w:color="000000"/>
            </w:tcBorders>
            <w:shd w:val="clear" w:color="auto" w:fill="auto"/>
            <w:hideMark/>
          </w:tcPr>
          <w:p w14:paraId="70A0C80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tted" w:sz="4" w:space="0" w:color="000000"/>
            </w:tcBorders>
            <w:shd w:val="clear" w:color="auto" w:fill="auto"/>
            <w:hideMark/>
          </w:tcPr>
          <w:p w14:paraId="632773A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uble" w:sz="6" w:space="0" w:color="000000"/>
            </w:tcBorders>
            <w:shd w:val="clear" w:color="auto" w:fill="auto"/>
            <w:hideMark/>
          </w:tcPr>
          <w:p w14:paraId="7B8D0B9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r>
      <w:tr w:rsidR="009B5DE5" w:rsidRPr="009B5DE5" w14:paraId="75671556" w14:textId="77777777" w:rsidTr="00396800">
        <w:trPr>
          <w:trHeight w:val="581"/>
        </w:trPr>
        <w:tc>
          <w:tcPr>
            <w:tcW w:w="7061" w:type="dxa"/>
            <w:tcBorders>
              <w:top w:val="nil"/>
              <w:left w:val="double" w:sz="6" w:space="0" w:color="000000"/>
              <w:bottom w:val="dotted" w:sz="4" w:space="0" w:color="000000"/>
              <w:right w:val="single" w:sz="4" w:space="0" w:color="auto"/>
            </w:tcBorders>
            <w:shd w:val="clear" w:color="auto" w:fill="auto"/>
            <w:hideMark/>
          </w:tcPr>
          <w:p w14:paraId="3265AA05"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 Професионалне пензије (уколико припадају општем нивоу државе)</w:t>
            </w:r>
          </w:p>
        </w:tc>
        <w:tc>
          <w:tcPr>
            <w:tcW w:w="1552" w:type="dxa"/>
            <w:tcBorders>
              <w:top w:val="nil"/>
              <w:left w:val="nil"/>
              <w:bottom w:val="dotted" w:sz="4" w:space="0" w:color="000000"/>
              <w:right w:val="dotted" w:sz="4" w:space="0" w:color="000000"/>
            </w:tcBorders>
            <w:shd w:val="clear" w:color="auto" w:fill="auto"/>
            <w:hideMark/>
          </w:tcPr>
          <w:p w14:paraId="01385FD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371" w:type="dxa"/>
            <w:tcBorders>
              <w:top w:val="nil"/>
              <w:left w:val="nil"/>
              <w:bottom w:val="dotted" w:sz="4" w:space="0" w:color="000000"/>
              <w:right w:val="dotted" w:sz="4" w:space="0" w:color="000000"/>
            </w:tcBorders>
            <w:shd w:val="clear" w:color="auto" w:fill="auto"/>
            <w:hideMark/>
          </w:tcPr>
          <w:p w14:paraId="6AC2067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tted" w:sz="4" w:space="0" w:color="000000"/>
            </w:tcBorders>
            <w:shd w:val="clear" w:color="auto" w:fill="auto"/>
            <w:hideMark/>
          </w:tcPr>
          <w:p w14:paraId="307EB5A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tted" w:sz="4" w:space="0" w:color="000000"/>
            </w:tcBorders>
            <w:shd w:val="clear" w:color="auto" w:fill="auto"/>
            <w:hideMark/>
          </w:tcPr>
          <w:p w14:paraId="080BDCB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tted" w:sz="4" w:space="0" w:color="000000"/>
            </w:tcBorders>
            <w:shd w:val="clear" w:color="auto" w:fill="auto"/>
            <w:hideMark/>
          </w:tcPr>
          <w:p w14:paraId="4A1EA3B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tted" w:sz="4" w:space="0" w:color="000000"/>
            </w:tcBorders>
            <w:shd w:val="clear" w:color="auto" w:fill="auto"/>
            <w:hideMark/>
          </w:tcPr>
          <w:p w14:paraId="147C1B9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uble" w:sz="6" w:space="0" w:color="000000"/>
            </w:tcBorders>
            <w:shd w:val="clear" w:color="auto" w:fill="auto"/>
            <w:hideMark/>
          </w:tcPr>
          <w:p w14:paraId="783A735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r>
      <w:tr w:rsidR="009B5DE5" w:rsidRPr="009B5DE5" w14:paraId="3E2B56FF" w14:textId="77777777" w:rsidTr="00396800">
        <w:trPr>
          <w:trHeight w:val="290"/>
        </w:trPr>
        <w:tc>
          <w:tcPr>
            <w:tcW w:w="7061" w:type="dxa"/>
            <w:tcBorders>
              <w:top w:val="nil"/>
              <w:left w:val="double" w:sz="6" w:space="0" w:color="000000"/>
              <w:bottom w:val="dotted" w:sz="4" w:space="0" w:color="000000"/>
              <w:right w:val="single" w:sz="4" w:space="0" w:color="auto"/>
            </w:tcBorders>
            <w:shd w:val="clear" w:color="auto" w:fill="auto"/>
            <w:hideMark/>
          </w:tcPr>
          <w:p w14:paraId="0EAA6A86"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 Здравство</w:t>
            </w:r>
          </w:p>
        </w:tc>
        <w:tc>
          <w:tcPr>
            <w:tcW w:w="1552" w:type="dxa"/>
            <w:tcBorders>
              <w:top w:val="nil"/>
              <w:left w:val="nil"/>
              <w:bottom w:val="dotted" w:sz="4" w:space="0" w:color="000000"/>
              <w:right w:val="dotted" w:sz="4" w:space="0" w:color="000000"/>
            </w:tcBorders>
            <w:shd w:val="clear" w:color="auto" w:fill="auto"/>
            <w:hideMark/>
          </w:tcPr>
          <w:p w14:paraId="3AC547E9"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1371" w:type="dxa"/>
            <w:tcBorders>
              <w:top w:val="nil"/>
              <w:left w:val="nil"/>
              <w:bottom w:val="dotted" w:sz="4" w:space="0" w:color="000000"/>
              <w:right w:val="dotted" w:sz="4" w:space="0" w:color="000000"/>
            </w:tcBorders>
            <w:shd w:val="clear" w:color="auto" w:fill="auto"/>
            <w:hideMark/>
          </w:tcPr>
          <w:p w14:paraId="3D647615"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5212E58F"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39FD884D"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4E62B449"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3BAB24D8"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uble" w:sz="6" w:space="0" w:color="000000"/>
            </w:tcBorders>
            <w:shd w:val="clear" w:color="auto" w:fill="auto"/>
            <w:hideMark/>
          </w:tcPr>
          <w:p w14:paraId="2FB14185"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r>
      <w:tr w:rsidR="009B5DE5" w:rsidRPr="009B5DE5" w14:paraId="761CD38E" w14:textId="77777777" w:rsidTr="00396800">
        <w:trPr>
          <w:trHeight w:val="290"/>
        </w:trPr>
        <w:tc>
          <w:tcPr>
            <w:tcW w:w="7061" w:type="dxa"/>
            <w:tcBorders>
              <w:top w:val="nil"/>
              <w:left w:val="double" w:sz="6" w:space="0" w:color="000000"/>
              <w:bottom w:val="dotted" w:sz="4" w:space="0" w:color="000000"/>
              <w:right w:val="single" w:sz="4" w:space="0" w:color="auto"/>
            </w:tcBorders>
            <w:shd w:val="clear" w:color="auto" w:fill="auto"/>
            <w:hideMark/>
          </w:tcPr>
          <w:p w14:paraId="1FB539A6"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 Дуготрајна нега (раније је била укључена у здравство)</w:t>
            </w:r>
          </w:p>
        </w:tc>
        <w:tc>
          <w:tcPr>
            <w:tcW w:w="1552" w:type="dxa"/>
            <w:tcBorders>
              <w:top w:val="nil"/>
              <w:left w:val="nil"/>
              <w:bottom w:val="dotted" w:sz="4" w:space="0" w:color="000000"/>
              <w:right w:val="dotted" w:sz="4" w:space="0" w:color="000000"/>
            </w:tcBorders>
            <w:shd w:val="clear" w:color="auto" w:fill="auto"/>
            <w:hideMark/>
          </w:tcPr>
          <w:p w14:paraId="067153F3"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371" w:type="dxa"/>
            <w:tcBorders>
              <w:top w:val="nil"/>
              <w:left w:val="nil"/>
              <w:bottom w:val="dotted" w:sz="4" w:space="0" w:color="000000"/>
              <w:right w:val="dotted" w:sz="4" w:space="0" w:color="000000"/>
            </w:tcBorders>
            <w:shd w:val="clear" w:color="auto" w:fill="auto"/>
            <w:hideMark/>
          </w:tcPr>
          <w:p w14:paraId="44AE3F0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tted" w:sz="4" w:space="0" w:color="000000"/>
            </w:tcBorders>
            <w:shd w:val="clear" w:color="auto" w:fill="auto"/>
            <w:hideMark/>
          </w:tcPr>
          <w:p w14:paraId="6BB5FB9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tted" w:sz="4" w:space="0" w:color="000000"/>
            </w:tcBorders>
            <w:shd w:val="clear" w:color="auto" w:fill="auto"/>
            <w:hideMark/>
          </w:tcPr>
          <w:p w14:paraId="3F8295B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tted" w:sz="4" w:space="0" w:color="000000"/>
            </w:tcBorders>
            <w:shd w:val="clear" w:color="auto" w:fill="auto"/>
            <w:hideMark/>
          </w:tcPr>
          <w:p w14:paraId="0FB68C0A"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tted" w:sz="4" w:space="0" w:color="000000"/>
            </w:tcBorders>
            <w:shd w:val="clear" w:color="auto" w:fill="auto"/>
            <w:hideMark/>
          </w:tcPr>
          <w:p w14:paraId="6927071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uble" w:sz="6" w:space="0" w:color="000000"/>
            </w:tcBorders>
            <w:shd w:val="clear" w:color="auto" w:fill="auto"/>
            <w:hideMark/>
          </w:tcPr>
          <w:p w14:paraId="1947E4A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r>
      <w:tr w:rsidR="009B5DE5" w:rsidRPr="009B5DE5" w14:paraId="4B3951D6" w14:textId="77777777" w:rsidTr="00396800">
        <w:trPr>
          <w:trHeight w:val="290"/>
        </w:trPr>
        <w:tc>
          <w:tcPr>
            <w:tcW w:w="7061" w:type="dxa"/>
            <w:tcBorders>
              <w:top w:val="nil"/>
              <w:left w:val="double" w:sz="6" w:space="0" w:color="000000"/>
              <w:bottom w:val="dotted" w:sz="4" w:space="0" w:color="000000"/>
              <w:right w:val="single" w:sz="4" w:space="0" w:color="auto"/>
            </w:tcBorders>
            <w:shd w:val="clear" w:color="auto" w:fill="auto"/>
            <w:hideMark/>
          </w:tcPr>
          <w:p w14:paraId="4AECE173"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Расходи за образовање</w:t>
            </w:r>
          </w:p>
        </w:tc>
        <w:tc>
          <w:tcPr>
            <w:tcW w:w="1552" w:type="dxa"/>
            <w:tcBorders>
              <w:top w:val="nil"/>
              <w:left w:val="nil"/>
              <w:bottom w:val="dotted" w:sz="4" w:space="0" w:color="000000"/>
              <w:right w:val="dotted" w:sz="4" w:space="0" w:color="000000"/>
            </w:tcBorders>
            <w:shd w:val="clear" w:color="auto" w:fill="auto"/>
            <w:hideMark/>
          </w:tcPr>
          <w:p w14:paraId="7C91E425"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1371" w:type="dxa"/>
            <w:tcBorders>
              <w:top w:val="nil"/>
              <w:left w:val="nil"/>
              <w:bottom w:val="dotted" w:sz="4" w:space="0" w:color="000000"/>
              <w:right w:val="dotted" w:sz="4" w:space="0" w:color="000000"/>
            </w:tcBorders>
            <w:shd w:val="clear" w:color="auto" w:fill="auto"/>
            <w:hideMark/>
          </w:tcPr>
          <w:p w14:paraId="03EA6AD0"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53105B58"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358D1822"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00E3B00A"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39E52163"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uble" w:sz="6" w:space="0" w:color="000000"/>
            </w:tcBorders>
            <w:shd w:val="clear" w:color="auto" w:fill="auto"/>
            <w:hideMark/>
          </w:tcPr>
          <w:p w14:paraId="263E9DD2"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r>
      <w:tr w:rsidR="009B5DE5" w:rsidRPr="009B5DE5" w14:paraId="786A63E5" w14:textId="77777777" w:rsidTr="00396800">
        <w:trPr>
          <w:trHeight w:val="290"/>
        </w:trPr>
        <w:tc>
          <w:tcPr>
            <w:tcW w:w="7061" w:type="dxa"/>
            <w:tcBorders>
              <w:top w:val="nil"/>
              <w:left w:val="double" w:sz="6" w:space="0" w:color="000000"/>
              <w:bottom w:val="dotted" w:sz="4" w:space="0" w:color="000000"/>
              <w:right w:val="single" w:sz="4" w:space="0" w:color="auto"/>
            </w:tcBorders>
            <w:shd w:val="clear" w:color="auto" w:fill="auto"/>
            <w:hideMark/>
          </w:tcPr>
          <w:p w14:paraId="710562B2"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Остали расходи везани за године живота</w:t>
            </w:r>
          </w:p>
        </w:tc>
        <w:tc>
          <w:tcPr>
            <w:tcW w:w="1552" w:type="dxa"/>
            <w:tcBorders>
              <w:top w:val="nil"/>
              <w:left w:val="nil"/>
              <w:bottom w:val="dotted" w:sz="4" w:space="0" w:color="000000"/>
              <w:right w:val="dotted" w:sz="4" w:space="0" w:color="000000"/>
            </w:tcBorders>
            <w:shd w:val="clear" w:color="auto" w:fill="auto"/>
            <w:hideMark/>
          </w:tcPr>
          <w:p w14:paraId="76A82C5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371" w:type="dxa"/>
            <w:tcBorders>
              <w:top w:val="nil"/>
              <w:left w:val="nil"/>
              <w:bottom w:val="dotted" w:sz="4" w:space="0" w:color="000000"/>
              <w:right w:val="dotted" w:sz="4" w:space="0" w:color="000000"/>
            </w:tcBorders>
            <w:shd w:val="clear" w:color="auto" w:fill="auto"/>
            <w:hideMark/>
          </w:tcPr>
          <w:p w14:paraId="2CB9F22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tted" w:sz="4" w:space="0" w:color="000000"/>
            </w:tcBorders>
            <w:shd w:val="clear" w:color="auto" w:fill="auto"/>
            <w:hideMark/>
          </w:tcPr>
          <w:p w14:paraId="748C89D4"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tted" w:sz="4" w:space="0" w:color="000000"/>
            </w:tcBorders>
            <w:shd w:val="clear" w:color="auto" w:fill="auto"/>
            <w:hideMark/>
          </w:tcPr>
          <w:p w14:paraId="4E906FEB"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tted" w:sz="4" w:space="0" w:color="000000"/>
            </w:tcBorders>
            <w:shd w:val="clear" w:color="auto" w:fill="auto"/>
            <w:hideMark/>
          </w:tcPr>
          <w:p w14:paraId="16226569"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tted" w:sz="4" w:space="0" w:color="000000"/>
            </w:tcBorders>
            <w:shd w:val="clear" w:color="auto" w:fill="auto"/>
            <w:hideMark/>
          </w:tcPr>
          <w:p w14:paraId="40993B3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982" w:type="dxa"/>
            <w:tcBorders>
              <w:top w:val="nil"/>
              <w:left w:val="nil"/>
              <w:bottom w:val="dotted" w:sz="4" w:space="0" w:color="000000"/>
              <w:right w:val="double" w:sz="6" w:space="0" w:color="000000"/>
            </w:tcBorders>
            <w:shd w:val="clear" w:color="auto" w:fill="auto"/>
            <w:hideMark/>
          </w:tcPr>
          <w:p w14:paraId="5181B78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r>
      <w:tr w:rsidR="009B5DE5" w:rsidRPr="009B5DE5" w14:paraId="4CA91DC6" w14:textId="77777777" w:rsidTr="00396800">
        <w:trPr>
          <w:trHeight w:val="290"/>
        </w:trPr>
        <w:tc>
          <w:tcPr>
            <w:tcW w:w="7061" w:type="dxa"/>
            <w:tcBorders>
              <w:top w:val="nil"/>
              <w:left w:val="double" w:sz="6" w:space="0" w:color="000000"/>
              <w:bottom w:val="dotted" w:sz="4" w:space="0" w:color="000000"/>
              <w:right w:val="single" w:sz="4" w:space="0" w:color="auto"/>
            </w:tcBorders>
            <w:shd w:val="clear" w:color="auto" w:fill="auto"/>
            <w:hideMark/>
          </w:tcPr>
          <w:p w14:paraId="24874EB1"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Расходи за камате</w:t>
            </w:r>
          </w:p>
        </w:tc>
        <w:tc>
          <w:tcPr>
            <w:tcW w:w="1552" w:type="dxa"/>
            <w:tcBorders>
              <w:top w:val="nil"/>
              <w:left w:val="nil"/>
              <w:bottom w:val="dotted" w:sz="4" w:space="0" w:color="000000"/>
              <w:right w:val="dotted" w:sz="4" w:space="0" w:color="000000"/>
            </w:tcBorders>
            <w:shd w:val="clear" w:color="auto" w:fill="auto"/>
            <w:hideMark/>
          </w:tcPr>
          <w:p w14:paraId="75E29192"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1371" w:type="dxa"/>
            <w:tcBorders>
              <w:top w:val="nil"/>
              <w:left w:val="nil"/>
              <w:bottom w:val="dotted" w:sz="4" w:space="0" w:color="000000"/>
              <w:right w:val="dotted" w:sz="4" w:space="0" w:color="000000"/>
            </w:tcBorders>
            <w:shd w:val="clear" w:color="auto" w:fill="auto"/>
            <w:hideMark/>
          </w:tcPr>
          <w:p w14:paraId="0FF793DD"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27F048A6"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481FC718"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0625C5CE"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72221A64"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uble" w:sz="6" w:space="0" w:color="000000"/>
            </w:tcBorders>
            <w:shd w:val="clear" w:color="auto" w:fill="auto"/>
            <w:hideMark/>
          </w:tcPr>
          <w:p w14:paraId="215B7520"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r>
      <w:tr w:rsidR="009B5DE5" w:rsidRPr="009B5DE5" w14:paraId="51E9BE0A" w14:textId="77777777" w:rsidTr="00396800">
        <w:trPr>
          <w:trHeight w:val="290"/>
        </w:trPr>
        <w:tc>
          <w:tcPr>
            <w:tcW w:w="7061" w:type="dxa"/>
            <w:tcBorders>
              <w:top w:val="nil"/>
              <w:left w:val="double" w:sz="6" w:space="0" w:color="000000"/>
              <w:bottom w:val="dotted" w:sz="4" w:space="0" w:color="000000"/>
              <w:right w:val="single" w:sz="4" w:space="0" w:color="auto"/>
            </w:tcBorders>
            <w:shd w:val="clear" w:color="auto" w:fill="auto"/>
            <w:hideMark/>
          </w:tcPr>
          <w:p w14:paraId="0EE803E8"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Укупни приходи</w:t>
            </w:r>
          </w:p>
        </w:tc>
        <w:tc>
          <w:tcPr>
            <w:tcW w:w="1552" w:type="dxa"/>
            <w:tcBorders>
              <w:top w:val="nil"/>
              <w:left w:val="nil"/>
              <w:bottom w:val="dotted" w:sz="4" w:space="0" w:color="000000"/>
              <w:right w:val="dotted" w:sz="4" w:space="0" w:color="000000"/>
            </w:tcBorders>
            <w:shd w:val="clear" w:color="auto" w:fill="auto"/>
            <w:hideMark/>
          </w:tcPr>
          <w:p w14:paraId="75EA9FFD"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1371" w:type="dxa"/>
            <w:tcBorders>
              <w:top w:val="nil"/>
              <w:left w:val="nil"/>
              <w:bottom w:val="dotted" w:sz="4" w:space="0" w:color="000000"/>
              <w:right w:val="dotted" w:sz="4" w:space="0" w:color="000000"/>
            </w:tcBorders>
            <w:shd w:val="clear" w:color="auto" w:fill="auto"/>
            <w:hideMark/>
          </w:tcPr>
          <w:p w14:paraId="45089C67"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7665000B"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1BBFA407"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2204681A"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1E1A72D5"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uble" w:sz="6" w:space="0" w:color="000000"/>
            </w:tcBorders>
            <w:shd w:val="clear" w:color="auto" w:fill="auto"/>
            <w:hideMark/>
          </w:tcPr>
          <w:p w14:paraId="77B4107F"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r>
      <w:tr w:rsidR="009B5DE5" w:rsidRPr="009B5DE5" w14:paraId="47604449" w14:textId="77777777" w:rsidTr="00396800">
        <w:trPr>
          <w:trHeight w:val="290"/>
        </w:trPr>
        <w:tc>
          <w:tcPr>
            <w:tcW w:w="7061" w:type="dxa"/>
            <w:tcBorders>
              <w:top w:val="nil"/>
              <w:left w:val="double" w:sz="6" w:space="0" w:color="000000"/>
              <w:bottom w:val="dotted" w:sz="4" w:space="0" w:color="000000"/>
              <w:right w:val="single" w:sz="4" w:space="0" w:color="auto"/>
            </w:tcBorders>
            <w:shd w:val="clear" w:color="auto" w:fill="auto"/>
            <w:hideMark/>
          </w:tcPr>
          <w:p w14:paraId="0F2C60AD" w14:textId="77777777" w:rsidR="009B5DE5" w:rsidRPr="009B5DE5" w:rsidRDefault="009B5DE5" w:rsidP="009B5DE5">
            <w:pPr>
              <w:spacing w:after="0"/>
              <w:jc w:val="left"/>
              <w:rPr>
                <w:rFonts w:eastAsia="Times New Roman" w:cs="Times New Roman"/>
                <w:i/>
                <w:iCs/>
                <w:color w:val="000000"/>
                <w:sz w:val="20"/>
                <w:szCs w:val="20"/>
              </w:rPr>
            </w:pPr>
            <w:r w:rsidRPr="009B5DE5">
              <w:rPr>
                <w:rFonts w:eastAsia="Times New Roman" w:cs="Times New Roman"/>
                <w:i/>
                <w:iCs/>
                <w:color w:val="000000"/>
                <w:sz w:val="20"/>
                <w:szCs w:val="20"/>
              </w:rPr>
              <w:t xml:space="preserve">од чега: </w:t>
            </w:r>
            <w:r w:rsidRPr="009B5DE5">
              <w:rPr>
                <w:rFonts w:eastAsia="Times New Roman" w:cs="Times New Roman"/>
                <w:color w:val="000000"/>
                <w:sz w:val="20"/>
                <w:szCs w:val="20"/>
              </w:rPr>
              <w:t>приходи од имовине</w:t>
            </w:r>
          </w:p>
        </w:tc>
        <w:tc>
          <w:tcPr>
            <w:tcW w:w="1552" w:type="dxa"/>
            <w:tcBorders>
              <w:top w:val="nil"/>
              <w:left w:val="nil"/>
              <w:bottom w:val="dotted" w:sz="4" w:space="0" w:color="000000"/>
              <w:right w:val="dotted" w:sz="4" w:space="0" w:color="000000"/>
            </w:tcBorders>
            <w:shd w:val="clear" w:color="auto" w:fill="auto"/>
            <w:hideMark/>
          </w:tcPr>
          <w:p w14:paraId="34857490"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1371" w:type="dxa"/>
            <w:tcBorders>
              <w:top w:val="nil"/>
              <w:left w:val="nil"/>
              <w:bottom w:val="dotted" w:sz="4" w:space="0" w:color="000000"/>
              <w:right w:val="dotted" w:sz="4" w:space="0" w:color="000000"/>
            </w:tcBorders>
            <w:shd w:val="clear" w:color="auto" w:fill="auto"/>
            <w:hideMark/>
          </w:tcPr>
          <w:p w14:paraId="7ED57620"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5E21A435"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4BA56563"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232F6288"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6BE3AD88"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uble" w:sz="6" w:space="0" w:color="000000"/>
            </w:tcBorders>
            <w:shd w:val="clear" w:color="auto" w:fill="auto"/>
            <w:hideMark/>
          </w:tcPr>
          <w:p w14:paraId="1885281B"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r>
      <w:tr w:rsidR="009B5DE5" w:rsidRPr="009B5DE5" w14:paraId="669828B5" w14:textId="77777777" w:rsidTr="00396800">
        <w:trPr>
          <w:trHeight w:val="581"/>
        </w:trPr>
        <w:tc>
          <w:tcPr>
            <w:tcW w:w="7061" w:type="dxa"/>
            <w:tcBorders>
              <w:top w:val="nil"/>
              <w:left w:val="double" w:sz="6" w:space="0" w:color="000000"/>
              <w:bottom w:val="dotted" w:sz="4" w:space="0" w:color="000000"/>
              <w:right w:val="single" w:sz="4" w:space="0" w:color="auto"/>
            </w:tcBorders>
            <w:shd w:val="clear" w:color="auto" w:fill="auto"/>
            <w:hideMark/>
          </w:tcPr>
          <w:p w14:paraId="5328925D"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i/>
                <w:iCs/>
                <w:color w:val="000000"/>
                <w:sz w:val="20"/>
                <w:szCs w:val="20"/>
              </w:rPr>
              <w:t>од чега:</w:t>
            </w:r>
            <w:r w:rsidRPr="009B5DE5">
              <w:rPr>
                <w:rFonts w:eastAsia="Times New Roman" w:cs="Times New Roman"/>
                <w:color w:val="000000"/>
                <w:sz w:val="20"/>
                <w:szCs w:val="20"/>
              </w:rPr>
              <w:t xml:space="preserve"> од доприноса за пензијско осигурање (или доприноса за социјално осигурање, уколико је то случај)</w:t>
            </w:r>
          </w:p>
        </w:tc>
        <w:tc>
          <w:tcPr>
            <w:tcW w:w="1552" w:type="dxa"/>
            <w:tcBorders>
              <w:top w:val="nil"/>
              <w:left w:val="nil"/>
              <w:bottom w:val="dotted" w:sz="4" w:space="0" w:color="000000"/>
              <w:right w:val="dotted" w:sz="4" w:space="0" w:color="000000"/>
            </w:tcBorders>
            <w:shd w:val="clear" w:color="auto" w:fill="auto"/>
            <w:hideMark/>
          </w:tcPr>
          <w:p w14:paraId="5683DE90"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1371" w:type="dxa"/>
            <w:tcBorders>
              <w:top w:val="nil"/>
              <w:left w:val="nil"/>
              <w:bottom w:val="dotted" w:sz="4" w:space="0" w:color="000000"/>
              <w:right w:val="dotted" w:sz="4" w:space="0" w:color="000000"/>
            </w:tcBorders>
            <w:shd w:val="clear" w:color="auto" w:fill="auto"/>
            <w:hideMark/>
          </w:tcPr>
          <w:p w14:paraId="1BFE1FEB"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7F1B3988"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527B1B54"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57D44858"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05E84837"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uble" w:sz="6" w:space="0" w:color="000000"/>
            </w:tcBorders>
            <w:shd w:val="clear" w:color="auto" w:fill="auto"/>
            <w:hideMark/>
          </w:tcPr>
          <w:p w14:paraId="3B271D34"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r>
      <w:tr w:rsidR="009B5DE5" w:rsidRPr="009B5DE5" w14:paraId="1ECBFDB9" w14:textId="77777777" w:rsidTr="00396800">
        <w:trPr>
          <w:trHeight w:val="290"/>
        </w:trPr>
        <w:tc>
          <w:tcPr>
            <w:tcW w:w="7061" w:type="dxa"/>
            <w:tcBorders>
              <w:top w:val="nil"/>
              <w:left w:val="double" w:sz="6" w:space="0" w:color="000000"/>
              <w:bottom w:val="dotted" w:sz="4" w:space="0" w:color="000000"/>
              <w:right w:val="single" w:sz="4" w:space="0" w:color="auto"/>
            </w:tcBorders>
            <w:shd w:val="clear" w:color="auto" w:fill="auto"/>
            <w:hideMark/>
          </w:tcPr>
          <w:p w14:paraId="765E9944"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Средства резервног пензијског фонда</w:t>
            </w:r>
          </w:p>
        </w:tc>
        <w:tc>
          <w:tcPr>
            <w:tcW w:w="1552" w:type="dxa"/>
            <w:tcBorders>
              <w:top w:val="nil"/>
              <w:left w:val="nil"/>
              <w:bottom w:val="dotted" w:sz="4" w:space="0" w:color="000000"/>
              <w:right w:val="dotted" w:sz="4" w:space="0" w:color="000000"/>
            </w:tcBorders>
            <w:shd w:val="clear" w:color="auto" w:fill="auto"/>
            <w:hideMark/>
          </w:tcPr>
          <w:p w14:paraId="262ACD07"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1371" w:type="dxa"/>
            <w:tcBorders>
              <w:top w:val="nil"/>
              <w:left w:val="nil"/>
              <w:bottom w:val="dotted" w:sz="4" w:space="0" w:color="000000"/>
              <w:right w:val="dotted" w:sz="4" w:space="0" w:color="000000"/>
            </w:tcBorders>
            <w:shd w:val="clear" w:color="auto" w:fill="auto"/>
            <w:hideMark/>
          </w:tcPr>
          <w:p w14:paraId="53083AD1"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7DC54362"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13B6F02E"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6C28C5A3"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7332EF81"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uble" w:sz="6" w:space="0" w:color="000000"/>
            </w:tcBorders>
            <w:shd w:val="clear" w:color="auto" w:fill="auto"/>
            <w:hideMark/>
          </w:tcPr>
          <w:p w14:paraId="041B1A48"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r>
      <w:tr w:rsidR="009B5DE5" w:rsidRPr="009B5DE5" w14:paraId="3ADAB028" w14:textId="77777777" w:rsidTr="00396800">
        <w:trPr>
          <w:trHeight w:val="581"/>
        </w:trPr>
        <w:tc>
          <w:tcPr>
            <w:tcW w:w="7061" w:type="dxa"/>
            <w:tcBorders>
              <w:top w:val="nil"/>
              <w:left w:val="double" w:sz="6" w:space="0" w:color="000000"/>
              <w:bottom w:val="single" w:sz="4" w:space="0" w:color="auto"/>
              <w:right w:val="single" w:sz="4" w:space="0" w:color="auto"/>
            </w:tcBorders>
            <w:shd w:val="clear" w:color="auto" w:fill="auto"/>
            <w:hideMark/>
          </w:tcPr>
          <w:p w14:paraId="12D15337" w14:textId="77777777" w:rsidR="009B5DE5" w:rsidRPr="009B5DE5" w:rsidRDefault="009B5DE5" w:rsidP="009B5DE5">
            <w:pPr>
              <w:spacing w:after="0"/>
              <w:jc w:val="left"/>
              <w:rPr>
                <w:rFonts w:eastAsia="Times New Roman" w:cs="Times New Roman"/>
                <w:i/>
                <w:iCs/>
                <w:color w:val="000000"/>
                <w:sz w:val="20"/>
                <w:szCs w:val="20"/>
              </w:rPr>
            </w:pPr>
            <w:r w:rsidRPr="009B5DE5">
              <w:rPr>
                <w:rFonts w:eastAsia="Times New Roman" w:cs="Times New Roman"/>
                <w:i/>
                <w:iCs/>
                <w:color w:val="000000"/>
                <w:sz w:val="20"/>
                <w:szCs w:val="20"/>
              </w:rPr>
              <w:t xml:space="preserve">од чега: </w:t>
            </w:r>
            <w:r w:rsidRPr="009B5DE5">
              <w:rPr>
                <w:rFonts w:eastAsia="Times New Roman" w:cs="Times New Roman"/>
                <w:color w:val="000000"/>
                <w:sz w:val="20"/>
                <w:szCs w:val="20"/>
              </w:rPr>
              <w:t>консолидована средства јавног пензијског фонда (средства без државних обавеза)</w:t>
            </w:r>
          </w:p>
        </w:tc>
        <w:tc>
          <w:tcPr>
            <w:tcW w:w="1552" w:type="dxa"/>
            <w:tcBorders>
              <w:top w:val="nil"/>
              <w:left w:val="nil"/>
              <w:bottom w:val="single" w:sz="4" w:space="0" w:color="auto"/>
              <w:right w:val="dotted" w:sz="4" w:space="0" w:color="000000"/>
            </w:tcBorders>
            <w:shd w:val="clear" w:color="auto" w:fill="auto"/>
            <w:hideMark/>
          </w:tcPr>
          <w:p w14:paraId="03721085"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1371" w:type="dxa"/>
            <w:tcBorders>
              <w:top w:val="nil"/>
              <w:left w:val="nil"/>
              <w:bottom w:val="single" w:sz="4" w:space="0" w:color="auto"/>
              <w:right w:val="dotted" w:sz="4" w:space="0" w:color="000000"/>
            </w:tcBorders>
            <w:shd w:val="clear" w:color="auto" w:fill="auto"/>
            <w:hideMark/>
          </w:tcPr>
          <w:p w14:paraId="49F05FE2"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single" w:sz="4" w:space="0" w:color="auto"/>
              <w:right w:val="dotted" w:sz="4" w:space="0" w:color="000000"/>
            </w:tcBorders>
            <w:shd w:val="clear" w:color="auto" w:fill="auto"/>
            <w:hideMark/>
          </w:tcPr>
          <w:p w14:paraId="259B4954"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single" w:sz="4" w:space="0" w:color="auto"/>
              <w:right w:val="dotted" w:sz="4" w:space="0" w:color="000000"/>
            </w:tcBorders>
            <w:shd w:val="clear" w:color="auto" w:fill="auto"/>
            <w:hideMark/>
          </w:tcPr>
          <w:p w14:paraId="5158E864"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single" w:sz="4" w:space="0" w:color="auto"/>
              <w:right w:val="dotted" w:sz="4" w:space="0" w:color="000000"/>
            </w:tcBorders>
            <w:shd w:val="clear" w:color="auto" w:fill="auto"/>
            <w:hideMark/>
          </w:tcPr>
          <w:p w14:paraId="5AD82C1A"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single" w:sz="4" w:space="0" w:color="auto"/>
              <w:right w:val="dotted" w:sz="4" w:space="0" w:color="000000"/>
            </w:tcBorders>
            <w:shd w:val="clear" w:color="auto" w:fill="auto"/>
            <w:hideMark/>
          </w:tcPr>
          <w:p w14:paraId="3220D13D"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single" w:sz="4" w:space="0" w:color="auto"/>
              <w:right w:val="double" w:sz="6" w:space="0" w:color="000000"/>
            </w:tcBorders>
            <w:shd w:val="clear" w:color="auto" w:fill="auto"/>
            <w:hideMark/>
          </w:tcPr>
          <w:p w14:paraId="3007EB4D"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r>
      <w:tr w:rsidR="009B5DE5" w:rsidRPr="009B5DE5" w14:paraId="6BB5617F" w14:textId="77777777" w:rsidTr="00396800">
        <w:trPr>
          <w:trHeight w:val="290"/>
        </w:trPr>
        <w:tc>
          <w:tcPr>
            <w:tcW w:w="7061" w:type="dxa"/>
            <w:tcBorders>
              <w:top w:val="nil"/>
              <w:left w:val="double" w:sz="6" w:space="0" w:color="000000"/>
              <w:bottom w:val="single" w:sz="4" w:space="0" w:color="auto"/>
              <w:right w:val="nil"/>
            </w:tcBorders>
            <w:shd w:val="clear" w:color="auto" w:fill="auto"/>
            <w:hideMark/>
          </w:tcPr>
          <w:p w14:paraId="72A4B76F" w14:textId="77777777" w:rsidR="009B5DE5" w:rsidRPr="009B5DE5" w:rsidRDefault="009B5DE5" w:rsidP="009B5DE5">
            <w:pPr>
              <w:spacing w:after="0"/>
              <w:jc w:val="center"/>
              <w:rPr>
                <w:rFonts w:eastAsia="Times New Roman" w:cs="Times New Roman"/>
                <w:b/>
                <w:bCs/>
                <w:color w:val="000000"/>
                <w:sz w:val="20"/>
                <w:szCs w:val="20"/>
              </w:rPr>
            </w:pPr>
            <w:r w:rsidRPr="009B5DE5">
              <w:rPr>
                <w:rFonts w:eastAsia="Times New Roman" w:cs="Times New Roman"/>
                <w:b/>
                <w:bCs/>
                <w:color w:val="000000"/>
                <w:sz w:val="20"/>
                <w:szCs w:val="20"/>
              </w:rPr>
              <w:t>Претпоставке</w:t>
            </w:r>
          </w:p>
        </w:tc>
        <w:tc>
          <w:tcPr>
            <w:tcW w:w="1552" w:type="dxa"/>
            <w:tcBorders>
              <w:top w:val="nil"/>
              <w:left w:val="nil"/>
              <w:bottom w:val="single" w:sz="4" w:space="0" w:color="auto"/>
              <w:right w:val="nil"/>
            </w:tcBorders>
            <w:shd w:val="clear" w:color="auto" w:fill="auto"/>
            <w:hideMark/>
          </w:tcPr>
          <w:p w14:paraId="341E136A" w14:textId="77777777" w:rsidR="009B5DE5" w:rsidRPr="009B5DE5" w:rsidRDefault="009B5DE5" w:rsidP="009B5DE5">
            <w:pPr>
              <w:spacing w:after="0"/>
              <w:jc w:val="center"/>
              <w:rPr>
                <w:rFonts w:eastAsia="Times New Roman" w:cs="Times New Roman"/>
                <w:b/>
                <w:bCs/>
                <w:color w:val="000000"/>
                <w:sz w:val="20"/>
                <w:szCs w:val="20"/>
              </w:rPr>
            </w:pPr>
            <w:r w:rsidRPr="009B5DE5">
              <w:rPr>
                <w:rFonts w:eastAsia="Times New Roman" w:cs="Times New Roman"/>
                <w:b/>
                <w:bCs/>
                <w:color w:val="000000"/>
                <w:sz w:val="20"/>
                <w:szCs w:val="20"/>
              </w:rPr>
              <w:t> </w:t>
            </w:r>
          </w:p>
        </w:tc>
        <w:tc>
          <w:tcPr>
            <w:tcW w:w="1371" w:type="dxa"/>
            <w:tcBorders>
              <w:top w:val="nil"/>
              <w:left w:val="nil"/>
              <w:bottom w:val="single" w:sz="4" w:space="0" w:color="auto"/>
              <w:right w:val="nil"/>
            </w:tcBorders>
            <w:shd w:val="clear" w:color="auto" w:fill="auto"/>
            <w:hideMark/>
          </w:tcPr>
          <w:p w14:paraId="00DB872E" w14:textId="77777777" w:rsidR="009B5DE5" w:rsidRPr="009B5DE5" w:rsidRDefault="009B5DE5" w:rsidP="009B5DE5">
            <w:pPr>
              <w:spacing w:after="0"/>
              <w:jc w:val="center"/>
              <w:rPr>
                <w:rFonts w:eastAsia="Times New Roman" w:cs="Times New Roman"/>
                <w:b/>
                <w:bCs/>
                <w:color w:val="000000"/>
                <w:sz w:val="20"/>
                <w:szCs w:val="20"/>
              </w:rPr>
            </w:pPr>
            <w:r w:rsidRPr="009B5DE5">
              <w:rPr>
                <w:rFonts w:eastAsia="Times New Roman" w:cs="Times New Roman"/>
                <w:b/>
                <w:bCs/>
                <w:color w:val="000000"/>
                <w:sz w:val="20"/>
                <w:szCs w:val="20"/>
              </w:rPr>
              <w:t> </w:t>
            </w:r>
          </w:p>
        </w:tc>
        <w:tc>
          <w:tcPr>
            <w:tcW w:w="982" w:type="dxa"/>
            <w:tcBorders>
              <w:top w:val="nil"/>
              <w:left w:val="nil"/>
              <w:bottom w:val="single" w:sz="4" w:space="0" w:color="auto"/>
              <w:right w:val="nil"/>
            </w:tcBorders>
            <w:shd w:val="clear" w:color="auto" w:fill="auto"/>
            <w:hideMark/>
          </w:tcPr>
          <w:p w14:paraId="00DD8FA2" w14:textId="77777777" w:rsidR="009B5DE5" w:rsidRPr="009B5DE5" w:rsidRDefault="009B5DE5" w:rsidP="009B5DE5">
            <w:pPr>
              <w:spacing w:after="0"/>
              <w:jc w:val="center"/>
              <w:rPr>
                <w:rFonts w:eastAsia="Times New Roman" w:cs="Times New Roman"/>
                <w:b/>
                <w:bCs/>
                <w:color w:val="000000"/>
                <w:sz w:val="20"/>
                <w:szCs w:val="20"/>
              </w:rPr>
            </w:pPr>
            <w:r w:rsidRPr="009B5DE5">
              <w:rPr>
                <w:rFonts w:eastAsia="Times New Roman" w:cs="Times New Roman"/>
                <w:b/>
                <w:bCs/>
                <w:color w:val="000000"/>
                <w:sz w:val="20"/>
                <w:szCs w:val="20"/>
              </w:rPr>
              <w:t> </w:t>
            </w:r>
          </w:p>
        </w:tc>
        <w:tc>
          <w:tcPr>
            <w:tcW w:w="982" w:type="dxa"/>
            <w:tcBorders>
              <w:top w:val="nil"/>
              <w:left w:val="nil"/>
              <w:bottom w:val="single" w:sz="4" w:space="0" w:color="auto"/>
              <w:right w:val="nil"/>
            </w:tcBorders>
            <w:shd w:val="clear" w:color="auto" w:fill="auto"/>
            <w:hideMark/>
          </w:tcPr>
          <w:p w14:paraId="4EDBFBDD" w14:textId="77777777" w:rsidR="009B5DE5" w:rsidRPr="009B5DE5" w:rsidRDefault="009B5DE5" w:rsidP="009B5DE5">
            <w:pPr>
              <w:spacing w:after="0"/>
              <w:jc w:val="center"/>
              <w:rPr>
                <w:rFonts w:eastAsia="Times New Roman" w:cs="Times New Roman"/>
                <w:b/>
                <w:bCs/>
                <w:color w:val="000000"/>
                <w:sz w:val="20"/>
                <w:szCs w:val="20"/>
              </w:rPr>
            </w:pPr>
            <w:r w:rsidRPr="009B5DE5">
              <w:rPr>
                <w:rFonts w:eastAsia="Times New Roman" w:cs="Times New Roman"/>
                <w:b/>
                <w:bCs/>
                <w:color w:val="000000"/>
                <w:sz w:val="20"/>
                <w:szCs w:val="20"/>
              </w:rPr>
              <w:t> </w:t>
            </w:r>
          </w:p>
        </w:tc>
        <w:tc>
          <w:tcPr>
            <w:tcW w:w="982" w:type="dxa"/>
            <w:tcBorders>
              <w:top w:val="nil"/>
              <w:left w:val="nil"/>
              <w:bottom w:val="single" w:sz="4" w:space="0" w:color="auto"/>
              <w:right w:val="nil"/>
            </w:tcBorders>
            <w:shd w:val="clear" w:color="auto" w:fill="auto"/>
            <w:hideMark/>
          </w:tcPr>
          <w:p w14:paraId="685A3398" w14:textId="77777777" w:rsidR="009B5DE5" w:rsidRPr="009B5DE5" w:rsidRDefault="009B5DE5" w:rsidP="009B5DE5">
            <w:pPr>
              <w:spacing w:after="0"/>
              <w:jc w:val="center"/>
              <w:rPr>
                <w:rFonts w:eastAsia="Times New Roman" w:cs="Times New Roman"/>
                <w:b/>
                <w:bCs/>
                <w:color w:val="000000"/>
                <w:sz w:val="20"/>
                <w:szCs w:val="20"/>
              </w:rPr>
            </w:pPr>
            <w:r w:rsidRPr="009B5DE5">
              <w:rPr>
                <w:rFonts w:eastAsia="Times New Roman" w:cs="Times New Roman"/>
                <w:b/>
                <w:bCs/>
                <w:color w:val="000000"/>
                <w:sz w:val="20"/>
                <w:szCs w:val="20"/>
              </w:rPr>
              <w:t> </w:t>
            </w:r>
          </w:p>
        </w:tc>
        <w:tc>
          <w:tcPr>
            <w:tcW w:w="982" w:type="dxa"/>
            <w:tcBorders>
              <w:top w:val="nil"/>
              <w:left w:val="nil"/>
              <w:bottom w:val="single" w:sz="4" w:space="0" w:color="auto"/>
              <w:right w:val="nil"/>
            </w:tcBorders>
            <w:shd w:val="clear" w:color="auto" w:fill="auto"/>
            <w:hideMark/>
          </w:tcPr>
          <w:p w14:paraId="677A4BCC" w14:textId="77777777" w:rsidR="009B5DE5" w:rsidRPr="009B5DE5" w:rsidRDefault="009B5DE5" w:rsidP="009B5DE5">
            <w:pPr>
              <w:spacing w:after="0"/>
              <w:jc w:val="center"/>
              <w:rPr>
                <w:rFonts w:eastAsia="Times New Roman" w:cs="Times New Roman"/>
                <w:b/>
                <w:bCs/>
                <w:color w:val="000000"/>
                <w:sz w:val="20"/>
                <w:szCs w:val="20"/>
              </w:rPr>
            </w:pPr>
            <w:r w:rsidRPr="009B5DE5">
              <w:rPr>
                <w:rFonts w:eastAsia="Times New Roman" w:cs="Times New Roman"/>
                <w:b/>
                <w:bCs/>
                <w:color w:val="000000"/>
                <w:sz w:val="20"/>
                <w:szCs w:val="20"/>
              </w:rPr>
              <w:t> </w:t>
            </w:r>
          </w:p>
        </w:tc>
        <w:tc>
          <w:tcPr>
            <w:tcW w:w="982" w:type="dxa"/>
            <w:tcBorders>
              <w:top w:val="nil"/>
              <w:left w:val="nil"/>
              <w:bottom w:val="single" w:sz="4" w:space="0" w:color="auto"/>
              <w:right w:val="double" w:sz="6" w:space="0" w:color="000000"/>
            </w:tcBorders>
            <w:shd w:val="clear" w:color="auto" w:fill="auto"/>
            <w:hideMark/>
          </w:tcPr>
          <w:p w14:paraId="59BABB6E" w14:textId="77777777" w:rsidR="009B5DE5" w:rsidRPr="009B5DE5" w:rsidRDefault="009B5DE5" w:rsidP="009B5DE5">
            <w:pPr>
              <w:spacing w:after="0"/>
              <w:jc w:val="center"/>
              <w:rPr>
                <w:rFonts w:eastAsia="Times New Roman" w:cs="Times New Roman"/>
                <w:b/>
                <w:bCs/>
                <w:color w:val="000000"/>
                <w:sz w:val="20"/>
                <w:szCs w:val="20"/>
              </w:rPr>
            </w:pPr>
            <w:r w:rsidRPr="009B5DE5">
              <w:rPr>
                <w:rFonts w:eastAsia="Times New Roman" w:cs="Times New Roman"/>
                <w:b/>
                <w:bCs/>
                <w:color w:val="000000"/>
                <w:sz w:val="20"/>
                <w:szCs w:val="20"/>
              </w:rPr>
              <w:t> </w:t>
            </w:r>
          </w:p>
        </w:tc>
      </w:tr>
      <w:tr w:rsidR="009B5DE5" w:rsidRPr="009B5DE5" w14:paraId="0AF03BDB" w14:textId="77777777" w:rsidTr="00396800">
        <w:trPr>
          <w:trHeight w:val="290"/>
        </w:trPr>
        <w:tc>
          <w:tcPr>
            <w:tcW w:w="7061" w:type="dxa"/>
            <w:tcBorders>
              <w:top w:val="nil"/>
              <w:left w:val="double" w:sz="6" w:space="0" w:color="000000"/>
              <w:bottom w:val="dotted" w:sz="4" w:space="0" w:color="000000"/>
              <w:right w:val="single" w:sz="4" w:space="0" w:color="auto"/>
            </w:tcBorders>
            <w:shd w:val="clear" w:color="auto" w:fill="auto"/>
            <w:hideMark/>
          </w:tcPr>
          <w:p w14:paraId="286A2C9D"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Раст продуктивности рада</w:t>
            </w:r>
          </w:p>
        </w:tc>
        <w:tc>
          <w:tcPr>
            <w:tcW w:w="1552" w:type="dxa"/>
            <w:tcBorders>
              <w:top w:val="nil"/>
              <w:left w:val="nil"/>
              <w:bottom w:val="dotted" w:sz="4" w:space="0" w:color="000000"/>
              <w:right w:val="dotted" w:sz="4" w:space="0" w:color="000000"/>
            </w:tcBorders>
            <w:shd w:val="clear" w:color="auto" w:fill="auto"/>
            <w:hideMark/>
          </w:tcPr>
          <w:p w14:paraId="0C3E5709"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1371" w:type="dxa"/>
            <w:tcBorders>
              <w:top w:val="nil"/>
              <w:left w:val="nil"/>
              <w:bottom w:val="dotted" w:sz="4" w:space="0" w:color="000000"/>
              <w:right w:val="dotted" w:sz="4" w:space="0" w:color="000000"/>
            </w:tcBorders>
            <w:shd w:val="clear" w:color="auto" w:fill="auto"/>
            <w:hideMark/>
          </w:tcPr>
          <w:p w14:paraId="4E9D9922"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0F089548"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57539C29"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3D9AA2CB"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70640DAD"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uble" w:sz="6" w:space="0" w:color="000000"/>
            </w:tcBorders>
            <w:shd w:val="clear" w:color="auto" w:fill="auto"/>
            <w:hideMark/>
          </w:tcPr>
          <w:p w14:paraId="496D8E13"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r>
      <w:tr w:rsidR="009B5DE5" w:rsidRPr="009B5DE5" w14:paraId="78CFD2B2" w14:textId="77777777" w:rsidTr="00396800">
        <w:trPr>
          <w:trHeight w:val="290"/>
        </w:trPr>
        <w:tc>
          <w:tcPr>
            <w:tcW w:w="7061" w:type="dxa"/>
            <w:tcBorders>
              <w:top w:val="nil"/>
              <w:left w:val="double" w:sz="6" w:space="0" w:color="000000"/>
              <w:bottom w:val="dotted" w:sz="4" w:space="0" w:color="000000"/>
              <w:right w:val="single" w:sz="4" w:space="0" w:color="auto"/>
            </w:tcBorders>
            <w:shd w:val="clear" w:color="auto" w:fill="auto"/>
            <w:hideMark/>
          </w:tcPr>
          <w:p w14:paraId="3D3508F1"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Реални раст БДП-а</w:t>
            </w:r>
          </w:p>
        </w:tc>
        <w:tc>
          <w:tcPr>
            <w:tcW w:w="1552" w:type="dxa"/>
            <w:tcBorders>
              <w:top w:val="nil"/>
              <w:left w:val="nil"/>
              <w:bottom w:val="dotted" w:sz="4" w:space="0" w:color="000000"/>
              <w:right w:val="dotted" w:sz="4" w:space="0" w:color="000000"/>
            </w:tcBorders>
            <w:shd w:val="clear" w:color="auto" w:fill="auto"/>
            <w:hideMark/>
          </w:tcPr>
          <w:p w14:paraId="36A4CADC"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1371" w:type="dxa"/>
            <w:tcBorders>
              <w:top w:val="nil"/>
              <w:left w:val="nil"/>
              <w:bottom w:val="dotted" w:sz="4" w:space="0" w:color="000000"/>
              <w:right w:val="dotted" w:sz="4" w:space="0" w:color="000000"/>
            </w:tcBorders>
            <w:shd w:val="clear" w:color="auto" w:fill="auto"/>
            <w:hideMark/>
          </w:tcPr>
          <w:p w14:paraId="6B07346F"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0E73705A"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7DA9E111"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792C481A"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32D70242"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uble" w:sz="6" w:space="0" w:color="000000"/>
            </w:tcBorders>
            <w:shd w:val="clear" w:color="auto" w:fill="auto"/>
            <w:hideMark/>
          </w:tcPr>
          <w:p w14:paraId="7D7E7EB5"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r>
      <w:tr w:rsidR="009B5DE5" w:rsidRPr="009B5DE5" w14:paraId="7E9347A4" w14:textId="77777777" w:rsidTr="00396800">
        <w:trPr>
          <w:trHeight w:val="290"/>
        </w:trPr>
        <w:tc>
          <w:tcPr>
            <w:tcW w:w="7061" w:type="dxa"/>
            <w:tcBorders>
              <w:top w:val="nil"/>
              <w:left w:val="double" w:sz="6" w:space="0" w:color="000000"/>
              <w:bottom w:val="dotted" w:sz="4" w:space="0" w:color="000000"/>
              <w:right w:val="single" w:sz="4" w:space="0" w:color="auto"/>
            </w:tcBorders>
            <w:shd w:val="clear" w:color="auto" w:fill="auto"/>
            <w:hideMark/>
          </w:tcPr>
          <w:p w14:paraId="57D2FB10"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Стопа активности мушкараца (20-64 год.)</w:t>
            </w:r>
          </w:p>
        </w:tc>
        <w:tc>
          <w:tcPr>
            <w:tcW w:w="1552" w:type="dxa"/>
            <w:tcBorders>
              <w:top w:val="nil"/>
              <w:left w:val="nil"/>
              <w:bottom w:val="dotted" w:sz="4" w:space="0" w:color="000000"/>
              <w:right w:val="dotted" w:sz="4" w:space="0" w:color="000000"/>
            </w:tcBorders>
            <w:shd w:val="clear" w:color="auto" w:fill="auto"/>
            <w:hideMark/>
          </w:tcPr>
          <w:p w14:paraId="53F66D27"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1371" w:type="dxa"/>
            <w:tcBorders>
              <w:top w:val="nil"/>
              <w:left w:val="nil"/>
              <w:bottom w:val="dotted" w:sz="4" w:space="0" w:color="000000"/>
              <w:right w:val="dotted" w:sz="4" w:space="0" w:color="000000"/>
            </w:tcBorders>
            <w:shd w:val="clear" w:color="auto" w:fill="auto"/>
            <w:hideMark/>
          </w:tcPr>
          <w:p w14:paraId="2FC650ED"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661B732E"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461E98CE"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1ED902A9"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0647CF7C"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uble" w:sz="6" w:space="0" w:color="000000"/>
            </w:tcBorders>
            <w:shd w:val="clear" w:color="auto" w:fill="auto"/>
            <w:hideMark/>
          </w:tcPr>
          <w:p w14:paraId="0BEF8378"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r>
      <w:tr w:rsidR="009B5DE5" w:rsidRPr="009B5DE5" w14:paraId="37146E87" w14:textId="77777777" w:rsidTr="00396800">
        <w:trPr>
          <w:trHeight w:val="290"/>
        </w:trPr>
        <w:tc>
          <w:tcPr>
            <w:tcW w:w="7061" w:type="dxa"/>
            <w:tcBorders>
              <w:top w:val="nil"/>
              <w:left w:val="double" w:sz="6" w:space="0" w:color="000000"/>
              <w:bottom w:val="dotted" w:sz="4" w:space="0" w:color="000000"/>
              <w:right w:val="single" w:sz="4" w:space="0" w:color="auto"/>
            </w:tcBorders>
            <w:shd w:val="clear" w:color="auto" w:fill="auto"/>
            <w:hideMark/>
          </w:tcPr>
          <w:p w14:paraId="73304F7E"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Стопа активности жена (20-64 год.)</w:t>
            </w:r>
          </w:p>
        </w:tc>
        <w:tc>
          <w:tcPr>
            <w:tcW w:w="1552" w:type="dxa"/>
            <w:tcBorders>
              <w:top w:val="nil"/>
              <w:left w:val="nil"/>
              <w:bottom w:val="dotted" w:sz="4" w:space="0" w:color="000000"/>
              <w:right w:val="dotted" w:sz="4" w:space="0" w:color="000000"/>
            </w:tcBorders>
            <w:shd w:val="clear" w:color="auto" w:fill="auto"/>
            <w:hideMark/>
          </w:tcPr>
          <w:p w14:paraId="1F668ACA"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1371" w:type="dxa"/>
            <w:tcBorders>
              <w:top w:val="nil"/>
              <w:left w:val="nil"/>
              <w:bottom w:val="dotted" w:sz="4" w:space="0" w:color="000000"/>
              <w:right w:val="dotted" w:sz="4" w:space="0" w:color="000000"/>
            </w:tcBorders>
            <w:shd w:val="clear" w:color="auto" w:fill="auto"/>
            <w:hideMark/>
          </w:tcPr>
          <w:p w14:paraId="3BE71E28"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2C7CB5E8"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475B42CC"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131E6AD2"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10F4C48C"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uble" w:sz="6" w:space="0" w:color="000000"/>
            </w:tcBorders>
            <w:shd w:val="clear" w:color="auto" w:fill="auto"/>
            <w:hideMark/>
          </w:tcPr>
          <w:p w14:paraId="1924E290"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r>
      <w:tr w:rsidR="009B5DE5" w:rsidRPr="009B5DE5" w14:paraId="0245CD22" w14:textId="77777777" w:rsidTr="00396800">
        <w:trPr>
          <w:trHeight w:val="290"/>
        </w:trPr>
        <w:tc>
          <w:tcPr>
            <w:tcW w:w="7061" w:type="dxa"/>
            <w:tcBorders>
              <w:top w:val="nil"/>
              <w:left w:val="double" w:sz="6" w:space="0" w:color="000000"/>
              <w:bottom w:val="dotted" w:sz="4" w:space="0" w:color="000000"/>
              <w:right w:val="single" w:sz="4" w:space="0" w:color="auto"/>
            </w:tcBorders>
            <w:shd w:val="clear" w:color="auto" w:fill="auto"/>
            <w:hideMark/>
          </w:tcPr>
          <w:p w14:paraId="25E0FE12"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Општа стопа активности (20-64 год.)</w:t>
            </w:r>
          </w:p>
        </w:tc>
        <w:tc>
          <w:tcPr>
            <w:tcW w:w="1552" w:type="dxa"/>
            <w:tcBorders>
              <w:top w:val="nil"/>
              <w:left w:val="nil"/>
              <w:bottom w:val="dotted" w:sz="4" w:space="0" w:color="000000"/>
              <w:right w:val="dotted" w:sz="4" w:space="0" w:color="000000"/>
            </w:tcBorders>
            <w:shd w:val="clear" w:color="auto" w:fill="auto"/>
            <w:hideMark/>
          </w:tcPr>
          <w:p w14:paraId="437FC7E3"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1371" w:type="dxa"/>
            <w:tcBorders>
              <w:top w:val="nil"/>
              <w:left w:val="nil"/>
              <w:bottom w:val="dotted" w:sz="4" w:space="0" w:color="000000"/>
              <w:right w:val="dotted" w:sz="4" w:space="0" w:color="000000"/>
            </w:tcBorders>
            <w:shd w:val="clear" w:color="auto" w:fill="auto"/>
            <w:hideMark/>
          </w:tcPr>
          <w:p w14:paraId="18243705"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405F6F57"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283F431C"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1DFE4F3B"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40325DE7"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uble" w:sz="6" w:space="0" w:color="000000"/>
            </w:tcBorders>
            <w:shd w:val="clear" w:color="auto" w:fill="auto"/>
            <w:hideMark/>
          </w:tcPr>
          <w:p w14:paraId="67494E18"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r>
      <w:tr w:rsidR="009B5DE5" w:rsidRPr="009B5DE5" w14:paraId="3EED52EB" w14:textId="77777777" w:rsidTr="00396800">
        <w:trPr>
          <w:trHeight w:val="290"/>
        </w:trPr>
        <w:tc>
          <w:tcPr>
            <w:tcW w:w="7061" w:type="dxa"/>
            <w:tcBorders>
              <w:top w:val="nil"/>
              <w:left w:val="double" w:sz="6" w:space="0" w:color="000000"/>
              <w:bottom w:val="dotted" w:sz="4" w:space="0" w:color="000000"/>
              <w:right w:val="single" w:sz="4" w:space="0" w:color="auto"/>
            </w:tcBorders>
            <w:shd w:val="clear" w:color="auto" w:fill="auto"/>
            <w:hideMark/>
          </w:tcPr>
          <w:p w14:paraId="4ADB3FBB"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Стопа незапослености</w:t>
            </w:r>
          </w:p>
        </w:tc>
        <w:tc>
          <w:tcPr>
            <w:tcW w:w="1552" w:type="dxa"/>
            <w:tcBorders>
              <w:top w:val="nil"/>
              <w:left w:val="nil"/>
              <w:bottom w:val="dotted" w:sz="4" w:space="0" w:color="000000"/>
              <w:right w:val="dotted" w:sz="4" w:space="0" w:color="000000"/>
            </w:tcBorders>
            <w:shd w:val="clear" w:color="auto" w:fill="auto"/>
            <w:hideMark/>
          </w:tcPr>
          <w:p w14:paraId="5828D37C"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1371" w:type="dxa"/>
            <w:tcBorders>
              <w:top w:val="nil"/>
              <w:left w:val="nil"/>
              <w:bottom w:val="dotted" w:sz="4" w:space="0" w:color="000000"/>
              <w:right w:val="dotted" w:sz="4" w:space="0" w:color="000000"/>
            </w:tcBorders>
            <w:shd w:val="clear" w:color="auto" w:fill="auto"/>
            <w:hideMark/>
          </w:tcPr>
          <w:p w14:paraId="314611C4"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68245E3F"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5640931E"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0658C5E3"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tted" w:sz="4" w:space="0" w:color="000000"/>
            </w:tcBorders>
            <w:shd w:val="clear" w:color="auto" w:fill="auto"/>
            <w:hideMark/>
          </w:tcPr>
          <w:p w14:paraId="16AC3CBB"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tted" w:sz="4" w:space="0" w:color="000000"/>
              <w:right w:val="double" w:sz="6" w:space="0" w:color="000000"/>
            </w:tcBorders>
            <w:shd w:val="clear" w:color="auto" w:fill="auto"/>
            <w:hideMark/>
          </w:tcPr>
          <w:p w14:paraId="68A28C4D"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r>
      <w:tr w:rsidR="009B5DE5" w:rsidRPr="009B5DE5" w14:paraId="6B06FAAB" w14:textId="77777777" w:rsidTr="00396800">
        <w:trPr>
          <w:trHeight w:val="307"/>
        </w:trPr>
        <w:tc>
          <w:tcPr>
            <w:tcW w:w="7061" w:type="dxa"/>
            <w:tcBorders>
              <w:top w:val="nil"/>
              <w:left w:val="double" w:sz="6" w:space="0" w:color="000000"/>
              <w:bottom w:val="double" w:sz="6" w:space="0" w:color="000000"/>
              <w:right w:val="single" w:sz="4" w:space="0" w:color="auto"/>
            </w:tcBorders>
            <w:shd w:val="clear" w:color="auto" w:fill="auto"/>
            <w:hideMark/>
          </w:tcPr>
          <w:p w14:paraId="3192DF42" w14:textId="77777777" w:rsidR="009B5DE5" w:rsidRPr="009B5DE5" w:rsidRDefault="009B5DE5" w:rsidP="009B5DE5">
            <w:pPr>
              <w:spacing w:after="0"/>
              <w:jc w:val="left"/>
              <w:rPr>
                <w:rFonts w:eastAsia="Times New Roman" w:cs="Times New Roman"/>
                <w:color w:val="000000"/>
                <w:sz w:val="20"/>
                <w:szCs w:val="20"/>
              </w:rPr>
            </w:pPr>
            <w:r w:rsidRPr="009B5DE5">
              <w:rPr>
                <w:rFonts w:eastAsia="Times New Roman" w:cs="Times New Roman"/>
                <w:color w:val="000000"/>
                <w:sz w:val="20"/>
                <w:szCs w:val="20"/>
              </w:rPr>
              <w:t>Становништво узраста 65+ у укупном становништву</w:t>
            </w:r>
          </w:p>
        </w:tc>
        <w:tc>
          <w:tcPr>
            <w:tcW w:w="1552" w:type="dxa"/>
            <w:tcBorders>
              <w:top w:val="nil"/>
              <w:left w:val="nil"/>
              <w:bottom w:val="double" w:sz="6" w:space="0" w:color="000000"/>
              <w:right w:val="dotted" w:sz="4" w:space="0" w:color="000000"/>
            </w:tcBorders>
            <w:shd w:val="clear" w:color="auto" w:fill="auto"/>
            <w:hideMark/>
          </w:tcPr>
          <w:p w14:paraId="6A8BB14E" w14:textId="77777777" w:rsidR="009B5DE5" w:rsidRPr="009B5DE5" w:rsidRDefault="009B5DE5" w:rsidP="009B5DE5">
            <w:pPr>
              <w:spacing w:after="0"/>
              <w:jc w:val="center"/>
              <w:rPr>
                <w:rFonts w:eastAsia="Times New Roman" w:cs="Times New Roman"/>
                <w:b/>
                <w:bCs/>
                <w:color w:val="000000"/>
                <w:sz w:val="20"/>
                <w:szCs w:val="20"/>
              </w:rPr>
            </w:pPr>
            <w:r w:rsidRPr="009B5DE5">
              <w:rPr>
                <w:rFonts w:eastAsia="Times New Roman" w:cs="Times New Roman"/>
                <w:b/>
                <w:bCs/>
                <w:color w:val="000000"/>
                <w:sz w:val="20"/>
                <w:szCs w:val="20"/>
              </w:rPr>
              <w:t> </w:t>
            </w:r>
          </w:p>
        </w:tc>
        <w:tc>
          <w:tcPr>
            <w:tcW w:w="1371" w:type="dxa"/>
            <w:tcBorders>
              <w:top w:val="nil"/>
              <w:left w:val="nil"/>
              <w:bottom w:val="double" w:sz="6" w:space="0" w:color="000000"/>
              <w:right w:val="dotted" w:sz="4" w:space="0" w:color="000000"/>
            </w:tcBorders>
            <w:shd w:val="clear" w:color="auto" w:fill="auto"/>
            <w:hideMark/>
          </w:tcPr>
          <w:p w14:paraId="0C1DDE5F"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uble" w:sz="6" w:space="0" w:color="000000"/>
              <w:right w:val="dotted" w:sz="4" w:space="0" w:color="000000"/>
            </w:tcBorders>
            <w:shd w:val="clear" w:color="auto" w:fill="auto"/>
            <w:hideMark/>
          </w:tcPr>
          <w:p w14:paraId="70E89E9A"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uble" w:sz="6" w:space="0" w:color="000000"/>
              <w:right w:val="dotted" w:sz="4" w:space="0" w:color="000000"/>
            </w:tcBorders>
            <w:shd w:val="clear" w:color="auto" w:fill="auto"/>
            <w:hideMark/>
          </w:tcPr>
          <w:p w14:paraId="27196DB6"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uble" w:sz="6" w:space="0" w:color="000000"/>
              <w:right w:val="dotted" w:sz="4" w:space="0" w:color="000000"/>
            </w:tcBorders>
            <w:shd w:val="clear" w:color="auto" w:fill="auto"/>
            <w:hideMark/>
          </w:tcPr>
          <w:p w14:paraId="1592AB06"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uble" w:sz="6" w:space="0" w:color="000000"/>
              <w:right w:val="dotted" w:sz="4" w:space="0" w:color="000000"/>
            </w:tcBorders>
            <w:shd w:val="clear" w:color="auto" w:fill="auto"/>
            <w:hideMark/>
          </w:tcPr>
          <w:p w14:paraId="36B7B8BB"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2" w:type="dxa"/>
            <w:tcBorders>
              <w:top w:val="nil"/>
              <w:left w:val="nil"/>
              <w:bottom w:val="double" w:sz="6" w:space="0" w:color="000000"/>
              <w:right w:val="double" w:sz="6" w:space="0" w:color="000000"/>
            </w:tcBorders>
            <w:shd w:val="clear" w:color="auto" w:fill="auto"/>
            <w:hideMark/>
          </w:tcPr>
          <w:p w14:paraId="4136B693"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r>
    </w:tbl>
    <w:p w14:paraId="05CB6717" w14:textId="77777777" w:rsidR="009B5DE5" w:rsidRPr="009B5DE5" w:rsidRDefault="009B5DE5" w:rsidP="009B5DE5">
      <w:pPr>
        <w:spacing w:after="160" w:line="259" w:lineRule="auto"/>
        <w:jc w:val="left"/>
        <w:rPr>
          <w:rFonts w:ascii="Calibri" w:eastAsia="Calibri" w:hAnsi="Calibri" w:cs="Times New Roman"/>
          <w:sz w:val="22"/>
          <w:lang w:val="sr-Cyrl-RS"/>
        </w:rPr>
      </w:pPr>
    </w:p>
    <w:p w14:paraId="673E7F4C" w14:textId="77777777" w:rsidR="009B5DE5" w:rsidRPr="009B5DE5" w:rsidRDefault="009B5DE5" w:rsidP="009B5DE5">
      <w:pPr>
        <w:spacing w:after="160" w:line="259" w:lineRule="auto"/>
        <w:jc w:val="left"/>
        <w:rPr>
          <w:rFonts w:ascii="Calibri" w:eastAsia="Calibri" w:hAnsi="Calibri" w:cs="Times New Roman"/>
          <w:sz w:val="22"/>
          <w:lang w:val="sr-Cyrl-RS"/>
        </w:rPr>
      </w:pPr>
    </w:p>
    <w:p w14:paraId="63A66B50" w14:textId="77777777" w:rsidR="009B5DE5" w:rsidRPr="009B5DE5" w:rsidRDefault="009B5DE5" w:rsidP="009B5DE5">
      <w:pPr>
        <w:spacing w:after="160" w:line="259" w:lineRule="auto"/>
        <w:jc w:val="left"/>
        <w:rPr>
          <w:rFonts w:ascii="Calibri" w:eastAsia="Calibri" w:hAnsi="Calibri" w:cs="Times New Roman"/>
          <w:sz w:val="22"/>
          <w:lang w:val="sr-Cyrl-RS"/>
        </w:rPr>
      </w:pPr>
      <w:r w:rsidRPr="009B5DE5">
        <w:rPr>
          <w:rFonts w:eastAsia="Times New Roman" w:cs="Times New Roman"/>
          <w:bCs/>
          <w:sz w:val="22"/>
        </w:rPr>
        <w:t>Табела 7a:  Издавање гаранција усвојено/најављено у складу са Програмом (</w:t>
      </w:r>
      <w:r w:rsidRPr="009B5DE5">
        <w:rPr>
          <w:rFonts w:eastAsia="Times New Roman" w:cs="Times New Roman"/>
          <w:bCs/>
          <w:sz w:val="22"/>
          <w:lang w:val="sr-Cyrl-RS"/>
        </w:rPr>
        <w:t>у млрд рсд)</w:t>
      </w:r>
    </w:p>
    <w:tbl>
      <w:tblPr>
        <w:tblW w:w="15032" w:type="dxa"/>
        <w:tblLook w:val="04A0" w:firstRow="1" w:lastRow="0" w:firstColumn="1" w:lastColumn="0" w:noHBand="0" w:noVBand="1"/>
      </w:tblPr>
      <w:tblGrid>
        <w:gridCol w:w="7126"/>
        <w:gridCol w:w="1566"/>
        <w:gridCol w:w="1446"/>
        <w:gridCol w:w="1355"/>
        <w:gridCol w:w="1830"/>
        <w:gridCol w:w="1709"/>
      </w:tblGrid>
      <w:tr w:rsidR="009B5DE5" w:rsidRPr="009B5DE5" w14:paraId="13C01134" w14:textId="77777777" w:rsidTr="00F829D4">
        <w:trPr>
          <w:trHeight w:val="1885"/>
          <w:tblHeader/>
        </w:trPr>
        <w:tc>
          <w:tcPr>
            <w:tcW w:w="10138" w:type="dxa"/>
            <w:gridSpan w:val="3"/>
            <w:tcBorders>
              <w:top w:val="double" w:sz="6" w:space="0" w:color="auto"/>
              <w:left w:val="double" w:sz="6" w:space="0" w:color="auto"/>
              <w:bottom w:val="single" w:sz="8" w:space="0" w:color="auto"/>
              <w:right w:val="single" w:sz="4" w:space="0" w:color="000000"/>
            </w:tcBorders>
            <w:shd w:val="clear" w:color="auto" w:fill="auto"/>
            <w:noWrap/>
            <w:vAlign w:val="center"/>
            <w:hideMark/>
          </w:tcPr>
          <w:p w14:paraId="026FBAB3" w14:textId="77777777" w:rsidR="009B5DE5" w:rsidRPr="009B5DE5" w:rsidRDefault="009B5DE5" w:rsidP="009B5DE5">
            <w:pPr>
              <w:spacing w:after="0"/>
              <w:jc w:val="center"/>
              <w:rPr>
                <w:rFonts w:eastAsia="Times New Roman" w:cs="Times New Roman"/>
                <w:b/>
                <w:bCs/>
                <w:sz w:val="20"/>
                <w:szCs w:val="20"/>
              </w:rPr>
            </w:pPr>
            <w:r w:rsidRPr="009B5DE5">
              <w:rPr>
                <w:rFonts w:eastAsia="Times New Roman" w:cs="Times New Roman"/>
                <w:b/>
                <w:bCs/>
                <w:sz w:val="20"/>
                <w:szCs w:val="20"/>
              </w:rPr>
              <w:t>Мере</w:t>
            </w:r>
          </w:p>
        </w:tc>
        <w:tc>
          <w:tcPr>
            <w:tcW w:w="1355" w:type="dxa"/>
            <w:tcBorders>
              <w:top w:val="double" w:sz="6" w:space="0" w:color="auto"/>
              <w:left w:val="single" w:sz="4" w:space="0" w:color="auto"/>
              <w:bottom w:val="single" w:sz="8" w:space="0" w:color="auto"/>
              <w:right w:val="single" w:sz="8" w:space="0" w:color="auto"/>
            </w:tcBorders>
            <w:shd w:val="clear" w:color="auto" w:fill="auto"/>
            <w:vAlign w:val="center"/>
            <w:hideMark/>
          </w:tcPr>
          <w:p w14:paraId="135A2851" w14:textId="77777777" w:rsidR="009B5DE5" w:rsidRPr="009B5DE5" w:rsidRDefault="009B5DE5" w:rsidP="009B5DE5">
            <w:pPr>
              <w:spacing w:after="0"/>
              <w:jc w:val="center"/>
              <w:rPr>
                <w:rFonts w:eastAsia="Times New Roman" w:cs="Times New Roman"/>
                <w:b/>
                <w:bCs/>
                <w:sz w:val="20"/>
                <w:szCs w:val="20"/>
              </w:rPr>
            </w:pPr>
            <w:r w:rsidRPr="009B5DE5">
              <w:rPr>
                <w:rFonts w:eastAsia="Times New Roman" w:cs="Times New Roman"/>
                <w:b/>
                <w:bCs/>
                <w:sz w:val="20"/>
                <w:szCs w:val="20"/>
              </w:rPr>
              <w:t>Датум усвајања</w:t>
            </w:r>
          </w:p>
        </w:tc>
        <w:tc>
          <w:tcPr>
            <w:tcW w:w="1830" w:type="dxa"/>
            <w:tcBorders>
              <w:top w:val="double" w:sz="6" w:space="0" w:color="auto"/>
              <w:left w:val="nil"/>
              <w:bottom w:val="single" w:sz="8" w:space="0" w:color="auto"/>
              <w:right w:val="single" w:sz="4" w:space="0" w:color="auto"/>
            </w:tcBorders>
            <w:shd w:val="clear" w:color="auto" w:fill="auto"/>
            <w:vAlign w:val="center"/>
            <w:hideMark/>
          </w:tcPr>
          <w:p w14:paraId="04C96341" w14:textId="77777777" w:rsidR="009B5DE5" w:rsidRPr="009B5DE5" w:rsidRDefault="009B5DE5" w:rsidP="009B5DE5">
            <w:pPr>
              <w:spacing w:after="0"/>
              <w:jc w:val="center"/>
              <w:rPr>
                <w:rFonts w:eastAsia="Times New Roman" w:cs="Times New Roman"/>
                <w:b/>
                <w:bCs/>
                <w:sz w:val="20"/>
                <w:szCs w:val="20"/>
              </w:rPr>
            </w:pPr>
            <w:r w:rsidRPr="009B5DE5">
              <w:rPr>
                <w:rFonts w:eastAsia="Times New Roman" w:cs="Times New Roman"/>
                <w:b/>
                <w:bCs/>
                <w:sz w:val="20"/>
                <w:szCs w:val="20"/>
              </w:rPr>
              <w:t>Максимални износ гаранције</w:t>
            </w:r>
            <w:r w:rsidRPr="009B5DE5">
              <w:rPr>
                <w:rFonts w:eastAsia="Times New Roman" w:cs="Times New Roman"/>
                <w:b/>
                <w:bCs/>
                <w:sz w:val="20"/>
                <w:szCs w:val="20"/>
                <w:vertAlign w:val="superscript"/>
              </w:rPr>
              <w:t xml:space="preserve">1 </w:t>
            </w:r>
          </w:p>
        </w:tc>
        <w:tc>
          <w:tcPr>
            <w:tcW w:w="1709" w:type="dxa"/>
            <w:tcBorders>
              <w:top w:val="double" w:sz="6" w:space="0" w:color="auto"/>
              <w:left w:val="single" w:sz="4" w:space="0" w:color="auto"/>
              <w:bottom w:val="single" w:sz="8" w:space="0" w:color="auto"/>
              <w:right w:val="double" w:sz="6" w:space="0" w:color="auto"/>
            </w:tcBorders>
            <w:shd w:val="clear" w:color="auto" w:fill="auto"/>
            <w:vAlign w:val="center"/>
            <w:hideMark/>
          </w:tcPr>
          <w:p w14:paraId="3CF16518" w14:textId="77777777" w:rsidR="009B5DE5" w:rsidRPr="009B5DE5" w:rsidRDefault="009B5DE5" w:rsidP="009B5DE5">
            <w:pPr>
              <w:spacing w:after="0"/>
              <w:jc w:val="center"/>
              <w:rPr>
                <w:rFonts w:eastAsia="Times New Roman" w:cs="Times New Roman"/>
                <w:b/>
                <w:bCs/>
                <w:sz w:val="20"/>
                <w:szCs w:val="20"/>
              </w:rPr>
            </w:pPr>
            <w:r w:rsidRPr="009B5DE5">
              <w:rPr>
                <w:rFonts w:eastAsia="Times New Roman" w:cs="Times New Roman"/>
                <w:b/>
                <w:bCs/>
                <w:sz w:val="20"/>
                <w:szCs w:val="20"/>
              </w:rPr>
              <w:t>Процењени активирани износ</w:t>
            </w:r>
          </w:p>
        </w:tc>
      </w:tr>
      <w:tr w:rsidR="009B5DE5" w:rsidRPr="009B5DE5" w14:paraId="70B0BC2E" w14:textId="77777777" w:rsidTr="00F829D4">
        <w:trPr>
          <w:trHeight w:val="362"/>
        </w:trPr>
        <w:tc>
          <w:tcPr>
            <w:tcW w:w="10138" w:type="dxa"/>
            <w:gridSpan w:val="3"/>
            <w:tcBorders>
              <w:top w:val="single" w:sz="8" w:space="0" w:color="auto"/>
              <w:left w:val="double" w:sz="6" w:space="0" w:color="auto"/>
              <w:bottom w:val="single" w:sz="8" w:space="0" w:color="auto"/>
              <w:right w:val="single" w:sz="4" w:space="0" w:color="000000"/>
            </w:tcBorders>
            <w:shd w:val="clear" w:color="auto" w:fill="auto"/>
            <w:vAlign w:val="center"/>
            <w:hideMark/>
          </w:tcPr>
          <w:p w14:paraId="4A60B64E" w14:textId="77777777" w:rsidR="009B5DE5" w:rsidRPr="009B5DE5" w:rsidRDefault="009B5DE5" w:rsidP="009B5DE5">
            <w:pPr>
              <w:spacing w:after="0"/>
              <w:jc w:val="center"/>
              <w:rPr>
                <w:rFonts w:eastAsia="Times New Roman" w:cs="Times New Roman"/>
                <w:b/>
                <w:bCs/>
                <w:sz w:val="20"/>
                <w:szCs w:val="20"/>
              </w:rPr>
            </w:pPr>
            <w:r w:rsidRPr="009B5DE5">
              <w:rPr>
                <w:rFonts w:eastAsia="Times New Roman" w:cs="Times New Roman"/>
                <w:b/>
                <w:bCs/>
                <w:sz w:val="20"/>
                <w:szCs w:val="20"/>
              </w:rPr>
              <w:t>Као одговор на COVID 19</w:t>
            </w:r>
          </w:p>
        </w:tc>
        <w:tc>
          <w:tcPr>
            <w:tcW w:w="1355" w:type="dxa"/>
            <w:tcBorders>
              <w:top w:val="nil"/>
              <w:left w:val="nil"/>
              <w:bottom w:val="single" w:sz="8" w:space="0" w:color="auto"/>
              <w:right w:val="single" w:sz="8" w:space="0" w:color="auto"/>
            </w:tcBorders>
            <w:shd w:val="clear" w:color="auto" w:fill="auto"/>
            <w:noWrap/>
            <w:vAlign w:val="bottom"/>
            <w:hideMark/>
          </w:tcPr>
          <w:p w14:paraId="7B3EB3EF"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830" w:type="dxa"/>
            <w:tcBorders>
              <w:top w:val="nil"/>
              <w:left w:val="nil"/>
              <w:bottom w:val="single" w:sz="8" w:space="0" w:color="auto"/>
              <w:right w:val="single" w:sz="4" w:space="0" w:color="auto"/>
            </w:tcBorders>
            <w:shd w:val="clear" w:color="auto" w:fill="auto"/>
            <w:noWrap/>
            <w:vAlign w:val="bottom"/>
            <w:hideMark/>
          </w:tcPr>
          <w:p w14:paraId="2F89E3B7" w14:textId="77777777" w:rsidR="009B5DE5" w:rsidRPr="009B5DE5" w:rsidRDefault="009B5DE5" w:rsidP="009B5DE5">
            <w:pPr>
              <w:spacing w:after="0"/>
              <w:jc w:val="center"/>
              <w:rPr>
                <w:rFonts w:eastAsia="Times New Roman" w:cs="Times New Roman"/>
                <w:b/>
                <w:bCs/>
                <w:sz w:val="20"/>
                <w:szCs w:val="20"/>
              </w:rPr>
            </w:pPr>
            <w:r w:rsidRPr="009B5DE5">
              <w:rPr>
                <w:rFonts w:eastAsia="Times New Roman" w:cs="Times New Roman"/>
                <w:b/>
                <w:bCs/>
                <w:sz w:val="20"/>
                <w:szCs w:val="20"/>
              </w:rPr>
              <w:t>2024</w:t>
            </w:r>
          </w:p>
        </w:tc>
        <w:tc>
          <w:tcPr>
            <w:tcW w:w="1709" w:type="dxa"/>
            <w:tcBorders>
              <w:top w:val="nil"/>
              <w:left w:val="nil"/>
              <w:bottom w:val="single" w:sz="8" w:space="0" w:color="auto"/>
              <w:right w:val="double" w:sz="6" w:space="0" w:color="auto"/>
            </w:tcBorders>
            <w:shd w:val="clear" w:color="auto" w:fill="auto"/>
            <w:noWrap/>
            <w:vAlign w:val="bottom"/>
            <w:hideMark/>
          </w:tcPr>
          <w:p w14:paraId="57F1C21D" w14:textId="77777777" w:rsidR="009B5DE5" w:rsidRPr="009B5DE5" w:rsidRDefault="009B5DE5" w:rsidP="009B5DE5">
            <w:pPr>
              <w:spacing w:after="0"/>
              <w:jc w:val="center"/>
              <w:rPr>
                <w:rFonts w:eastAsia="Times New Roman" w:cs="Times New Roman"/>
                <w:b/>
                <w:bCs/>
                <w:sz w:val="20"/>
                <w:szCs w:val="20"/>
              </w:rPr>
            </w:pPr>
            <w:r w:rsidRPr="009B5DE5">
              <w:rPr>
                <w:rFonts w:eastAsia="Times New Roman" w:cs="Times New Roman"/>
                <w:b/>
                <w:bCs/>
                <w:sz w:val="20"/>
                <w:szCs w:val="20"/>
              </w:rPr>
              <w:t>2024</w:t>
            </w:r>
          </w:p>
        </w:tc>
      </w:tr>
      <w:tr w:rsidR="009B5DE5" w:rsidRPr="009B5DE5" w14:paraId="53F1BAF6" w14:textId="77777777" w:rsidTr="00F829D4">
        <w:trPr>
          <w:trHeight w:val="380"/>
        </w:trPr>
        <w:tc>
          <w:tcPr>
            <w:tcW w:w="7126" w:type="dxa"/>
            <w:tcBorders>
              <w:top w:val="single" w:sz="8" w:space="0" w:color="auto"/>
              <w:left w:val="double" w:sz="6" w:space="0" w:color="auto"/>
              <w:bottom w:val="single" w:sz="8" w:space="0" w:color="auto"/>
              <w:right w:val="nil"/>
            </w:tcBorders>
            <w:shd w:val="clear" w:color="auto" w:fill="auto"/>
            <w:vAlign w:val="center"/>
            <w:hideMark/>
          </w:tcPr>
          <w:p w14:paraId="47303542"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565" w:type="dxa"/>
            <w:tcBorders>
              <w:top w:val="single" w:sz="8" w:space="0" w:color="auto"/>
              <w:left w:val="nil"/>
              <w:bottom w:val="single" w:sz="8" w:space="0" w:color="auto"/>
              <w:right w:val="nil"/>
            </w:tcBorders>
            <w:shd w:val="clear" w:color="auto" w:fill="auto"/>
            <w:vAlign w:val="center"/>
            <w:hideMark/>
          </w:tcPr>
          <w:p w14:paraId="1F780B42"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446"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5B549421" w14:textId="77777777" w:rsidR="009B5DE5" w:rsidRPr="009B5DE5" w:rsidRDefault="009B5DE5" w:rsidP="009B5DE5">
            <w:pPr>
              <w:spacing w:after="0"/>
              <w:jc w:val="center"/>
              <w:rPr>
                <w:rFonts w:eastAsia="Times New Roman" w:cs="Times New Roman"/>
                <w:b/>
                <w:bCs/>
                <w:sz w:val="20"/>
                <w:szCs w:val="20"/>
              </w:rPr>
            </w:pPr>
            <w:r w:rsidRPr="009B5DE5">
              <w:rPr>
                <w:rFonts w:eastAsia="Times New Roman" w:cs="Times New Roman"/>
                <w:b/>
                <w:bCs/>
                <w:sz w:val="20"/>
                <w:szCs w:val="20"/>
              </w:rPr>
              <w:t>Међузбир</w:t>
            </w:r>
          </w:p>
        </w:tc>
        <w:tc>
          <w:tcPr>
            <w:tcW w:w="1355" w:type="dxa"/>
            <w:tcBorders>
              <w:top w:val="single" w:sz="8" w:space="0" w:color="auto"/>
              <w:left w:val="nil"/>
              <w:bottom w:val="single" w:sz="8" w:space="0" w:color="auto"/>
              <w:right w:val="single" w:sz="8" w:space="0" w:color="auto"/>
            </w:tcBorders>
            <w:shd w:val="clear" w:color="auto" w:fill="auto"/>
            <w:noWrap/>
            <w:vAlign w:val="bottom"/>
            <w:hideMark/>
          </w:tcPr>
          <w:p w14:paraId="56C395D2" w14:textId="77777777" w:rsidR="009B5DE5" w:rsidRPr="009B5DE5" w:rsidRDefault="009B5DE5" w:rsidP="009B5DE5">
            <w:pPr>
              <w:spacing w:after="0"/>
              <w:jc w:val="left"/>
              <w:rPr>
                <w:rFonts w:eastAsia="Times New Roman" w:cs="Times New Roman"/>
                <w:b/>
                <w:bCs/>
                <w:sz w:val="20"/>
                <w:szCs w:val="20"/>
              </w:rPr>
            </w:pPr>
            <w:r w:rsidRPr="009B5DE5">
              <w:rPr>
                <w:rFonts w:eastAsia="Times New Roman" w:cs="Times New Roman"/>
                <w:b/>
                <w:bCs/>
                <w:sz w:val="20"/>
                <w:szCs w:val="20"/>
              </w:rPr>
              <w:t> </w:t>
            </w:r>
          </w:p>
        </w:tc>
        <w:tc>
          <w:tcPr>
            <w:tcW w:w="1830" w:type="dxa"/>
            <w:tcBorders>
              <w:top w:val="single" w:sz="8" w:space="0" w:color="auto"/>
              <w:left w:val="nil"/>
              <w:bottom w:val="single" w:sz="8" w:space="0" w:color="auto"/>
              <w:right w:val="single" w:sz="4" w:space="0" w:color="auto"/>
            </w:tcBorders>
            <w:shd w:val="clear" w:color="auto" w:fill="auto"/>
            <w:noWrap/>
            <w:vAlign w:val="bottom"/>
            <w:hideMark/>
          </w:tcPr>
          <w:p w14:paraId="28577F58"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0</w:t>
            </w:r>
          </w:p>
        </w:tc>
        <w:tc>
          <w:tcPr>
            <w:tcW w:w="1709" w:type="dxa"/>
            <w:tcBorders>
              <w:top w:val="single" w:sz="8" w:space="0" w:color="auto"/>
              <w:left w:val="nil"/>
              <w:bottom w:val="single" w:sz="8" w:space="0" w:color="auto"/>
              <w:right w:val="double" w:sz="6" w:space="0" w:color="auto"/>
            </w:tcBorders>
            <w:shd w:val="clear" w:color="auto" w:fill="auto"/>
            <w:noWrap/>
            <w:vAlign w:val="bottom"/>
            <w:hideMark/>
          </w:tcPr>
          <w:p w14:paraId="3FBD1595"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0</w:t>
            </w:r>
          </w:p>
        </w:tc>
      </w:tr>
      <w:tr w:rsidR="009B5DE5" w:rsidRPr="009B5DE5" w14:paraId="26ABBC5D" w14:textId="77777777" w:rsidTr="00F829D4">
        <w:trPr>
          <w:trHeight w:val="362"/>
        </w:trPr>
        <w:tc>
          <w:tcPr>
            <w:tcW w:w="10138" w:type="dxa"/>
            <w:gridSpan w:val="3"/>
            <w:tcBorders>
              <w:top w:val="single" w:sz="8" w:space="0" w:color="auto"/>
              <w:left w:val="double" w:sz="6" w:space="0" w:color="auto"/>
              <w:bottom w:val="single" w:sz="8" w:space="0" w:color="auto"/>
              <w:right w:val="single" w:sz="4" w:space="0" w:color="000000"/>
            </w:tcBorders>
            <w:shd w:val="clear" w:color="auto" w:fill="auto"/>
            <w:vAlign w:val="center"/>
            <w:hideMark/>
          </w:tcPr>
          <w:p w14:paraId="7B9E544B" w14:textId="77777777" w:rsidR="009B5DE5" w:rsidRPr="009B5DE5" w:rsidRDefault="009B5DE5" w:rsidP="009B5DE5">
            <w:pPr>
              <w:spacing w:after="0"/>
              <w:jc w:val="center"/>
              <w:rPr>
                <w:rFonts w:eastAsia="Times New Roman" w:cs="Times New Roman"/>
                <w:b/>
                <w:bCs/>
                <w:sz w:val="20"/>
                <w:szCs w:val="20"/>
              </w:rPr>
            </w:pPr>
            <w:r w:rsidRPr="009B5DE5">
              <w:rPr>
                <w:rFonts w:eastAsia="Times New Roman" w:cs="Times New Roman"/>
                <w:b/>
                <w:bCs/>
                <w:sz w:val="20"/>
                <w:szCs w:val="20"/>
              </w:rPr>
              <w:t>Остало</w:t>
            </w:r>
          </w:p>
        </w:tc>
        <w:tc>
          <w:tcPr>
            <w:tcW w:w="1355" w:type="dxa"/>
            <w:tcBorders>
              <w:top w:val="nil"/>
              <w:left w:val="nil"/>
              <w:bottom w:val="single" w:sz="8" w:space="0" w:color="auto"/>
              <w:right w:val="single" w:sz="8" w:space="0" w:color="auto"/>
            </w:tcBorders>
            <w:shd w:val="clear" w:color="auto" w:fill="auto"/>
            <w:noWrap/>
            <w:vAlign w:val="bottom"/>
            <w:hideMark/>
          </w:tcPr>
          <w:p w14:paraId="0414B4CA"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w:t>
            </w:r>
          </w:p>
        </w:tc>
        <w:tc>
          <w:tcPr>
            <w:tcW w:w="1830" w:type="dxa"/>
            <w:tcBorders>
              <w:top w:val="nil"/>
              <w:left w:val="nil"/>
              <w:bottom w:val="single" w:sz="8" w:space="0" w:color="auto"/>
              <w:right w:val="single" w:sz="4" w:space="0" w:color="auto"/>
            </w:tcBorders>
            <w:shd w:val="clear" w:color="auto" w:fill="auto"/>
            <w:noWrap/>
            <w:vAlign w:val="bottom"/>
            <w:hideMark/>
          </w:tcPr>
          <w:p w14:paraId="29686075" w14:textId="77777777" w:rsidR="009B5DE5" w:rsidRPr="009B5DE5" w:rsidRDefault="009B5DE5" w:rsidP="009B5DE5">
            <w:pPr>
              <w:spacing w:after="0"/>
              <w:jc w:val="center"/>
              <w:rPr>
                <w:rFonts w:eastAsia="Times New Roman" w:cs="Times New Roman"/>
                <w:b/>
                <w:bCs/>
                <w:sz w:val="20"/>
                <w:szCs w:val="20"/>
              </w:rPr>
            </w:pPr>
            <w:r w:rsidRPr="009B5DE5">
              <w:rPr>
                <w:rFonts w:eastAsia="Times New Roman" w:cs="Times New Roman"/>
                <w:b/>
                <w:bCs/>
                <w:sz w:val="20"/>
                <w:szCs w:val="20"/>
              </w:rPr>
              <w:t>2024</w:t>
            </w:r>
          </w:p>
        </w:tc>
        <w:tc>
          <w:tcPr>
            <w:tcW w:w="1709" w:type="dxa"/>
            <w:tcBorders>
              <w:top w:val="nil"/>
              <w:left w:val="nil"/>
              <w:bottom w:val="single" w:sz="8" w:space="0" w:color="auto"/>
              <w:right w:val="double" w:sz="6" w:space="0" w:color="auto"/>
            </w:tcBorders>
            <w:shd w:val="clear" w:color="auto" w:fill="auto"/>
            <w:noWrap/>
            <w:vAlign w:val="bottom"/>
            <w:hideMark/>
          </w:tcPr>
          <w:p w14:paraId="24492F63" w14:textId="77777777" w:rsidR="009B5DE5" w:rsidRPr="009B5DE5" w:rsidRDefault="009B5DE5" w:rsidP="009B5DE5">
            <w:pPr>
              <w:spacing w:after="0"/>
              <w:jc w:val="center"/>
              <w:rPr>
                <w:rFonts w:eastAsia="Times New Roman" w:cs="Times New Roman"/>
                <w:b/>
                <w:bCs/>
                <w:sz w:val="20"/>
                <w:szCs w:val="20"/>
              </w:rPr>
            </w:pPr>
            <w:r w:rsidRPr="009B5DE5">
              <w:rPr>
                <w:rFonts w:eastAsia="Times New Roman" w:cs="Times New Roman"/>
                <w:b/>
                <w:bCs/>
                <w:sz w:val="20"/>
                <w:szCs w:val="20"/>
              </w:rPr>
              <w:t>2024</w:t>
            </w:r>
          </w:p>
        </w:tc>
      </w:tr>
      <w:tr w:rsidR="009B5DE5" w:rsidRPr="009B5DE5" w14:paraId="04EDE115" w14:textId="77777777" w:rsidTr="00F829D4">
        <w:trPr>
          <w:trHeight w:val="362"/>
        </w:trPr>
        <w:tc>
          <w:tcPr>
            <w:tcW w:w="8692" w:type="dxa"/>
            <w:gridSpan w:val="2"/>
            <w:tcBorders>
              <w:top w:val="dotted" w:sz="4" w:space="0" w:color="auto"/>
              <w:left w:val="double" w:sz="6" w:space="0" w:color="auto"/>
              <w:bottom w:val="dotted" w:sz="4" w:space="0" w:color="auto"/>
              <w:right w:val="single" w:sz="4" w:space="0" w:color="000000"/>
            </w:tcBorders>
            <w:shd w:val="clear" w:color="auto" w:fill="auto"/>
            <w:vAlign w:val="center"/>
            <w:hideMark/>
          </w:tcPr>
          <w:p w14:paraId="2565F5A2"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Србијагас</w:t>
            </w:r>
          </w:p>
        </w:tc>
        <w:tc>
          <w:tcPr>
            <w:tcW w:w="1446" w:type="dxa"/>
            <w:tcBorders>
              <w:top w:val="dotted" w:sz="4" w:space="0" w:color="auto"/>
              <w:left w:val="single" w:sz="8" w:space="0" w:color="auto"/>
              <w:bottom w:val="dotted" w:sz="4" w:space="0" w:color="auto"/>
              <w:right w:val="single" w:sz="8" w:space="0" w:color="auto"/>
            </w:tcBorders>
            <w:shd w:val="clear" w:color="auto" w:fill="auto"/>
            <w:vAlign w:val="center"/>
            <w:hideMark/>
          </w:tcPr>
          <w:p w14:paraId="538D0405"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млрд РСД</w:t>
            </w:r>
          </w:p>
        </w:tc>
        <w:tc>
          <w:tcPr>
            <w:tcW w:w="1355" w:type="dxa"/>
            <w:tcBorders>
              <w:top w:val="nil"/>
              <w:left w:val="single" w:sz="4" w:space="0" w:color="auto"/>
              <w:bottom w:val="dotted" w:sz="4" w:space="0" w:color="auto"/>
              <w:right w:val="single" w:sz="8" w:space="0" w:color="auto"/>
            </w:tcBorders>
            <w:shd w:val="clear" w:color="auto" w:fill="auto"/>
            <w:noWrap/>
            <w:vAlign w:val="center"/>
            <w:hideMark/>
          </w:tcPr>
          <w:p w14:paraId="63E0082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830" w:type="dxa"/>
            <w:tcBorders>
              <w:top w:val="dotted" w:sz="4" w:space="0" w:color="auto"/>
              <w:left w:val="nil"/>
              <w:bottom w:val="dotted" w:sz="4" w:space="0" w:color="auto"/>
              <w:right w:val="single" w:sz="4" w:space="0" w:color="auto"/>
            </w:tcBorders>
            <w:shd w:val="clear" w:color="auto" w:fill="auto"/>
            <w:noWrap/>
            <w:vAlign w:val="bottom"/>
            <w:hideMark/>
          </w:tcPr>
          <w:p w14:paraId="24A6E125"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64,0</w:t>
            </w:r>
          </w:p>
        </w:tc>
        <w:tc>
          <w:tcPr>
            <w:tcW w:w="1709" w:type="dxa"/>
            <w:tcBorders>
              <w:top w:val="dotted" w:sz="4" w:space="0" w:color="auto"/>
              <w:left w:val="nil"/>
              <w:bottom w:val="dotted" w:sz="4" w:space="0" w:color="auto"/>
              <w:right w:val="double" w:sz="6" w:space="0" w:color="auto"/>
            </w:tcBorders>
            <w:shd w:val="clear" w:color="auto" w:fill="auto"/>
            <w:noWrap/>
            <w:vAlign w:val="bottom"/>
            <w:hideMark/>
          </w:tcPr>
          <w:p w14:paraId="31181BC3"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64,0</w:t>
            </w:r>
          </w:p>
        </w:tc>
      </w:tr>
      <w:tr w:rsidR="009B5DE5" w:rsidRPr="009B5DE5" w14:paraId="7D2B7100" w14:textId="77777777" w:rsidTr="00F829D4">
        <w:trPr>
          <w:trHeight w:val="362"/>
        </w:trPr>
        <w:tc>
          <w:tcPr>
            <w:tcW w:w="8692" w:type="dxa"/>
            <w:gridSpan w:val="2"/>
            <w:tcBorders>
              <w:top w:val="dotted" w:sz="4" w:space="0" w:color="auto"/>
              <w:left w:val="double" w:sz="6" w:space="0" w:color="auto"/>
              <w:bottom w:val="dotted" w:sz="4" w:space="0" w:color="auto"/>
              <w:right w:val="single" w:sz="4" w:space="0" w:color="000000"/>
            </w:tcBorders>
            <w:shd w:val="clear" w:color="auto" w:fill="auto"/>
            <w:vAlign w:val="center"/>
            <w:hideMark/>
          </w:tcPr>
          <w:p w14:paraId="34E0A2EB"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Електопривреда Србије</w:t>
            </w:r>
          </w:p>
        </w:tc>
        <w:tc>
          <w:tcPr>
            <w:tcW w:w="1446" w:type="dxa"/>
            <w:tcBorders>
              <w:top w:val="dotted" w:sz="4" w:space="0" w:color="auto"/>
              <w:left w:val="nil"/>
              <w:bottom w:val="dotted" w:sz="4" w:space="0" w:color="auto"/>
              <w:right w:val="single" w:sz="4" w:space="0" w:color="auto"/>
            </w:tcBorders>
            <w:shd w:val="clear" w:color="auto" w:fill="auto"/>
            <w:noWrap/>
            <w:vAlign w:val="bottom"/>
            <w:hideMark/>
          </w:tcPr>
          <w:p w14:paraId="28D6E55E"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млрд РСД</w:t>
            </w:r>
          </w:p>
        </w:tc>
        <w:tc>
          <w:tcPr>
            <w:tcW w:w="1355" w:type="dxa"/>
            <w:tcBorders>
              <w:top w:val="nil"/>
              <w:left w:val="single" w:sz="4" w:space="0" w:color="auto"/>
              <w:bottom w:val="dotted" w:sz="4" w:space="0" w:color="auto"/>
              <w:right w:val="single" w:sz="8" w:space="0" w:color="auto"/>
            </w:tcBorders>
            <w:shd w:val="clear" w:color="auto" w:fill="auto"/>
            <w:noWrap/>
            <w:vAlign w:val="center"/>
            <w:hideMark/>
          </w:tcPr>
          <w:p w14:paraId="572A126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830" w:type="dxa"/>
            <w:tcBorders>
              <w:top w:val="nil"/>
              <w:left w:val="nil"/>
              <w:bottom w:val="dotted" w:sz="4" w:space="0" w:color="auto"/>
              <w:right w:val="single" w:sz="4" w:space="0" w:color="auto"/>
            </w:tcBorders>
            <w:shd w:val="clear" w:color="auto" w:fill="auto"/>
            <w:noWrap/>
            <w:vAlign w:val="bottom"/>
            <w:hideMark/>
          </w:tcPr>
          <w:p w14:paraId="040FD4CE"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87,0</w:t>
            </w:r>
          </w:p>
        </w:tc>
        <w:tc>
          <w:tcPr>
            <w:tcW w:w="1709" w:type="dxa"/>
            <w:tcBorders>
              <w:top w:val="nil"/>
              <w:left w:val="nil"/>
              <w:bottom w:val="dotted" w:sz="4" w:space="0" w:color="auto"/>
              <w:right w:val="double" w:sz="6" w:space="0" w:color="auto"/>
            </w:tcBorders>
            <w:shd w:val="clear" w:color="auto" w:fill="auto"/>
            <w:noWrap/>
            <w:vAlign w:val="bottom"/>
            <w:hideMark/>
          </w:tcPr>
          <w:p w14:paraId="6E6393D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73,4</w:t>
            </w:r>
          </w:p>
        </w:tc>
      </w:tr>
      <w:tr w:rsidR="009B5DE5" w:rsidRPr="009B5DE5" w14:paraId="40F27A14" w14:textId="77777777" w:rsidTr="00F829D4">
        <w:trPr>
          <w:trHeight w:val="362"/>
        </w:trPr>
        <w:tc>
          <w:tcPr>
            <w:tcW w:w="8692" w:type="dxa"/>
            <w:gridSpan w:val="2"/>
            <w:tcBorders>
              <w:top w:val="dotted" w:sz="4" w:space="0" w:color="auto"/>
              <w:left w:val="double" w:sz="6" w:space="0" w:color="auto"/>
              <w:bottom w:val="dotted" w:sz="4" w:space="0" w:color="auto"/>
              <w:right w:val="single" w:sz="4" w:space="0" w:color="000000"/>
            </w:tcBorders>
            <w:shd w:val="clear" w:color="auto" w:fill="auto"/>
            <w:vAlign w:val="center"/>
            <w:hideMark/>
          </w:tcPr>
          <w:p w14:paraId="069AFB60"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Путеви Србије</w:t>
            </w:r>
          </w:p>
        </w:tc>
        <w:tc>
          <w:tcPr>
            <w:tcW w:w="1446" w:type="dxa"/>
            <w:tcBorders>
              <w:top w:val="nil"/>
              <w:left w:val="nil"/>
              <w:bottom w:val="dotted" w:sz="4" w:space="0" w:color="auto"/>
              <w:right w:val="single" w:sz="4" w:space="0" w:color="auto"/>
            </w:tcBorders>
            <w:shd w:val="clear" w:color="auto" w:fill="auto"/>
            <w:noWrap/>
            <w:vAlign w:val="bottom"/>
            <w:hideMark/>
          </w:tcPr>
          <w:p w14:paraId="02AA346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млрд РСД</w:t>
            </w:r>
          </w:p>
        </w:tc>
        <w:tc>
          <w:tcPr>
            <w:tcW w:w="1355" w:type="dxa"/>
            <w:tcBorders>
              <w:top w:val="nil"/>
              <w:left w:val="single" w:sz="4" w:space="0" w:color="auto"/>
              <w:bottom w:val="dotted" w:sz="4" w:space="0" w:color="auto"/>
              <w:right w:val="single" w:sz="8" w:space="0" w:color="auto"/>
            </w:tcBorders>
            <w:shd w:val="clear" w:color="auto" w:fill="auto"/>
            <w:noWrap/>
            <w:vAlign w:val="center"/>
            <w:hideMark/>
          </w:tcPr>
          <w:p w14:paraId="56A9BC98"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830" w:type="dxa"/>
            <w:tcBorders>
              <w:top w:val="nil"/>
              <w:left w:val="nil"/>
              <w:bottom w:val="dotted" w:sz="4" w:space="0" w:color="auto"/>
              <w:right w:val="single" w:sz="4" w:space="0" w:color="auto"/>
            </w:tcBorders>
            <w:shd w:val="clear" w:color="auto" w:fill="auto"/>
            <w:noWrap/>
            <w:vAlign w:val="bottom"/>
            <w:hideMark/>
          </w:tcPr>
          <w:p w14:paraId="48B4F740"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20,5</w:t>
            </w:r>
          </w:p>
        </w:tc>
        <w:tc>
          <w:tcPr>
            <w:tcW w:w="1709" w:type="dxa"/>
            <w:tcBorders>
              <w:top w:val="nil"/>
              <w:left w:val="nil"/>
              <w:bottom w:val="dotted" w:sz="4" w:space="0" w:color="auto"/>
              <w:right w:val="double" w:sz="6" w:space="0" w:color="auto"/>
            </w:tcBorders>
            <w:shd w:val="clear" w:color="auto" w:fill="auto"/>
            <w:noWrap/>
            <w:vAlign w:val="bottom"/>
            <w:hideMark/>
          </w:tcPr>
          <w:p w14:paraId="617E2F89"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20,5</w:t>
            </w:r>
          </w:p>
        </w:tc>
      </w:tr>
      <w:tr w:rsidR="009B5DE5" w:rsidRPr="009B5DE5" w14:paraId="0035F6C2" w14:textId="77777777" w:rsidTr="00F829D4">
        <w:trPr>
          <w:trHeight w:val="362"/>
        </w:trPr>
        <w:tc>
          <w:tcPr>
            <w:tcW w:w="8692" w:type="dxa"/>
            <w:gridSpan w:val="2"/>
            <w:tcBorders>
              <w:top w:val="dotted" w:sz="4" w:space="0" w:color="auto"/>
              <w:left w:val="double" w:sz="6" w:space="0" w:color="auto"/>
              <w:bottom w:val="dotted" w:sz="4" w:space="0" w:color="auto"/>
              <w:right w:val="single" w:sz="4" w:space="0" w:color="000000"/>
            </w:tcBorders>
            <w:shd w:val="clear" w:color="auto" w:fill="auto"/>
            <w:vAlign w:val="center"/>
            <w:hideMark/>
          </w:tcPr>
          <w:p w14:paraId="31422CE7"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локалне самоуправе</w:t>
            </w:r>
          </w:p>
        </w:tc>
        <w:tc>
          <w:tcPr>
            <w:tcW w:w="1446" w:type="dxa"/>
            <w:tcBorders>
              <w:top w:val="nil"/>
              <w:left w:val="nil"/>
              <w:bottom w:val="dotted" w:sz="4" w:space="0" w:color="auto"/>
              <w:right w:val="single" w:sz="4" w:space="0" w:color="auto"/>
            </w:tcBorders>
            <w:shd w:val="clear" w:color="auto" w:fill="auto"/>
            <w:noWrap/>
            <w:vAlign w:val="bottom"/>
            <w:hideMark/>
          </w:tcPr>
          <w:p w14:paraId="52C1796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млрд РСД</w:t>
            </w:r>
          </w:p>
        </w:tc>
        <w:tc>
          <w:tcPr>
            <w:tcW w:w="1355" w:type="dxa"/>
            <w:tcBorders>
              <w:top w:val="nil"/>
              <w:left w:val="single" w:sz="4" w:space="0" w:color="auto"/>
              <w:bottom w:val="dotted" w:sz="4" w:space="0" w:color="auto"/>
              <w:right w:val="single" w:sz="8" w:space="0" w:color="auto"/>
            </w:tcBorders>
            <w:shd w:val="clear" w:color="auto" w:fill="auto"/>
            <w:noWrap/>
            <w:vAlign w:val="center"/>
            <w:hideMark/>
          </w:tcPr>
          <w:p w14:paraId="635A4172"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830" w:type="dxa"/>
            <w:tcBorders>
              <w:top w:val="nil"/>
              <w:left w:val="nil"/>
              <w:bottom w:val="dotted" w:sz="4" w:space="0" w:color="auto"/>
              <w:right w:val="single" w:sz="4" w:space="0" w:color="auto"/>
            </w:tcBorders>
            <w:shd w:val="clear" w:color="auto" w:fill="auto"/>
            <w:noWrap/>
            <w:vAlign w:val="bottom"/>
            <w:hideMark/>
          </w:tcPr>
          <w:p w14:paraId="188DAFFF"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16,0</w:t>
            </w:r>
          </w:p>
        </w:tc>
        <w:tc>
          <w:tcPr>
            <w:tcW w:w="1709" w:type="dxa"/>
            <w:tcBorders>
              <w:top w:val="nil"/>
              <w:left w:val="nil"/>
              <w:bottom w:val="dotted" w:sz="4" w:space="0" w:color="auto"/>
              <w:right w:val="double" w:sz="6" w:space="0" w:color="auto"/>
            </w:tcBorders>
            <w:shd w:val="clear" w:color="auto" w:fill="auto"/>
            <w:noWrap/>
            <w:vAlign w:val="bottom"/>
            <w:hideMark/>
          </w:tcPr>
          <w:p w14:paraId="0EA58D9A"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16,0</w:t>
            </w:r>
          </w:p>
        </w:tc>
      </w:tr>
      <w:tr w:rsidR="009B5DE5" w:rsidRPr="009B5DE5" w14:paraId="4D5425CC" w14:textId="77777777" w:rsidTr="00F829D4">
        <w:trPr>
          <w:trHeight w:val="362"/>
        </w:trPr>
        <w:tc>
          <w:tcPr>
            <w:tcW w:w="8692" w:type="dxa"/>
            <w:gridSpan w:val="2"/>
            <w:tcBorders>
              <w:top w:val="dotted" w:sz="4" w:space="0" w:color="auto"/>
              <w:left w:val="double" w:sz="6" w:space="0" w:color="auto"/>
              <w:bottom w:val="dotted" w:sz="4" w:space="0" w:color="auto"/>
              <w:right w:val="single" w:sz="4" w:space="0" w:color="000000"/>
            </w:tcBorders>
            <w:shd w:val="clear" w:color="auto" w:fill="auto"/>
            <w:vAlign w:val="center"/>
            <w:hideMark/>
          </w:tcPr>
          <w:p w14:paraId="31483197"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Србијавоз</w:t>
            </w:r>
          </w:p>
        </w:tc>
        <w:tc>
          <w:tcPr>
            <w:tcW w:w="1446" w:type="dxa"/>
            <w:tcBorders>
              <w:top w:val="nil"/>
              <w:left w:val="nil"/>
              <w:bottom w:val="dotted" w:sz="4" w:space="0" w:color="auto"/>
              <w:right w:val="single" w:sz="4" w:space="0" w:color="auto"/>
            </w:tcBorders>
            <w:shd w:val="clear" w:color="auto" w:fill="auto"/>
            <w:noWrap/>
            <w:vAlign w:val="bottom"/>
            <w:hideMark/>
          </w:tcPr>
          <w:p w14:paraId="39A341C7"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млрд РСД</w:t>
            </w:r>
          </w:p>
        </w:tc>
        <w:tc>
          <w:tcPr>
            <w:tcW w:w="1355" w:type="dxa"/>
            <w:tcBorders>
              <w:top w:val="nil"/>
              <w:left w:val="single" w:sz="4" w:space="0" w:color="auto"/>
              <w:bottom w:val="dotted" w:sz="4" w:space="0" w:color="auto"/>
              <w:right w:val="single" w:sz="8" w:space="0" w:color="auto"/>
            </w:tcBorders>
            <w:shd w:val="clear" w:color="auto" w:fill="auto"/>
            <w:noWrap/>
            <w:vAlign w:val="center"/>
            <w:hideMark/>
          </w:tcPr>
          <w:p w14:paraId="471F41F0"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830" w:type="dxa"/>
            <w:tcBorders>
              <w:top w:val="nil"/>
              <w:left w:val="nil"/>
              <w:bottom w:val="dotted" w:sz="4" w:space="0" w:color="auto"/>
              <w:right w:val="single" w:sz="4" w:space="0" w:color="auto"/>
            </w:tcBorders>
            <w:shd w:val="clear" w:color="auto" w:fill="auto"/>
            <w:noWrap/>
            <w:vAlign w:val="bottom"/>
            <w:hideMark/>
          </w:tcPr>
          <w:p w14:paraId="15317B7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18,8</w:t>
            </w:r>
          </w:p>
        </w:tc>
        <w:tc>
          <w:tcPr>
            <w:tcW w:w="1709" w:type="dxa"/>
            <w:tcBorders>
              <w:top w:val="nil"/>
              <w:left w:val="nil"/>
              <w:bottom w:val="dotted" w:sz="4" w:space="0" w:color="auto"/>
              <w:right w:val="double" w:sz="6" w:space="0" w:color="auto"/>
            </w:tcBorders>
            <w:shd w:val="clear" w:color="auto" w:fill="auto"/>
            <w:noWrap/>
            <w:vAlign w:val="bottom"/>
            <w:hideMark/>
          </w:tcPr>
          <w:p w14:paraId="26595D11"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13,0</w:t>
            </w:r>
          </w:p>
        </w:tc>
      </w:tr>
      <w:tr w:rsidR="009B5DE5" w:rsidRPr="009B5DE5" w14:paraId="195A8CA4" w14:textId="77777777" w:rsidTr="00F829D4">
        <w:trPr>
          <w:trHeight w:val="362"/>
        </w:trPr>
        <w:tc>
          <w:tcPr>
            <w:tcW w:w="8692" w:type="dxa"/>
            <w:gridSpan w:val="2"/>
            <w:tcBorders>
              <w:top w:val="dotted" w:sz="4" w:space="0" w:color="auto"/>
              <w:left w:val="double" w:sz="6" w:space="0" w:color="auto"/>
              <w:bottom w:val="dotted" w:sz="4" w:space="0" w:color="auto"/>
              <w:right w:val="single" w:sz="4" w:space="0" w:color="000000"/>
            </w:tcBorders>
            <w:shd w:val="clear" w:color="auto" w:fill="auto"/>
            <w:vAlign w:val="center"/>
            <w:hideMark/>
          </w:tcPr>
          <w:p w14:paraId="303AEE09"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Железнице Србије</w:t>
            </w:r>
          </w:p>
        </w:tc>
        <w:tc>
          <w:tcPr>
            <w:tcW w:w="1446" w:type="dxa"/>
            <w:tcBorders>
              <w:top w:val="nil"/>
              <w:left w:val="nil"/>
              <w:bottom w:val="dotted" w:sz="4" w:space="0" w:color="auto"/>
              <w:right w:val="single" w:sz="4" w:space="0" w:color="auto"/>
            </w:tcBorders>
            <w:shd w:val="clear" w:color="auto" w:fill="auto"/>
            <w:noWrap/>
            <w:vAlign w:val="bottom"/>
            <w:hideMark/>
          </w:tcPr>
          <w:p w14:paraId="5FCA8A76"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млрд РСД</w:t>
            </w:r>
          </w:p>
        </w:tc>
        <w:tc>
          <w:tcPr>
            <w:tcW w:w="1355" w:type="dxa"/>
            <w:tcBorders>
              <w:top w:val="nil"/>
              <w:left w:val="single" w:sz="4" w:space="0" w:color="auto"/>
              <w:bottom w:val="dotted" w:sz="4" w:space="0" w:color="auto"/>
              <w:right w:val="single" w:sz="8" w:space="0" w:color="auto"/>
            </w:tcBorders>
            <w:shd w:val="clear" w:color="auto" w:fill="auto"/>
            <w:noWrap/>
            <w:vAlign w:val="center"/>
            <w:hideMark/>
          </w:tcPr>
          <w:p w14:paraId="782EBDBC"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830" w:type="dxa"/>
            <w:tcBorders>
              <w:top w:val="nil"/>
              <w:left w:val="nil"/>
              <w:bottom w:val="dotted" w:sz="4" w:space="0" w:color="auto"/>
              <w:right w:val="single" w:sz="4" w:space="0" w:color="auto"/>
            </w:tcBorders>
            <w:shd w:val="clear" w:color="auto" w:fill="auto"/>
            <w:noWrap/>
            <w:vAlign w:val="bottom"/>
            <w:hideMark/>
          </w:tcPr>
          <w:p w14:paraId="3431D29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6,2</w:t>
            </w:r>
          </w:p>
        </w:tc>
        <w:tc>
          <w:tcPr>
            <w:tcW w:w="1709" w:type="dxa"/>
            <w:tcBorders>
              <w:top w:val="nil"/>
              <w:left w:val="nil"/>
              <w:bottom w:val="dotted" w:sz="4" w:space="0" w:color="auto"/>
              <w:right w:val="double" w:sz="6" w:space="0" w:color="auto"/>
            </w:tcBorders>
            <w:shd w:val="clear" w:color="auto" w:fill="auto"/>
            <w:noWrap/>
            <w:vAlign w:val="bottom"/>
            <w:hideMark/>
          </w:tcPr>
          <w:p w14:paraId="76684636"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6,2</w:t>
            </w:r>
          </w:p>
        </w:tc>
      </w:tr>
      <w:tr w:rsidR="009B5DE5" w:rsidRPr="009B5DE5" w14:paraId="61AB8DB2" w14:textId="77777777" w:rsidTr="00F829D4">
        <w:trPr>
          <w:trHeight w:val="362"/>
        </w:trPr>
        <w:tc>
          <w:tcPr>
            <w:tcW w:w="8692" w:type="dxa"/>
            <w:gridSpan w:val="2"/>
            <w:tcBorders>
              <w:top w:val="dotted" w:sz="4" w:space="0" w:color="auto"/>
              <w:left w:val="double" w:sz="6" w:space="0" w:color="auto"/>
              <w:bottom w:val="dotted" w:sz="4" w:space="0" w:color="auto"/>
              <w:right w:val="single" w:sz="4" w:space="0" w:color="000000"/>
            </w:tcBorders>
            <w:shd w:val="clear" w:color="auto" w:fill="auto"/>
            <w:vAlign w:val="center"/>
            <w:hideMark/>
          </w:tcPr>
          <w:p w14:paraId="41D22F58"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Инфраструктура железница Србије</w:t>
            </w:r>
          </w:p>
        </w:tc>
        <w:tc>
          <w:tcPr>
            <w:tcW w:w="1446" w:type="dxa"/>
            <w:tcBorders>
              <w:top w:val="nil"/>
              <w:left w:val="nil"/>
              <w:bottom w:val="dotted" w:sz="4" w:space="0" w:color="auto"/>
              <w:right w:val="single" w:sz="4" w:space="0" w:color="auto"/>
            </w:tcBorders>
            <w:shd w:val="clear" w:color="auto" w:fill="auto"/>
            <w:noWrap/>
            <w:vAlign w:val="bottom"/>
            <w:hideMark/>
          </w:tcPr>
          <w:p w14:paraId="376F0C8D"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млрд РСД</w:t>
            </w:r>
          </w:p>
        </w:tc>
        <w:tc>
          <w:tcPr>
            <w:tcW w:w="1355" w:type="dxa"/>
            <w:tcBorders>
              <w:top w:val="nil"/>
              <w:left w:val="single" w:sz="4" w:space="0" w:color="auto"/>
              <w:bottom w:val="dotted" w:sz="4" w:space="0" w:color="auto"/>
              <w:right w:val="single" w:sz="8" w:space="0" w:color="auto"/>
            </w:tcBorders>
            <w:shd w:val="clear" w:color="auto" w:fill="auto"/>
            <w:noWrap/>
            <w:vAlign w:val="center"/>
            <w:hideMark/>
          </w:tcPr>
          <w:p w14:paraId="3A413EEF" w14:textId="77777777" w:rsidR="009B5DE5" w:rsidRPr="009B5DE5" w:rsidRDefault="009B5DE5" w:rsidP="009B5DE5">
            <w:pPr>
              <w:spacing w:after="0"/>
              <w:jc w:val="center"/>
              <w:rPr>
                <w:rFonts w:eastAsia="Times New Roman" w:cs="Times New Roman"/>
                <w:sz w:val="20"/>
                <w:szCs w:val="20"/>
              </w:rPr>
            </w:pPr>
            <w:r w:rsidRPr="009B5DE5">
              <w:rPr>
                <w:rFonts w:eastAsia="Times New Roman" w:cs="Times New Roman"/>
                <w:sz w:val="20"/>
                <w:szCs w:val="20"/>
              </w:rPr>
              <w:t> </w:t>
            </w:r>
          </w:p>
        </w:tc>
        <w:tc>
          <w:tcPr>
            <w:tcW w:w="1830" w:type="dxa"/>
            <w:tcBorders>
              <w:top w:val="nil"/>
              <w:left w:val="nil"/>
              <w:bottom w:val="dotted" w:sz="4" w:space="0" w:color="auto"/>
              <w:right w:val="single" w:sz="4" w:space="0" w:color="auto"/>
            </w:tcBorders>
            <w:shd w:val="clear" w:color="auto" w:fill="auto"/>
            <w:noWrap/>
            <w:vAlign w:val="bottom"/>
            <w:hideMark/>
          </w:tcPr>
          <w:p w14:paraId="74183C20"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4,4</w:t>
            </w:r>
          </w:p>
        </w:tc>
        <w:tc>
          <w:tcPr>
            <w:tcW w:w="1709" w:type="dxa"/>
            <w:tcBorders>
              <w:top w:val="nil"/>
              <w:left w:val="nil"/>
              <w:bottom w:val="dotted" w:sz="4" w:space="0" w:color="auto"/>
              <w:right w:val="double" w:sz="6" w:space="0" w:color="auto"/>
            </w:tcBorders>
            <w:shd w:val="clear" w:color="auto" w:fill="auto"/>
            <w:noWrap/>
            <w:vAlign w:val="bottom"/>
            <w:hideMark/>
          </w:tcPr>
          <w:p w14:paraId="60C787A4" w14:textId="77777777" w:rsidR="009B5DE5" w:rsidRPr="009B5DE5" w:rsidRDefault="009B5DE5" w:rsidP="009B5DE5">
            <w:pPr>
              <w:spacing w:after="0"/>
              <w:jc w:val="right"/>
              <w:rPr>
                <w:rFonts w:eastAsia="Times New Roman" w:cs="Times New Roman"/>
                <w:sz w:val="20"/>
                <w:szCs w:val="20"/>
              </w:rPr>
            </w:pPr>
            <w:r w:rsidRPr="009B5DE5">
              <w:rPr>
                <w:rFonts w:eastAsia="Times New Roman" w:cs="Times New Roman"/>
                <w:sz w:val="20"/>
                <w:szCs w:val="20"/>
              </w:rPr>
              <w:t>3,7</w:t>
            </w:r>
          </w:p>
        </w:tc>
      </w:tr>
      <w:tr w:rsidR="009B5DE5" w:rsidRPr="009B5DE5" w14:paraId="6604E68F" w14:textId="77777777" w:rsidTr="00F829D4">
        <w:trPr>
          <w:trHeight w:val="362"/>
        </w:trPr>
        <w:tc>
          <w:tcPr>
            <w:tcW w:w="8692" w:type="dxa"/>
            <w:gridSpan w:val="2"/>
            <w:tcBorders>
              <w:top w:val="dotted" w:sz="4" w:space="0" w:color="auto"/>
              <w:left w:val="double" w:sz="6" w:space="0" w:color="auto"/>
              <w:bottom w:val="dotted" w:sz="4" w:space="0" w:color="auto"/>
              <w:right w:val="single" w:sz="4" w:space="0" w:color="000000"/>
            </w:tcBorders>
            <w:shd w:val="clear" w:color="auto" w:fill="auto"/>
            <w:vAlign w:val="center"/>
            <w:hideMark/>
          </w:tcPr>
          <w:p w14:paraId="0D67CDD1" w14:textId="77777777" w:rsidR="009B5DE5" w:rsidRPr="009B5DE5" w:rsidRDefault="009B5DE5" w:rsidP="009B5DE5">
            <w:pPr>
              <w:spacing w:after="0"/>
              <w:jc w:val="left"/>
              <w:outlineLvl w:val="0"/>
              <w:rPr>
                <w:rFonts w:eastAsia="Times New Roman" w:cs="Times New Roman"/>
                <w:sz w:val="20"/>
                <w:szCs w:val="20"/>
              </w:rPr>
            </w:pPr>
            <w:bookmarkStart w:id="164" w:name="_Toc185341575"/>
            <w:bookmarkStart w:id="165" w:name="_Toc185342391"/>
            <w:r w:rsidRPr="009B5DE5">
              <w:rPr>
                <w:rFonts w:eastAsia="Times New Roman" w:cs="Times New Roman"/>
                <w:sz w:val="20"/>
                <w:szCs w:val="20"/>
              </w:rPr>
              <w:t>Електормрежа Србије</w:t>
            </w:r>
            <w:bookmarkEnd w:id="164"/>
            <w:bookmarkEnd w:id="165"/>
          </w:p>
        </w:tc>
        <w:tc>
          <w:tcPr>
            <w:tcW w:w="1446" w:type="dxa"/>
            <w:tcBorders>
              <w:top w:val="nil"/>
              <w:left w:val="nil"/>
              <w:bottom w:val="dotted" w:sz="4" w:space="0" w:color="auto"/>
              <w:right w:val="single" w:sz="4" w:space="0" w:color="auto"/>
            </w:tcBorders>
            <w:shd w:val="clear" w:color="auto" w:fill="auto"/>
            <w:noWrap/>
            <w:vAlign w:val="bottom"/>
            <w:hideMark/>
          </w:tcPr>
          <w:p w14:paraId="624F90D5" w14:textId="77777777" w:rsidR="009B5DE5" w:rsidRPr="009B5DE5" w:rsidRDefault="009B5DE5" w:rsidP="009B5DE5">
            <w:pPr>
              <w:spacing w:after="0"/>
              <w:jc w:val="center"/>
              <w:outlineLvl w:val="0"/>
              <w:rPr>
                <w:rFonts w:eastAsia="Times New Roman" w:cs="Times New Roman"/>
                <w:sz w:val="20"/>
                <w:szCs w:val="20"/>
              </w:rPr>
            </w:pPr>
            <w:bookmarkStart w:id="166" w:name="_Toc185341576"/>
            <w:bookmarkStart w:id="167" w:name="_Toc185342392"/>
            <w:r w:rsidRPr="009B5DE5">
              <w:rPr>
                <w:rFonts w:eastAsia="Times New Roman" w:cs="Times New Roman"/>
                <w:sz w:val="20"/>
                <w:szCs w:val="20"/>
              </w:rPr>
              <w:t>млрд РСД</w:t>
            </w:r>
            <w:bookmarkEnd w:id="166"/>
            <w:bookmarkEnd w:id="167"/>
          </w:p>
        </w:tc>
        <w:tc>
          <w:tcPr>
            <w:tcW w:w="1355" w:type="dxa"/>
            <w:tcBorders>
              <w:top w:val="nil"/>
              <w:left w:val="single" w:sz="4" w:space="0" w:color="auto"/>
              <w:bottom w:val="dotted" w:sz="4" w:space="0" w:color="auto"/>
              <w:right w:val="single" w:sz="8" w:space="0" w:color="auto"/>
            </w:tcBorders>
            <w:shd w:val="clear" w:color="auto" w:fill="auto"/>
            <w:noWrap/>
            <w:vAlign w:val="center"/>
            <w:hideMark/>
          </w:tcPr>
          <w:p w14:paraId="21742747" w14:textId="77777777" w:rsidR="009B5DE5" w:rsidRPr="009B5DE5" w:rsidRDefault="009B5DE5" w:rsidP="009B5DE5">
            <w:pPr>
              <w:spacing w:after="0"/>
              <w:jc w:val="center"/>
              <w:outlineLvl w:val="0"/>
              <w:rPr>
                <w:rFonts w:eastAsia="Times New Roman" w:cs="Times New Roman"/>
                <w:sz w:val="20"/>
                <w:szCs w:val="20"/>
              </w:rPr>
            </w:pPr>
            <w:r w:rsidRPr="009B5DE5">
              <w:rPr>
                <w:rFonts w:eastAsia="Times New Roman" w:cs="Times New Roman"/>
                <w:sz w:val="20"/>
                <w:szCs w:val="20"/>
              </w:rPr>
              <w:t> </w:t>
            </w:r>
          </w:p>
        </w:tc>
        <w:tc>
          <w:tcPr>
            <w:tcW w:w="1830" w:type="dxa"/>
            <w:tcBorders>
              <w:top w:val="nil"/>
              <w:left w:val="nil"/>
              <w:bottom w:val="dotted" w:sz="4" w:space="0" w:color="auto"/>
              <w:right w:val="single" w:sz="4" w:space="0" w:color="auto"/>
            </w:tcBorders>
            <w:shd w:val="clear" w:color="auto" w:fill="auto"/>
            <w:noWrap/>
            <w:vAlign w:val="bottom"/>
            <w:hideMark/>
          </w:tcPr>
          <w:p w14:paraId="001397DA" w14:textId="77777777" w:rsidR="009B5DE5" w:rsidRPr="009B5DE5" w:rsidRDefault="009B5DE5" w:rsidP="009B5DE5">
            <w:pPr>
              <w:spacing w:after="0"/>
              <w:jc w:val="right"/>
              <w:outlineLvl w:val="0"/>
              <w:rPr>
                <w:rFonts w:eastAsia="Times New Roman" w:cs="Times New Roman"/>
                <w:sz w:val="20"/>
                <w:szCs w:val="20"/>
              </w:rPr>
            </w:pPr>
            <w:bookmarkStart w:id="168" w:name="_Toc185341577"/>
            <w:bookmarkStart w:id="169" w:name="_Toc185342393"/>
            <w:r w:rsidRPr="009B5DE5">
              <w:rPr>
                <w:rFonts w:eastAsia="Times New Roman" w:cs="Times New Roman"/>
                <w:sz w:val="20"/>
                <w:szCs w:val="20"/>
              </w:rPr>
              <w:t>11,4</w:t>
            </w:r>
            <w:bookmarkEnd w:id="168"/>
            <w:bookmarkEnd w:id="169"/>
          </w:p>
        </w:tc>
        <w:tc>
          <w:tcPr>
            <w:tcW w:w="1709" w:type="dxa"/>
            <w:tcBorders>
              <w:top w:val="nil"/>
              <w:left w:val="nil"/>
              <w:bottom w:val="dotted" w:sz="4" w:space="0" w:color="auto"/>
              <w:right w:val="double" w:sz="6" w:space="0" w:color="auto"/>
            </w:tcBorders>
            <w:shd w:val="clear" w:color="auto" w:fill="auto"/>
            <w:noWrap/>
            <w:vAlign w:val="bottom"/>
            <w:hideMark/>
          </w:tcPr>
          <w:p w14:paraId="0AB53D7F" w14:textId="77777777" w:rsidR="009B5DE5" w:rsidRPr="009B5DE5" w:rsidRDefault="009B5DE5" w:rsidP="009B5DE5">
            <w:pPr>
              <w:spacing w:after="0"/>
              <w:jc w:val="right"/>
              <w:outlineLvl w:val="0"/>
              <w:rPr>
                <w:rFonts w:eastAsia="Times New Roman" w:cs="Times New Roman"/>
                <w:sz w:val="20"/>
                <w:szCs w:val="20"/>
              </w:rPr>
            </w:pPr>
            <w:bookmarkStart w:id="170" w:name="_Toc185341578"/>
            <w:bookmarkStart w:id="171" w:name="_Toc185342394"/>
            <w:r w:rsidRPr="009B5DE5">
              <w:rPr>
                <w:rFonts w:eastAsia="Times New Roman" w:cs="Times New Roman"/>
                <w:sz w:val="20"/>
                <w:szCs w:val="20"/>
              </w:rPr>
              <w:t>3,2</w:t>
            </w:r>
            <w:bookmarkEnd w:id="170"/>
            <w:bookmarkEnd w:id="171"/>
          </w:p>
        </w:tc>
      </w:tr>
      <w:tr w:rsidR="009B5DE5" w:rsidRPr="009B5DE5" w14:paraId="06DE5B74" w14:textId="77777777" w:rsidTr="00F829D4">
        <w:trPr>
          <w:trHeight w:val="362"/>
        </w:trPr>
        <w:tc>
          <w:tcPr>
            <w:tcW w:w="8692" w:type="dxa"/>
            <w:gridSpan w:val="2"/>
            <w:tcBorders>
              <w:top w:val="dotted" w:sz="4" w:space="0" w:color="auto"/>
              <w:left w:val="double" w:sz="6" w:space="0" w:color="auto"/>
              <w:bottom w:val="dotted" w:sz="4" w:space="0" w:color="auto"/>
              <w:right w:val="single" w:sz="4" w:space="0" w:color="000000"/>
            </w:tcBorders>
            <w:shd w:val="clear" w:color="auto" w:fill="auto"/>
            <w:vAlign w:val="center"/>
            <w:hideMark/>
          </w:tcPr>
          <w:p w14:paraId="650DF700" w14:textId="77777777" w:rsidR="009B5DE5" w:rsidRPr="009B5DE5" w:rsidRDefault="009B5DE5" w:rsidP="009B5DE5">
            <w:pPr>
              <w:spacing w:after="0"/>
              <w:jc w:val="left"/>
              <w:outlineLvl w:val="0"/>
              <w:rPr>
                <w:rFonts w:eastAsia="Times New Roman" w:cs="Times New Roman"/>
                <w:sz w:val="20"/>
                <w:szCs w:val="20"/>
              </w:rPr>
            </w:pPr>
            <w:bookmarkStart w:id="172" w:name="_Toc185341579"/>
            <w:bookmarkStart w:id="173" w:name="_Toc185342395"/>
            <w:r w:rsidRPr="009B5DE5">
              <w:rPr>
                <w:rFonts w:eastAsia="Times New Roman" w:cs="Times New Roman"/>
                <w:sz w:val="20"/>
                <w:szCs w:val="20"/>
              </w:rPr>
              <w:t>Србија Карго</w:t>
            </w:r>
            <w:bookmarkEnd w:id="172"/>
            <w:bookmarkEnd w:id="173"/>
          </w:p>
        </w:tc>
        <w:tc>
          <w:tcPr>
            <w:tcW w:w="1446" w:type="dxa"/>
            <w:tcBorders>
              <w:top w:val="nil"/>
              <w:left w:val="nil"/>
              <w:bottom w:val="dotted" w:sz="4" w:space="0" w:color="auto"/>
              <w:right w:val="single" w:sz="4" w:space="0" w:color="auto"/>
            </w:tcBorders>
            <w:shd w:val="clear" w:color="auto" w:fill="auto"/>
            <w:noWrap/>
            <w:vAlign w:val="bottom"/>
            <w:hideMark/>
          </w:tcPr>
          <w:p w14:paraId="63C996B6" w14:textId="77777777" w:rsidR="009B5DE5" w:rsidRPr="009B5DE5" w:rsidRDefault="009B5DE5" w:rsidP="009B5DE5">
            <w:pPr>
              <w:spacing w:after="0"/>
              <w:jc w:val="center"/>
              <w:outlineLvl w:val="0"/>
              <w:rPr>
                <w:rFonts w:eastAsia="Times New Roman" w:cs="Times New Roman"/>
                <w:sz w:val="20"/>
                <w:szCs w:val="20"/>
              </w:rPr>
            </w:pPr>
            <w:bookmarkStart w:id="174" w:name="_Toc185341580"/>
            <w:bookmarkStart w:id="175" w:name="_Toc185342396"/>
            <w:r w:rsidRPr="009B5DE5">
              <w:rPr>
                <w:rFonts w:eastAsia="Times New Roman" w:cs="Times New Roman"/>
                <w:sz w:val="20"/>
                <w:szCs w:val="20"/>
              </w:rPr>
              <w:t>млрд РСД</w:t>
            </w:r>
            <w:bookmarkEnd w:id="174"/>
            <w:bookmarkEnd w:id="175"/>
          </w:p>
        </w:tc>
        <w:tc>
          <w:tcPr>
            <w:tcW w:w="1355" w:type="dxa"/>
            <w:tcBorders>
              <w:top w:val="nil"/>
              <w:left w:val="single" w:sz="4" w:space="0" w:color="auto"/>
              <w:bottom w:val="dotted" w:sz="4" w:space="0" w:color="auto"/>
              <w:right w:val="single" w:sz="8" w:space="0" w:color="auto"/>
            </w:tcBorders>
            <w:shd w:val="clear" w:color="auto" w:fill="auto"/>
            <w:noWrap/>
            <w:vAlign w:val="center"/>
            <w:hideMark/>
          </w:tcPr>
          <w:p w14:paraId="47A7AA8B" w14:textId="77777777" w:rsidR="009B5DE5" w:rsidRPr="009B5DE5" w:rsidRDefault="009B5DE5" w:rsidP="009B5DE5">
            <w:pPr>
              <w:spacing w:after="0"/>
              <w:jc w:val="center"/>
              <w:outlineLvl w:val="0"/>
              <w:rPr>
                <w:rFonts w:eastAsia="Times New Roman" w:cs="Times New Roman"/>
                <w:sz w:val="20"/>
                <w:szCs w:val="20"/>
              </w:rPr>
            </w:pPr>
            <w:r w:rsidRPr="009B5DE5">
              <w:rPr>
                <w:rFonts w:eastAsia="Times New Roman" w:cs="Times New Roman"/>
                <w:sz w:val="20"/>
                <w:szCs w:val="20"/>
              </w:rPr>
              <w:t> </w:t>
            </w:r>
          </w:p>
        </w:tc>
        <w:tc>
          <w:tcPr>
            <w:tcW w:w="1830" w:type="dxa"/>
            <w:tcBorders>
              <w:top w:val="nil"/>
              <w:left w:val="nil"/>
              <w:bottom w:val="dotted" w:sz="4" w:space="0" w:color="auto"/>
              <w:right w:val="single" w:sz="4" w:space="0" w:color="auto"/>
            </w:tcBorders>
            <w:shd w:val="clear" w:color="auto" w:fill="auto"/>
            <w:noWrap/>
            <w:vAlign w:val="bottom"/>
            <w:hideMark/>
          </w:tcPr>
          <w:p w14:paraId="06467BF4" w14:textId="77777777" w:rsidR="009B5DE5" w:rsidRPr="009B5DE5" w:rsidRDefault="009B5DE5" w:rsidP="009B5DE5">
            <w:pPr>
              <w:spacing w:after="0"/>
              <w:jc w:val="right"/>
              <w:outlineLvl w:val="0"/>
              <w:rPr>
                <w:rFonts w:eastAsia="Times New Roman" w:cs="Times New Roman"/>
                <w:sz w:val="20"/>
                <w:szCs w:val="20"/>
              </w:rPr>
            </w:pPr>
            <w:bookmarkStart w:id="176" w:name="_Toc185341581"/>
            <w:bookmarkStart w:id="177" w:name="_Toc185342397"/>
            <w:r w:rsidRPr="009B5DE5">
              <w:rPr>
                <w:rFonts w:eastAsia="Times New Roman" w:cs="Times New Roman"/>
                <w:sz w:val="20"/>
                <w:szCs w:val="20"/>
              </w:rPr>
              <w:t>8,0</w:t>
            </w:r>
            <w:bookmarkEnd w:id="176"/>
            <w:bookmarkEnd w:id="177"/>
          </w:p>
        </w:tc>
        <w:tc>
          <w:tcPr>
            <w:tcW w:w="1709" w:type="dxa"/>
            <w:tcBorders>
              <w:top w:val="nil"/>
              <w:left w:val="nil"/>
              <w:bottom w:val="dotted" w:sz="4" w:space="0" w:color="auto"/>
              <w:right w:val="double" w:sz="6" w:space="0" w:color="auto"/>
            </w:tcBorders>
            <w:shd w:val="clear" w:color="auto" w:fill="auto"/>
            <w:noWrap/>
            <w:vAlign w:val="bottom"/>
            <w:hideMark/>
          </w:tcPr>
          <w:p w14:paraId="590DF0DE" w14:textId="77777777" w:rsidR="009B5DE5" w:rsidRPr="009B5DE5" w:rsidRDefault="009B5DE5" w:rsidP="009B5DE5">
            <w:pPr>
              <w:spacing w:after="0"/>
              <w:jc w:val="right"/>
              <w:outlineLvl w:val="0"/>
              <w:rPr>
                <w:rFonts w:eastAsia="Times New Roman" w:cs="Times New Roman"/>
                <w:sz w:val="20"/>
                <w:szCs w:val="20"/>
              </w:rPr>
            </w:pPr>
            <w:bookmarkStart w:id="178" w:name="_Toc185341582"/>
            <w:bookmarkStart w:id="179" w:name="_Toc185342398"/>
            <w:r w:rsidRPr="009B5DE5">
              <w:rPr>
                <w:rFonts w:eastAsia="Times New Roman" w:cs="Times New Roman"/>
                <w:sz w:val="20"/>
                <w:szCs w:val="20"/>
              </w:rPr>
              <w:t>1,3</w:t>
            </w:r>
            <w:bookmarkEnd w:id="178"/>
            <w:bookmarkEnd w:id="179"/>
          </w:p>
        </w:tc>
      </w:tr>
      <w:tr w:rsidR="009B5DE5" w:rsidRPr="009B5DE5" w14:paraId="07451D41" w14:textId="77777777" w:rsidTr="00F829D4">
        <w:trPr>
          <w:trHeight w:val="362"/>
        </w:trPr>
        <w:tc>
          <w:tcPr>
            <w:tcW w:w="8692" w:type="dxa"/>
            <w:gridSpan w:val="2"/>
            <w:tcBorders>
              <w:top w:val="dotted" w:sz="4" w:space="0" w:color="auto"/>
              <w:left w:val="double" w:sz="6" w:space="0" w:color="auto"/>
              <w:bottom w:val="dotted" w:sz="4" w:space="0" w:color="auto"/>
              <w:right w:val="single" w:sz="4" w:space="0" w:color="000000"/>
            </w:tcBorders>
            <w:shd w:val="clear" w:color="auto" w:fill="auto"/>
            <w:vAlign w:val="center"/>
            <w:hideMark/>
          </w:tcPr>
          <w:p w14:paraId="1B672CB6" w14:textId="77777777" w:rsidR="009B5DE5" w:rsidRPr="009B5DE5" w:rsidRDefault="009B5DE5" w:rsidP="009B5DE5">
            <w:pPr>
              <w:spacing w:after="0"/>
              <w:jc w:val="left"/>
              <w:outlineLvl w:val="0"/>
              <w:rPr>
                <w:rFonts w:eastAsia="Times New Roman" w:cs="Times New Roman"/>
                <w:sz w:val="20"/>
                <w:szCs w:val="20"/>
              </w:rPr>
            </w:pPr>
            <w:bookmarkStart w:id="180" w:name="_Toc185341583"/>
            <w:bookmarkStart w:id="181" w:name="_Toc185342399"/>
            <w:r w:rsidRPr="009B5DE5">
              <w:rPr>
                <w:rFonts w:eastAsia="Times New Roman" w:cs="Times New Roman"/>
                <w:sz w:val="20"/>
                <w:szCs w:val="20"/>
              </w:rPr>
              <w:t>Скијалишта Србије</w:t>
            </w:r>
            <w:bookmarkEnd w:id="180"/>
            <w:bookmarkEnd w:id="181"/>
          </w:p>
        </w:tc>
        <w:tc>
          <w:tcPr>
            <w:tcW w:w="1446" w:type="dxa"/>
            <w:tcBorders>
              <w:top w:val="nil"/>
              <w:left w:val="nil"/>
              <w:bottom w:val="dotted" w:sz="4" w:space="0" w:color="auto"/>
              <w:right w:val="single" w:sz="4" w:space="0" w:color="auto"/>
            </w:tcBorders>
            <w:shd w:val="clear" w:color="auto" w:fill="auto"/>
            <w:noWrap/>
            <w:vAlign w:val="bottom"/>
            <w:hideMark/>
          </w:tcPr>
          <w:p w14:paraId="602B051A" w14:textId="77777777" w:rsidR="009B5DE5" w:rsidRPr="009B5DE5" w:rsidRDefault="009B5DE5" w:rsidP="009B5DE5">
            <w:pPr>
              <w:spacing w:after="0"/>
              <w:jc w:val="center"/>
              <w:outlineLvl w:val="0"/>
              <w:rPr>
                <w:rFonts w:eastAsia="Times New Roman" w:cs="Times New Roman"/>
                <w:sz w:val="20"/>
                <w:szCs w:val="20"/>
              </w:rPr>
            </w:pPr>
            <w:bookmarkStart w:id="182" w:name="_Toc185341584"/>
            <w:bookmarkStart w:id="183" w:name="_Toc185342400"/>
            <w:r w:rsidRPr="009B5DE5">
              <w:rPr>
                <w:rFonts w:eastAsia="Times New Roman" w:cs="Times New Roman"/>
                <w:sz w:val="20"/>
                <w:szCs w:val="20"/>
              </w:rPr>
              <w:t>млрд РСД</w:t>
            </w:r>
            <w:bookmarkEnd w:id="182"/>
            <w:bookmarkEnd w:id="183"/>
          </w:p>
        </w:tc>
        <w:tc>
          <w:tcPr>
            <w:tcW w:w="1355" w:type="dxa"/>
            <w:tcBorders>
              <w:top w:val="nil"/>
              <w:left w:val="single" w:sz="4" w:space="0" w:color="auto"/>
              <w:bottom w:val="dotted" w:sz="4" w:space="0" w:color="auto"/>
              <w:right w:val="single" w:sz="8" w:space="0" w:color="auto"/>
            </w:tcBorders>
            <w:shd w:val="clear" w:color="auto" w:fill="auto"/>
            <w:noWrap/>
            <w:vAlign w:val="center"/>
            <w:hideMark/>
          </w:tcPr>
          <w:p w14:paraId="6D6F9F1E" w14:textId="77777777" w:rsidR="009B5DE5" w:rsidRPr="009B5DE5" w:rsidRDefault="009B5DE5" w:rsidP="009B5DE5">
            <w:pPr>
              <w:spacing w:after="0"/>
              <w:jc w:val="center"/>
              <w:outlineLvl w:val="0"/>
              <w:rPr>
                <w:rFonts w:eastAsia="Times New Roman" w:cs="Times New Roman"/>
                <w:sz w:val="20"/>
                <w:szCs w:val="20"/>
              </w:rPr>
            </w:pPr>
            <w:r w:rsidRPr="009B5DE5">
              <w:rPr>
                <w:rFonts w:eastAsia="Times New Roman" w:cs="Times New Roman"/>
                <w:sz w:val="20"/>
                <w:szCs w:val="20"/>
              </w:rPr>
              <w:t> </w:t>
            </w:r>
          </w:p>
        </w:tc>
        <w:tc>
          <w:tcPr>
            <w:tcW w:w="1830" w:type="dxa"/>
            <w:tcBorders>
              <w:top w:val="nil"/>
              <w:left w:val="nil"/>
              <w:bottom w:val="dotted" w:sz="4" w:space="0" w:color="auto"/>
              <w:right w:val="single" w:sz="4" w:space="0" w:color="auto"/>
            </w:tcBorders>
            <w:shd w:val="clear" w:color="auto" w:fill="auto"/>
            <w:noWrap/>
            <w:vAlign w:val="bottom"/>
            <w:hideMark/>
          </w:tcPr>
          <w:p w14:paraId="6E383895" w14:textId="77777777" w:rsidR="009B5DE5" w:rsidRPr="009B5DE5" w:rsidRDefault="009B5DE5" w:rsidP="009B5DE5">
            <w:pPr>
              <w:spacing w:after="0"/>
              <w:jc w:val="right"/>
              <w:outlineLvl w:val="0"/>
              <w:rPr>
                <w:rFonts w:eastAsia="Times New Roman" w:cs="Times New Roman"/>
                <w:sz w:val="20"/>
                <w:szCs w:val="20"/>
              </w:rPr>
            </w:pPr>
            <w:bookmarkStart w:id="184" w:name="_Toc185341585"/>
            <w:bookmarkStart w:id="185" w:name="_Toc185342401"/>
            <w:r w:rsidRPr="009B5DE5">
              <w:rPr>
                <w:rFonts w:eastAsia="Times New Roman" w:cs="Times New Roman"/>
                <w:sz w:val="20"/>
                <w:szCs w:val="20"/>
              </w:rPr>
              <w:t>1,6</w:t>
            </w:r>
            <w:bookmarkEnd w:id="184"/>
            <w:bookmarkEnd w:id="185"/>
          </w:p>
        </w:tc>
        <w:tc>
          <w:tcPr>
            <w:tcW w:w="1709" w:type="dxa"/>
            <w:tcBorders>
              <w:top w:val="nil"/>
              <w:left w:val="nil"/>
              <w:bottom w:val="dotted" w:sz="4" w:space="0" w:color="auto"/>
              <w:right w:val="double" w:sz="6" w:space="0" w:color="auto"/>
            </w:tcBorders>
            <w:shd w:val="clear" w:color="auto" w:fill="auto"/>
            <w:noWrap/>
            <w:vAlign w:val="bottom"/>
            <w:hideMark/>
          </w:tcPr>
          <w:p w14:paraId="7DDFA18A" w14:textId="77777777" w:rsidR="009B5DE5" w:rsidRPr="009B5DE5" w:rsidRDefault="009B5DE5" w:rsidP="009B5DE5">
            <w:pPr>
              <w:spacing w:after="0"/>
              <w:jc w:val="right"/>
              <w:outlineLvl w:val="0"/>
              <w:rPr>
                <w:rFonts w:eastAsia="Times New Roman" w:cs="Times New Roman"/>
                <w:sz w:val="20"/>
                <w:szCs w:val="20"/>
              </w:rPr>
            </w:pPr>
            <w:bookmarkStart w:id="186" w:name="_Toc185341586"/>
            <w:bookmarkStart w:id="187" w:name="_Toc185342402"/>
            <w:r w:rsidRPr="009B5DE5">
              <w:rPr>
                <w:rFonts w:eastAsia="Times New Roman" w:cs="Times New Roman"/>
                <w:sz w:val="20"/>
                <w:szCs w:val="20"/>
              </w:rPr>
              <w:t>1,6</w:t>
            </w:r>
            <w:bookmarkEnd w:id="186"/>
            <w:bookmarkEnd w:id="187"/>
          </w:p>
        </w:tc>
      </w:tr>
      <w:tr w:rsidR="009B5DE5" w:rsidRPr="009B5DE5" w14:paraId="24D857CC" w14:textId="77777777" w:rsidTr="00F829D4">
        <w:trPr>
          <w:trHeight w:val="362"/>
        </w:trPr>
        <w:tc>
          <w:tcPr>
            <w:tcW w:w="8692" w:type="dxa"/>
            <w:gridSpan w:val="2"/>
            <w:tcBorders>
              <w:top w:val="dotted" w:sz="4" w:space="0" w:color="auto"/>
              <w:left w:val="double" w:sz="6" w:space="0" w:color="auto"/>
              <w:bottom w:val="dotted" w:sz="4" w:space="0" w:color="auto"/>
              <w:right w:val="single" w:sz="4" w:space="0" w:color="000000"/>
            </w:tcBorders>
            <w:shd w:val="clear" w:color="auto" w:fill="auto"/>
            <w:vAlign w:val="center"/>
            <w:hideMark/>
          </w:tcPr>
          <w:p w14:paraId="017FEC4E" w14:textId="77777777" w:rsidR="009B5DE5" w:rsidRPr="009B5DE5" w:rsidRDefault="009B5DE5" w:rsidP="009B5DE5">
            <w:pPr>
              <w:spacing w:after="0"/>
              <w:jc w:val="left"/>
              <w:outlineLvl w:val="0"/>
              <w:rPr>
                <w:rFonts w:eastAsia="Times New Roman" w:cs="Times New Roman"/>
                <w:sz w:val="20"/>
                <w:szCs w:val="20"/>
              </w:rPr>
            </w:pPr>
            <w:bookmarkStart w:id="188" w:name="_Toc185341587"/>
            <w:bookmarkStart w:id="189" w:name="_Toc185342403"/>
            <w:r w:rsidRPr="009B5DE5">
              <w:rPr>
                <w:rFonts w:eastAsia="Times New Roman" w:cs="Times New Roman"/>
                <w:sz w:val="20"/>
                <w:szCs w:val="20"/>
              </w:rPr>
              <w:t>Југоимпорт - СДПР</w:t>
            </w:r>
            <w:bookmarkEnd w:id="188"/>
            <w:bookmarkEnd w:id="189"/>
          </w:p>
        </w:tc>
        <w:tc>
          <w:tcPr>
            <w:tcW w:w="1446" w:type="dxa"/>
            <w:tcBorders>
              <w:top w:val="nil"/>
              <w:left w:val="nil"/>
              <w:bottom w:val="dotted" w:sz="4" w:space="0" w:color="auto"/>
              <w:right w:val="single" w:sz="4" w:space="0" w:color="auto"/>
            </w:tcBorders>
            <w:shd w:val="clear" w:color="auto" w:fill="auto"/>
            <w:noWrap/>
            <w:vAlign w:val="bottom"/>
            <w:hideMark/>
          </w:tcPr>
          <w:p w14:paraId="23992DD3" w14:textId="77777777" w:rsidR="009B5DE5" w:rsidRPr="009B5DE5" w:rsidRDefault="009B5DE5" w:rsidP="009B5DE5">
            <w:pPr>
              <w:spacing w:after="0"/>
              <w:jc w:val="center"/>
              <w:outlineLvl w:val="0"/>
              <w:rPr>
                <w:rFonts w:eastAsia="Times New Roman" w:cs="Times New Roman"/>
                <w:sz w:val="20"/>
                <w:szCs w:val="20"/>
              </w:rPr>
            </w:pPr>
            <w:bookmarkStart w:id="190" w:name="_Toc185341588"/>
            <w:bookmarkStart w:id="191" w:name="_Toc185342404"/>
            <w:r w:rsidRPr="009B5DE5">
              <w:rPr>
                <w:rFonts w:eastAsia="Times New Roman" w:cs="Times New Roman"/>
                <w:sz w:val="20"/>
                <w:szCs w:val="20"/>
              </w:rPr>
              <w:t>млрд РСД</w:t>
            </w:r>
            <w:bookmarkEnd w:id="190"/>
            <w:bookmarkEnd w:id="191"/>
          </w:p>
        </w:tc>
        <w:tc>
          <w:tcPr>
            <w:tcW w:w="1355" w:type="dxa"/>
            <w:tcBorders>
              <w:top w:val="nil"/>
              <w:left w:val="single" w:sz="4" w:space="0" w:color="auto"/>
              <w:bottom w:val="dotted" w:sz="4" w:space="0" w:color="auto"/>
              <w:right w:val="single" w:sz="8" w:space="0" w:color="auto"/>
            </w:tcBorders>
            <w:shd w:val="clear" w:color="auto" w:fill="auto"/>
            <w:noWrap/>
            <w:vAlign w:val="center"/>
            <w:hideMark/>
          </w:tcPr>
          <w:p w14:paraId="467FC80D" w14:textId="77777777" w:rsidR="009B5DE5" w:rsidRPr="009B5DE5" w:rsidRDefault="009B5DE5" w:rsidP="009B5DE5">
            <w:pPr>
              <w:spacing w:after="0"/>
              <w:jc w:val="center"/>
              <w:outlineLvl w:val="0"/>
              <w:rPr>
                <w:rFonts w:eastAsia="Times New Roman" w:cs="Times New Roman"/>
                <w:sz w:val="20"/>
                <w:szCs w:val="20"/>
              </w:rPr>
            </w:pPr>
            <w:r w:rsidRPr="009B5DE5">
              <w:rPr>
                <w:rFonts w:eastAsia="Times New Roman" w:cs="Times New Roman"/>
                <w:sz w:val="20"/>
                <w:szCs w:val="20"/>
              </w:rPr>
              <w:t> </w:t>
            </w:r>
          </w:p>
        </w:tc>
        <w:tc>
          <w:tcPr>
            <w:tcW w:w="1830" w:type="dxa"/>
            <w:tcBorders>
              <w:top w:val="nil"/>
              <w:left w:val="nil"/>
              <w:bottom w:val="dotted" w:sz="4" w:space="0" w:color="auto"/>
              <w:right w:val="single" w:sz="4" w:space="0" w:color="auto"/>
            </w:tcBorders>
            <w:shd w:val="clear" w:color="auto" w:fill="auto"/>
            <w:noWrap/>
            <w:vAlign w:val="bottom"/>
            <w:hideMark/>
          </w:tcPr>
          <w:p w14:paraId="2F2A7C3E" w14:textId="77777777" w:rsidR="009B5DE5" w:rsidRPr="009B5DE5" w:rsidRDefault="009B5DE5" w:rsidP="009B5DE5">
            <w:pPr>
              <w:spacing w:after="0"/>
              <w:jc w:val="right"/>
              <w:outlineLvl w:val="0"/>
              <w:rPr>
                <w:rFonts w:eastAsia="Times New Roman" w:cs="Times New Roman"/>
                <w:sz w:val="20"/>
                <w:szCs w:val="20"/>
              </w:rPr>
            </w:pPr>
            <w:bookmarkStart w:id="192" w:name="_Toc185341589"/>
            <w:bookmarkStart w:id="193" w:name="_Toc185342405"/>
            <w:r w:rsidRPr="009B5DE5">
              <w:rPr>
                <w:rFonts w:eastAsia="Times New Roman" w:cs="Times New Roman"/>
                <w:sz w:val="20"/>
                <w:szCs w:val="20"/>
              </w:rPr>
              <w:t>0,9</w:t>
            </w:r>
            <w:bookmarkEnd w:id="192"/>
            <w:bookmarkEnd w:id="193"/>
          </w:p>
        </w:tc>
        <w:tc>
          <w:tcPr>
            <w:tcW w:w="1709" w:type="dxa"/>
            <w:tcBorders>
              <w:top w:val="nil"/>
              <w:left w:val="nil"/>
              <w:bottom w:val="dotted" w:sz="4" w:space="0" w:color="auto"/>
              <w:right w:val="double" w:sz="6" w:space="0" w:color="auto"/>
            </w:tcBorders>
            <w:shd w:val="clear" w:color="auto" w:fill="auto"/>
            <w:noWrap/>
            <w:vAlign w:val="bottom"/>
            <w:hideMark/>
          </w:tcPr>
          <w:p w14:paraId="0BED2CB2" w14:textId="77777777" w:rsidR="009B5DE5" w:rsidRPr="009B5DE5" w:rsidRDefault="009B5DE5" w:rsidP="009B5DE5">
            <w:pPr>
              <w:spacing w:after="0"/>
              <w:jc w:val="right"/>
              <w:outlineLvl w:val="0"/>
              <w:rPr>
                <w:rFonts w:eastAsia="Times New Roman" w:cs="Times New Roman"/>
                <w:sz w:val="20"/>
                <w:szCs w:val="20"/>
              </w:rPr>
            </w:pPr>
            <w:bookmarkStart w:id="194" w:name="_Toc185341590"/>
            <w:bookmarkStart w:id="195" w:name="_Toc185342406"/>
            <w:r w:rsidRPr="009B5DE5">
              <w:rPr>
                <w:rFonts w:eastAsia="Times New Roman" w:cs="Times New Roman"/>
                <w:sz w:val="20"/>
                <w:szCs w:val="20"/>
              </w:rPr>
              <w:t>0,9</w:t>
            </w:r>
            <w:bookmarkEnd w:id="194"/>
            <w:bookmarkEnd w:id="195"/>
          </w:p>
        </w:tc>
      </w:tr>
      <w:tr w:rsidR="009B5DE5" w:rsidRPr="009B5DE5" w14:paraId="18617275" w14:textId="77777777" w:rsidTr="00F829D4">
        <w:trPr>
          <w:trHeight w:val="380"/>
        </w:trPr>
        <w:tc>
          <w:tcPr>
            <w:tcW w:w="8692" w:type="dxa"/>
            <w:gridSpan w:val="2"/>
            <w:tcBorders>
              <w:top w:val="dotted" w:sz="4" w:space="0" w:color="auto"/>
              <w:left w:val="double" w:sz="6" w:space="0" w:color="auto"/>
              <w:bottom w:val="dotted" w:sz="4" w:space="0" w:color="auto"/>
              <w:right w:val="single" w:sz="4" w:space="0" w:color="000000"/>
            </w:tcBorders>
            <w:shd w:val="clear" w:color="auto" w:fill="auto"/>
            <w:vAlign w:val="center"/>
            <w:hideMark/>
          </w:tcPr>
          <w:p w14:paraId="1AACEA41" w14:textId="77777777" w:rsidR="009B5DE5" w:rsidRPr="009B5DE5" w:rsidRDefault="009B5DE5" w:rsidP="009B5DE5">
            <w:pPr>
              <w:spacing w:after="0"/>
              <w:jc w:val="left"/>
              <w:outlineLvl w:val="0"/>
              <w:rPr>
                <w:rFonts w:eastAsia="Times New Roman" w:cs="Times New Roman"/>
                <w:sz w:val="20"/>
                <w:szCs w:val="20"/>
              </w:rPr>
            </w:pPr>
            <w:bookmarkStart w:id="196" w:name="_Toc185341591"/>
            <w:bookmarkStart w:id="197" w:name="_Toc185342407"/>
            <w:r w:rsidRPr="009B5DE5">
              <w:rPr>
                <w:rFonts w:eastAsia="Times New Roman" w:cs="Times New Roman"/>
                <w:sz w:val="20"/>
                <w:szCs w:val="20"/>
              </w:rPr>
              <w:t>Електродистрибуција Србије</w:t>
            </w:r>
            <w:bookmarkEnd w:id="196"/>
            <w:bookmarkEnd w:id="197"/>
          </w:p>
        </w:tc>
        <w:tc>
          <w:tcPr>
            <w:tcW w:w="1446" w:type="dxa"/>
            <w:tcBorders>
              <w:top w:val="nil"/>
              <w:left w:val="nil"/>
              <w:bottom w:val="dotted" w:sz="4" w:space="0" w:color="auto"/>
              <w:right w:val="single" w:sz="4" w:space="0" w:color="auto"/>
            </w:tcBorders>
            <w:shd w:val="clear" w:color="auto" w:fill="auto"/>
            <w:noWrap/>
            <w:vAlign w:val="bottom"/>
            <w:hideMark/>
          </w:tcPr>
          <w:p w14:paraId="76A37B7A" w14:textId="77777777" w:rsidR="009B5DE5" w:rsidRPr="009B5DE5" w:rsidRDefault="009B5DE5" w:rsidP="009B5DE5">
            <w:pPr>
              <w:spacing w:after="0"/>
              <w:jc w:val="center"/>
              <w:outlineLvl w:val="0"/>
              <w:rPr>
                <w:rFonts w:eastAsia="Times New Roman" w:cs="Times New Roman"/>
                <w:sz w:val="20"/>
                <w:szCs w:val="20"/>
              </w:rPr>
            </w:pPr>
            <w:bookmarkStart w:id="198" w:name="_Toc185341592"/>
            <w:bookmarkStart w:id="199" w:name="_Toc185342408"/>
            <w:r w:rsidRPr="009B5DE5">
              <w:rPr>
                <w:rFonts w:eastAsia="Times New Roman" w:cs="Times New Roman"/>
                <w:sz w:val="20"/>
                <w:szCs w:val="20"/>
              </w:rPr>
              <w:t>млрд РСД</w:t>
            </w:r>
            <w:bookmarkEnd w:id="198"/>
            <w:bookmarkEnd w:id="199"/>
          </w:p>
        </w:tc>
        <w:tc>
          <w:tcPr>
            <w:tcW w:w="1355" w:type="dxa"/>
            <w:tcBorders>
              <w:top w:val="nil"/>
              <w:left w:val="single" w:sz="4" w:space="0" w:color="auto"/>
              <w:bottom w:val="dotted" w:sz="4" w:space="0" w:color="auto"/>
              <w:right w:val="single" w:sz="8" w:space="0" w:color="auto"/>
            </w:tcBorders>
            <w:shd w:val="clear" w:color="auto" w:fill="auto"/>
            <w:noWrap/>
            <w:vAlign w:val="center"/>
            <w:hideMark/>
          </w:tcPr>
          <w:p w14:paraId="78C4FC8A" w14:textId="77777777" w:rsidR="009B5DE5" w:rsidRPr="009B5DE5" w:rsidRDefault="009B5DE5" w:rsidP="009B5DE5">
            <w:pPr>
              <w:spacing w:after="0"/>
              <w:jc w:val="center"/>
              <w:outlineLvl w:val="0"/>
              <w:rPr>
                <w:rFonts w:eastAsia="Times New Roman" w:cs="Times New Roman"/>
                <w:sz w:val="20"/>
                <w:szCs w:val="20"/>
              </w:rPr>
            </w:pPr>
            <w:r w:rsidRPr="009B5DE5">
              <w:rPr>
                <w:rFonts w:eastAsia="Times New Roman" w:cs="Times New Roman"/>
                <w:sz w:val="20"/>
                <w:szCs w:val="20"/>
              </w:rPr>
              <w:t> </w:t>
            </w:r>
          </w:p>
        </w:tc>
        <w:tc>
          <w:tcPr>
            <w:tcW w:w="1830" w:type="dxa"/>
            <w:tcBorders>
              <w:top w:val="nil"/>
              <w:left w:val="nil"/>
              <w:bottom w:val="dotted" w:sz="4" w:space="0" w:color="auto"/>
              <w:right w:val="single" w:sz="4" w:space="0" w:color="auto"/>
            </w:tcBorders>
            <w:shd w:val="clear" w:color="auto" w:fill="auto"/>
            <w:noWrap/>
            <w:vAlign w:val="bottom"/>
            <w:hideMark/>
          </w:tcPr>
          <w:p w14:paraId="381938D6" w14:textId="77777777" w:rsidR="009B5DE5" w:rsidRPr="009B5DE5" w:rsidRDefault="009B5DE5" w:rsidP="009B5DE5">
            <w:pPr>
              <w:spacing w:after="0"/>
              <w:jc w:val="right"/>
              <w:outlineLvl w:val="0"/>
              <w:rPr>
                <w:rFonts w:eastAsia="Times New Roman" w:cs="Times New Roman"/>
                <w:sz w:val="20"/>
                <w:szCs w:val="20"/>
              </w:rPr>
            </w:pPr>
            <w:bookmarkStart w:id="200" w:name="_Toc185341593"/>
            <w:bookmarkStart w:id="201" w:name="_Toc185342409"/>
            <w:r w:rsidRPr="009B5DE5">
              <w:rPr>
                <w:rFonts w:eastAsia="Times New Roman" w:cs="Times New Roman"/>
                <w:sz w:val="20"/>
                <w:szCs w:val="20"/>
              </w:rPr>
              <w:t>31,3</w:t>
            </w:r>
            <w:bookmarkEnd w:id="200"/>
            <w:bookmarkEnd w:id="201"/>
          </w:p>
        </w:tc>
        <w:tc>
          <w:tcPr>
            <w:tcW w:w="1709" w:type="dxa"/>
            <w:tcBorders>
              <w:top w:val="nil"/>
              <w:left w:val="nil"/>
              <w:bottom w:val="dotted" w:sz="4" w:space="0" w:color="auto"/>
              <w:right w:val="double" w:sz="6" w:space="0" w:color="auto"/>
            </w:tcBorders>
            <w:shd w:val="clear" w:color="auto" w:fill="auto"/>
            <w:noWrap/>
            <w:vAlign w:val="bottom"/>
            <w:hideMark/>
          </w:tcPr>
          <w:p w14:paraId="3AA64993" w14:textId="77777777" w:rsidR="009B5DE5" w:rsidRPr="009B5DE5" w:rsidRDefault="009B5DE5" w:rsidP="009B5DE5">
            <w:pPr>
              <w:spacing w:after="0"/>
              <w:jc w:val="right"/>
              <w:outlineLvl w:val="0"/>
              <w:rPr>
                <w:rFonts w:eastAsia="Times New Roman" w:cs="Times New Roman"/>
                <w:sz w:val="20"/>
                <w:szCs w:val="20"/>
              </w:rPr>
            </w:pPr>
            <w:bookmarkStart w:id="202" w:name="_Toc185341594"/>
            <w:bookmarkStart w:id="203" w:name="_Toc185342410"/>
            <w:r w:rsidRPr="009B5DE5">
              <w:rPr>
                <w:rFonts w:eastAsia="Times New Roman" w:cs="Times New Roman"/>
                <w:sz w:val="20"/>
                <w:szCs w:val="20"/>
              </w:rPr>
              <w:t>6,3</w:t>
            </w:r>
            <w:bookmarkEnd w:id="202"/>
            <w:bookmarkEnd w:id="203"/>
          </w:p>
        </w:tc>
      </w:tr>
      <w:tr w:rsidR="009B5DE5" w:rsidRPr="009B5DE5" w14:paraId="14D4BD7B" w14:textId="77777777" w:rsidTr="00F829D4">
        <w:trPr>
          <w:trHeight w:val="380"/>
        </w:trPr>
        <w:tc>
          <w:tcPr>
            <w:tcW w:w="8692" w:type="dxa"/>
            <w:gridSpan w:val="2"/>
            <w:tcBorders>
              <w:top w:val="dotted" w:sz="4" w:space="0" w:color="auto"/>
              <w:left w:val="double" w:sz="6" w:space="0" w:color="auto"/>
              <w:bottom w:val="dotted" w:sz="4" w:space="0" w:color="auto"/>
              <w:right w:val="single" w:sz="4" w:space="0" w:color="000000"/>
            </w:tcBorders>
            <w:shd w:val="clear" w:color="auto" w:fill="auto"/>
            <w:vAlign w:val="center"/>
            <w:hideMark/>
          </w:tcPr>
          <w:p w14:paraId="6D70B51D" w14:textId="77777777" w:rsidR="009B5DE5" w:rsidRPr="009B5DE5" w:rsidRDefault="009B5DE5" w:rsidP="009B5DE5">
            <w:pPr>
              <w:spacing w:after="0"/>
              <w:jc w:val="left"/>
              <w:outlineLvl w:val="0"/>
              <w:rPr>
                <w:rFonts w:eastAsia="Times New Roman" w:cs="Times New Roman"/>
                <w:sz w:val="20"/>
                <w:szCs w:val="20"/>
              </w:rPr>
            </w:pPr>
            <w:bookmarkStart w:id="204" w:name="_Toc185341595"/>
            <w:bookmarkStart w:id="205" w:name="_Toc185342411"/>
            <w:r w:rsidRPr="009B5DE5">
              <w:rPr>
                <w:rFonts w:eastAsia="Times New Roman" w:cs="Times New Roman"/>
                <w:sz w:val="20"/>
                <w:szCs w:val="20"/>
              </w:rPr>
              <w:t>Емисиона техника и везе</w:t>
            </w:r>
            <w:bookmarkEnd w:id="204"/>
            <w:bookmarkEnd w:id="205"/>
          </w:p>
        </w:tc>
        <w:tc>
          <w:tcPr>
            <w:tcW w:w="1446" w:type="dxa"/>
            <w:tcBorders>
              <w:top w:val="nil"/>
              <w:left w:val="nil"/>
              <w:bottom w:val="dotted" w:sz="4" w:space="0" w:color="auto"/>
              <w:right w:val="single" w:sz="4" w:space="0" w:color="auto"/>
            </w:tcBorders>
            <w:shd w:val="clear" w:color="auto" w:fill="auto"/>
            <w:noWrap/>
            <w:vAlign w:val="bottom"/>
            <w:hideMark/>
          </w:tcPr>
          <w:p w14:paraId="17E105BC" w14:textId="77777777" w:rsidR="009B5DE5" w:rsidRPr="009B5DE5" w:rsidRDefault="009B5DE5" w:rsidP="009B5DE5">
            <w:pPr>
              <w:spacing w:after="0"/>
              <w:jc w:val="center"/>
              <w:outlineLvl w:val="0"/>
              <w:rPr>
                <w:rFonts w:eastAsia="Times New Roman" w:cs="Times New Roman"/>
                <w:sz w:val="20"/>
                <w:szCs w:val="20"/>
              </w:rPr>
            </w:pPr>
            <w:bookmarkStart w:id="206" w:name="_Toc185341596"/>
            <w:bookmarkStart w:id="207" w:name="_Toc185342412"/>
            <w:r w:rsidRPr="009B5DE5">
              <w:rPr>
                <w:rFonts w:eastAsia="Times New Roman" w:cs="Times New Roman"/>
                <w:sz w:val="20"/>
                <w:szCs w:val="20"/>
              </w:rPr>
              <w:t>млрд РСД</w:t>
            </w:r>
            <w:bookmarkEnd w:id="206"/>
            <w:bookmarkEnd w:id="207"/>
          </w:p>
        </w:tc>
        <w:tc>
          <w:tcPr>
            <w:tcW w:w="1355" w:type="dxa"/>
            <w:tcBorders>
              <w:top w:val="nil"/>
              <w:left w:val="single" w:sz="4" w:space="0" w:color="auto"/>
              <w:bottom w:val="nil"/>
              <w:right w:val="single" w:sz="8" w:space="0" w:color="auto"/>
            </w:tcBorders>
            <w:shd w:val="clear" w:color="auto" w:fill="auto"/>
            <w:noWrap/>
            <w:vAlign w:val="center"/>
            <w:hideMark/>
          </w:tcPr>
          <w:p w14:paraId="2EA5BBDD" w14:textId="77777777" w:rsidR="009B5DE5" w:rsidRPr="009B5DE5" w:rsidRDefault="009B5DE5" w:rsidP="009B5DE5">
            <w:pPr>
              <w:spacing w:after="0"/>
              <w:jc w:val="center"/>
              <w:outlineLvl w:val="0"/>
              <w:rPr>
                <w:rFonts w:eastAsia="Times New Roman" w:cs="Times New Roman"/>
                <w:sz w:val="20"/>
                <w:szCs w:val="20"/>
              </w:rPr>
            </w:pPr>
            <w:r w:rsidRPr="009B5DE5">
              <w:rPr>
                <w:rFonts w:eastAsia="Times New Roman" w:cs="Times New Roman"/>
                <w:sz w:val="20"/>
                <w:szCs w:val="20"/>
              </w:rPr>
              <w:t> </w:t>
            </w:r>
          </w:p>
        </w:tc>
        <w:tc>
          <w:tcPr>
            <w:tcW w:w="1830" w:type="dxa"/>
            <w:tcBorders>
              <w:top w:val="nil"/>
              <w:left w:val="nil"/>
              <w:bottom w:val="dotted" w:sz="4" w:space="0" w:color="auto"/>
              <w:right w:val="single" w:sz="4" w:space="0" w:color="auto"/>
            </w:tcBorders>
            <w:shd w:val="clear" w:color="auto" w:fill="auto"/>
            <w:noWrap/>
            <w:vAlign w:val="bottom"/>
            <w:hideMark/>
          </w:tcPr>
          <w:p w14:paraId="2724DA77" w14:textId="77777777" w:rsidR="009B5DE5" w:rsidRPr="009B5DE5" w:rsidRDefault="009B5DE5" w:rsidP="009B5DE5">
            <w:pPr>
              <w:spacing w:after="0"/>
              <w:jc w:val="right"/>
              <w:outlineLvl w:val="0"/>
              <w:rPr>
                <w:rFonts w:eastAsia="Times New Roman" w:cs="Times New Roman"/>
                <w:sz w:val="20"/>
                <w:szCs w:val="20"/>
              </w:rPr>
            </w:pPr>
            <w:bookmarkStart w:id="208" w:name="_Toc185341597"/>
            <w:bookmarkStart w:id="209" w:name="_Toc185342413"/>
            <w:r w:rsidRPr="009B5DE5">
              <w:rPr>
                <w:rFonts w:eastAsia="Times New Roman" w:cs="Times New Roman"/>
                <w:sz w:val="20"/>
                <w:szCs w:val="20"/>
              </w:rPr>
              <w:t>0,0</w:t>
            </w:r>
            <w:bookmarkEnd w:id="208"/>
            <w:bookmarkEnd w:id="209"/>
          </w:p>
        </w:tc>
        <w:tc>
          <w:tcPr>
            <w:tcW w:w="1709" w:type="dxa"/>
            <w:tcBorders>
              <w:top w:val="nil"/>
              <w:left w:val="nil"/>
              <w:bottom w:val="dotted" w:sz="4" w:space="0" w:color="auto"/>
              <w:right w:val="double" w:sz="6" w:space="0" w:color="auto"/>
            </w:tcBorders>
            <w:shd w:val="clear" w:color="auto" w:fill="auto"/>
            <w:noWrap/>
            <w:vAlign w:val="bottom"/>
            <w:hideMark/>
          </w:tcPr>
          <w:p w14:paraId="4BDDBE27" w14:textId="77777777" w:rsidR="009B5DE5" w:rsidRPr="009B5DE5" w:rsidRDefault="009B5DE5" w:rsidP="009B5DE5">
            <w:pPr>
              <w:spacing w:after="0"/>
              <w:jc w:val="right"/>
              <w:outlineLvl w:val="0"/>
              <w:rPr>
                <w:rFonts w:eastAsia="Times New Roman" w:cs="Times New Roman"/>
                <w:sz w:val="20"/>
                <w:szCs w:val="20"/>
              </w:rPr>
            </w:pPr>
            <w:bookmarkStart w:id="210" w:name="_Toc185341598"/>
            <w:bookmarkStart w:id="211" w:name="_Toc185342414"/>
            <w:r w:rsidRPr="009B5DE5">
              <w:rPr>
                <w:rFonts w:eastAsia="Times New Roman" w:cs="Times New Roman"/>
                <w:sz w:val="20"/>
                <w:szCs w:val="20"/>
              </w:rPr>
              <w:t>0,0</w:t>
            </w:r>
            <w:bookmarkEnd w:id="210"/>
            <w:bookmarkEnd w:id="211"/>
          </w:p>
        </w:tc>
      </w:tr>
      <w:tr w:rsidR="009B5DE5" w:rsidRPr="009B5DE5" w14:paraId="5781E403" w14:textId="77777777" w:rsidTr="00F829D4">
        <w:trPr>
          <w:trHeight w:val="398"/>
        </w:trPr>
        <w:tc>
          <w:tcPr>
            <w:tcW w:w="8692" w:type="dxa"/>
            <w:gridSpan w:val="2"/>
            <w:tcBorders>
              <w:top w:val="dotted" w:sz="4" w:space="0" w:color="auto"/>
              <w:left w:val="double" w:sz="6" w:space="0" w:color="auto"/>
              <w:bottom w:val="single" w:sz="8" w:space="0" w:color="auto"/>
              <w:right w:val="single" w:sz="4" w:space="0" w:color="000000"/>
            </w:tcBorders>
            <w:shd w:val="clear" w:color="auto" w:fill="auto"/>
            <w:noWrap/>
            <w:vAlign w:val="bottom"/>
            <w:hideMark/>
          </w:tcPr>
          <w:p w14:paraId="4075CCF5" w14:textId="77777777" w:rsidR="009B5DE5" w:rsidRPr="009B5DE5" w:rsidRDefault="009B5DE5" w:rsidP="009B5DE5">
            <w:pPr>
              <w:spacing w:after="0"/>
              <w:jc w:val="center"/>
              <w:rPr>
                <w:rFonts w:ascii="Calibri" w:eastAsia="Times New Roman" w:hAnsi="Calibri" w:cs="Calibri"/>
                <w:color w:val="000000"/>
                <w:sz w:val="22"/>
              </w:rPr>
            </w:pPr>
            <w:r w:rsidRPr="009B5DE5">
              <w:rPr>
                <w:rFonts w:ascii="Calibri" w:eastAsia="Times New Roman" w:hAnsi="Calibri" w:cs="Calibri"/>
                <w:color w:val="000000"/>
                <w:sz w:val="22"/>
              </w:rPr>
              <w:t> </w:t>
            </w:r>
          </w:p>
        </w:tc>
        <w:tc>
          <w:tcPr>
            <w:tcW w:w="1446" w:type="dxa"/>
            <w:tcBorders>
              <w:top w:val="single" w:sz="8" w:space="0" w:color="auto"/>
              <w:left w:val="nil"/>
              <w:bottom w:val="single" w:sz="8" w:space="0" w:color="auto"/>
              <w:right w:val="single" w:sz="4" w:space="0" w:color="auto"/>
            </w:tcBorders>
            <w:shd w:val="clear" w:color="auto" w:fill="auto"/>
            <w:vAlign w:val="center"/>
            <w:hideMark/>
          </w:tcPr>
          <w:p w14:paraId="0244B277" w14:textId="77777777" w:rsidR="009B5DE5" w:rsidRPr="009B5DE5" w:rsidRDefault="009B5DE5" w:rsidP="009B5DE5">
            <w:pPr>
              <w:spacing w:after="0"/>
              <w:jc w:val="center"/>
              <w:rPr>
                <w:rFonts w:eastAsia="Times New Roman" w:cs="Times New Roman"/>
                <w:b/>
                <w:bCs/>
                <w:sz w:val="20"/>
                <w:szCs w:val="20"/>
              </w:rPr>
            </w:pPr>
            <w:r w:rsidRPr="009B5DE5">
              <w:rPr>
                <w:rFonts w:eastAsia="Times New Roman" w:cs="Times New Roman"/>
                <w:b/>
                <w:bCs/>
                <w:sz w:val="20"/>
                <w:szCs w:val="20"/>
              </w:rPr>
              <w:t>Међузбир</w:t>
            </w:r>
          </w:p>
        </w:tc>
        <w:tc>
          <w:tcPr>
            <w:tcW w:w="1355" w:type="dxa"/>
            <w:tcBorders>
              <w:top w:val="single" w:sz="8" w:space="0" w:color="auto"/>
              <w:left w:val="nil"/>
              <w:bottom w:val="single" w:sz="8" w:space="0" w:color="auto"/>
              <w:right w:val="single" w:sz="8" w:space="0" w:color="auto"/>
            </w:tcBorders>
            <w:shd w:val="clear" w:color="auto" w:fill="auto"/>
            <w:noWrap/>
            <w:vAlign w:val="bottom"/>
            <w:hideMark/>
          </w:tcPr>
          <w:p w14:paraId="207F4272" w14:textId="77777777" w:rsidR="009B5DE5" w:rsidRPr="009B5DE5" w:rsidRDefault="009B5DE5" w:rsidP="009B5DE5">
            <w:pPr>
              <w:spacing w:after="0"/>
              <w:jc w:val="left"/>
              <w:rPr>
                <w:rFonts w:eastAsia="Times New Roman" w:cs="Times New Roman"/>
                <w:b/>
                <w:bCs/>
                <w:sz w:val="20"/>
                <w:szCs w:val="20"/>
              </w:rPr>
            </w:pPr>
            <w:r w:rsidRPr="009B5DE5">
              <w:rPr>
                <w:rFonts w:eastAsia="Times New Roman" w:cs="Times New Roman"/>
                <w:b/>
                <w:bCs/>
                <w:sz w:val="20"/>
                <w:szCs w:val="20"/>
              </w:rPr>
              <w:t> </w:t>
            </w:r>
          </w:p>
        </w:tc>
        <w:tc>
          <w:tcPr>
            <w:tcW w:w="1830" w:type="dxa"/>
            <w:tcBorders>
              <w:top w:val="single" w:sz="8" w:space="0" w:color="auto"/>
              <w:left w:val="nil"/>
              <w:bottom w:val="single" w:sz="8" w:space="0" w:color="auto"/>
              <w:right w:val="single" w:sz="4" w:space="0" w:color="auto"/>
            </w:tcBorders>
            <w:shd w:val="clear" w:color="auto" w:fill="auto"/>
            <w:noWrap/>
            <w:vAlign w:val="bottom"/>
            <w:hideMark/>
          </w:tcPr>
          <w:p w14:paraId="4D24C045"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270,3</w:t>
            </w:r>
          </w:p>
        </w:tc>
        <w:tc>
          <w:tcPr>
            <w:tcW w:w="1709" w:type="dxa"/>
            <w:tcBorders>
              <w:top w:val="single" w:sz="8" w:space="0" w:color="auto"/>
              <w:left w:val="nil"/>
              <w:bottom w:val="single" w:sz="8" w:space="0" w:color="auto"/>
              <w:right w:val="double" w:sz="6" w:space="0" w:color="auto"/>
            </w:tcBorders>
            <w:shd w:val="clear" w:color="auto" w:fill="auto"/>
            <w:noWrap/>
            <w:vAlign w:val="bottom"/>
            <w:hideMark/>
          </w:tcPr>
          <w:p w14:paraId="15F0F208"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210,3</w:t>
            </w:r>
          </w:p>
        </w:tc>
      </w:tr>
      <w:tr w:rsidR="009B5DE5" w:rsidRPr="009B5DE5" w14:paraId="02F6AA4A" w14:textId="77777777" w:rsidTr="00F829D4">
        <w:trPr>
          <w:trHeight w:val="362"/>
        </w:trPr>
        <w:tc>
          <w:tcPr>
            <w:tcW w:w="8692" w:type="dxa"/>
            <w:gridSpan w:val="2"/>
            <w:tcBorders>
              <w:top w:val="single" w:sz="8" w:space="0" w:color="auto"/>
              <w:left w:val="double" w:sz="6" w:space="0" w:color="auto"/>
              <w:bottom w:val="double" w:sz="6" w:space="0" w:color="auto"/>
              <w:right w:val="single" w:sz="4" w:space="0" w:color="000000"/>
            </w:tcBorders>
            <w:shd w:val="clear" w:color="auto" w:fill="auto"/>
            <w:noWrap/>
            <w:vAlign w:val="center"/>
            <w:hideMark/>
          </w:tcPr>
          <w:p w14:paraId="2D152F64" w14:textId="77777777" w:rsidR="009B5DE5" w:rsidRPr="009B5DE5" w:rsidRDefault="009B5DE5" w:rsidP="009B5DE5">
            <w:pPr>
              <w:spacing w:after="0"/>
              <w:jc w:val="center"/>
              <w:rPr>
                <w:rFonts w:eastAsia="Times New Roman" w:cs="Times New Roman"/>
                <w:b/>
                <w:bCs/>
                <w:sz w:val="20"/>
                <w:szCs w:val="20"/>
              </w:rPr>
            </w:pPr>
            <w:r w:rsidRPr="009B5DE5">
              <w:rPr>
                <w:rFonts w:eastAsia="Times New Roman" w:cs="Times New Roman"/>
                <w:b/>
                <w:bCs/>
                <w:sz w:val="20"/>
                <w:szCs w:val="20"/>
              </w:rPr>
              <w:t> </w:t>
            </w:r>
          </w:p>
        </w:tc>
        <w:tc>
          <w:tcPr>
            <w:tcW w:w="1446" w:type="dxa"/>
            <w:tcBorders>
              <w:top w:val="nil"/>
              <w:left w:val="single" w:sz="4" w:space="0" w:color="auto"/>
              <w:bottom w:val="double" w:sz="6" w:space="0" w:color="auto"/>
              <w:right w:val="single" w:sz="4" w:space="0" w:color="auto"/>
            </w:tcBorders>
            <w:shd w:val="clear" w:color="auto" w:fill="auto"/>
            <w:noWrap/>
            <w:vAlign w:val="center"/>
            <w:hideMark/>
          </w:tcPr>
          <w:p w14:paraId="20C7E32D" w14:textId="77777777" w:rsidR="009B5DE5" w:rsidRPr="009B5DE5" w:rsidRDefault="009B5DE5" w:rsidP="009B5DE5">
            <w:pPr>
              <w:spacing w:after="0"/>
              <w:jc w:val="center"/>
              <w:rPr>
                <w:rFonts w:eastAsia="Times New Roman" w:cs="Times New Roman"/>
                <w:b/>
                <w:bCs/>
                <w:sz w:val="20"/>
                <w:szCs w:val="20"/>
              </w:rPr>
            </w:pPr>
            <w:r w:rsidRPr="009B5DE5">
              <w:rPr>
                <w:rFonts w:eastAsia="Times New Roman" w:cs="Times New Roman"/>
                <w:b/>
                <w:bCs/>
                <w:sz w:val="20"/>
                <w:szCs w:val="20"/>
              </w:rPr>
              <w:t>Укупно</w:t>
            </w:r>
          </w:p>
        </w:tc>
        <w:tc>
          <w:tcPr>
            <w:tcW w:w="1355" w:type="dxa"/>
            <w:tcBorders>
              <w:top w:val="nil"/>
              <w:left w:val="nil"/>
              <w:bottom w:val="double" w:sz="6" w:space="0" w:color="auto"/>
              <w:right w:val="single" w:sz="8" w:space="0" w:color="auto"/>
            </w:tcBorders>
            <w:shd w:val="clear" w:color="auto" w:fill="auto"/>
            <w:noWrap/>
            <w:vAlign w:val="center"/>
            <w:hideMark/>
          </w:tcPr>
          <w:p w14:paraId="2F62F2A4" w14:textId="77777777" w:rsidR="009B5DE5" w:rsidRPr="009B5DE5" w:rsidRDefault="009B5DE5" w:rsidP="009B5DE5">
            <w:pPr>
              <w:spacing w:after="0"/>
              <w:jc w:val="left"/>
              <w:rPr>
                <w:rFonts w:eastAsia="Times New Roman" w:cs="Times New Roman"/>
                <w:b/>
                <w:bCs/>
                <w:sz w:val="20"/>
                <w:szCs w:val="20"/>
              </w:rPr>
            </w:pPr>
            <w:r w:rsidRPr="009B5DE5">
              <w:rPr>
                <w:rFonts w:eastAsia="Times New Roman" w:cs="Times New Roman"/>
                <w:b/>
                <w:bCs/>
                <w:sz w:val="20"/>
                <w:szCs w:val="20"/>
              </w:rPr>
              <w:t> </w:t>
            </w:r>
          </w:p>
        </w:tc>
        <w:tc>
          <w:tcPr>
            <w:tcW w:w="1830" w:type="dxa"/>
            <w:tcBorders>
              <w:top w:val="nil"/>
              <w:left w:val="nil"/>
              <w:bottom w:val="double" w:sz="6" w:space="0" w:color="auto"/>
              <w:right w:val="single" w:sz="4" w:space="0" w:color="auto"/>
            </w:tcBorders>
            <w:shd w:val="clear" w:color="auto" w:fill="auto"/>
            <w:noWrap/>
            <w:vAlign w:val="center"/>
            <w:hideMark/>
          </w:tcPr>
          <w:p w14:paraId="02034763"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270,3</w:t>
            </w:r>
          </w:p>
        </w:tc>
        <w:tc>
          <w:tcPr>
            <w:tcW w:w="1709" w:type="dxa"/>
            <w:tcBorders>
              <w:top w:val="nil"/>
              <w:left w:val="nil"/>
              <w:bottom w:val="double" w:sz="6" w:space="0" w:color="auto"/>
              <w:right w:val="double" w:sz="6" w:space="0" w:color="auto"/>
            </w:tcBorders>
            <w:shd w:val="clear" w:color="auto" w:fill="auto"/>
            <w:noWrap/>
            <w:vAlign w:val="center"/>
            <w:hideMark/>
          </w:tcPr>
          <w:p w14:paraId="52D65138"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210,3</w:t>
            </w:r>
          </w:p>
        </w:tc>
      </w:tr>
    </w:tbl>
    <w:p w14:paraId="4BEF944D" w14:textId="77777777" w:rsidR="009B5DE5" w:rsidRPr="009B5DE5" w:rsidRDefault="009B5DE5" w:rsidP="009B5DE5">
      <w:pPr>
        <w:spacing w:after="160" w:line="259" w:lineRule="auto"/>
        <w:jc w:val="left"/>
        <w:rPr>
          <w:rFonts w:ascii="Calibri" w:eastAsia="Calibri" w:hAnsi="Calibri" w:cs="Times New Roman"/>
          <w:sz w:val="22"/>
          <w:lang w:val="sr-Cyrl-RS"/>
        </w:rPr>
      </w:pPr>
    </w:p>
    <w:p w14:paraId="41192963" w14:textId="77777777" w:rsidR="009B5DE5" w:rsidRPr="009B5DE5" w:rsidRDefault="009B5DE5" w:rsidP="009B5DE5">
      <w:pPr>
        <w:spacing w:after="160" w:line="259" w:lineRule="auto"/>
        <w:jc w:val="left"/>
        <w:rPr>
          <w:rFonts w:ascii="Calibri" w:eastAsia="Calibri" w:hAnsi="Calibri" w:cs="Times New Roman"/>
          <w:sz w:val="22"/>
          <w:lang w:val="sr-Cyrl-RS"/>
        </w:rPr>
      </w:pPr>
      <w:r w:rsidRPr="009B5DE5">
        <w:rPr>
          <w:rFonts w:eastAsia="Times New Roman" w:cs="Times New Roman"/>
          <w:bCs/>
          <w:sz w:val="22"/>
        </w:rPr>
        <w:lastRenderedPageBreak/>
        <w:t>Табела 7a:  Издавање гаранција усвојено/најављено у складу са Програмом (</w:t>
      </w:r>
      <w:r w:rsidRPr="009B5DE5">
        <w:rPr>
          <w:rFonts w:eastAsia="Times New Roman" w:cs="Times New Roman"/>
          <w:bCs/>
          <w:sz w:val="22"/>
          <w:lang w:val="sr-Cyrl-RS"/>
        </w:rPr>
        <w:t>у % БДП)</w:t>
      </w:r>
    </w:p>
    <w:tbl>
      <w:tblPr>
        <w:tblW w:w="14892" w:type="dxa"/>
        <w:tblLook w:val="04A0" w:firstRow="1" w:lastRow="0" w:firstColumn="1" w:lastColumn="0" w:noHBand="0" w:noVBand="1"/>
      </w:tblPr>
      <w:tblGrid>
        <w:gridCol w:w="1658"/>
        <w:gridCol w:w="9701"/>
        <w:gridCol w:w="1836"/>
        <w:gridCol w:w="1697"/>
      </w:tblGrid>
      <w:tr w:rsidR="009B5DE5" w:rsidRPr="009B5DE5" w14:paraId="4BCEBDC6" w14:textId="77777777" w:rsidTr="00F829D4">
        <w:trPr>
          <w:trHeight w:val="1665"/>
          <w:tblHeader/>
        </w:trPr>
        <w:tc>
          <w:tcPr>
            <w:tcW w:w="1658" w:type="dxa"/>
            <w:tcBorders>
              <w:top w:val="double" w:sz="6" w:space="0" w:color="auto"/>
              <w:left w:val="double" w:sz="6" w:space="0" w:color="auto"/>
              <w:bottom w:val="single" w:sz="8" w:space="0" w:color="auto"/>
              <w:right w:val="nil"/>
            </w:tcBorders>
            <w:shd w:val="clear" w:color="000000" w:fill="FFFFFF"/>
            <w:noWrap/>
            <w:vAlign w:val="bottom"/>
            <w:hideMark/>
          </w:tcPr>
          <w:p w14:paraId="7D559C85"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 </w:t>
            </w:r>
          </w:p>
        </w:tc>
        <w:tc>
          <w:tcPr>
            <w:tcW w:w="9701" w:type="dxa"/>
            <w:tcBorders>
              <w:top w:val="double" w:sz="6" w:space="0" w:color="auto"/>
              <w:left w:val="nil"/>
              <w:bottom w:val="single" w:sz="8" w:space="0" w:color="auto"/>
              <w:right w:val="single" w:sz="4" w:space="0" w:color="auto"/>
            </w:tcBorders>
            <w:shd w:val="clear" w:color="auto" w:fill="auto"/>
            <w:noWrap/>
            <w:vAlign w:val="center"/>
            <w:hideMark/>
          </w:tcPr>
          <w:p w14:paraId="58628730"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Мере</w:t>
            </w:r>
          </w:p>
        </w:tc>
        <w:tc>
          <w:tcPr>
            <w:tcW w:w="1836" w:type="dxa"/>
            <w:tcBorders>
              <w:top w:val="double" w:sz="6" w:space="0" w:color="auto"/>
              <w:left w:val="nil"/>
              <w:bottom w:val="single" w:sz="8" w:space="0" w:color="auto"/>
              <w:right w:val="single" w:sz="4" w:space="0" w:color="auto"/>
            </w:tcBorders>
            <w:shd w:val="clear" w:color="auto" w:fill="auto"/>
            <w:vAlign w:val="center"/>
            <w:hideMark/>
          </w:tcPr>
          <w:p w14:paraId="56E9136E" w14:textId="77777777" w:rsidR="009B5DE5" w:rsidRPr="009B5DE5" w:rsidRDefault="009B5DE5" w:rsidP="009B5DE5">
            <w:pPr>
              <w:spacing w:after="0"/>
              <w:jc w:val="center"/>
              <w:rPr>
                <w:rFonts w:eastAsia="Times New Roman" w:cs="Times New Roman"/>
                <w:b/>
                <w:bCs/>
                <w:sz w:val="20"/>
                <w:szCs w:val="20"/>
              </w:rPr>
            </w:pPr>
            <w:r w:rsidRPr="009B5DE5">
              <w:rPr>
                <w:rFonts w:eastAsia="Times New Roman" w:cs="Times New Roman"/>
                <w:b/>
                <w:bCs/>
                <w:sz w:val="20"/>
                <w:szCs w:val="20"/>
              </w:rPr>
              <w:t>Максимални износ гаранције</w:t>
            </w:r>
            <w:r w:rsidRPr="009B5DE5">
              <w:rPr>
                <w:rFonts w:eastAsia="Times New Roman" w:cs="Times New Roman"/>
                <w:b/>
                <w:bCs/>
                <w:sz w:val="20"/>
                <w:szCs w:val="20"/>
                <w:vertAlign w:val="superscript"/>
              </w:rPr>
              <w:t xml:space="preserve">1 </w:t>
            </w:r>
            <w:r w:rsidRPr="009B5DE5">
              <w:rPr>
                <w:rFonts w:eastAsia="Times New Roman" w:cs="Times New Roman"/>
                <w:b/>
                <w:bCs/>
                <w:sz w:val="20"/>
                <w:szCs w:val="20"/>
              </w:rPr>
              <w:t>(% БДП)</w:t>
            </w:r>
          </w:p>
        </w:tc>
        <w:tc>
          <w:tcPr>
            <w:tcW w:w="1697" w:type="dxa"/>
            <w:tcBorders>
              <w:top w:val="double" w:sz="6" w:space="0" w:color="auto"/>
              <w:left w:val="single" w:sz="4" w:space="0" w:color="auto"/>
              <w:bottom w:val="single" w:sz="8" w:space="0" w:color="auto"/>
              <w:right w:val="double" w:sz="6" w:space="0" w:color="auto"/>
            </w:tcBorders>
            <w:shd w:val="clear" w:color="auto" w:fill="auto"/>
            <w:vAlign w:val="center"/>
            <w:hideMark/>
          </w:tcPr>
          <w:p w14:paraId="469B3861" w14:textId="77777777" w:rsidR="009B5DE5" w:rsidRPr="009B5DE5" w:rsidRDefault="009B5DE5" w:rsidP="009B5DE5">
            <w:pPr>
              <w:spacing w:after="0"/>
              <w:jc w:val="center"/>
              <w:rPr>
                <w:rFonts w:eastAsia="Times New Roman" w:cs="Times New Roman"/>
                <w:b/>
                <w:bCs/>
                <w:sz w:val="20"/>
                <w:szCs w:val="20"/>
              </w:rPr>
            </w:pPr>
            <w:r w:rsidRPr="009B5DE5">
              <w:rPr>
                <w:rFonts w:eastAsia="Times New Roman" w:cs="Times New Roman"/>
                <w:b/>
                <w:bCs/>
                <w:sz w:val="20"/>
                <w:szCs w:val="20"/>
              </w:rPr>
              <w:t>Процењени активирани износ (% БДП)</w:t>
            </w:r>
          </w:p>
        </w:tc>
      </w:tr>
      <w:tr w:rsidR="009B5DE5" w:rsidRPr="009B5DE5" w14:paraId="471B3F3A" w14:textId="77777777" w:rsidTr="00F829D4">
        <w:trPr>
          <w:trHeight w:val="315"/>
        </w:trPr>
        <w:tc>
          <w:tcPr>
            <w:tcW w:w="1658" w:type="dxa"/>
            <w:tcBorders>
              <w:top w:val="single" w:sz="8" w:space="0" w:color="auto"/>
              <w:left w:val="double" w:sz="6" w:space="0" w:color="auto"/>
              <w:bottom w:val="single" w:sz="8" w:space="0" w:color="auto"/>
              <w:right w:val="nil"/>
            </w:tcBorders>
            <w:shd w:val="clear" w:color="000000" w:fill="FFFFFF"/>
            <w:noWrap/>
            <w:vAlign w:val="bottom"/>
            <w:hideMark/>
          </w:tcPr>
          <w:p w14:paraId="55533B48"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 </w:t>
            </w:r>
          </w:p>
        </w:tc>
        <w:tc>
          <w:tcPr>
            <w:tcW w:w="9701" w:type="dxa"/>
            <w:tcBorders>
              <w:top w:val="nil"/>
              <w:left w:val="nil"/>
              <w:bottom w:val="single" w:sz="8" w:space="0" w:color="auto"/>
              <w:right w:val="single" w:sz="4" w:space="0" w:color="auto"/>
            </w:tcBorders>
            <w:shd w:val="clear" w:color="auto" w:fill="auto"/>
            <w:noWrap/>
            <w:vAlign w:val="center"/>
            <w:hideMark/>
          </w:tcPr>
          <w:p w14:paraId="751617A3"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 </w:t>
            </w:r>
          </w:p>
        </w:tc>
        <w:tc>
          <w:tcPr>
            <w:tcW w:w="1836" w:type="dxa"/>
            <w:tcBorders>
              <w:top w:val="nil"/>
              <w:left w:val="nil"/>
              <w:bottom w:val="single" w:sz="8" w:space="0" w:color="auto"/>
              <w:right w:val="single" w:sz="4" w:space="0" w:color="auto"/>
            </w:tcBorders>
            <w:shd w:val="clear" w:color="auto" w:fill="auto"/>
            <w:vAlign w:val="center"/>
            <w:hideMark/>
          </w:tcPr>
          <w:p w14:paraId="6B95CA4A"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2024</w:t>
            </w:r>
          </w:p>
        </w:tc>
        <w:tc>
          <w:tcPr>
            <w:tcW w:w="1697" w:type="dxa"/>
            <w:tcBorders>
              <w:top w:val="nil"/>
              <w:left w:val="nil"/>
              <w:bottom w:val="single" w:sz="8" w:space="0" w:color="auto"/>
              <w:right w:val="double" w:sz="6" w:space="0" w:color="auto"/>
            </w:tcBorders>
            <w:shd w:val="clear" w:color="auto" w:fill="auto"/>
            <w:vAlign w:val="center"/>
            <w:hideMark/>
          </w:tcPr>
          <w:p w14:paraId="6C7E5F4F"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2024</w:t>
            </w:r>
          </w:p>
        </w:tc>
      </w:tr>
      <w:tr w:rsidR="009B5DE5" w:rsidRPr="009B5DE5" w14:paraId="3EAE7451" w14:textId="77777777" w:rsidTr="00F829D4">
        <w:trPr>
          <w:trHeight w:val="334"/>
        </w:trPr>
        <w:tc>
          <w:tcPr>
            <w:tcW w:w="1658" w:type="dxa"/>
            <w:tcBorders>
              <w:top w:val="single" w:sz="8" w:space="0" w:color="auto"/>
              <w:left w:val="double" w:sz="6" w:space="0" w:color="auto"/>
              <w:bottom w:val="nil"/>
              <w:right w:val="single" w:sz="4" w:space="0" w:color="auto"/>
            </w:tcBorders>
            <w:shd w:val="clear" w:color="000000" w:fill="FFFFFF"/>
            <w:vAlign w:val="center"/>
            <w:hideMark/>
          </w:tcPr>
          <w:p w14:paraId="7B5572B4" w14:textId="77777777" w:rsidR="009B5DE5" w:rsidRPr="009B5DE5" w:rsidRDefault="00F829D4" w:rsidP="00F829D4">
            <w:pPr>
              <w:spacing w:after="0"/>
              <w:jc w:val="left"/>
              <w:rPr>
                <w:rFonts w:eastAsia="Times New Roman" w:cs="Times New Roman"/>
                <w:szCs w:val="24"/>
              </w:rPr>
            </w:pPr>
            <w:r w:rsidRPr="00F829D4">
              <w:rPr>
                <w:rFonts w:eastAsia="Times New Roman" w:cs="Times New Roman"/>
                <w:szCs w:val="24"/>
              </w:rPr>
              <w:t>као одговор на COVID-19</w:t>
            </w:r>
          </w:p>
        </w:tc>
        <w:tc>
          <w:tcPr>
            <w:tcW w:w="9701" w:type="dxa"/>
            <w:tcBorders>
              <w:top w:val="single" w:sz="8" w:space="0" w:color="auto"/>
              <w:left w:val="nil"/>
              <w:bottom w:val="single" w:sz="8" w:space="0" w:color="auto"/>
              <w:right w:val="nil"/>
            </w:tcBorders>
            <w:shd w:val="clear" w:color="auto" w:fill="auto"/>
            <w:vAlign w:val="center"/>
            <w:hideMark/>
          </w:tcPr>
          <w:p w14:paraId="181E4D0B"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Међузбир</w:t>
            </w:r>
          </w:p>
        </w:tc>
        <w:tc>
          <w:tcPr>
            <w:tcW w:w="1836" w:type="dxa"/>
            <w:tcBorders>
              <w:top w:val="single" w:sz="8" w:space="0" w:color="auto"/>
              <w:left w:val="nil"/>
              <w:bottom w:val="single" w:sz="8" w:space="0" w:color="auto"/>
              <w:right w:val="single" w:sz="4" w:space="0" w:color="auto"/>
            </w:tcBorders>
            <w:shd w:val="clear" w:color="auto" w:fill="auto"/>
            <w:noWrap/>
            <w:vAlign w:val="bottom"/>
            <w:hideMark/>
          </w:tcPr>
          <w:p w14:paraId="5D7E56F7"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0,0</w:t>
            </w:r>
          </w:p>
        </w:tc>
        <w:tc>
          <w:tcPr>
            <w:tcW w:w="1697" w:type="dxa"/>
            <w:tcBorders>
              <w:top w:val="single" w:sz="8" w:space="0" w:color="auto"/>
              <w:left w:val="nil"/>
              <w:bottom w:val="single" w:sz="8" w:space="0" w:color="auto"/>
              <w:right w:val="double" w:sz="6" w:space="0" w:color="auto"/>
            </w:tcBorders>
            <w:shd w:val="clear" w:color="auto" w:fill="auto"/>
            <w:noWrap/>
            <w:vAlign w:val="bottom"/>
            <w:hideMark/>
          </w:tcPr>
          <w:p w14:paraId="52DB35DE"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0,0</w:t>
            </w:r>
          </w:p>
        </w:tc>
      </w:tr>
      <w:tr w:rsidR="009B5DE5" w:rsidRPr="009B5DE5" w14:paraId="35ECCFCB" w14:textId="77777777" w:rsidTr="00F829D4">
        <w:trPr>
          <w:trHeight w:val="300"/>
        </w:trPr>
        <w:tc>
          <w:tcPr>
            <w:tcW w:w="1658" w:type="dxa"/>
            <w:tcBorders>
              <w:top w:val="nil"/>
              <w:left w:val="double" w:sz="6" w:space="0" w:color="auto"/>
              <w:bottom w:val="nil"/>
              <w:right w:val="single" w:sz="4" w:space="0" w:color="auto"/>
            </w:tcBorders>
            <w:shd w:val="clear" w:color="000000" w:fill="FFFFFF"/>
            <w:vAlign w:val="center"/>
            <w:hideMark/>
          </w:tcPr>
          <w:p w14:paraId="45B12C21"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остало</w:t>
            </w:r>
          </w:p>
        </w:tc>
        <w:tc>
          <w:tcPr>
            <w:tcW w:w="9701" w:type="dxa"/>
            <w:tcBorders>
              <w:top w:val="dotted" w:sz="4" w:space="0" w:color="auto"/>
              <w:left w:val="single" w:sz="4" w:space="0" w:color="auto"/>
              <w:bottom w:val="dotted" w:sz="4" w:space="0" w:color="auto"/>
              <w:right w:val="single" w:sz="4" w:space="0" w:color="auto"/>
            </w:tcBorders>
            <w:shd w:val="clear" w:color="auto" w:fill="auto"/>
            <w:noWrap/>
            <w:vAlign w:val="bottom"/>
            <w:hideMark/>
          </w:tcPr>
          <w:p w14:paraId="38F6CCA0"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Србијагас</w:t>
            </w:r>
          </w:p>
        </w:tc>
        <w:tc>
          <w:tcPr>
            <w:tcW w:w="1836" w:type="dxa"/>
            <w:tcBorders>
              <w:top w:val="dotted" w:sz="4" w:space="0" w:color="auto"/>
              <w:left w:val="nil"/>
              <w:bottom w:val="dotted" w:sz="4" w:space="0" w:color="auto"/>
              <w:right w:val="single" w:sz="4" w:space="0" w:color="auto"/>
            </w:tcBorders>
            <w:shd w:val="clear" w:color="auto" w:fill="auto"/>
            <w:noWrap/>
            <w:vAlign w:val="center"/>
            <w:hideMark/>
          </w:tcPr>
          <w:p w14:paraId="6F14D96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0,7</w:t>
            </w:r>
          </w:p>
        </w:tc>
        <w:tc>
          <w:tcPr>
            <w:tcW w:w="1697" w:type="dxa"/>
            <w:tcBorders>
              <w:top w:val="dotted" w:sz="4" w:space="0" w:color="auto"/>
              <w:left w:val="nil"/>
              <w:bottom w:val="dotted" w:sz="4" w:space="0" w:color="auto"/>
              <w:right w:val="double" w:sz="6" w:space="0" w:color="auto"/>
            </w:tcBorders>
            <w:shd w:val="clear" w:color="auto" w:fill="auto"/>
            <w:noWrap/>
            <w:vAlign w:val="bottom"/>
            <w:hideMark/>
          </w:tcPr>
          <w:p w14:paraId="0DE56F55"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0,7</w:t>
            </w:r>
          </w:p>
        </w:tc>
      </w:tr>
      <w:tr w:rsidR="009B5DE5" w:rsidRPr="009B5DE5" w14:paraId="7E2D1DB8" w14:textId="77777777" w:rsidTr="00F829D4">
        <w:trPr>
          <w:trHeight w:val="315"/>
        </w:trPr>
        <w:tc>
          <w:tcPr>
            <w:tcW w:w="1658" w:type="dxa"/>
            <w:tcBorders>
              <w:top w:val="nil"/>
              <w:left w:val="double" w:sz="6" w:space="0" w:color="auto"/>
              <w:bottom w:val="nil"/>
              <w:right w:val="single" w:sz="4" w:space="0" w:color="auto"/>
            </w:tcBorders>
            <w:shd w:val="clear" w:color="000000" w:fill="FFFFFF"/>
            <w:vAlign w:val="center"/>
            <w:hideMark/>
          </w:tcPr>
          <w:p w14:paraId="58EC7643"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 </w:t>
            </w:r>
          </w:p>
        </w:tc>
        <w:tc>
          <w:tcPr>
            <w:tcW w:w="9701" w:type="dxa"/>
            <w:tcBorders>
              <w:top w:val="nil"/>
              <w:left w:val="nil"/>
              <w:bottom w:val="dotted" w:sz="4" w:space="0" w:color="auto"/>
              <w:right w:val="single" w:sz="4" w:space="0" w:color="auto"/>
            </w:tcBorders>
            <w:shd w:val="clear" w:color="auto" w:fill="auto"/>
            <w:noWrap/>
            <w:vAlign w:val="bottom"/>
            <w:hideMark/>
          </w:tcPr>
          <w:p w14:paraId="0281C82D"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Електопривреда Србије</w:t>
            </w:r>
          </w:p>
        </w:tc>
        <w:tc>
          <w:tcPr>
            <w:tcW w:w="1836" w:type="dxa"/>
            <w:tcBorders>
              <w:top w:val="nil"/>
              <w:left w:val="nil"/>
              <w:bottom w:val="dotted" w:sz="4" w:space="0" w:color="auto"/>
              <w:right w:val="single" w:sz="4" w:space="0" w:color="auto"/>
            </w:tcBorders>
            <w:shd w:val="clear" w:color="auto" w:fill="auto"/>
            <w:noWrap/>
            <w:vAlign w:val="center"/>
            <w:hideMark/>
          </w:tcPr>
          <w:p w14:paraId="47E92609"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0,9</w:t>
            </w:r>
          </w:p>
        </w:tc>
        <w:tc>
          <w:tcPr>
            <w:tcW w:w="1697" w:type="dxa"/>
            <w:tcBorders>
              <w:top w:val="nil"/>
              <w:left w:val="nil"/>
              <w:bottom w:val="dotted" w:sz="4" w:space="0" w:color="auto"/>
              <w:right w:val="double" w:sz="6" w:space="0" w:color="auto"/>
            </w:tcBorders>
            <w:shd w:val="clear" w:color="auto" w:fill="auto"/>
            <w:noWrap/>
            <w:vAlign w:val="bottom"/>
            <w:hideMark/>
          </w:tcPr>
          <w:p w14:paraId="5665103F"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0,8</w:t>
            </w:r>
          </w:p>
        </w:tc>
      </w:tr>
      <w:tr w:rsidR="009B5DE5" w:rsidRPr="009B5DE5" w14:paraId="07BD76DF" w14:textId="77777777" w:rsidTr="00F829D4">
        <w:trPr>
          <w:trHeight w:val="315"/>
        </w:trPr>
        <w:tc>
          <w:tcPr>
            <w:tcW w:w="1658" w:type="dxa"/>
            <w:tcBorders>
              <w:top w:val="nil"/>
              <w:left w:val="double" w:sz="6" w:space="0" w:color="auto"/>
              <w:bottom w:val="nil"/>
              <w:right w:val="single" w:sz="4" w:space="0" w:color="auto"/>
            </w:tcBorders>
            <w:shd w:val="clear" w:color="000000" w:fill="FFFFFF"/>
            <w:vAlign w:val="center"/>
            <w:hideMark/>
          </w:tcPr>
          <w:p w14:paraId="23DA1E12"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 </w:t>
            </w:r>
          </w:p>
        </w:tc>
        <w:tc>
          <w:tcPr>
            <w:tcW w:w="9701" w:type="dxa"/>
            <w:tcBorders>
              <w:top w:val="nil"/>
              <w:left w:val="nil"/>
              <w:bottom w:val="dotted" w:sz="4" w:space="0" w:color="auto"/>
              <w:right w:val="single" w:sz="4" w:space="0" w:color="auto"/>
            </w:tcBorders>
            <w:shd w:val="clear" w:color="auto" w:fill="auto"/>
            <w:noWrap/>
            <w:vAlign w:val="bottom"/>
            <w:hideMark/>
          </w:tcPr>
          <w:p w14:paraId="01C066B2"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Путеви Србије</w:t>
            </w:r>
          </w:p>
        </w:tc>
        <w:tc>
          <w:tcPr>
            <w:tcW w:w="1836" w:type="dxa"/>
            <w:tcBorders>
              <w:top w:val="nil"/>
              <w:left w:val="nil"/>
              <w:bottom w:val="dotted" w:sz="4" w:space="0" w:color="auto"/>
              <w:right w:val="single" w:sz="4" w:space="0" w:color="auto"/>
            </w:tcBorders>
            <w:shd w:val="clear" w:color="auto" w:fill="auto"/>
            <w:noWrap/>
            <w:vAlign w:val="center"/>
            <w:hideMark/>
          </w:tcPr>
          <w:p w14:paraId="4D305916"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0,2</w:t>
            </w:r>
          </w:p>
        </w:tc>
        <w:tc>
          <w:tcPr>
            <w:tcW w:w="1697" w:type="dxa"/>
            <w:tcBorders>
              <w:top w:val="nil"/>
              <w:left w:val="nil"/>
              <w:bottom w:val="dotted" w:sz="4" w:space="0" w:color="auto"/>
              <w:right w:val="double" w:sz="6" w:space="0" w:color="auto"/>
            </w:tcBorders>
            <w:shd w:val="clear" w:color="auto" w:fill="auto"/>
            <w:noWrap/>
            <w:vAlign w:val="bottom"/>
            <w:hideMark/>
          </w:tcPr>
          <w:p w14:paraId="52D6711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0,2</w:t>
            </w:r>
          </w:p>
        </w:tc>
      </w:tr>
      <w:tr w:rsidR="009B5DE5" w:rsidRPr="009B5DE5" w14:paraId="6553BF3E" w14:textId="77777777" w:rsidTr="00F829D4">
        <w:trPr>
          <w:trHeight w:val="315"/>
        </w:trPr>
        <w:tc>
          <w:tcPr>
            <w:tcW w:w="1658" w:type="dxa"/>
            <w:tcBorders>
              <w:top w:val="nil"/>
              <w:left w:val="double" w:sz="6" w:space="0" w:color="auto"/>
              <w:bottom w:val="nil"/>
              <w:right w:val="single" w:sz="4" w:space="0" w:color="auto"/>
            </w:tcBorders>
            <w:shd w:val="clear" w:color="000000" w:fill="FFFFFF"/>
            <w:vAlign w:val="center"/>
            <w:hideMark/>
          </w:tcPr>
          <w:p w14:paraId="0A85F1A0"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 </w:t>
            </w:r>
          </w:p>
        </w:tc>
        <w:tc>
          <w:tcPr>
            <w:tcW w:w="9701" w:type="dxa"/>
            <w:tcBorders>
              <w:top w:val="nil"/>
              <w:left w:val="nil"/>
              <w:bottom w:val="dotted" w:sz="4" w:space="0" w:color="auto"/>
              <w:right w:val="single" w:sz="4" w:space="0" w:color="auto"/>
            </w:tcBorders>
            <w:shd w:val="clear" w:color="auto" w:fill="auto"/>
            <w:noWrap/>
            <w:vAlign w:val="bottom"/>
            <w:hideMark/>
          </w:tcPr>
          <w:p w14:paraId="4F934BD5" w14:textId="7F59D525" w:rsidR="009B5DE5" w:rsidRPr="009B5DE5" w:rsidRDefault="0022336F" w:rsidP="009B5DE5">
            <w:pPr>
              <w:spacing w:after="0"/>
              <w:jc w:val="left"/>
              <w:rPr>
                <w:rFonts w:eastAsia="Times New Roman" w:cs="Times New Roman"/>
                <w:szCs w:val="24"/>
              </w:rPr>
            </w:pPr>
            <w:r>
              <w:rPr>
                <w:rFonts w:eastAsia="Times New Roman" w:cs="Times New Roman"/>
                <w:szCs w:val="24"/>
                <w:lang w:val="sr-Cyrl-RS"/>
              </w:rPr>
              <w:t>Л</w:t>
            </w:r>
            <w:r w:rsidR="009B5DE5" w:rsidRPr="009B5DE5">
              <w:rPr>
                <w:rFonts w:eastAsia="Times New Roman" w:cs="Times New Roman"/>
                <w:szCs w:val="24"/>
              </w:rPr>
              <w:t>окалне самоуправе</w:t>
            </w:r>
          </w:p>
        </w:tc>
        <w:tc>
          <w:tcPr>
            <w:tcW w:w="1836" w:type="dxa"/>
            <w:tcBorders>
              <w:top w:val="nil"/>
              <w:left w:val="nil"/>
              <w:bottom w:val="dotted" w:sz="4" w:space="0" w:color="auto"/>
              <w:right w:val="single" w:sz="4" w:space="0" w:color="auto"/>
            </w:tcBorders>
            <w:shd w:val="clear" w:color="auto" w:fill="auto"/>
            <w:noWrap/>
            <w:vAlign w:val="center"/>
            <w:hideMark/>
          </w:tcPr>
          <w:p w14:paraId="60D119DF"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0,2</w:t>
            </w:r>
          </w:p>
        </w:tc>
        <w:tc>
          <w:tcPr>
            <w:tcW w:w="1697" w:type="dxa"/>
            <w:tcBorders>
              <w:top w:val="nil"/>
              <w:left w:val="nil"/>
              <w:bottom w:val="dotted" w:sz="4" w:space="0" w:color="auto"/>
              <w:right w:val="double" w:sz="6" w:space="0" w:color="auto"/>
            </w:tcBorders>
            <w:shd w:val="clear" w:color="auto" w:fill="auto"/>
            <w:noWrap/>
            <w:vAlign w:val="bottom"/>
            <w:hideMark/>
          </w:tcPr>
          <w:p w14:paraId="50DA64A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0,2</w:t>
            </w:r>
          </w:p>
        </w:tc>
      </w:tr>
      <w:tr w:rsidR="009B5DE5" w:rsidRPr="009B5DE5" w14:paraId="1C1504C7" w14:textId="77777777" w:rsidTr="00F829D4">
        <w:trPr>
          <w:trHeight w:val="315"/>
        </w:trPr>
        <w:tc>
          <w:tcPr>
            <w:tcW w:w="1658" w:type="dxa"/>
            <w:tcBorders>
              <w:top w:val="nil"/>
              <w:left w:val="double" w:sz="6" w:space="0" w:color="auto"/>
              <w:bottom w:val="nil"/>
              <w:right w:val="single" w:sz="4" w:space="0" w:color="auto"/>
            </w:tcBorders>
            <w:shd w:val="clear" w:color="000000" w:fill="FFFFFF"/>
            <w:vAlign w:val="center"/>
            <w:hideMark/>
          </w:tcPr>
          <w:p w14:paraId="58DC9B4B"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 </w:t>
            </w:r>
          </w:p>
        </w:tc>
        <w:tc>
          <w:tcPr>
            <w:tcW w:w="9701" w:type="dxa"/>
            <w:tcBorders>
              <w:top w:val="nil"/>
              <w:left w:val="nil"/>
              <w:bottom w:val="dotted" w:sz="4" w:space="0" w:color="auto"/>
              <w:right w:val="single" w:sz="4" w:space="0" w:color="auto"/>
            </w:tcBorders>
            <w:shd w:val="clear" w:color="auto" w:fill="auto"/>
            <w:noWrap/>
            <w:vAlign w:val="bottom"/>
            <w:hideMark/>
          </w:tcPr>
          <w:p w14:paraId="223E6A0F"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Србијавоз</w:t>
            </w:r>
          </w:p>
        </w:tc>
        <w:tc>
          <w:tcPr>
            <w:tcW w:w="1836" w:type="dxa"/>
            <w:tcBorders>
              <w:top w:val="nil"/>
              <w:left w:val="nil"/>
              <w:bottom w:val="dotted" w:sz="4" w:space="0" w:color="auto"/>
              <w:right w:val="single" w:sz="4" w:space="0" w:color="auto"/>
            </w:tcBorders>
            <w:shd w:val="clear" w:color="auto" w:fill="auto"/>
            <w:noWrap/>
            <w:vAlign w:val="center"/>
            <w:hideMark/>
          </w:tcPr>
          <w:p w14:paraId="4F7784CF"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0,2</w:t>
            </w:r>
          </w:p>
        </w:tc>
        <w:tc>
          <w:tcPr>
            <w:tcW w:w="1697" w:type="dxa"/>
            <w:tcBorders>
              <w:top w:val="nil"/>
              <w:left w:val="nil"/>
              <w:bottom w:val="dotted" w:sz="4" w:space="0" w:color="auto"/>
              <w:right w:val="double" w:sz="6" w:space="0" w:color="auto"/>
            </w:tcBorders>
            <w:shd w:val="clear" w:color="auto" w:fill="auto"/>
            <w:noWrap/>
            <w:vAlign w:val="bottom"/>
            <w:hideMark/>
          </w:tcPr>
          <w:p w14:paraId="372EDE5A"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0,1</w:t>
            </w:r>
          </w:p>
        </w:tc>
      </w:tr>
      <w:tr w:rsidR="009B5DE5" w:rsidRPr="009B5DE5" w14:paraId="3E938570" w14:textId="77777777" w:rsidTr="00F829D4">
        <w:trPr>
          <w:trHeight w:val="315"/>
        </w:trPr>
        <w:tc>
          <w:tcPr>
            <w:tcW w:w="1658" w:type="dxa"/>
            <w:tcBorders>
              <w:top w:val="nil"/>
              <w:left w:val="double" w:sz="6" w:space="0" w:color="auto"/>
              <w:bottom w:val="nil"/>
              <w:right w:val="single" w:sz="4" w:space="0" w:color="auto"/>
            </w:tcBorders>
            <w:shd w:val="clear" w:color="000000" w:fill="FFFFFF"/>
            <w:vAlign w:val="center"/>
            <w:hideMark/>
          </w:tcPr>
          <w:p w14:paraId="6D651737"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 </w:t>
            </w:r>
          </w:p>
        </w:tc>
        <w:tc>
          <w:tcPr>
            <w:tcW w:w="9701" w:type="dxa"/>
            <w:tcBorders>
              <w:top w:val="nil"/>
              <w:left w:val="nil"/>
              <w:bottom w:val="dotted" w:sz="4" w:space="0" w:color="auto"/>
              <w:right w:val="single" w:sz="4" w:space="0" w:color="auto"/>
            </w:tcBorders>
            <w:shd w:val="clear" w:color="auto" w:fill="auto"/>
            <w:noWrap/>
            <w:vAlign w:val="bottom"/>
            <w:hideMark/>
          </w:tcPr>
          <w:p w14:paraId="5A387969"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Железнице Србије</w:t>
            </w:r>
          </w:p>
        </w:tc>
        <w:tc>
          <w:tcPr>
            <w:tcW w:w="1836" w:type="dxa"/>
            <w:tcBorders>
              <w:top w:val="nil"/>
              <w:left w:val="nil"/>
              <w:bottom w:val="dotted" w:sz="4" w:space="0" w:color="auto"/>
              <w:right w:val="single" w:sz="4" w:space="0" w:color="auto"/>
            </w:tcBorders>
            <w:shd w:val="clear" w:color="auto" w:fill="auto"/>
            <w:noWrap/>
            <w:vAlign w:val="center"/>
            <w:hideMark/>
          </w:tcPr>
          <w:p w14:paraId="4396A8A8"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0,1</w:t>
            </w:r>
          </w:p>
        </w:tc>
        <w:tc>
          <w:tcPr>
            <w:tcW w:w="1697" w:type="dxa"/>
            <w:tcBorders>
              <w:top w:val="nil"/>
              <w:left w:val="nil"/>
              <w:bottom w:val="dotted" w:sz="4" w:space="0" w:color="auto"/>
              <w:right w:val="double" w:sz="6" w:space="0" w:color="auto"/>
            </w:tcBorders>
            <w:shd w:val="clear" w:color="auto" w:fill="auto"/>
            <w:noWrap/>
            <w:vAlign w:val="bottom"/>
            <w:hideMark/>
          </w:tcPr>
          <w:p w14:paraId="05D10402"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0,1</w:t>
            </w:r>
          </w:p>
        </w:tc>
      </w:tr>
      <w:tr w:rsidR="009B5DE5" w:rsidRPr="009B5DE5" w14:paraId="506CD5B3" w14:textId="77777777" w:rsidTr="00F829D4">
        <w:trPr>
          <w:trHeight w:val="315"/>
        </w:trPr>
        <w:tc>
          <w:tcPr>
            <w:tcW w:w="1658" w:type="dxa"/>
            <w:tcBorders>
              <w:top w:val="nil"/>
              <w:left w:val="double" w:sz="6" w:space="0" w:color="auto"/>
              <w:bottom w:val="nil"/>
              <w:right w:val="single" w:sz="4" w:space="0" w:color="auto"/>
            </w:tcBorders>
            <w:shd w:val="clear" w:color="000000" w:fill="FFFFFF"/>
            <w:vAlign w:val="center"/>
            <w:hideMark/>
          </w:tcPr>
          <w:p w14:paraId="3C72E2D1"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 </w:t>
            </w:r>
          </w:p>
        </w:tc>
        <w:tc>
          <w:tcPr>
            <w:tcW w:w="9701" w:type="dxa"/>
            <w:tcBorders>
              <w:top w:val="nil"/>
              <w:left w:val="nil"/>
              <w:bottom w:val="dotted" w:sz="4" w:space="0" w:color="auto"/>
              <w:right w:val="single" w:sz="4" w:space="0" w:color="auto"/>
            </w:tcBorders>
            <w:shd w:val="clear" w:color="auto" w:fill="auto"/>
            <w:noWrap/>
            <w:vAlign w:val="bottom"/>
            <w:hideMark/>
          </w:tcPr>
          <w:p w14:paraId="1E74508F"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Инфраструктура железница Србије</w:t>
            </w:r>
          </w:p>
        </w:tc>
        <w:tc>
          <w:tcPr>
            <w:tcW w:w="1836" w:type="dxa"/>
            <w:tcBorders>
              <w:top w:val="nil"/>
              <w:left w:val="nil"/>
              <w:bottom w:val="dotted" w:sz="4" w:space="0" w:color="auto"/>
              <w:right w:val="single" w:sz="4" w:space="0" w:color="auto"/>
            </w:tcBorders>
            <w:shd w:val="clear" w:color="auto" w:fill="auto"/>
            <w:noWrap/>
            <w:vAlign w:val="center"/>
            <w:hideMark/>
          </w:tcPr>
          <w:p w14:paraId="6F432F40"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0,0</w:t>
            </w:r>
          </w:p>
        </w:tc>
        <w:tc>
          <w:tcPr>
            <w:tcW w:w="1697" w:type="dxa"/>
            <w:tcBorders>
              <w:top w:val="nil"/>
              <w:left w:val="nil"/>
              <w:bottom w:val="dotted" w:sz="4" w:space="0" w:color="auto"/>
              <w:right w:val="double" w:sz="6" w:space="0" w:color="auto"/>
            </w:tcBorders>
            <w:shd w:val="clear" w:color="auto" w:fill="auto"/>
            <w:noWrap/>
            <w:vAlign w:val="bottom"/>
            <w:hideMark/>
          </w:tcPr>
          <w:p w14:paraId="7F789804" w14:textId="77777777" w:rsidR="009B5DE5" w:rsidRPr="009B5DE5" w:rsidRDefault="009B5DE5" w:rsidP="009B5DE5">
            <w:pPr>
              <w:spacing w:after="0"/>
              <w:jc w:val="center"/>
              <w:rPr>
                <w:rFonts w:eastAsia="Times New Roman" w:cs="Times New Roman"/>
                <w:szCs w:val="24"/>
              </w:rPr>
            </w:pPr>
            <w:r w:rsidRPr="009B5DE5">
              <w:rPr>
                <w:rFonts w:eastAsia="Times New Roman" w:cs="Times New Roman"/>
                <w:szCs w:val="24"/>
              </w:rPr>
              <w:t>0,0</w:t>
            </w:r>
          </w:p>
        </w:tc>
      </w:tr>
      <w:tr w:rsidR="009B5DE5" w:rsidRPr="009B5DE5" w14:paraId="307461DB" w14:textId="77777777" w:rsidTr="00F829D4">
        <w:trPr>
          <w:trHeight w:val="315"/>
        </w:trPr>
        <w:tc>
          <w:tcPr>
            <w:tcW w:w="1658" w:type="dxa"/>
            <w:tcBorders>
              <w:top w:val="nil"/>
              <w:left w:val="double" w:sz="6" w:space="0" w:color="auto"/>
              <w:bottom w:val="nil"/>
              <w:right w:val="single" w:sz="4" w:space="0" w:color="auto"/>
            </w:tcBorders>
            <w:shd w:val="clear" w:color="000000" w:fill="FFFFFF"/>
            <w:vAlign w:val="center"/>
            <w:hideMark/>
          </w:tcPr>
          <w:p w14:paraId="7A4F24CB" w14:textId="77777777" w:rsidR="009B5DE5" w:rsidRPr="009B5DE5" w:rsidRDefault="009B5DE5" w:rsidP="009B5DE5">
            <w:pPr>
              <w:spacing w:after="0"/>
              <w:jc w:val="left"/>
              <w:outlineLvl w:val="0"/>
              <w:rPr>
                <w:rFonts w:eastAsia="Times New Roman" w:cs="Times New Roman"/>
                <w:szCs w:val="24"/>
              </w:rPr>
            </w:pPr>
            <w:r w:rsidRPr="009B5DE5">
              <w:rPr>
                <w:rFonts w:eastAsia="Times New Roman" w:cs="Times New Roman"/>
                <w:szCs w:val="24"/>
              </w:rPr>
              <w:t> </w:t>
            </w:r>
          </w:p>
        </w:tc>
        <w:tc>
          <w:tcPr>
            <w:tcW w:w="9701" w:type="dxa"/>
            <w:tcBorders>
              <w:top w:val="nil"/>
              <w:left w:val="nil"/>
              <w:bottom w:val="dotted" w:sz="4" w:space="0" w:color="auto"/>
              <w:right w:val="single" w:sz="4" w:space="0" w:color="auto"/>
            </w:tcBorders>
            <w:shd w:val="clear" w:color="auto" w:fill="auto"/>
            <w:noWrap/>
            <w:vAlign w:val="bottom"/>
            <w:hideMark/>
          </w:tcPr>
          <w:p w14:paraId="494367BF" w14:textId="77777777" w:rsidR="009B5DE5" w:rsidRPr="009B5DE5" w:rsidRDefault="009B5DE5" w:rsidP="009B5DE5">
            <w:pPr>
              <w:spacing w:after="0"/>
              <w:jc w:val="left"/>
              <w:outlineLvl w:val="0"/>
              <w:rPr>
                <w:rFonts w:eastAsia="Times New Roman" w:cs="Times New Roman"/>
                <w:szCs w:val="24"/>
              </w:rPr>
            </w:pPr>
            <w:bookmarkStart w:id="212" w:name="_Toc185341599"/>
            <w:bookmarkStart w:id="213" w:name="_Toc185342415"/>
            <w:r w:rsidRPr="009B5DE5">
              <w:rPr>
                <w:rFonts w:eastAsia="Times New Roman" w:cs="Times New Roman"/>
                <w:szCs w:val="24"/>
              </w:rPr>
              <w:t>Електормрежа Србије</w:t>
            </w:r>
            <w:bookmarkEnd w:id="212"/>
            <w:bookmarkEnd w:id="213"/>
          </w:p>
        </w:tc>
        <w:tc>
          <w:tcPr>
            <w:tcW w:w="1836" w:type="dxa"/>
            <w:tcBorders>
              <w:top w:val="nil"/>
              <w:left w:val="nil"/>
              <w:bottom w:val="dotted" w:sz="4" w:space="0" w:color="auto"/>
              <w:right w:val="single" w:sz="4" w:space="0" w:color="auto"/>
            </w:tcBorders>
            <w:shd w:val="clear" w:color="auto" w:fill="auto"/>
            <w:noWrap/>
            <w:vAlign w:val="center"/>
            <w:hideMark/>
          </w:tcPr>
          <w:p w14:paraId="39EFE8B9" w14:textId="77777777" w:rsidR="009B5DE5" w:rsidRPr="009B5DE5" w:rsidRDefault="009B5DE5" w:rsidP="009B5DE5">
            <w:pPr>
              <w:spacing w:after="0"/>
              <w:jc w:val="center"/>
              <w:outlineLvl w:val="0"/>
              <w:rPr>
                <w:rFonts w:eastAsia="Times New Roman" w:cs="Times New Roman"/>
                <w:szCs w:val="24"/>
              </w:rPr>
            </w:pPr>
            <w:bookmarkStart w:id="214" w:name="_Toc185341600"/>
            <w:bookmarkStart w:id="215" w:name="_Toc185342416"/>
            <w:r w:rsidRPr="009B5DE5">
              <w:rPr>
                <w:rFonts w:eastAsia="Times New Roman" w:cs="Times New Roman"/>
                <w:szCs w:val="24"/>
              </w:rPr>
              <w:t>0,1</w:t>
            </w:r>
            <w:bookmarkEnd w:id="214"/>
            <w:bookmarkEnd w:id="215"/>
          </w:p>
        </w:tc>
        <w:tc>
          <w:tcPr>
            <w:tcW w:w="1697" w:type="dxa"/>
            <w:tcBorders>
              <w:top w:val="nil"/>
              <w:left w:val="nil"/>
              <w:bottom w:val="dotted" w:sz="4" w:space="0" w:color="auto"/>
              <w:right w:val="double" w:sz="6" w:space="0" w:color="auto"/>
            </w:tcBorders>
            <w:shd w:val="clear" w:color="auto" w:fill="auto"/>
            <w:noWrap/>
            <w:vAlign w:val="bottom"/>
            <w:hideMark/>
          </w:tcPr>
          <w:p w14:paraId="43BFCEFC" w14:textId="77777777" w:rsidR="009B5DE5" w:rsidRPr="009B5DE5" w:rsidRDefault="009B5DE5" w:rsidP="009B5DE5">
            <w:pPr>
              <w:spacing w:after="0"/>
              <w:jc w:val="center"/>
              <w:outlineLvl w:val="0"/>
              <w:rPr>
                <w:rFonts w:eastAsia="Times New Roman" w:cs="Times New Roman"/>
                <w:szCs w:val="24"/>
              </w:rPr>
            </w:pPr>
            <w:bookmarkStart w:id="216" w:name="_Toc185341601"/>
            <w:bookmarkStart w:id="217" w:name="_Toc185342417"/>
            <w:r w:rsidRPr="009B5DE5">
              <w:rPr>
                <w:rFonts w:eastAsia="Times New Roman" w:cs="Times New Roman"/>
                <w:szCs w:val="24"/>
              </w:rPr>
              <w:t>0,0</w:t>
            </w:r>
            <w:bookmarkEnd w:id="216"/>
            <w:bookmarkEnd w:id="217"/>
          </w:p>
        </w:tc>
      </w:tr>
      <w:tr w:rsidR="009B5DE5" w:rsidRPr="009B5DE5" w14:paraId="0EFEBD98" w14:textId="77777777" w:rsidTr="00F829D4">
        <w:trPr>
          <w:trHeight w:val="315"/>
        </w:trPr>
        <w:tc>
          <w:tcPr>
            <w:tcW w:w="1658" w:type="dxa"/>
            <w:tcBorders>
              <w:top w:val="nil"/>
              <w:left w:val="double" w:sz="6" w:space="0" w:color="auto"/>
              <w:bottom w:val="nil"/>
              <w:right w:val="single" w:sz="4" w:space="0" w:color="auto"/>
            </w:tcBorders>
            <w:shd w:val="clear" w:color="000000" w:fill="FFFFFF"/>
            <w:vAlign w:val="center"/>
            <w:hideMark/>
          </w:tcPr>
          <w:p w14:paraId="7BDACCE5" w14:textId="77777777" w:rsidR="009B5DE5" w:rsidRPr="009B5DE5" w:rsidRDefault="009B5DE5" w:rsidP="009B5DE5">
            <w:pPr>
              <w:spacing w:after="0"/>
              <w:jc w:val="left"/>
              <w:outlineLvl w:val="0"/>
              <w:rPr>
                <w:rFonts w:eastAsia="Times New Roman" w:cs="Times New Roman"/>
                <w:szCs w:val="24"/>
              </w:rPr>
            </w:pPr>
            <w:r w:rsidRPr="009B5DE5">
              <w:rPr>
                <w:rFonts w:eastAsia="Times New Roman" w:cs="Times New Roman"/>
                <w:szCs w:val="24"/>
              </w:rPr>
              <w:t> </w:t>
            </w:r>
          </w:p>
        </w:tc>
        <w:tc>
          <w:tcPr>
            <w:tcW w:w="9701" w:type="dxa"/>
            <w:tcBorders>
              <w:top w:val="nil"/>
              <w:left w:val="nil"/>
              <w:bottom w:val="dotted" w:sz="4" w:space="0" w:color="auto"/>
              <w:right w:val="single" w:sz="4" w:space="0" w:color="auto"/>
            </w:tcBorders>
            <w:shd w:val="clear" w:color="auto" w:fill="auto"/>
            <w:noWrap/>
            <w:vAlign w:val="bottom"/>
            <w:hideMark/>
          </w:tcPr>
          <w:p w14:paraId="13F37231" w14:textId="77777777" w:rsidR="009B5DE5" w:rsidRPr="009B5DE5" w:rsidRDefault="009B5DE5" w:rsidP="009B5DE5">
            <w:pPr>
              <w:spacing w:after="0"/>
              <w:jc w:val="left"/>
              <w:outlineLvl w:val="0"/>
              <w:rPr>
                <w:rFonts w:eastAsia="Times New Roman" w:cs="Times New Roman"/>
                <w:szCs w:val="24"/>
              </w:rPr>
            </w:pPr>
            <w:bookmarkStart w:id="218" w:name="_Toc185341602"/>
            <w:bookmarkStart w:id="219" w:name="_Toc185342418"/>
            <w:r w:rsidRPr="009B5DE5">
              <w:rPr>
                <w:rFonts w:eastAsia="Times New Roman" w:cs="Times New Roman"/>
                <w:szCs w:val="24"/>
              </w:rPr>
              <w:t>Србија Карго</w:t>
            </w:r>
            <w:bookmarkEnd w:id="218"/>
            <w:bookmarkEnd w:id="219"/>
          </w:p>
        </w:tc>
        <w:tc>
          <w:tcPr>
            <w:tcW w:w="1836" w:type="dxa"/>
            <w:tcBorders>
              <w:top w:val="nil"/>
              <w:left w:val="nil"/>
              <w:bottom w:val="dotted" w:sz="4" w:space="0" w:color="auto"/>
              <w:right w:val="single" w:sz="4" w:space="0" w:color="auto"/>
            </w:tcBorders>
            <w:shd w:val="clear" w:color="auto" w:fill="auto"/>
            <w:noWrap/>
            <w:vAlign w:val="center"/>
            <w:hideMark/>
          </w:tcPr>
          <w:p w14:paraId="7D708528" w14:textId="77777777" w:rsidR="009B5DE5" w:rsidRPr="009B5DE5" w:rsidRDefault="009B5DE5" w:rsidP="009B5DE5">
            <w:pPr>
              <w:spacing w:after="0"/>
              <w:jc w:val="center"/>
              <w:outlineLvl w:val="0"/>
              <w:rPr>
                <w:rFonts w:eastAsia="Times New Roman" w:cs="Times New Roman"/>
                <w:szCs w:val="24"/>
              </w:rPr>
            </w:pPr>
            <w:bookmarkStart w:id="220" w:name="_Toc185341603"/>
            <w:bookmarkStart w:id="221" w:name="_Toc185342419"/>
            <w:r w:rsidRPr="009B5DE5">
              <w:rPr>
                <w:rFonts w:eastAsia="Times New Roman" w:cs="Times New Roman"/>
                <w:szCs w:val="24"/>
              </w:rPr>
              <w:t>0,1</w:t>
            </w:r>
            <w:bookmarkEnd w:id="220"/>
            <w:bookmarkEnd w:id="221"/>
          </w:p>
        </w:tc>
        <w:tc>
          <w:tcPr>
            <w:tcW w:w="1697" w:type="dxa"/>
            <w:tcBorders>
              <w:top w:val="nil"/>
              <w:left w:val="nil"/>
              <w:bottom w:val="dotted" w:sz="4" w:space="0" w:color="auto"/>
              <w:right w:val="double" w:sz="6" w:space="0" w:color="auto"/>
            </w:tcBorders>
            <w:shd w:val="clear" w:color="auto" w:fill="auto"/>
            <w:noWrap/>
            <w:vAlign w:val="bottom"/>
            <w:hideMark/>
          </w:tcPr>
          <w:p w14:paraId="60B15B0C" w14:textId="77777777" w:rsidR="009B5DE5" w:rsidRPr="009B5DE5" w:rsidRDefault="009B5DE5" w:rsidP="009B5DE5">
            <w:pPr>
              <w:spacing w:after="0"/>
              <w:jc w:val="center"/>
              <w:outlineLvl w:val="0"/>
              <w:rPr>
                <w:rFonts w:eastAsia="Times New Roman" w:cs="Times New Roman"/>
                <w:szCs w:val="24"/>
              </w:rPr>
            </w:pPr>
            <w:bookmarkStart w:id="222" w:name="_Toc185341604"/>
            <w:bookmarkStart w:id="223" w:name="_Toc185342420"/>
            <w:r w:rsidRPr="009B5DE5">
              <w:rPr>
                <w:rFonts w:eastAsia="Times New Roman" w:cs="Times New Roman"/>
                <w:szCs w:val="24"/>
              </w:rPr>
              <w:t>0,0</w:t>
            </w:r>
            <w:bookmarkEnd w:id="222"/>
            <w:bookmarkEnd w:id="223"/>
          </w:p>
        </w:tc>
      </w:tr>
      <w:tr w:rsidR="009B5DE5" w:rsidRPr="009B5DE5" w14:paraId="14A26EBE" w14:textId="77777777" w:rsidTr="00F829D4">
        <w:trPr>
          <w:trHeight w:val="315"/>
        </w:trPr>
        <w:tc>
          <w:tcPr>
            <w:tcW w:w="1658" w:type="dxa"/>
            <w:tcBorders>
              <w:top w:val="nil"/>
              <w:left w:val="double" w:sz="6" w:space="0" w:color="auto"/>
              <w:bottom w:val="nil"/>
              <w:right w:val="single" w:sz="4" w:space="0" w:color="auto"/>
            </w:tcBorders>
            <w:shd w:val="clear" w:color="000000" w:fill="FFFFFF"/>
            <w:vAlign w:val="center"/>
            <w:hideMark/>
          </w:tcPr>
          <w:p w14:paraId="5DBC28B7" w14:textId="77777777" w:rsidR="009B5DE5" w:rsidRPr="009B5DE5" w:rsidRDefault="009B5DE5" w:rsidP="009B5DE5">
            <w:pPr>
              <w:spacing w:after="0"/>
              <w:jc w:val="left"/>
              <w:outlineLvl w:val="0"/>
              <w:rPr>
                <w:rFonts w:eastAsia="Times New Roman" w:cs="Times New Roman"/>
                <w:szCs w:val="24"/>
              </w:rPr>
            </w:pPr>
            <w:r w:rsidRPr="009B5DE5">
              <w:rPr>
                <w:rFonts w:eastAsia="Times New Roman" w:cs="Times New Roman"/>
                <w:szCs w:val="24"/>
              </w:rPr>
              <w:t> </w:t>
            </w:r>
          </w:p>
        </w:tc>
        <w:tc>
          <w:tcPr>
            <w:tcW w:w="9701" w:type="dxa"/>
            <w:tcBorders>
              <w:top w:val="nil"/>
              <w:left w:val="nil"/>
              <w:bottom w:val="dotted" w:sz="4" w:space="0" w:color="auto"/>
              <w:right w:val="single" w:sz="4" w:space="0" w:color="auto"/>
            </w:tcBorders>
            <w:shd w:val="clear" w:color="auto" w:fill="auto"/>
            <w:noWrap/>
            <w:vAlign w:val="bottom"/>
            <w:hideMark/>
          </w:tcPr>
          <w:p w14:paraId="1672CCAD" w14:textId="77777777" w:rsidR="009B5DE5" w:rsidRPr="009B5DE5" w:rsidRDefault="009B5DE5" w:rsidP="009B5DE5">
            <w:pPr>
              <w:spacing w:after="0"/>
              <w:jc w:val="left"/>
              <w:outlineLvl w:val="0"/>
              <w:rPr>
                <w:rFonts w:eastAsia="Times New Roman" w:cs="Times New Roman"/>
                <w:szCs w:val="24"/>
              </w:rPr>
            </w:pPr>
            <w:bookmarkStart w:id="224" w:name="_Toc185341605"/>
            <w:bookmarkStart w:id="225" w:name="_Toc185342421"/>
            <w:r w:rsidRPr="009B5DE5">
              <w:rPr>
                <w:rFonts w:eastAsia="Times New Roman" w:cs="Times New Roman"/>
                <w:szCs w:val="24"/>
              </w:rPr>
              <w:t>Скијалишта Србије</w:t>
            </w:r>
            <w:bookmarkEnd w:id="224"/>
            <w:bookmarkEnd w:id="225"/>
          </w:p>
        </w:tc>
        <w:tc>
          <w:tcPr>
            <w:tcW w:w="1836" w:type="dxa"/>
            <w:tcBorders>
              <w:top w:val="nil"/>
              <w:left w:val="nil"/>
              <w:bottom w:val="dotted" w:sz="4" w:space="0" w:color="auto"/>
              <w:right w:val="single" w:sz="4" w:space="0" w:color="auto"/>
            </w:tcBorders>
            <w:shd w:val="clear" w:color="auto" w:fill="auto"/>
            <w:noWrap/>
            <w:vAlign w:val="center"/>
            <w:hideMark/>
          </w:tcPr>
          <w:p w14:paraId="4D22B44E" w14:textId="77777777" w:rsidR="009B5DE5" w:rsidRPr="009B5DE5" w:rsidRDefault="009B5DE5" w:rsidP="009B5DE5">
            <w:pPr>
              <w:spacing w:after="0"/>
              <w:jc w:val="center"/>
              <w:outlineLvl w:val="0"/>
              <w:rPr>
                <w:rFonts w:eastAsia="Times New Roman" w:cs="Times New Roman"/>
                <w:szCs w:val="24"/>
              </w:rPr>
            </w:pPr>
            <w:bookmarkStart w:id="226" w:name="_Toc185341606"/>
            <w:bookmarkStart w:id="227" w:name="_Toc185342422"/>
            <w:r w:rsidRPr="009B5DE5">
              <w:rPr>
                <w:rFonts w:eastAsia="Times New Roman" w:cs="Times New Roman"/>
                <w:szCs w:val="24"/>
              </w:rPr>
              <w:t>0,0</w:t>
            </w:r>
            <w:bookmarkEnd w:id="226"/>
            <w:bookmarkEnd w:id="227"/>
          </w:p>
        </w:tc>
        <w:tc>
          <w:tcPr>
            <w:tcW w:w="1697" w:type="dxa"/>
            <w:tcBorders>
              <w:top w:val="nil"/>
              <w:left w:val="nil"/>
              <w:bottom w:val="dotted" w:sz="4" w:space="0" w:color="auto"/>
              <w:right w:val="double" w:sz="6" w:space="0" w:color="auto"/>
            </w:tcBorders>
            <w:shd w:val="clear" w:color="auto" w:fill="auto"/>
            <w:noWrap/>
            <w:vAlign w:val="bottom"/>
            <w:hideMark/>
          </w:tcPr>
          <w:p w14:paraId="476BFBA9" w14:textId="77777777" w:rsidR="009B5DE5" w:rsidRPr="009B5DE5" w:rsidRDefault="009B5DE5" w:rsidP="009B5DE5">
            <w:pPr>
              <w:spacing w:after="0"/>
              <w:jc w:val="center"/>
              <w:outlineLvl w:val="0"/>
              <w:rPr>
                <w:rFonts w:eastAsia="Times New Roman" w:cs="Times New Roman"/>
                <w:szCs w:val="24"/>
              </w:rPr>
            </w:pPr>
            <w:bookmarkStart w:id="228" w:name="_Toc185341607"/>
            <w:bookmarkStart w:id="229" w:name="_Toc185342423"/>
            <w:r w:rsidRPr="009B5DE5">
              <w:rPr>
                <w:rFonts w:eastAsia="Times New Roman" w:cs="Times New Roman"/>
                <w:szCs w:val="24"/>
              </w:rPr>
              <w:t>0,0</w:t>
            </w:r>
            <w:bookmarkEnd w:id="228"/>
            <w:bookmarkEnd w:id="229"/>
          </w:p>
        </w:tc>
      </w:tr>
      <w:tr w:rsidR="009B5DE5" w:rsidRPr="009B5DE5" w14:paraId="7AD9F670" w14:textId="77777777" w:rsidTr="00F829D4">
        <w:trPr>
          <w:trHeight w:val="315"/>
        </w:trPr>
        <w:tc>
          <w:tcPr>
            <w:tcW w:w="1658" w:type="dxa"/>
            <w:tcBorders>
              <w:top w:val="nil"/>
              <w:left w:val="double" w:sz="6" w:space="0" w:color="auto"/>
              <w:bottom w:val="nil"/>
              <w:right w:val="single" w:sz="4" w:space="0" w:color="auto"/>
            </w:tcBorders>
            <w:shd w:val="clear" w:color="000000" w:fill="FFFFFF"/>
            <w:vAlign w:val="center"/>
            <w:hideMark/>
          </w:tcPr>
          <w:p w14:paraId="367F3B87" w14:textId="77777777" w:rsidR="009B5DE5" w:rsidRPr="009B5DE5" w:rsidRDefault="009B5DE5" w:rsidP="009B5DE5">
            <w:pPr>
              <w:spacing w:after="0"/>
              <w:jc w:val="left"/>
              <w:outlineLvl w:val="0"/>
              <w:rPr>
                <w:rFonts w:eastAsia="Times New Roman" w:cs="Times New Roman"/>
                <w:szCs w:val="24"/>
              </w:rPr>
            </w:pPr>
            <w:r w:rsidRPr="009B5DE5">
              <w:rPr>
                <w:rFonts w:eastAsia="Times New Roman" w:cs="Times New Roman"/>
                <w:szCs w:val="24"/>
              </w:rPr>
              <w:t> </w:t>
            </w:r>
          </w:p>
        </w:tc>
        <w:tc>
          <w:tcPr>
            <w:tcW w:w="9701" w:type="dxa"/>
            <w:tcBorders>
              <w:top w:val="nil"/>
              <w:left w:val="nil"/>
              <w:bottom w:val="dotted" w:sz="4" w:space="0" w:color="auto"/>
              <w:right w:val="single" w:sz="4" w:space="0" w:color="auto"/>
            </w:tcBorders>
            <w:shd w:val="clear" w:color="auto" w:fill="auto"/>
            <w:noWrap/>
            <w:vAlign w:val="bottom"/>
            <w:hideMark/>
          </w:tcPr>
          <w:p w14:paraId="4A1B6EFA" w14:textId="77777777" w:rsidR="009B5DE5" w:rsidRPr="009B5DE5" w:rsidRDefault="009B5DE5" w:rsidP="009B5DE5">
            <w:pPr>
              <w:spacing w:after="0"/>
              <w:jc w:val="left"/>
              <w:outlineLvl w:val="0"/>
              <w:rPr>
                <w:rFonts w:eastAsia="Times New Roman" w:cs="Times New Roman"/>
                <w:szCs w:val="24"/>
              </w:rPr>
            </w:pPr>
            <w:bookmarkStart w:id="230" w:name="_Toc185341608"/>
            <w:bookmarkStart w:id="231" w:name="_Toc185342424"/>
            <w:r w:rsidRPr="009B5DE5">
              <w:rPr>
                <w:rFonts w:eastAsia="Times New Roman" w:cs="Times New Roman"/>
                <w:szCs w:val="24"/>
              </w:rPr>
              <w:t>Југоимпорт - СДПР</w:t>
            </w:r>
            <w:bookmarkEnd w:id="230"/>
            <w:bookmarkEnd w:id="231"/>
          </w:p>
        </w:tc>
        <w:tc>
          <w:tcPr>
            <w:tcW w:w="1836" w:type="dxa"/>
            <w:tcBorders>
              <w:top w:val="nil"/>
              <w:left w:val="nil"/>
              <w:bottom w:val="dotted" w:sz="4" w:space="0" w:color="auto"/>
              <w:right w:val="single" w:sz="4" w:space="0" w:color="auto"/>
            </w:tcBorders>
            <w:shd w:val="clear" w:color="auto" w:fill="auto"/>
            <w:noWrap/>
            <w:vAlign w:val="center"/>
            <w:hideMark/>
          </w:tcPr>
          <w:p w14:paraId="197D4ADC" w14:textId="77777777" w:rsidR="009B5DE5" w:rsidRPr="009B5DE5" w:rsidRDefault="009B5DE5" w:rsidP="009B5DE5">
            <w:pPr>
              <w:spacing w:after="0"/>
              <w:jc w:val="center"/>
              <w:outlineLvl w:val="0"/>
              <w:rPr>
                <w:rFonts w:eastAsia="Times New Roman" w:cs="Times New Roman"/>
                <w:szCs w:val="24"/>
              </w:rPr>
            </w:pPr>
            <w:bookmarkStart w:id="232" w:name="_Toc185341609"/>
            <w:bookmarkStart w:id="233" w:name="_Toc185342425"/>
            <w:r w:rsidRPr="009B5DE5">
              <w:rPr>
                <w:rFonts w:eastAsia="Times New Roman" w:cs="Times New Roman"/>
                <w:szCs w:val="24"/>
              </w:rPr>
              <w:t>0,0</w:t>
            </w:r>
            <w:bookmarkEnd w:id="232"/>
            <w:bookmarkEnd w:id="233"/>
          </w:p>
        </w:tc>
        <w:tc>
          <w:tcPr>
            <w:tcW w:w="1697" w:type="dxa"/>
            <w:tcBorders>
              <w:top w:val="nil"/>
              <w:left w:val="nil"/>
              <w:bottom w:val="dotted" w:sz="4" w:space="0" w:color="auto"/>
              <w:right w:val="double" w:sz="6" w:space="0" w:color="auto"/>
            </w:tcBorders>
            <w:shd w:val="clear" w:color="auto" w:fill="auto"/>
            <w:noWrap/>
            <w:vAlign w:val="bottom"/>
            <w:hideMark/>
          </w:tcPr>
          <w:p w14:paraId="76AD8BD2" w14:textId="77777777" w:rsidR="009B5DE5" w:rsidRPr="009B5DE5" w:rsidRDefault="009B5DE5" w:rsidP="009B5DE5">
            <w:pPr>
              <w:spacing w:after="0"/>
              <w:jc w:val="center"/>
              <w:outlineLvl w:val="0"/>
              <w:rPr>
                <w:rFonts w:eastAsia="Times New Roman" w:cs="Times New Roman"/>
                <w:szCs w:val="24"/>
              </w:rPr>
            </w:pPr>
            <w:bookmarkStart w:id="234" w:name="_Toc185341610"/>
            <w:bookmarkStart w:id="235" w:name="_Toc185342426"/>
            <w:r w:rsidRPr="009B5DE5">
              <w:rPr>
                <w:rFonts w:eastAsia="Times New Roman" w:cs="Times New Roman"/>
                <w:szCs w:val="24"/>
              </w:rPr>
              <w:t>0,0</w:t>
            </w:r>
            <w:bookmarkEnd w:id="234"/>
            <w:bookmarkEnd w:id="235"/>
          </w:p>
        </w:tc>
      </w:tr>
      <w:tr w:rsidR="009B5DE5" w:rsidRPr="009B5DE5" w14:paraId="74E01B88" w14:textId="77777777" w:rsidTr="00F829D4">
        <w:trPr>
          <w:trHeight w:val="315"/>
        </w:trPr>
        <w:tc>
          <w:tcPr>
            <w:tcW w:w="1658" w:type="dxa"/>
            <w:tcBorders>
              <w:top w:val="nil"/>
              <w:left w:val="double" w:sz="6" w:space="0" w:color="auto"/>
              <w:bottom w:val="nil"/>
              <w:right w:val="single" w:sz="4" w:space="0" w:color="auto"/>
            </w:tcBorders>
            <w:shd w:val="clear" w:color="000000" w:fill="FFFFFF"/>
            <w:vAlign w:val="center"/>
            <w:hideMark/>
          </w:tcPr>
          <w:p w14:paraId="16D03055" w14:textId="77777777" w:rsidR="009B5DE5" w:rsidRPr="009B5DE5" w:rsidRDefault="009B5DE5" w:rsidP="009B5DE5">
            <w:pPr>
              <w:spacing w:after="0"/>
              <w:jc w:val="left"/>
              <w:outlineLvl w:val="0"/>
              <w:rPr>
                <w:rFonts w:eastAsia="Times New Roman" w:cs="Times New Roman"/>
                <w:szCs w:val="24"/>
              </w:rPr>
            </w:pPr>
            <w:r w:rsidRPr="009B5DE5">
              <w:rPr>
                <w:rFonts w:eastAsia="Times New Roman" w:cs="Times New Roman"/>
                <w:szCs w:val="24"/>
              </w:rPr>
              <w:t> </w:t>
            </w:r>
          </w:p>
        </w:tc>
        <w:tc>
          <w:tcPr>
            <w:tcW w:w="9701" w:type="dxa"/>
            <w:tcBorders>
              <w:top w:val="nil"/>
              <w:left w:val="nil"/>
              <w:bottom w:val="dotted" w:sz="4" w:space="0" w:color="auto"/>
              <w:right w:val="single" w:sz="4" w:space="0" w:color="auto"/>
            </w:tcBorders>
            <w:shd w:val="clear" w:color="auto" w:fill="auto"/>
            <w:noWrap/>
            <w:vAlign w:val="bottom"/>
            <w:hideMark/>
          </w:tcPr>
          <w:p w14:paraId="4BDAFA48" w14:textId="77777777" w:rsidR="009B5DE5" w:rsidRPr="009B5DE5" w:rsidRDefault="009B5DE5" w:rsidP="009B5DE5">
            <w:pPr>
              <w:spacing w:after="0"/>
              <w:jc w:val="left"/>
              <w:outlineLvl w:val="0"/>
              <w:rPr>
                <w:rFonts w:eastAsia="Times New Roman" w:cs="Times New Roman"/>
                <w:szCs w:val="24"/>
              </w:rPr>
            </w:pPr>
            <w:bookmarkStart w:id="236" w:name="_Toc185341611"/>
            <w:bookmarkStart w:id="237" w:name="_Toc185342427"/>
            <w:r w:rsidRPr="009B5DE5">
              <w:rPr>
                <w:rFonts w:eastAsia="Times New Roman" w:cs="Times New Roman"/>
                <w:szCs w:val="24"/>
              </w:rPr>
              <w:t>Електродистрибуција Србије</w:t>
            </w:r>
            <w:bookmarkEnd w:id="236"/>
            <w:bookmarkEnd w:id="237"/>
          </w:p>
        </w:tc>
        <w:tc>
          <w:tcPr>
            <w:tcW w:w="1836" w:type="dxa"/>
            <w:tcBorders>
              <w:top w:val="nil"/>
              <w:left w:val="nil"/>
              <w:bottom w:val="dotted" w:sz="4" w:space="0" w:color="auto"/>
              <w:right w:val="single" w:sz="4" w:space="0" w:color="auto"/>
            </w:tcBorders>
            <w:shd w:val="clear" w:color="auto" w:fill="auto"/>
            <w:noWrap/>
            <w:vAlign w:val="center"/>
            <w:hideMark/>
          </w:tcPr>
          <w:p w14:paraId="2AC067FC" w14:textId="77777777" w:rsidR="009B5DE5" w:rsidRPr="009B5DE5" w:rsidRDefault="009B5DE5" w:rsidP="009B5DE5">
            <w:pPr>
              <w:spacing w:after="0"/>
              <w:jc w:val="center"/>
              <w:outlineLvl w:val="0"/>
              <w:rPr>
                <w:rFonts w:eastAsia="Times New Roman" w:cs="Times New Roman"/>
                <w:szCs w:val="24"/>
              </w:rPr>
            </w:pPr>
            <w:bookmarkStart w:id="238" w:name="_Toc185341612"/>
            <w:bookmarkStart w:id="239" w:name="_Toc185342428"/>
            <w:r w:rsidRPr="009B5DE5">
              <w:rPr>
                <w:rFonts w:eastAsia="Times New Roman" w:cs="Times New Roman"/>
                <w:szCs w:val="24"/>
              </w:rPr>
              <w:t>0,3</w:t>
            </w:r>
            <w:bookmarkEnd w:id="238"/>
            <w:bookmarkEnd w:id="239"/>
          </w:p>
        </w:tc>
        <w:tc>
          <w:tcPr>
            <w:tcW w:w="1697" w:type="dxa"/>
            <w:tcBorders>
              <w:top w:val="nil"/>
              <w:left w:val="nil"/>
              <w:bottom w:val="dotted" w:sz="4" w:space="0" w:color="auto"/>
              <w:right w:val="double" w:sz="6" w:space="0" w:color="auto"/>
            </w:tcBorders>
            <w:shd w:val="clear" w:color="auto" w:fill="auto"/>
            <w:noWrap/>
            <w:vAlign w:val="bottom"/>
            <w:hideMark/>
          </w:tcPr>
          <w:p w14:paraId="3262017E" w14:textId="77777777" w:rsidR="009B5DE5" w:rsidRPr="009B5DE5" w:rsidRDefault="009B5DE5" w:rsidP="009B5DE5">
            <w:pPr>
              <w:spacing w:after="0"/>
              <w:jc w:val="center"/>
              <w:outlineLvl w:val="0"/>
              <w:rPr>
                <w:rFonts w:eastAsia="Times New Roman" w:cs="Times New Roman"/>
                <w:szCs w:val="24"/>
              </w:rPr>
            </w:pPr>
            <w:bookmarkStart w:id="240" w:name="_Toc185341613"/>
            <w:bookmarkStart w:id="241" w:name="_Toc185342429"/>
            <w:r w:rsidRPr="009B5DE5">
              <w:rPr>
                <w:rFonts w:eastAsia="Times New Roman" w:cs="Times New Roman"/>
                <w:szCs w:val="24"/>
              </w:rPr>
              <w:t>0,1</w:t>
            </w:r>
            <w:bookmarkEnd w:id="240"/>
            <w:bookmarkEnd w:id="241"/>
          </w:p>
        </w:tc>
      </w:tr>
      <w:tr w:rsidR="009B5DE5" w:rsidRPr="009B5DE5" w14:paraId="457C8BE8" w14:textId="77777777" w:rsidTr="00F829D4">
        <w:trPr>
          <w:trHeight w:val="330"/>
        </w:trPr>
        <w:tc>
          <w:tcPr>
            <w:tcW w:w="1658" w:type="dxa"/>
            <w:tcBorders>
              <w:top w:val="nil"/>
              <w:left w:val="double" w:sz="6" w:space="0" w:color="auto"/>
              <w:bottom w:val="double" w:sz="6" w:space="0" w:color="auto"/>
              <w:right w:val="single" w:sz="4" w:space="0" w:color="auto"/>
            </w:tcBorders>
            <w:shd w:val="clear" w:color="000000" w:fill="FFFFFF"/>
            <w:vAlign w:val="center"/>
            <w:hideMark/>
          </w:tcPr>
          <w:p w14:paraId="548D2BAA"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 </w:t>
            </w:r>
          </w:p>
        </w:tc>
        <w:tc>
          <w:tcPr>
            <w:tcW w:w="9701" w:type="dxa"/>
            <w:tcBorders>
              <w:top w:val="single" w:sz="8" w:space="0" w:color="auto"/>
              <w:left w:val="nil"/>
              <w:bottom w:val="single" w:sz="8" w:space="0" w:color="auto"/>
              <w:right w:val="nil"/>
            </w:tcBorders>
            <w:shd w:val="clear" w:color="auto" w:fill="auto"/>
            <w:vAlign w:val="center"/>
            <w:hideMark/>
          </w:tcPr>
          <w:p w14:paraId="46D0EAF4"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Међузбир</w:t>
            </w:r>
          </w:p>
        </w:tc>
        <w:tc>
          <w:tcPr>
            <w:tcW w:w="1836" w:type="dxa"/>
            <w:tcBorders>
              <w:top w:val="single" w:sz="8" w:space="0" w:color="auto"/>
              <w:left w:val="single" w:sz="8" w:space="0" w:color="auto"/>
              <w:bottom w:val="double" w:sz="6" w:space="0" w:color="auto"/>
              <w:right w:val="single" w:sz="4" w:space="0" w:color="auto"/>
            </w:tcBorders>
            <w:shd w:val="clear" w:color="auto" w:fill="auto"/>
            <w:noWrap/>
            <w:vAlign w:val="bottom"/>
            <w:hideMark/>
          </w:tcPr>
          <w:p w14:paraId="57D27672"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2,3</w:t>
            </w:r>
          </w:p>
        </w:tc>
        <w:tc>
          <w:tcPr>
            <w:tcW w:w="1697" w:type="dxa"/>
            <w:tcBorders>
              <w:top w:val="single" w:sz="8" w:space="0" w:color="auto"/>
              <w:left w:val="single" w:sz="4" w:space="0" w:color="auto"/>
              <w:bottom w:val="double" w:sz="6" w:space="0" w:color="auto"/>
              <w:right w:val="double" w:sz="6" w:space="0" w:color="auto"/>
            </w:tcBorders>
            <w:shd w:val="clear" w:color="auto" w:fill="auto"/>
            <w:noWrap/>
            <w:vAlign w:val="bottom"/>
            <w:hideMark/>
          </w:tcPr>
          <w:p w14:paraId="4016CB28"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2,1</w:t>
            </w:r>
          </w:p>
        </w:tc>
      </w:tr>
      <w:tr w:rsidR="009B5DE5" w:rsidRPr="009B5DE5" w14:paraId="6D51DF44" w14:textId="77777777" w:rsidTr="00F829D4">
        <w:trPr>
          <w:trHeight w:val="499"/>
        </w:trPr>
        <w:tc>
          <w:tcPr>
            <w:tcW w:w="1658" w:type="dxa"/>
            <w:tcBorders>
              <w:top w:val="nil"/>
              <w:left w:val="double" w:sz="6" w:space="0" w:color="auto"/>
              <w:bottom w:val="double" w:sz="6" w:space="0" w:color="auto"/>
              <w:right w:val="nil"/>
            </w:tcBorders>
            <w:shd w:val="clear" w:color="000000" w:fill="FFFFFF"/>
            <w:noWrap/>
            <w:vAlign w:val="center"/>
            <w:hideMark/>
          </w:tcPr>
          <w:p w14:paraId="56101CF8" w14:textId="77777777" w:rsidR="009B5DE5" w:rsidRPr="009B5DE5" w:rsidRDefault="009B5DE5" w:rsidP="009B5DE5">
            <w:pPr>
              <w:spacing w:after="0"/>
              <w:jc w:val="left"/>
              <w:rPr>
                <w:rFonts w:eastAsia="Times New Roman" w:cs="Times New Roman"/>
                <w:szCs w:val="24"/>
              </w:rPr>
            </w:pPr>
            <w:r w:rsidRPr="009B5DE5">
              <w:rPr>
                <w:rFonts w:eastAsia="Times New Roman" w:cs="Times New Roman"/>
                <w:szCs w:val="24"/>
              </w:rPr>
              <w:t> </w:t>
            </w:r>
          </w:p>
        </w:tc>
        <w:tc>
          <w:tcPr>
            <w:tcW w:w="9701" w:type="dxa"/>
            <w:tcBorders>
              <w:top w:val="double" w:sz="6" w:space="0" w:color="auto"/>
              <w:left w:val="nil"/>
              <w:bottom w:val="double" w:sz="6" w:space="0" w:color="auto"/>
              <w:right w:val="single" w:sz="4" w:space="0" w:color="auto"/>
            </w:tcBorders>
            <w:shd w:val="clear" w:color="auto" w:fill="auto"/>
            <w:noWrap/>
            <w:vAlign w:val="center"/>
            <w:hideMark/>
          </w:tcPr>
          <w:p w14:paraId="43344031"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Укупно</w:t>
            </w:r>
          </w:p>
        </w:tc>
        <w:tc>
          <w:tcPr>
            <w:tcW w:w="1836" w:type="dxa"/>
            <w:tcBorders>
              <w:top w:val="nil"/>
              <w:left w:val="single" w:sz="8" w:space="0" w:color="auto"/>
              <w:bottom w:val="double" w:sz="6" w:space="0" w:color="auto"/>
              <w:right w:val="single" w:sz="4" w:space="0" w:color="auto"/>
            </w:tcBorders>
            <w:shd w:val="clear" w:color="auto" w:fill="auto"/>
            <w:noWrap/>
            <w:vAlign w:val="center"/>
            <w:hideMark/>
          </w:tcPr>
          <w:p w14:paraId="468F796F"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2,3</w:t>
            </w:r>
          </w:p>
        </w:tc>
        <w:tc>
          <w:tcPr>
            <w:tcW w:w="1697" w:type="dxa"/>
            <w:tcBorders>
              <w:top w:val="nil"/>
              <w:left w:val="nil"/>
              <w:bottom w:val="double" w:sz="6" w:space="0" w:color="auto"/>
              <w:right w:val="double" w:sz="6" w:space="0" w:color="auto"/>
            </w:tcBorders>
            <w:shd w:val="clear" w:color="auto" w:fill="auto"/>
            <w:noWrap/>
            <w:vAlign w:val="center"/>
            <w:hideMark/>
          </w:tcPr>
          <w:p w14:paraId="093264CE" w14:textId="77777777" w:rsidR="009B5DE5" w:rsidRPr="009B5DE5" w:rsidRDefault="009B5DE5" w:rsidP="009B5DE5">
            <w:pPr>
              <w:spacing w:after="0"/>
              <w:jc w:val="center"/>
              <w:rPr>
                <w:rFonts w:eastAsia="Times New Roman" w:cs="Times New Roman"/>
                <w:b/>
                <w:bCs/>
                <w:szCs w:val="24"/>
              </w:rPr>
            </w:pPr>
            <w:r w:rsidRPr="009B5DE5">
              <w:rPr>
                <w:rFonts w:eastAsia="Times New Roman" w:cs="Times New Roman"/>
                <w:b/>
                <w:bCs/>
                <w:szCs w:val="24"/>
              </w:rPr>
              <w:t>2,1</w:t>
            </w:r>
          </w:p>
        </w:tc>
      </w:tr>
    </w:tbl>
    <w:p w14:paraId="26AB0CAE" w14:textId="3355DDBC" w:rsidR="00CB024D" w:rsidRPr="0036093A" w:rsidRDefault="00CB024D" w:rsidP="00CB024D">
      <w:pPr>
        <w:spacing w:after="0"/>
        <w:jc w:val="left"/>
        <w:rPr>
          <w:rFonts w:eastAsia="Calibri" w:cs="Times New Roman"/>
          <w:sz w:val="20"/>
          <w:szCs w:val="20"/>
          <w:lang w:val="ru-RU"/>
        </w:rPr>
      </w:pPr>
      <w:r w:rsidRPr="0036093A">
        <w:rPr>
          <w:rFonts w:eastAsia="Calibri" w:cs="Times New Roman"/>
          <w:sz w:val="20"/>
          <w:szCs w:val="20"/>
          <w:lang w:val="ru-RU"/>
        </w:rPr>
        <w:t>Дефиниција  и давање гаранција регулисани су Законом о јавном дугу.</w:t>
      </w:r>
    </w:p>
    <w:p w14:paraId="0B124502" w14:textId="77777777" w:rsidR="00CB024D" w:rsidRPr="0036093A" w:rsidRDefault="00CB024D" w:rsidP="00CB024D">
      <w:pPr>
        <w:spacing w:after="0"/>
        <w:jc w:val="left"/>
        <w:rPr>
          <w:rFonts w:eastAsia="Calibri" w:cs="Times New Roman"/>
          <w:sz w:val="20"/>
          <w:szCs w:val="20"/>
          <w:lang w:val="ru-RU"/>
        </w:rPr>
      </w:pPr>
      <w:r w:rsidRPr="0036093A">
        <w:rPr>
          <w:rFonts w:eastAsia="Calibri" w:cs="Times New Roman"/>
          <w:sz w:val="20"/>
          <w:szCs w:val="20"/>
          <w:lang w:val="ru-RU"/>
        </w:rPr>
        <w:t>Максимални износ гарантованог дуга који се може емитовати у текућој  години регулисан је  је Законом о буџету за текућу годину.</w:t>
      </w:r>
    </w:p>
    <w:p w14:paraId="56EE1061" w14:textId="77777777" w:rsidR="00CB024D" w:rsidRPr="0036093A" w:rsidRDefault="00CB024D" w:rsidP="00CB024D">
      <w:pPr>
        <w:spacing w:after="0"/>
        <w:jc w:val="left"/>
        <w:rPr>
          <w:rFonts w:eastAsia="Calibri" w:cs="Times New Roman"/>
          <w:sz w:val="20"/>
          <w:szCs w:val="20"/>
          <w:lang w:val="ru-RU"/>
        </w:rPr>
      </w:pPr>
      <w:r w:rsidRPr="0036093A">
        <w:rPr>
          <w:rFonts w:eastAsia="Calibri" w:cs="Times New Roman"/>
          <w:sz w:val="20"/>
          <w:szCs w:val="20"/>
          <w:lang w:val="ru-RU"/>
        </w:rPr>
        <w:t>На датум пресека (30.09.2024.):</w:t>
      </w:r>
    </w:p>
    <w:p w14:paraId="05F72AFD" w14:textId="77777777" w:rsidR="00CB024D" w:rsidRPr="0036093A" w:rsidRDefault="00CB024D" w:rsidP="00CB024D">
      <w:pPr>
        <w:spacing w:after="0"/>
        <w:jc w:val="left"/>
        <w:rPr>
          <w:rFonts w:eastAsia="Calibri" w:cs="Times New Roman"/>
          <w:sz w:val="20"/>
          <w:szCs w:val="20"/>
          <w:lang w:val="ru-RU"/>
        </w:rPr>
      </w:pPr>
      <w:r w:rsidRPr="0036093A">
        <w:rPr>
          <w:rFonts w:eastAsia="Calibri" w:cs="Times New Roman"/>
          <w:sz w:val="20"/>
          <w:szCs w:val="20"/>
          <w:lang w:val="ru-RU"/>
        </w:rPr>
        <w:t>Колона „Максимални износ потенцијалних обавеза“ представља суму стања гарантованог дуга и расположивог износа за повлачење по гарантованом дугу</w:t>
      </w:r>
    </w:p>
    <w:p w14:paraId="7638E5E7" w14:textId="77777777" w:rsidR="00CB024D" w:rsidRPr="0036093A" w:rsidRDefault="00CB024D" w:rsidP="00CB024D">
      <w:pPr>
        <w:spacing w:after="0"/>
        <w:jc w:val="left"/>
        <w:rPr>
          <w:rFonts w:eastAsia="Calibri" w:cs="Times New Roman"/>
          <w:sz w:val="20"/>
          <w:szCs w:val="20"/>
          <w:lang w:val="ru-RU"/>
        </w:rPr>
      </w:pPr>
      <w:r w:rsidRPr="0036093A">
        <w:rPr>
          <w:rFonts w:eastAsia="Calibri" w:cs="Times New Roman"/>
          <w:sz w:val="20"/>
          <w:szCs w:val="20"/>
          <w:lang w:val="ru-RU"/>
        </w:rPr>
        <w:t>Колона „Процењена обавеза”- приказује стање гарантованог дуга</w:t>
      </w:r>
    </w:p>
    <w:p w14:paraId="7FD8BF62" w14:textId="77777777" w:rsidR="00CB024D" w:rsidRPr="0036093A" w:rsidRDefault="00CB024D" w:rsidP="00CB024D">
      <w:pPr>
        <w:spacing w:after="0"/>
        <w:jc w:val="left"/>
        <w:rPr>
          <w:rFonts w:eastAsia="Calibri" w:cs="Times New Roman"/>
          <w:sz w:val="20"/>
          <w:szCs w:val="20"/>
          <w:lang w:val="ru-RU"/>
        </w:rPr>
      </w:pPr>
      <w:r w:rsidRPr="0036093A">
        <w:rPr>
          <w:rFonts w:eastAsia="Calibri" w:cs="Times New Roman"/>
          <w:sz w:val="20"/>
          <w:szCs w:val="20"/>
          <w:lang w:val="ru-RU"/>
        </w:rPr>
        <w:t>Подаци су груписани на  нивоу корисника. Детаљан преглед гаранција може се видети на сајту Управе за јавни дуг, Квартални извештаји, Извештај Т.13, Индиректне обавезе)</w:t>
      </w:r>
    </w:p>
    <w:p w14:paraId="78EF28E3" w14:textId="77777777" w:rsidR="009B5DE5" w:rsidRPr="009B5DE5" w:rsidRDefault="009B5DE5" w:rsidP="009B5DE5">
      <w:pPr>
        <w:spacing w:after="160" w:line="259" w:lineRule="auto"/>
        <w:jc w:val="left"/>
        <w:rPr>
          <w:rFonts w:ascii="Calibri" w:eastAsia="Calibri" w:hAnsi="Calibri" w:cs="Times New Roman"/>
          <w:sz w:val="22"/>
          <w:lang w:val="sr-Cyrl-RS"/>
        </w:rPr>
      </w:pPr>
    </w:p>
    <w:p w14:paraId="0A008FF8" w14:textId="77777777" w:rsidR="009B5DE5" w:rsidRPr="009B5DE5" w:rsidRDefault="009B5DE5" w:rsidP="009B5DE5">
      <w:pPr>
        <w:spacing w:after="160" w:line="259" w:lineRule="auto"/>
        <w:jc w:val="left"/>
        <w:rPr>
          <w:rFonts w:eastAsia="Times New Roman" w:cs="Times New Roman"/>
          <w:bCs/>
          <w:sz w:val="22"/>
        </w:rPr>
      </w:pPr>
    </w:p>
    <w:p w14:paraId="529FC82D" w14:textId="77777777" w:rsidR="009B5DE5" w:rsidRPr="009B5DE5" w:rsidRDefault="009B5DE5" w:rsidP="009B5DE5">
      <w:pPr>
        <w:spacing w:after="160" w:line="259" w:lineRule="auto"/>
        <w:jc w:val="left"/>
        <w:rPr>
          <w:rFonts w:eastAsia="Times New Roman" w:cs="Times New Roman"/>
          <w:bCs/>
          <w:sz w:val="22"/>
        </w:rPr>
      </w:pPr>
    </w:p>
    <w:p w14:paraId="56CF5132" w14:textId="77777777" w:rsidR="009B5DE5" w:rsidRPr="009B5DE5" w:rsidRDefault="009B5DE5" w:rsidP="009B5DE5">
      <w:pPr>
        <w:spacing w:after="160" w:line="259" w:lineRule="auto"/>
        <w:jc w:val="left"/>
        <w:rPr>
          <w:rFonts w:eastAsia="Times New Roman" w:cs="Times New Roman"/>
          <w:bCs/>
          <w:sz w:val="22"/>
        </w:rPr>
      </w:pPr>
    </w:p>
    <w:p w14:paraId="6A6AC5C0" w14:textId="77777777" w:rsidR="009B5DE5" w:rsidRPr="009B5DE5" w:rsidRDefault="009B5DE5" w:rsidP="009B5DE5">
      <w:pPr>
        <w:spacing w:after="160" w:line="259" w:lineRule="auto"/>
        <w:jc w:val="left"/>
        <w:rPr>
          <w:rFonts w:eastAsia="Times New Roman" w:cs="Times New Roman"/>
          <w:bCs/>
          <w:sz w:val="22"/>
        </w:rPr>
      </w:pPr>
    </w:p>
    <w:p w14:paraId="1D3147BF" w14:textId="77777777" w:rsidR="009B5DE5" w:rsidRPr="009B5DE5" w:rsidRDefault="009B5DE5" w:rsidP="009B5DE5">
      <w:pPr>
        <w:spacing w:after="160" w:line="259" w:lineRule="auto"/>
        <w:jc w:val="left"/>
        <w:rPr>
          <w:rFonts w:ascii="Calibri" w:eastAsia="Calibri" w:hAnsi="Calibri" w:cs="Times New Roman"/>
          <w:sz w:val="22"/>
          <w:lang w:val="sr-Cyrl-RS"/>
        </w:rPr>
      </w:pPr>
      <w:r w:rsidRPr="009B5DE5">
        <w:rPr>
          <w:rFonts w:eastAsia="Times New Roman" w:cs="Times New Roman"/>
          <w:bCs/>
          <w:sz w:val="22"/>
        </w:rPr>
        <w:t>Табела 8: Основне претпоставке о екстерном економском окружењу на ком се заснива програмски оквир</w:t>
      </w:r>
      <w:r w:rsidRPr="009B5DE5">
        <w:rPr>
          <w:rFonts w:eastAsia="Times New Roman" w:cs="Times New Roman"/>
          <w:b/>
          <w:bCs/>
          <w:sz w:val="20"/>
          <w:szCs w:val="20"/>
        </w:rPr>
        <w:t xml:space="preserve"> </w:t>
      </w:r>
    </w:p>
    <w:tbl>
      <w:tblPr>
        <w:tblW w:w="14985" w:type="dxa"/>
        <w:tblLook w:val="04A0" w:firstRow="1" w:lastRow="0" w:firstColumn="1" w:lastColumn="0" w:noHBand="0" w:noVBand="1"/>
      </w:tblPr>
      <w:tblGrid>
        <w:gridCol w:w="7105"/>
        <w:gridCol w:w="2940"/>
        <w:gridCol w:w="988"/>
        <w:gridCol w:w="988"/>
        <w:gridCol w:w="988"/>
        <w:gridCol w:w="988"/>
        <w:gridCol w:w="988"/>
      </w:tblGrid>
      <w:tr w:rsidR="009B5DE5" w:rsidRPr="009B5DE5" w14:paraId="609A1AEB" w14:textId="77777777" w:rsidTr="001B3328">
        <w:trPr>
          <w:trHeight w:val="542"/>
        </w:trPr>
        <w:tc>
          <w:tcPr>
            <w:tcW w:w="7105" w:type="dxa"/>
            <w:tcBorders>
              <w:top w:val="double" w:sz="6" w:space="0" w:color="auto"/>
              <w:left w:val="double" w:sz="6" w:space="0" w:color="auto"/>
              <w:bottom w:val="double" w:sz="6" w:space="0" w:color="auto"/>
              <w:right w:val="nil"/>
            </w:tcBorders>
            <w:shd w:val="clear" w:color="auto" w:fill="auto"/>
            <w:vAlign w:val="center"/>
            <w:hideMark/>
          </w:tcPr>
          <w:p w14:paraId="069A1A92" w14:textId="77777777" w:rsidR="009B5DE5" w:rsidRPr="009B5DE5" w:rsidRDefault="009B5DE5" w:rsidP="009B5DE5">
            <w:pPr>
              <w:spacing w:after="0"/>
              <w:jc w:val="left"/>
              <w:rPr>
                <w:rFonts w:eastAsia="Times New Roman" w:cs="Times New Roman"/>
                <w:b/>
                <w:bCs/>
                <w:sz w:val="20"/>
                <w:szCs w:val="20"/>
              </w:rPr>
            </w:pPr>
          </w:p>
        </w:tc>
        <w:tc>
          <w:tcPr>
            <w:tcW w:w="2940" w:type="dxa"/>
            <w:tcBorders>
              <w:top w:val="double" w:sz="6" w:space="0" w:color="auto"/>
              <w:left w:val="single" w:sz="8" w:space="0" w:color="auto"/>
              <w:bottom w:val="double" w:sz="6" w:space="0" w:color="auto"/>
              <w:right w:val="single" w:sz="8" w:space="0" w:color="000000"/>
            </w:tcBorders>
            <w:shd w:val="clear" w:color="auto" w:fill="auto"/>
            <w:vAlign w:val="center"/>
            <w:hideMark/>
          </w:tcPr>
          <w:p w14:paraId="60F9FEA5" w14:textId="77777777" w:rsidR="009B5DE5" w:rsidRPr="009B5DE5" w:rsidRDefault="009B5DE5" w:rsidP="009B5DE5">
            <w:pPr>
              <w:spacing w:after="0"/>
              <w:jc w:val="center"/>
              <w:rPr>
                <w:rFonts w:eastAsia="Times New Roman" w:cs="Times New Roman"/>
                <w:b/>
                <w:bCs/>
                <w:sz w:val="20"/>
                <w:szCs w:val="20"/>
              </w:rPr>
            </w:pPr>
            <w:r w:rsidRPr="009B5DE5">
              <w:rPr>
                <w:rFonts w:eastAsia="Times New Roman" w:cs="Times New Roman"/>
                <w:b/>
                <w:bCs/>
                <w:sz w:val="20"/>
                <w:szCs w:val="20"/>
              </w:rPr>
              <w:t>Димензија</w:t>
            </w:r>
          </w:p>
        </w:tc>
        <w:tc>
          <w:tcPr>
            <w:tcW w:w="988" w:type="dxa"/>
            <w:tcBorders>
              <w:top w:val="double" w:sz="6" w:space="0" w:color="auto"/>
              <w:left w:val="nil"/>
              <w:bottom w:val="double" w:sz="6" w:space="0" w:color="auto"/>
              <w:right w:val="dashed" w:sz="4" w:space="0" w:color="auto"/>
            </w:tcBorders>
            <w:shd w:val="clear" w:color="auto" w:fill="auto"/>
            <w:noWrap/>
            <w:vAlign w:val="center"/>
            <w:hideMark/>
          </w:tcPr>
          <w:p w14:paraId="71AAF534"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2023</w:t>
            </w:r>
          </w:p>
        </w:tc>
        <w:tc>
          <w:tcPr>
            <w:tcW w:w="988" w:type="dxa"/>
            <w:tcBorders>
              <w:top w:val="double" w:sz="6" w:space="0" w:color="auto"/>
              <w:left w:val="nil"/>
              <w:bottom w:val="double" w:sz="6" w:space="0" w:color="auto"/>
              <w:right w:val="dashed" w:sz="4" w:space="0" w:color="auto"/>
            </w:tcBorders>
            <w:shd w:val="clear" w:color="auto" w:fill="auto"/>
            <w:noWrap/>
            <w:vAlign w:val="center"/>
            <w:hideMark/>
          </w:tcPr>
          <w:p w14:paraId="468DAFFF"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2024</w:t>
            </w:r>
          </w:p>
        </w:tc>
        <w:tc>
          <w:tcPr>
            <w:tcW w:w="988" w:type="dxa"/>
            <w:tcBorders>
              <w:top w:val="double" w:sz="6" w:space="0" w:color="auto"/>
              <w:left w:val="nil"/>
              <w:bottom w:val="double" w:sz="6" w:space="0" w:color="auto"/>
              <w:right w:val="dashed" w:sz="4" w:space="0" w:color="auto"/>
            </w:tcBorders>
            <w:shd w:val="clear" w:color="auto" w:fill="auto"/>
            <w:noWrap/>
            <w:vAlign w:val="center"/>
            <w:hideMark/>
          </w:tcPr>
          <w:p w14:paraId="44A596E3"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2025</w:t>
            </w:r>
          </w:p>
        </w:tc>
        <w:tc>
          <w:tcPr>
            <w:tcW w:w="988" w:type="dxa"/>
            <w:tcBorders>
              <w:top w:val="double" w:sz="6" w:space="0" w:color="auto"/>
              <w:left w:val="nil"/>
              <w:bottom w:val="double" w:sz="6" w:space="0" w:color="auto"/>
              <w:right w:val="dashed" w:sz="4" w:space="0" w:color="auto"/>
            </w:tcBorders>
            <w:shd w:val="clear" w:color="auto" w:fill="auto"/>
            <w:noWrap/>
            <w:vAlign w:val="center"/>
            <w:hideMark/>
          </w:tcPr>
          <w:p w14:paraId="1F9A66B9"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2026</w:t>
            </w:r>
          </w:p>
        </w:tc>
        <w:tc>
          <w:tcPr>
            <w:tcW w:w="988" w:type="dxa"/>
            <w:tcBorders>
              <w:top w:val="double" w:sz="6" w:space="0" w:color="auto"/>
              <w:left w:val="nil"/>
              <w:bottom w:val="double" w:sz="6" w:space="0" w:color="auto"/>
              <w:right w:val="double" w:sz="6" w:space="0" w:color="auto"/>
            </w:tcBorders>
            <w:shd w:val="clear" w:color="auto" w:fill="auto"/>
            <w:noWrap/>
            <w:vAlign w:val="center"/>
            <w:hideMark/>
          </w:tcPr>
          <w:p w14:paraId="01637C09" w14:textId="77777777" w:rsidR="009B5DE5" w:rsidRPr="009B5DE5" w:rsidRDefault="009B5DE5" w:rsidP="009B5DE5">
            <w:pPr>
              <w:spacing w:after="0"/>
              <w:jc w:val="right"/>
              <w:rPr>
                <w:rFonts w:eastAsia="Times New Roman" w:cs="Times New Roman"/>
                <w:b/>
                <w:bCs/>
                <w:sz w:val="20"/>
                <w:szCs w:val="20"/>
              </w:rPr>
            </w:pPr>
            <w:r w:rsidRPr="009B5DE5">
              <w:rPr>
                <w:rFonts w:eastAsia="Times New Roman" w:cs="Times New Roman"/>
                <w:b/>
                <w:bCs/>
                <w:sz w:val="20"/>
                <w:szCs w:val="20"/>
              </w:rPr>
              <w:t>2027</w:t>
            </w:r>
          </w:p>
        </w:tc>
      </w:tr>
      <w:tr w:rsidR="009B5DE5" w:rsidRPr="009B5DE5" w14:paraId="412C3C2F" w14:textId="77777777" w:rsidTr="001B3328">
        <w:trPr>
          <w:trHeight w:val="331"/>
        </w:trPr>
        <w:tc>
          <w:tcPr>
            <w:tcW w:w="7105" w:type="dxa"/>
            <w:tcBorders>
              <w:top w:val="nil"/>
              <w:left w:val="double" w:sz="6" w:space="0" w:color="auto"/>
              <w:bottom w:val="dotted" w:sz="4" w:space="0" w:color="auto"/>
              <w:right w:val="nil"/>
            </w:tcBorders>
            <w:shd w:val="clear" w:color="auto" w:fill="auto"/>
            <w:vAlign w:val="bottom"/>
            <w:hideMark/>
          </w:tcPr>
          <w:p w14:paraId="13078550"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 xml:space="preserve">Краткорочна каматна стопа </w:t>
            </w:r>
          </w:p>
        </w:tc>
        <w:tc>
          <w:tcPr>
            <w:tcW w:w="2940" w:type="dxa"/>
            <w:tcBorders>
              <w:top w:val="double" w:sz="6" w:space="0" w:color="auto"/>
              <w:left w:val="single" w:sz="4" w:space="0" w:color="auto"/>
              <w:bottom w:val="dotted" w:sz="4" w:space="0" w:color="auto"/>
              <w:right w:val="single" w:sz="8" w:space="0" w:color="000000"/>
            </w:tcBorders>
            <w:shd w:val="clear" w:color="auto" w:fill="auto"/>
            <w:vAlign w:val="bottom"/>
            <w:hideMark/>
          </w:tcPr>
          <w:p w14:paraId="22920822" w14:textId="77777777" w:rsidR="009B5DE5" w:rsidRPr="009B5DE5" w:rsidRDefault="009B5DE5" w:rsidP="009B5DE5">
            <w:pPr>
              <w:spacing w:after="0"/>
              <w:jc w:val="center"/>
              <w:rPr>
                <w:rFonts w:eastAsia="Times New Roman" w:cs="Times New Roman"/>
                <w:sz w:val="18"/>
                <w:szCs w:val="18"/>
              </w:rPr>
            </w:pPr>
            <w:r w:rsidRPr="009B5DE5">
              <w:rPr>
                <w:rFonts w:eastAsia="Times New Roman" w:cs="Times New Roman"/>
                <w:sz w:val="18"/>
                <w:szCs w:val="18"/>
              </w:rPr>
              <w:t>Год. просек</w:t>
            </w:r>
          </w:p>
        </w:tc>
        <w:tc>
          <w:tcPr>
            <w:tcW w:w="988" w:type="dxa"/>
            <w:tcBorders>
              <w:top w:val="single" w:sz="8" w:space="0" w:color="000000"/>
              <w:left w:val="nil"/>
              <w:bottom w:val="dotted" w:sz="4" w:space="0" w:color="auto"/>
              <w:right w:val="dotted" w:sz="4" w:space="0" w:color="auto"/>
            </w:tcBorders>
            <w:shd w:val="clear" w:color="auto" w:fill="auto"/>
            <w:vAlign w:val="center"/>
            <w:hideMark/>
          </w:tcPr>
          <w:p w14:paraId="574ED16C" w14:textId="77777777" w:rsidR="009B5DE5" w:rsidRPr="009B5DE5" w:rsidRDefault="009B5DE5" w:rsidP="009B5DE5">
            <w:pPr>
              <w:spacing w:after="0"/>
              <w:jc w:val="center"/>
              <w:rPr>
                <w:rFonts w:eastAsia="Times New Roman" w:cs="Times New Roman"/>
                <w:color w:val="000000"/>
                <w:sz w:val="23"/>
                <w:szCs w:val="23"/>
              </w:rPr>
            </w:pPr>
            <w:r w:rsidRPr="009B5DE5">
              <w:rPr>
                <w:rFonts w:eastAsia="Times New Roman" w:cs="Times New Roman"/>
                <w:color w:val="000000"/>
                <w:sz w:val="23"/>
                <w:szCs w:val="23"/>
              </w:rPr>
              <w:t> </w:t>
            </w:r>
          </w:p>
        </w:tc>
        <w:tc>
          <w:tcPr>
            <w:tcW w:w="988" w:type="dxa"/>
            <w:tcBorders>
              <w:top w:val="single" w:sz="8" w:space="0" w:color="000000"/>
              <w:left w:val="nil"/>
              <w:bottom w:val="dotted" w:sz="4" w:space="0" w:color="auto"/>
              <w:right w:val="dotted" w:sz="4" w:space="0" w:color="auto"/>
            </w:tcBorders>
            <w:shd w:val="clear" w:color="auto" w:fill="auto"/>
            <w:vAlign w:val="center"/>
            <w:hideMark/>
          </w:tcPr>
          <w:p w14:paraId="05C50A9C" w14:textId="77777777" w:rsidR="009B5DE5" w:rsidRPr="009B5DE5" w:rsidRDefault="009B5DE5" w:rsidP="009B5DE5">
            <w:pPr>
              <w:spacing w:after="0"/>
              <w:jc w:val="center"/>
              <w:rPr>
                <w:rFonts w:eastAsia="Times New Roman" w:cs="Times New Roman"/>
                <w:color w:val="000000"/>
                <w:sz w:val="23"/>
                <w:szCs w:val="23"/>
              </w:rPr>
            </w:pPr>
            <w:r w:rsidRPr="009B5DE5">
              <w:rPr>
                <w:rFonts w:eastAsia="Times New Roman" w:cs="Times New Roman"/>
                <w:color w:val="000000"/>
                <w:sz w:val="23"/>
                <w:szCs w:val="23"/>
              </w:rPr>
              <w:t> </w:t>
            </w:r>
          </w:p>
        </w:tc>
        <w:tc>
          <w:tcPr>
            <w:tcW w:w="988" w:type="dxa"/>
            <w:tcBorders>
              <w:top w:val="single" w:sz="8" w:space="0" w:color="000000"/>
              <w:left w:val="nil"/>
              <w:bottom w:val="dotted" w:sz="4" w:space="0" w:color="auto"/>
              <w:right w:val="dotted" w:sz="4" w:space="0" w:color="auto"/>
            </w:tcBorders>
            <w:shd w:val="clear" w:color="auto" w:fill="auto"/>
            <w:vAlign w:val="center"/>
            <w:hideMark/>
          </w:tcPr>
          <w:p w14:paraId="7334A523" w14:textId="77777777" w:rsidR="009B5DE5" w:rsidRPr="009B5DE5" w:rsidRDefault="009B5DE5" w:rsidP="009B5DE5">
            <w:pPr>
              <w:spacing w:after="0"/>
              <w:jc w:val="center"/>
              <w:rPr>
                <w:rFonts w:eastAsia="Times New Roman" w:cs="Times New Roman"/>
                <w:color w:val="000000"/>
                <w:sz w:val="23"/>
                <w:szCs w:val="23"/>
              </w:rPr>
            </w:pPr>
            <w:r w:rsidRPr="009B5DE5">
              <w:rPr>
                <w:rFonts w:eastAsia="Times New Roman" w:cs="Times New Roman"/>
                <w:color w:val="000000"/>
                <w:sz w:val="23"/>
                <w:szCs w:val="23"/>
              </w:rPr>
              <w:t> </w:t>
            </w:r>
          </w:p>
        </w:tc>
        <w:tc>
          <w:tcPr>
            <w:tcW w:w="988" w:type="dxa"/>
            <w:tcBorders>
              <w:top w:val="single" w:sz="8" w:space="0" w:color="000000"/>
              <w:left w:val="nil"/>
              <w:bottom w:val="dotted" w:sz="4" w:space="0" w:color="auto"/>
              <w:right w:val="dotted" w:sz="4" w:space="0" w:color="auto"/>
            </w:tcBorders>
            <w:shd w:val="clear" w:color="auto" w:fill="auto"/>
            <w:vAlign w:val="center"/>
            <w:hideMark/>
          </w:tcPr>
          <w:p w14:paraId="45B01ED5" w14:textId="77777777" w:rsidR="009B5DE5" w:rsidRPr="009B5DE5" w:rsidRDefault="009B5DE5" w:rsidP="009B5DE5">
            <w:pPr>
              <w:spacing w:after="0"/>
              <w:jc w:val="center"/>
              <w:rPr>
                <w:rFonts w:eastAsia="Times New Roman" w:cs="Times New Roman"/>
                <w:color w:val="000000"/>
                <w:sz w:val="23"/>
                <w:szCs w:val="23"/>
              </w:rPr>
            </w:pPr>
            <w:r w:rsidRPr="009B5DE5">
              <w:rPr>
                <w:rFonts w:eastAsia="Times New Roman" w:cs="Times New Roman"/>
                <w:color w:val="000000"/>
                <w:sz w:val="23"/>
                <w:szCs w:val="23"/>
              </w:rPr>
              <w:t> </w:t>
            </w:r>
          </w:p>
        </w:tc>
        <w:tc>
          <w:tcPr>
            <w:tcW w:w="988" w:type="dxa"/>
            <w:tcBorders>
              <w:top w:val="single" w:sz="8" w:space="0" w:color="000000"/>
              <w:left w:val="nil"/>
              <w:bottom w:val="dotted" w:sz="4" w:space="0" w:color="auto"/>
              <w:right w:val="double" w:sz="6" w:space="0" w:color="auto"/>
            </w:tcBorders>
            <w:shd w:val="clear" w:color="auto" w:fill="auto"/>
            <w:vAlign w:val="center"/>
            <w:hideMark/>
          </w:tcPr>
          <w:p w14:paraId="109BB99B" w14:textId="77777777" w:rsidR="009B5DE5" w:rsidRPr="009B5DE5" w:rsidRDefault="009B5DE5" w:rsidP="009B5DE5">
            <w:pPr>
              <w:spacing w:after="0"/>
              <w:jc w:val="center"/>
              <w:rPr>
                <w:rFonts w:eastAsia="Times New Roman" w:cs="Times New Roman"/>
                <w:color w:val="000000"/>
                <w:sz w:val="23"/>
                <w:szCs w:val="23"/>
              </w:rPr>
            </w:pPr>
            <w:r w:rsidRPr="009B5DE5">
              <w:rPr>
                <w:rFonts w:eastAsia="Times New Roman" w:cs="Times New Roman"/>
                <w:color w:val="000000"/>
                <w:sz w:val="23"/>
                <w:szCs w:val="23"/>
              </w:rPr>
              <w:t> </w:t>
            </w:r>
          </w:p>
        </w:tc>
      </w:tr>
      <w:tr w:rsidR="009B5DE5" w:rsidRPr="009B5DE5" w14:paraId="3D393573" w14:textId="77777777" w:rsidTr="001B3328">
        <w:trPr>
          <w:trHeight w:val="316"/>
        </w:trPr>
        <w:tc>
          <w:tcPr>
            <w:tcW w:w="7105" w:type="dxa"/>
            <w:tcBorders>
              <w:top w:val="nil"/>
              <w:left w:val="double" w:sz="6" w:space="0" w:color="auto"/>
              <w:bottom w:val="dotted" w:sz="4" w:space="0" w:color="auto"/>
              <w:right w:val="nil"/>
            </w:tcBorders>
            <w:shd w:val="clear" w:color="auto" w:fill="auto"/>
            <w:vAlign w:val="bottom"/>
            <w:hideMark/>
          </w:tcPr>
          <w:p w14:paraId="590DBED9"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Дугорочна каматна стопа</w:t>
            </w:r>
          </w:p>
        </w:tc>
        <w:tc>
          <w:tcPr>
            <w:tcW w:w="2940" w:type="dxa"/>
            <w:tcBorders>
              <w:top w:val="dotted" w:sz="4" w:space="0" w:color="auto"/>
              <w:left w:val="single" w:sz="4" w:space="0" w:color="auto"/>
              <w:bottom w:val="dotted" w:sz="4" w:space="0" w:color="auto"/>
              <w:right w:val="single" w:sz="8" w:space="0" w:color="000000"/>
            </w:tcBorders>
            <w:shd w:val="clear" w:color="auto" w:fill="auto"/>
            <w:vAlign w:val="bottom"/>
            <w:hideMark/>
          </w:tcPr>
          <w:p w14:paraId="7F5F7A9F" w14:textId="77777777" w:rsidR="009B5DE5" w:rsidRPr="009B5DE5" w:rsidRDefault="009B5DE5" w:rsidP="009B5DE5">
            <w:pPr>
              <w:spacing w:after="0"/>
              <w:jc w:val="center"/>
              <w:rPr>
                <w:rFonts w:eastAsia="Times New Roman" w:cs="Times New Roman"/>
                <w:sz w:val="18"/>
                <w:szCs w:val="18"/>
              </w:rPr>
            </w:pPr>
            <w:r w:rsidRPr="009B5DE5">
              <w:rPr>
                <w:rFonts w:eastAsia="Times New Roman" w:cs="Times New Roman"/>
                <w:sz w:val="18"/>
                <w:szCs w:val="18"/>
              </w:rPr>
              <w:t>Год. просек</w:t>
            </w:r>
          </w:p>
        </w:tc>
        <w:tc>
          <w:tcPr>
            <w:tcW w:w="988" w:type="dxa"/>
            <w:tcBorders>
              <w:top w:val="nil"/>
              <w:left w:val="nil"/>
              <w:bottom w:val="dotted" w:sz="4" w:space="0" w:color="auto"/>
              <w:right w:val="dotted" w:sz="4" w:space="0" w:color="auto"/>
            </w:tcBorders>
            <w:shd w:val="clear" w:color="auto" w:fill="auto"/>
            <w:vAlign w:val="center"/>
            <w:hideMark/>
          </w:tcPr>
          <w:p w14:paraId="0CF02644"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8" w:type="dxa"/>
            <w:tcBorders>
              <w:top w:val="nil"/>
              <w:left w:val="nil"/>
              <w:bottom w:val="dotted" w:sz="4" w:space="0" w:color="auto"/>
              <w:right w:val="dotted" w:sz="4" w:space="0" w:color="auto"/>
            </w:tcBorders>
            <w:shd w:val="clear" w:color="auto" w:fill="auto"/>
            <w:vAlign w:val="center"/>
            <w:hideMark/>
          </w:tcPr>
          <w:p w14:paraId="73F8C5F5"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8" w:type="dxa"/>
            <w:tcBorders>
              <w:top w:val="nil"/>
              <w:left w:val="nil"/>
              <w:bottom w:val="dotted" w:sz="4" w:space="0" w:color="auto"/>
              <w:right w:val="dotted" w:sz="4" w:space="0" w:color="auto"/>
            </w:tcBorders>
            <w:shd w:val="clear" w:color="auto" w:fill="auto"/>
            <w:vAlign w:val="center"/>
            <w:hideMark/>
          </w:tcPr>
          <w:p w14:paraId="29CF3E3E"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8" w:type="dxa"/>
            <w:tcBorders>
              <w:top w:val="nil"/>
              <w:left w:val="nil"/>
              <w:bottom w:val="dotted" w:sz="4" w:space="0" w:color="auto"/>
              <w:right w:val="dotted" w:sz="4" w:space="0" w:color="auto"/>
            </w:tcBorders>
            <w:shd w:val="clear" w:color="auto" w:fill="auto"/>
            <w:vAlign w:val="center"/>
            <w:hideMark/>
          </w:tcPr>
          <w:p w14:paraId="0E939C47"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8" w:type="dxa"/>
            <w:tcBorders>
              <w:top w:val="nil"/>
              <w:left w:val="nil"/>
              <w:bottom w:val="dotted" w:sz="4" w:space="0" w:color="auto"/>
              <w:right w:val="double" w:sz="6" w:space="0" w:color="auto"/>
            </w:tcBorders>
            <w:shd w:val="clear" w:color="auto" w:fill="auto"/>
            <w:vAlign w:val="center"/>
            <w:hideMark/>
          </w:tcPr>
          <w:p w14:paraId="4FDF1BC5" w14:textId="77777777" w:rsidR="009B5DE5" w:rsidRPr="009B5DE5" w:rsidRDefault="009B5DE5" w:rsidP="009B5DE5">
            <w:pPr>
              <w:spacing w:after="0"/>
              <w:jc w:val="center"/>
              <w:rPr>
                <w:rFonts w:eastAsia="Times New Roman" w:cs="Times New Roman"/>
                <w:color w:val="000000"/>
                <w:sz w:val="23"/>
                <w:szCs w:val="23"/>
              </w:rPr>
            </w:pPr>
            <w:r w:rsidRPr="009B5DE5">
              <w:rPr>
                <w:rFonts w:eastAsia="Times New Roman" w:cs="Times New Roman"/>
                <w:color w:val="000000"/>
                <w:sz w:val="23"/>
                <w:szCs w:val="23"/>
              </w:rPr>
              <w:t> </w:t>
            </w:r>
          </w:p>
        </w:tc>
      </w:tr>
      <w:tr w:rsidR="009B5DE5" w:rsidRPr="009B5DE5" w14:paraId="5A6D14D3" w14:textId="77777777" w:rsidTr="001B3328">
        <w:trPr>
          <w:trHeight w:val="316"/>
        </w:trPr>
        <w:tc>
          <w:tcPr>
            <w:tcW w:w="7105" w:type="dxa"/>
            <w:tcBorders>
              <w:top w:val="nil"/>
              <w:left w:val="double" w:sz="6" w:space="0" w:color="auto"/>
              <w:bottom w:val="dotted" w:sz="4" w:space="0" w:color="auto"/>
              <w:right w:val="nil"/>
            </w:tcBorders>
            <w:shd w:val="clear" w:color="auto" w:fill="auto"/>
            <w:vAlign w:val="bottom"/>
            <w:hideMark/>
          </w:tcPr>
          <w:p w14:paraId="56C4514C"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Курс УСД/ЕУР</w:t>
            </w:r>
          </w:p>
        </w:tc>
        <w:tc>
          <w:tcPr>
            <w:tcW w:w="2940" w:type="dxa"/>
            <w:tcBorders>
              <w:top w:val="dotted" w:sz="4" w:space="0" w:color="auto"/>
              <w:left w:val="single" w:sz="4" w:space="0" w:color="auto"/>
              <w:bottom w:val="dotted" w:sz="4" w:space="0" w:color="auto"/>
              <w:right w:val="single" w:sz="8" w:space="0" w:color="000000"/>
            </w:tcBorders>
            <w:shd w:val="clear" w:color="auto" w:fill="auto"/>
            <w:vAlign w:val="bottom"/>
            <w:hideMark/>
          </w:tcPr>
          <w:p w14:paraId="446FA641" w14:textId="77777777" w:rsidR="009B5DE5" w:rsidRPr="009B5DE5" w:rsidRDefault="009B5DE5" w:rsidP="009B5DE5">
            <w:pPr>
              <w:spacing w:after="0"/>
              <w:jc w:val="center"/>
              <w:rPr>
                <w:rFonts w:eastAsia="Times New Roman" w:cs="Times New Roman"/>
                <w:sz w:val="18"/>
                <w:szCs w:val="18"/>
              </w:rPr>
            </w:pPr>
            <w:r w:rsidRPr="009B5DE5">
              <w:rPr>
                <w:rFonts w:eastAsia="Times New Roman" w:cs="Times New Roman"/>
                <w:sz w:val="18"/>
                <w:szCs w:val="18"/>
              </w:rPr>
              <w:t>Год. просек</w:t>
            </w:r>
          </w:p>
        </w:tc>
        <w:tc>
          <w:tcPr>
            <w:tcW w:w="988" w:type="dxa"/>
            <w:tcBorders>
              <w:top w:val="nil"/>
              <w:left w:val="nil"/>
              <w:bottom w:val="dotted" w:sz="4" w:space="0" w:color="auto"/>
              <w:right w:val="dotted" w:sz="4" w:space="0" w:color="auto"/>
            </w:tcBorders>
            <w:shd w:val="clear" w:color="auto" w:fill="auto"/>
            <w:vAlign w:val="center"/>
            <w:hideMark/>
          </w:tcPr>
          <w:p w14:paraId="0A49D6B2"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8" w:type="dxa"/>
            <w:tcBorders>
              <w:top w:val="nil"/>
              <w:left w:val="nil"/>
              <w:bottom w:val="dotted" w:sz="4" w:space="0" w:color="auto"/>
              <w:right w:val="dotted" w:sz="4" w:space="0" w:color="auto"/>
            </w:tcBorders>
            <w:shd w:val="clear" w:color="auto" w:fill="auto"/>
            <w:vAlign w:val="center"/>
            <w:hideMark/>
          </w:tcPr>
          <w:p w14:paraId="4DBE1E4A"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8" w:type="dxa"/>
            <w:tcBorders>
              <w:top w:val="nil"/>
              <w:left w:val="nil"/>
              <w:bottom w:val="dotted" w:sz="4" w:space="0" w:color="auto"/>
              <w:right w:val="dotted" w:sz="4" w:space="0" w:color="auto"/>
            </w:tcBorders>
            <w:shd w:val="clear" w:color="auto" w:fill="auto"/>
            <w:vAlign w:val="center"/>
            <w:hideMark/>
          </w:tcPr>
          <w:p w14:paraId="119CDC7F"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8" w:type="dxa"/>
            <w:tcBorders>
              <w:top w:val="nil"/>
              <w:left w:val="nil"/>
              <w:bottom w:val="dotted" w:sz="4" w:space="0" w:color="auto"/>
              <w:right w:val="dotted" w:sz="4" w:space="0" w:color="auto"/>
            </w:tcBorders>
            <w:shd w:val="clear" w:color="auto" w:fill="auto"/>
            <w:vAlign w:val="center"/>
            <w:hideMark/>
          </w:tcPr>
          <w:p w14:paraId="49C39EEC"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8" w:type="dxa"/>
            <w:tcBorders>
              <w:top w:val="nil"/>
              <w:left w:val="nil"/>
              <w:bottom w:val="dotted" w:sz="4" w:space="0" w:color="auto"/>
              <w:right w:val="double" w:sz="6" w:space="0" w:color="auto"/>
            </w:tcBorders>
            <w:shd w:val="clear" w:color="auto" w:fill="auto"/>
            <w:vAlign w:val="center"/>
            <w:hideMark/>
          </w:tcPr>
          <w:p w14:paraId="70B492B5" w14:textId="77777777" w:rsidR="009B5DE5" w:rsidRPr="009B5DE5" w:rsidRDefault="009B5DE5" w:rsidP="009B5DE5">
            <w:pPr>
              <w:spacing w:after="0"/>
              <w:jc w:val="center"/>
              <w:rPr>
                <w:rFonts w:eastAsia="Times New Roman" w:cs="Times New Roman"/>
                <w:color w:val="000000"/>
                <w:sz w:val="23"/>
                <w:szCs w:val="23"/>
              </w:rPr>
            </w:pPr>
            <w:r w:rsidRPr="009B5DE5">
              <w:rPr>
                <w:rFonts w:eastAsia="Times New Roman" w:cs="Times New Roman"/>
                <w:color w:val="000000"/>
                <w:sz w:val="23"/>
                <w:szCs w:val="23"/>
              </w:rPr>
              <w:t> </w:t>
            </w:r>
          </w:p>
        </w:tc>
      </w:tr>
      <w:tr w:rsidR="009B5DE5" w:rsidRPr="009B5DE5" w14:paraId="1E006985" w14:textId="77777777" w:rsidTr="001B3328">
        <w:trPr>
          <w:trHeight w:val="316"/>
        </w:trPr>
        <w:tc>
          <w:tcPr>
            <w:tcW w:w="7105" w:type="dxa"/>
            <w:tcBorders>
              <w:top w:val="nil"/>
              <w:left w:val="double" w:sz="6" w:space="0" w:color="auto"/>
              <w:bottom w:val="dotted" w:sz="4" w:space="0" w:color="auto"/>
              <w:right w:val="nil"/>
            </w:tcBorders>
            <w:shd w:val="clear" w:color="auto" w:fill="auto"/>
            <w:vAlign w:val="bottom"/>
            <w:hideMark/>
          </w:tcPr>
          <w:p w14:paraId="25C4D239"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Номинални ефективни девизни курс</w:t>
            </w:r>
          </w:p>
        </w:tc>
        <w:tc>
          <w:tcPr>
            <w:tcW w:w="2940" w:type="dxa"/>
            <w:tcBorders>
              <w:top w:val="dotted" w:sz="4" w:space="0" w:color="auto"/>
              <w:left w:val="single" w:sz="4" w:space="0" w:color="auto"/>
              <w:bottom w:val="dotted" w:sz="4" w:space="0" w:color="auto"/>
              <w:right w:val="single" w:sz="8" w:space="0" w:color="000000"/>
            </w:tcBorders>
            <w:shd w:val="clear" w:color="auto" w:fill="auto"/>
            <w:vAlign w:val="bottom"/>
            <w:hideMark/>
          </w:tcPr>
          <w:p w14:paraId="0AC199F2" w14:textId="77777777" w:rsidR="009B5DE5" w:rsidRPr="009B5DE5" w:rsidRDefault="009B5DE5" w:rsidP="009B5DE5">
            <w:pPr>
              <w:spacing w:after="0"/>
              <w:jc w:val="center"/>
              <w:rPr>
                <w:rFonts w:eastAsia="Times New Roman" w:cs="Times New Roman"/>
                <w:sz w:val="18"/>
                <w:szCs w:val="18"/>
              </w:rPr>
            </w:pPr>
            <w:r w:rsidRPr="009B5DE5">
              <w:rPr>
                <w:rFonts w:eastAsia="Times New Roman" w:cs="Times New Roman"/>
                <w:sz w:val="18"/>
                <w:szCs w:val="18"/>
              </w:rPr>
              <w:t>Год. просек</w:t>
            </w:r>
          </w:p>
        </w:tc>
        <w:tc>
          <w:tcPr>
            <w:tcW w:w="988" w:type="dxa"/>
            <w:tcBorders>
              <w:top w:val="nil"/>
              <w:left w:val="nil"/>
              <w:bottom w:val="dotted" w:sz="4" w:space="0" w:color="auto"/>
              <w:right w:val="dotted" w:sz="4" w:space="0" w:color="auto"/>
            </w:tcBorders>
            <w:shd w:val="clear" w:color="auto" w:fill="auto"/>
            <w:vAlign w:val="center"/>
            <w:hideMark/>
          </w:tcPr>
          <w:p w14:paraId="403B8619"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8" w:type="dxa"/>
            <w:tcBorders>
              <w:top w:val="nil"/>
              <w:left w:val="nil"/>
              <w:bottom w:val="dotted" w:sz="4" w:space="0" w:color="auto"/>
              <w:right w:val="dotted" w:sz="4" w:space="0" w:color="auto"/>
            </w:tcBorders>
            <w:shd w:val="clear" w:color="auto" w:fill="auto"/>
            <w:vAlign w:val="center"/>
            <w:hideMark/>
          </w:tcPr>
          <w:p w14:paraId="469434DD"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8" w:type="dxa"/>
            <w:tcBorders>
              <w:top w:val="nil"/>
              <w:left w:val="nil"/>
              <w:bottom w:val="dotted" w:sz="4" w:space="0" w:color="auto"/>
              <w:right w:val="dotted" w:sz="4" w:space="0" w:color="auto"/>
            </w:tcBorders>
            <w:shd w:val="clear" w:color="auto" w:fill="auto"/>
            <w:vAlign w:val="center"/>
            <w:hideMark/>
          </w:tcPr>
          <w:p w14:paraId="3EBCDC93"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8" w:type="dxa"/>
            <w:tcBorders>
              <w:top w:val="nil"/>
              <w:left w:val="nil"/>
              <w:bottom w:val="dotted" w:sz="4" w:space="0" w:color="auto"/>
              <w:right w:val="dotted" w:sz="4" w:space="0" w:color="auto"/>
            </w:tcBorders>
            <w:shd w:val="clear" w:color="auto" w:fill="auto"/>
            <w:vAlign w:val="center"/>
            <w:hideMark/>
          </w:tcPr>
          <w:p w14:paraId="6E66C885"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8" w:type="dxa"/>
            <w:tcBorders>
              <w:top w:val="nil"/>
              <w:left w:val="nil"/>
              <w:bottom w:val="dotted" w:sz="4" w:space="0" w:color="auto"/>
              <w:right w:val="double" w:sz="6" w:space="0" w:color="auto"/>
            </w:tcBorders>
            <w:shd w:val="clear" w:color="auto" w:fill="auto"/>
            <w:vAlign w:val="center"/>
            <w:hideMark/>
          </w:tcPr>
          <w:p w14:paraId="78277D57" w14:textId="77777777" w:rsidR="009B5DE5" w:rsidRPr="009B5DE5" w:rsidRDefault="009B5DE5" w:rsidP="009B5DE5">
            <w:pPr>
              <w:spacing w:after="0"/>
              <w:jc w:val="center"/>
              <w:rPr>
                <w:rFonts w:eastAsia="Times New Roman" w:cs="Times New Roman"/>
                <w:color w:val="000000"/>
                <w:sz w:val="23"/>
                <w:szCs w:val="23"/>
              </w:rPr>
            </w:pPr>
            <w:r w:rsidRPr="009B5DE5">
              <w:rPr>
                <w:rFonts w:eastAsia="Times New Roman" w:cs="Times New Roman"/>
                <w:color w:val="000000"/>
                <w:sz w:val="23"/>
                <w:szCs w:val="23"/>
              </w:rPr>
              <w:t> </w:t>
            </w:r>
          </w:p>
        </w:tc>
      </w:tr>
      <w:tr w:rsidR="009B5DE5" w:rsidRPr="009B5DE5" w14:paraId="1E097D0E" w14:textId="77777777" w:rsidTr="001B3328">
        <w:trPr>
          <w:trHeight w:val="316"/>
        </w:trPr>
        <w:tc>
          <w:tcPr>
            <w:tcW w:w="7105" w:type="dxa"/>
            <w:tcBorders>
              <w:top w:val="nil"/>
              <w:left w:val="double" w:sz="6" w:space="0" w:color="auto"/>
              <w:bottom w:val="dotted" w:sz="4" w:space="0" w:color="auto"/>
              <w:right w:val="nil"/>
            </w:tcBorders>
            <w:shd w:val="clear" w:color="auto" w:fill="auto"/>
            <w:vAlign w:val="bottom"/>
            <w:hideMark/>
          </w:tcPr>
          <w:p w14:paraId="10DCD0FC"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Курс у односу на ЕУР</w:t>
            </w:r>
          </w:p>
        </w:tc>
        <w:tc>
          <w:tcPr>
            <w:tcW w:w="2940" w:type="dxa"/>
            <w:tcBorders>
              <w:top w:val="dotted" w:sz="4" w:space="0" w:color="auto"/>
              <w:left w:val="single" w:sz="4" w:space="0" w:color="auto"/>
              <w:bottom w:val="dotted" w:sz="4" w:space="0" w:color="auto"/>
              <w:right w:val="single" w:sz="8" w:space="0" w:color="000000"/>
            </w:tcBorders>
            <w:shd w:val="clear" w:color="auto" w:fill="auto"/>
            <w:vAlign w:val="bottom"/>
            <w:hideMark/>
          </w:tcPr>
          <w:p w14:paraId="024A19D5" w14:textId="77777777" w:rsidR="009B5DE5" w:rsidRPr="009B5DE5" w:rsidRDefault="009B5DE5" w:rsidP="009B5DE5">
            <w:pPr>
              <w:spacing w:after="0"/>
              <w:jc w:val="center"/>
              <w:rPr>
                <w:rFonts w:eastAsia="Times New Roman" w:cs="Times New Roman"/>
                <w:sz w:val="18"/>
                <w:szCs w:val="18"/>
              </w:rPr>
            </w:pPr>
            <w:r w:rsidRPr="009B5DE5">
              <w:rPr>
                <w:rFonts w:eastAsia="Times New Roman" w:cs="Times New Roman"/>
                <w:sz w:val="18"/>
                <w:szCs w:val="18"/>
              </w:rPr>
              <w:t>Год. просек</w:t>
            </w:r>
          </w:p>
        </w:tc>
        <w:tc>
          <w:tcPr>
            <w:tcW w:w="988" w:type="dxa"/>
            <w:tcBorders>
              <w:top w:val="nil"/>
              <w:left w:val="nil"/>
              <w:bottom w:val="dotted" w:sz="4" w:space="0" w:color="auto"/>
              <w:right w:val="dotted" w:sz="4" w:space="0" w:color="auto"/>
            </w:tcBorders>
            <w:shd w:val="clear" w:color="auto" w:fill="auto"/>
            <w:vAlign w:val="center"/>
            <w:hideMark/>
          </w:tcPr>
          <w:p w14:paraId="6FCDC263"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8" w:type="dxa"/>
            <w:tcBorders>
              <w:top w:val="nil"/>
              <w:left w:val="nil"/>
              <w:bottom w:val="dotted" w:sz="4" w:space="0" w:color="auto"/>
              <w:right w:val="dotted" w:sz="4" w:space="0" w:color="auto"/>
            </w:tcBorders>
            <w:shd w:val="clear" w:color="auto" w:fill="auto"/>
            <w:vAlign w:val="center"/>
            <w:hideMark/>
          </w:tcPr>
          <w:p w14:paraId="43A75125"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8" w:type="dxa"/>
            <w:tcBorders>
              <w:top w:val="nil"/>
              <w:left w:val="nil"/>
              <w:bottom w:val="dotted" w:sz="4" w:space="0" w:color="auto"/>
              <w:right w:val="dotted" w:sz="4" w:space="0" w:color="auto"/>
            </w:tcBorders>
            <w:shd w:val="clear" w:color="auto" w:fill="auto"/>
            <w:vAlign w:val="center"/>
            <w:hideMark/>
          </w:tcPr>
          <w:p w14:paraId="04E0C8B2"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8" w:type="dxa"/>
            <w:tcBorders>
              <w:top w:val="nil"/>
              <w:left w:val="nil"/>
              <w:bottom w:val="dotted" w:sz="4" w:space="0" w:color="auto"/>
              <w:right w:val="dotted" w:sz="4" w:space="0" w:color="auto"/>
            </w:tcBorders>
            <w:shd w:val="clear" w:color="auto" w:fill="auto"/>
            <w:vAlign w:val="center"/>
            <w:hideMark/>
          </w:tcPr>
          <w:p w14:paraId="3E7FF662"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8" w:type="dxa"/>
            <w:tcBorders>
              <w:top w:val="nil"/>
              <w:left w:val="nil"/>
              <w:bottom w:val="dotted" w:sz="4" w:space="0" w:color="auto"/>
              <w:right w:val="double" w:sz="6" w:space="0" w:color="auto"/>
            </w:tcBorders>
            <w:shd w:val="clear" w:color="auto" w:fill="auto"/>
            <w:vAlign w:val="center"/>
            <w:hideMark/>
          </w:tcPr>
          <w:p w14:paraId="4E1BDD66"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r>
      <w:tr w:rsidR="009B5DE5" w:rsidRPr="009B5DE5" w14:paraId="6524C454" w14:textId="77777777" w:rsidTr="001B3328">
        <w:trPr>
          <w:trHeight w:val="316"/>
        </w:trPr>
        <w:tc>
          <w:tcPr>
            <w:tcW w:w="7105" w:type="dxa"/>
            <w:tcBorders>
              <w:top w:val="nil"/>
              <w:left w:val="double" w:sz="6" w:space="0" w:color="auto"/>
              <w:bottom w:val="dotted" w:sz="4" w:space="0" w:color="auto"/>
              <w:right w:val="nil"/>
            </w:tcBorders>
            <w:shd w:val="clear" w:color="auto" w:fill="auto"/>
            <w:vAlign w:val="bottom"/>
            <w:hideMark/>
          </w:tcPr>
          <w:p w14:paraId="6D0F443F"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Раст светског БДП-а, без ЕУ</w:t>
            </w:r>
          </w:p>
        </w:tc>
        <w:tc>
          <w:tcPr>
            <w:tcW w:w="2940" w:type="dxa"/>
            <w:tcBorders>
              <w:top w:val="dotted" w:sz="4" w:space="0" w:color="auto"/>
              <w:left w:val="single" w:sz="4" w:space="0" w:color="auto"/>
              <w:bottom w:val="dotted" w:sz="4" w:space="0" w:color="auto"/>
              <w:right w:val="single" w:sz="8" w:space="0" w:color="000000"/>
            </w:tcBorders>
            <w:shd w:val="clear" w:color="auto" w:fill="auto"/>
            <w:vAlign w:val="bottom"/>
            <w:hideMark/>
          </w:tcPr>
          <w:p w14:paraId="7DBA0DA2" w14:textId="77777777" w:rsidR="009B5DE5" w:rsidRPr="009B5DE5" w:rsidRDefault="009B5DE5" w:rsidP="009B5DE5">
            <w:pPr>
              <w:spacing w:after="0"/>
              <w:jc w:val="center"/>
              <w:rPr>
                <w:rFonts w:eastAsia="Times New Roman" w:cs="Times New Roman"/>
                <w:sz w:val="18"/>
                <w:szCs w:val="18"/>
              </w:rPr>
            </w:pPr>
            <w:r w:rsidRPr="009B5DE5">
              <w:rPr>
                <w:rFonts w:eastAsia="Times New Roman" w:cs="Times New Roman"/>
                <w:sz w:val="18"/>
                <w:szCs w:val="18"/>
              </w:rPr>
              <w:t>Год. просек</w:t>
            </w:r>
          </w:p>
        </w:tc>
        <w:tc>
          <w:tcPr>
            <w:tcW w:w="988" w:type="dxa"/>
            <w:tcBorders>
              <w:top w:val="nil"/>
              <w:left w:val="nil"/>
              <w:bottom w:val="dotted" w:sz="4" w:space="0" w:color="auto"/>
              <w:right w:val="dotted" w:sz="4" w:space="0" w:color="auto"/>
            </w:tcBorders>
            <w:shd w:val="clear" w:color="auto" w:fill="auto"/>
            <w:vAlign w:val="center"/>
            <w:hideMark/>
          </w:tcPr>
          <w:p w14:paraId="65A9FDA7"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8" w:type="dxa"/>
            <w:tcBorders>
              <w:top w:val="nil"/>
              <w:left w:val="nil"/>
              <w:bottom w:val="dotted" w:sz="4" w:space="0" w:color="auto"/>
              <w:right w:val="dotted" w:sz="4" w:space="0" w:color="auto"/>
            </w:tcBorders>
            <w:shd w:val="clear" w:color="auto" w:fill="auto"/>
            <w:vAlign w:val="center"/>
            <w:hideMark/>
          </w:tcPr>
          <w:p w14:paraId="4574EEF9"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8" w:type="dxa"/>
            <w:tcBorders>
              <w:top w:val="nil"/>
              <w:left w:val="nil"/>
              <w:bottom w:val="dotted" w:sz="4" w:space="0" w:color="auto"/>
              <w:right w:val="dotted" w:sz="4" w:space="0" w:color="auto"/>
            </w:tcBorders>
            <w:shd w:val="clear" w:color="auto" w:fill="auto"/>
            <w:vAlign w:val="center"/>
            <w:hideMark/>
          </w:tcPr>
          <w:p w14:paraId="3200913D"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8" w:type="dxa"/>
            <w:tcBorders>
              <w:top w:val="nil"/>
              <w:left w:val="nil"/>
              <w:bottom w:val="dotted" w:sz="4" w:space="0" w:color="auto"/>
              <w:right w:val="dotted" w:sz="4" w:space="0" w:color="auto"/>
            </w:tcBorders>
            <w:shd w:val="clear" w:color="auto" w:fill="auto"/>
            <w:vAlign w:val="center"/>
            <w:hideMark/>
          </w:tcPr>
          <w:p w14:paraId="5AD08F46"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8" w:type="dxa"/>
            <w:tcBorders>
              <w:top w:val="nil"/>
              <w:left w:val="nil"/>
              <w:bottom w:val="dotted" w:sz="4" w:space="0" w:color="auto"/>
              <w:right w:val="double" w:sz="6" w:space="0" w:color="auto"/>
            </w:tcBorders>
            <w:shd w:val="clear" w:color="auto" w:fill="auto"/>
            <w:vAlign w:val="center"/>
            <w:hideMark/>
          </w:tcPr>
          <w:p w14:paraId="0E156087" w14:textId="77777777" w:rsidR="009B5DE5" w:rsidRPr="009B5DE5" w:rsidRDefault="009B5DE5" w:rsidP="009B5DE5">
            <w:pPr>
              <w:spacing w:after="0"/>
              <w:jc w:val="center"/>
              <w:rPr>
                <w:rFonts w:eastAsia="Times New Roman" w:cs="Times New Roman"/>
                <w:color w:val="000000"/>
                <w:sz w:val="23"/>
                <w:szCs w:val="23"/>
              </w:rPr>
            </w:pPr>
            <w:r w:rsidRPr="009B5DE5">
              <w:rPr>
                <w:rFonts w:eastAsia="Times New Roman" w:cs="Times New Roman"/>
                <w:color w:val="000000"/>
                <w:sz w:val="23"/>
                <w:szCs w:val="23"/>
              </w:rPr>
              <w:t> </w:t>
            </w:r>
          </w:p>
        </w:tc>
      </w:tr>
      <w:tr w:rsidR="009B5DE5" w:rsidRPr="009B5DE5" w14:paraId="0E53C991" w14:textId="77777777" w:rsidTr="001B3328">
        <w:trPr>
          <w:trHeight w:val="316"/>
        </w:trPr>
        <w:tc>
          <w:tcPr>
            <w:tcW w:w="7105" w:type="dxa"/>
            <w:tcBorders>
              <w:top w:val="nil"/>
              <w:left w:val="double" w:sz="6" w:space="0" w:color="auto"/>
              <w:bottom w:val="dotted" w:sz="4" w:space="0" w:color="auto"/>
              <w:right w:val="nil"/>
            </w:tcBorders>
            <w:shd w:val="clear" w:color="auto" w:fill="auto"/>
            <w:vAlign w:val="bottom"/>
            <w:hideMark/>
          </w:tcPr>
          <w:p w14:paraId="4E8CA793"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Раст БДП-а у ЕУ</w:t>
            </w:r>
          </w:p>
        </w:tc>
        <w:tc>
          <w:tcPr>
            <w:tcW w:w="2940" w:type="dxa"/>
            <w:tcBorders>
              <w:top w:val="dotted" w:sz="4" w:space="0" w:color="auto"/>
              <w:left w:val="single" w:sz="4" w:space="0" w:color="auto"/>
              <w:bottom w:val="dotted" w:sz="4" w:space="0" w:color="auto"/>
              <w:right w:val="single" w:sz="8" w:space="0" w:color="000000"/>
            </w:tcBorders>
            <w:shd w:val="clear" w:color="auto" w:fill="auto"/>
            <w:vAlign w:val="bottom"/>
            <w:hideMark/>
          </w:tcPr>
          <w:p w14:paraId="0505A32C" w14:textId="77777777" w:rsidR="009B5DE5" w:rsidRPr="009B5DE5" w:rsidRDefault="009B5DE5" w:rsidP="009B5DE5">
            <w:pPr>
              <w:spacing w:after="0"/>
              <w:jc w:val="center"/>
              <w:rPr>
                <w:rFonts w:eastAsia="Times New Roman" w:cs="Times New Roman"/>
                <w:sz w:val="18"/>
                <w:szCs w:val="18"/>
              </w:rPr>
            </w:pPr>
            <w:r w:rsidRPr="009B5DE5">
              <w:rPr>
                <w:rFonts w:eastAsia="Times New Roman" w:cs="Times New Roman"/>
                <w:sz w:val="18"/>
                <w:szCs w:val="18"/>
              </w:rPr>
              <w:t>Год. просек</w:t>
            </w:r>
          </w:p>
        </w:tc>
        <w:tc>
          <w:tcPr>
            <w:tcW w:w="988" w:type="dxa"/>
            <w:tcBorders>
              <w:top w:val="nil"/>
              <w:left w:val="nil"/>
              <w:bottom w:val="dotted" w:sz="4" w:space="0" w:color="auto"/>
              <w:right w:val="dotted" w:sz="4" w:space="0" w:color="auto"/>
            </w:tcBorders>
            <w:shd w:val="clear" w:color="auto" w:fill="auto"/>
            <w:vAlign w:val="center"/>
            <w:hideMark/>
          </w:tcPr>
          <w:p w14:paraId="4451909F"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8" w:type="dxa"/>
            <w:tcBorders>
              <w:top w:val="nil"/>
              <w:left w:val="nil"/>
              <w:bottom w:val="dotted" w:sz="4" w:space="0" w:color="auto"/>
              <w:right w:val="dotted" w:sz="4" w:space="0" w:color="auto"/>
            </w:tcBorders>
            <w:shd w:val="clear" w:color="auto" w:fill="auto"/>
            <w:vAlign w:val="center"/>
            <w:hideMark/>
          </w:tcPr>
          <w:p w14:paraId="0826021A"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8" w:type="dxa"/>
            <w:tcBorders>
              <w:top w:val="nil"/>
              <w:left w:val="nil"/>
              <w:bottom w:val="dotted" w:sz="4" w:space="0" w:color="auto"/>
              <w:right w:val="dotted" w:sz="4" w:space="0" w:color="auto"/>
            </w:tcBorders>
            <w:shd w:val="clear" w:color="auto" w:fill="auto"/>
            <w:vAlign w:val="center"/>
            <w:hideMark/>
          </w:tcPr>
          <w:p w14:paraId="352B46DC"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8" w:type="dxa"/>
            <w:tcBorders>
              <w:top w:val="nil"/>
              <w:left w:val="nil"/>
              <w:bottom w:val="dotted" w:sz="4" w:space="0" w:color="auto"/>
              <w:right w:val="dotted" w:sz="4" w:space="0" w:color="auto"/>
            </w:tcBorders>
            <w:shd w:val="clear" w:color="auto" w:fill="auto"/>
            <w:vAlign w:val="center"/>
            <w:hideMark/>
          </w:tcPr>
          <w:p w14:paraId="584A2E3A"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8" w:type="dxa"/>
            <w:tcBorders>
              <w:top w:val="nil"/>
              <w:left w:val="nil"/>
              <w:bottom w:val="dotted" w:sz="4" w:space="0" w:color="auto"/>
              <w:right w:val="double" w:sz="6" w:space="0" w:color="auto"/>
            </w:tcBorders>
            <w:shd w:val="clear" w:color="auto" w:fill="auto"/>
            <w:vAlign w:val="center"/>
            <w:hideMark/>
          </w:tcPr>
          <w:p w14:paraId="30DC4BC6" w14:textId="77777777" w:rsidR="009B5DE5" w:rsidRPr="009B5DE5" w:rsidRDefault="009B5DE5" w:rsidP="009B5DE5">
            <w:pPr>
              <w:spacing w:after="0"/>
              <w:jc w:val="center"/>
              <w:rPr>
                <w:rFonts w:eastAsia="Times New Roman" w:cs="Times New Roman"/>
                <w:color w:val="000000"/>
                <w:sz w:val="23"/>
                <w:szCs w:val="23"/>
              </w:rPr>
            </w:pPr>
            <w:r w:rsidRPr="009B5DE5">
              <w:rPr>
                <w:rFonts w:eastAsia="Times New Roman" w:cs="Times New Roman"/>
                <w:color w:val="000000"/>
                <w:sz w:val="23"/>
                <w:szCs w:val="23"/>
              </w:rPr>
              <w:t> </w:t>
            </w:r>
          </w:p>
        </w:tc>
      </w:tr>
      <w:tr w:rsidR="009B5DE5" w:rsidRPr="009B5DE5" w14:paraId="79764661" w14:textId="77777777" w:rsidTr="001B3328">
        <w:trPr>
          <w:trHeight w:val="316"/>
        </w:trPr>
        <w:tc>
          <w:tcPr>
            <w:tcW w:w="7105" w:type="dxa"/>
            <w:tcBorders>
              <w:top w:val="nil"/>
              <w:left w:val="double" w:sz="6" w:space="0" w:color="auto"/>
              <w:bottom w:val="dotted" w:sz="4" w:space="0" w:color="auto"/>
              <w:right w:val="nil"/>
            </w:tcBorders>
            <w:shd w:val="clear" w:color="auto" w:fill="auto"/>
            <w:vAlign w:val="bottom"/>
            <w:hideMark/>
          </w:tcPr>
          <w:p w14:paraId="3F6882F6"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Раст релевантних страних тржишта</w:t>
            </w:r>
          </w:p>
        </w:tc>
        <w:tc>
          <w:tcPr>
            <w:tcW w:w="2940" w:type="dxa"/>
            <w:tcBorders>
              <w:top w:val="dotted" w:sz="4" w:space="0" w:color="auto"/>
              <w:left w:val="single" w:sz="4" w:space="0" w:color="auto"/>
              <w:bottom w:val="dotted" w:sz="4" w:space="0" w:color="auto"/>
              <w:right w:val="single" w:sz="8" w:space="0" w:color="000000"/>
            </w:tcBorders>
            <w:shd w:val="clear" w:color="auto" w:fill="auto"/>
            <w:vAlign w:val="bottom"/>
            <w:hideMark/>
          </w:tcPr>
          <w:p w14:paraId="2774F58E" w14:textId="77777777" w:rsidR="009B5DE5" w:rsidRPr="009B5DE5" w:rsidRDefault="009B5DE5" w:rsidP="009B5DE5">
            <w:pPr>
              <w:spacing w:after="0"/>
              <w:jc w:val="center"/>
              <w:rPr>
                <w:rFonts w:eastAsia="Times New Roman" w:cs="Times New Roman"/>
                <w:sz w:val="18"/>
                <w:szCs w:val="18"/>
              </w:rPr>
            </w:pPr>
            <w:r w:rsidRPr="009B5DE5">
              <w:rPr>
                <w:rFonts w:eastAsia="Times New Roman" w:cs="Times New Roman"/>
                <w:sz w:val="18"/>
                <w:szCs w:val="18"/>
              </w:rPr>
              <w:t>Год. просек</w:t>
            </w:r>
          </w:p>
        </w:tc>
        <w:tc>
          <w:tcPr>
            <w:tcW w:w="988" w:type="dxa"/>
            <w:tcBorders>
              <w:top w:val="nil"/>
              <w:left w:val="nil"/>
              <w:bottom w:val="dotted" w:sz="4" w:space="0" w:color="auto"/>
              <w:right w:val="dotted" w:sz="4" w:space="0" w:color="auto"/>
            </w:tcBorders>
            <w:shd w:val="clear" w:color="auto" w:fill="auto"/>
            <w:vAlign w:val="center"/>
            <w:hideMark/>
          </w:tcPr>
          <w:p w14:paraId="4CFD086D" w14:textId="77777777" w:rsidR="009B5DE5" w:rsidRPr="009B5DE5" w:rsidRDefault="009B5DE5" w:rsidP="009B5DE5">
            <w:pPr>
              <w:spacing w:after="0"/>
              <w:jc w:val="center"/>
              <w:rPr>
                <w:rFonts w:eastAsia="Times New Roman" w:cs="Times New Roman"/>
                <w:color w:val="000000"/>
                <w:sz w:val="23"/>
                <w:szCs w:val="23"/>
              </w:rPr>
            </w:pPr>
            <w:r w:rsidRPr="009B5DE5">
              <w:rPr>
                <w:rFonts w:eastAsia="Times New Roman" w:cs="Times New Roman"/>
                <w:color w:val="000000"/>
                <w:sz w:val="23"/>
                <w:szCs w:val="23"/>
              </w:rPr>
              <w:t> </w:t>
            </w:r>
          </w:p>
        </w:tc>
        <w:tc>
          <w:tcPr>
            <w:tcW w:w="988" w:type="dxa"/>
            <w:tcBorders>
              <w:top w:val="nil"/>
              <w:left w:val="nil"/>
              <w:bottom w:val="dotted" w:sz="4" w:space="0" w:color="auto"/>
              <w:right w:val="dotted" w:sz="4" w:space="0" w:color="auto"/>
            </w:tcBorders>
            <w:shd w:val="clear" w:color="auto" w:fill="auto"/>
            <w:vAlign w:val="center"/>
            <w:hideMark/>
          </w:tcPr>
          <w:p w14:paraId="22390E26" w14:textId="77777777" w:rsidR="009B5DE5" w:rsidRPr="009B5DE5" w:rsidRDefault="009B5DE5" w:rsidP="009B5DE5">
            <w:pPr>
              <w:spacing w:after="0"/>
              <w:jc w:val="center"/>
              <w:rPr>
                <w:rFonts w:eastAsia="Times New Roman" w:cs="Times New Roman"/>
                <w:color w:val="000000"/>
                <w:sz w:val="23"/>
                <w:szCs w:val="23"/>
              </w:rPr>
            </w:pPr>
            <w:r w:rsidRPr="009B5DE5">
              <w:rPr>
                <w:rFonts w:eastAsia="Times New Roman" w:cs="Times New Roman"/>
                <w:color w:val="000000"/>
                <w:sz w:val="23"/>
                <w:szCs w:val="23"/>
              </w:rPr>
              <w:t> </w:t>
            </w:r>
          </w:p>
        </w:tc>
        <w:tc>
          <w:tcPr>
            <w:tcW w:w="988" w:type="dxa"/>
            <w:tcBorders>
              <w:top w:val="nil"/>
              <w:left w:val="nil"/>
              <w:bottom w:val="dotted" w:sz="4" w:space="0" w:color="auto"/>
              <w:right w:val="dotted" w:sz="4" w:space="0" w:color="auto"/>
            </w:tcBorders>
            <w:shd w:val="clear" w:color="auto" w:fill="auto"/>
            <w:vAlign w:val="center"/>
            <w:hideMark/>
          </w:tcPr>
          <w:p w14:paraId="01E08566" w14:textId="77777777" w:rsidR="009B5DE5" w:rsidRPr="009B5DE5" w:rsidRDefault="009B5DE5" w:rsidP="009B5DE5">
            <w:pPr>
              <w:spacing w:after="0"/>
              <w:jc w:val="center"/>
              <w:rPr>
                <w:rFonts w:eastAsia="Times New Roman" w:cs="Times New Roman"/>
                <w:color w:val="000000"/>
                <w:sz w:val="23"/>
                <w:szCs w:val="23"/>
              </w:rPr>
            </w:pPr>
            <w:r w:rsidRPr="009B5DE5">
              <w:rPr>
                <w:rFonts w:eastAsia="Times New Roman" w:cs="Times New Roman"/>
                <w:color w:val="000000"/>
                <w:sz w:val="23"/>
                <w:szCs w:val="23"/>
              </w:rPr>
              <w:t> </w:t>
            </w:r>
          </w:p>
        </w:tc>
        <w:tc>
          <w:tcPr>
            <w:tcW w:w="988" w:type="dxa"/>
            <w:tcBorders>
              <w:top w:val="nil"/>
              <w:left w:val="nil"/>
              <w:bottom w:val="dotted" w:sz="4" w:space="0" w:color="auto"/>
              <w:right w:val="dotted" w:sz="4" w:space="0" w:color="auto"/>
            </w:tcBorders>
            <w:shd w:val="clear" w:color="auto" w:fill="auto"/>
            <w:vAlign w:val="center"/>
            <w:hideMark/>
          </w:tcPr>
          <w:p w14:paraId="1D6A595F" w14:textId="77777777" w:rsidR="009B5DE5" w:rsidRPr="009B5DE5" w:rsidRDefault="009B5DE5" w:rsidP="009B5DE5">
            <w:pPr>
              <w:spacing w:after="0"/>
              <w:jc w:val="center"/>
              <w:rPr>
                <w:rFonts w:eastAsia="Times New Roman" w:cs="Times New Roman"/>
                <w:color w:val="000000"/>
                <w:sz w:val="23"/>
                <w:szCs w:val="23"/>
              </w:rPr>
            </w:pPr>
            <w:r w:rsidRPr="009B5DE5">
              <w:rPr>
                <w:rFonts w:eastAsia="Times New Roman" w:cs="Times New Roman"/>
                <w:color w:val="000000"/>
                <w:sz w:val="23"/>
                <w:szCs w:val="23"/>
              </w:rPr>
              <w:t> </w:t>
            </w:r>
          </w:p>
        </w:tc>
        <w:tc>
          <w:tcPr>
            <w:tcW w:w="988" w:type="dxa"/>
            <w:tcBorders>
              <w:top w:val="nil"/>
              <w:left w:val="nil"/>
              <w:bottom w:val="dotted" w:sz="4" w:space="0" w:color="auto"/>
              <w:right w:val="double" w:sz="6" w:space="0" w:color="auto"/>
            </w:tcBorders>
            <w:shd w:val="clear" w:color="auto" w:fill="auto"/>
            <w:vAlign w:val="center"/>
            <w:hideMark/>
          </w:tcPr>
          <w:p w14:paraId="13F357A6" w14:textId="77777777" w:rsidR="009B5DE5" w:rsidRPr="009B5DE5" w:rsidRDefault="009B5DE5" w:rsidP="009B5DE5">
            <w:pPr>
              <w:spacing w:after="0"/>
              <w:jc w:val="center"/>
              <w:rPr>
                <w:rFonts w:eastAsia="Times New Roman" w:cs="Times New Roman"/>
                <w:color w:val="000000"/>
                <w:sz w:val="23"/>
                <w:szCs w:val="23"/>
              </w:rPr>
            </w:pPr>
            <w:r w:rsidRPr="009B5DE5">
              <w:rPr>
                <w:rFonts w:eastAsia="Times New Roman" w:cs="Times New Roman"/>
                <w:color w:val="000000"/>
                <w:sz w:val="23"/>
                <w:szCs w:val="23"/>
              </w:rPr>
              <w:t> </w:t>
            </w:r>
          </w:p>
        </w:tc>
      </w:tr>
      <w:tr w:rsidR="009B5DE5" w:rsidRPr="009B5DE5" w14:paraId="79C272AC" w14:textId="77777777" w:rsidTr="001B3328">
        <w:trPr>
          <w:trHeight w:val="316"/>
        </w:trPr>
        <w:tc>
          <w:tcPr>
            <w:tcW w:w="7105" w:type="dxa"/>
            <w:tcBorders>
              <w:top w:val="nil"/>
              <w:left w:val="double" w:sz="6" w:space="0" w:color="auto"/>
              <w:bottom w:val="dotted" w:sz="4" w:space="0" w:color="auto"/>
              <w:right w:val="nil"/>
            </w:tcBorders>
            <w:shd w:val="clear" w:color="auto" w:fill="auto"/>
            <w:vAlign w:val="bottom"/>
            <w:hideMark/>
          </w:tcPr>
          <w:p w14:paraId="4976F797"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Обим светског увоза, без ЕУ</w:t>
            </w:r>
          </w:p>
        </w:tc>
        <w:tc>
          <w:tcPr>
            <w:tcW w:w="2940" w:type="dxa"/>
            <w:tcBorders>
              <w:top w:val="dotted" w:sz="4" w:space="0" w:color="auto"/>
              <w:left w:val="single" w:sz="4" w:space="0" w:color="auto"/>
              <w:bottom w:val="dotted" w:sz="4" w:space="0" w:color="auto"/>
              <w:right w:val="single" w:sz="8" w:space="0" w:color="000000"/>
            </w:tcBorders>
            <w:shd w:val="clear" w:color="auto" w:fill="auto"/>
            <w:vAlign w:val="bottom"/>
            <w:hideMark/>
          </w:tcPr>
          <w:p w14:paraId="74053B89" w14:textId="77777777" w:rsidR="009B5DE5" w:rsidRPr="009B5DE5" w:rsidRDefault="009B5DE5" w:rsidP="009B5DE5">
            <w:pPr>
              <w:spacing w:after="0"/>
              <w:jc w:val="center"/>
              <w:rPr>
                <w:rFonts w:eastAsia="Times New Roman" w:cs="Times New Roman"/>
                <w:sz w:val="18"/>
                <w:szCs w:val="18"/>
              </w:rPr>
            </w:pPr>
            <w:r w:rsidRPr="009B5DE5">
              <w:rPr>
                <w:rFonts w:eastAsia="Times New Roman" w:cs="Times New Roman"/>
                <w:sz w:val="18"/>
                <w:szCs w:val="18"/>
              </w:rPr>
              <w:t>Год. просек</w:t>
            </w:r>
          </w:p>
        </w:tc>
        <w:tc>
          <w:tcPr>
            <w:tcW w:w="988" w:type="dxa"/>
            <w:tcBorders>
              <w:top w:val="nil"/>
              <w:left w:val="nil"/>
              <w:bottom w:val="dotted" w:sz="4" w:space="0" w:color="auto"/>
              <w:right w:val="dotted" w:sz="4" w:space="0" w:color="auto"/>
            </w:tcBorders>
            <w:shd w:val="clear" w:color="auto" w:fill="auto"/>
            <w:vAlign w:val="center"/>
            <w:hideMark/>
          </w:tcPr>
          <w:p w14:paraId="07C9F541"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8" w:type="dxa"/>
            <w:tcBorders>
              <w:top w:val="nil"/>
              <w:left w:val="nil"/>
              <w:bottom w:val="dotted" w:sz="4" w:space="0" w:color="auto"/>
              <w:right w:val="dotted" w:sz="4" w:space="0" w:color="auto"/>
            </w:tcBorders>
            <w:shd w:val="clear" w:color="auto" w:fill="auto"/>
            <w:vAlign w:val="center"/>
            <w:hideMark/>
          </w:tcPr>
          <w:p w14:paraId="69D2631A"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8" w:type="dxa"/>
            <w:tcBorders>
              <w:top w:val="nil"/>
              <w:left w:val="nil"/>
              <w:bottom w:val="dotted" w:sz="4" w:space="0" w:color="auto"/>
              <w:right w:val="dotted" w:sz="4" w:space="0" w:color="auto"/>
            </w:tcBorders>
            <w:shd w:val="clear" w:color="auto" w:fill="auto"/>
            <w:vAlign w:val="center"/>
            <w:hideMark/>
          </w:tcPr>
          <w:p w14:paraId="4730C7E4"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8" w:type="dxa"/>
            <w:tcBorders>
              <w:top w:val="nil"/>
              <w:left w:val="nil"/>
              <w:bottom w:val="dotted" w:sz="4" w:space="0" w:color="auto"/>
              <w:right w:val="dotted" w:sz="4" w:space="0" w:color="auto"/>
            </w:tcBorders>
            <w:shd w:val="clear" w:color="auto" w:fill="auto"/>
            <w:vAlign w:val="center"/>
            <w:hideMark/>
          </w:tcPr>
          <w:p w14:paraId="357161CD"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8" w:type="dxa"/>
            <w:tcBorders>
              <w:top w:val="nil"/>
              <w:left w:val="nil"/>
              <w:bottom w:val="dotted" w:sz="4" w:space="0" w:color="auto"/>
              <w:right w:val="double" w:sz="6" w:space="0" w:color="auto"/>
            </w:tcBorders>
            <w:shd w:val="clear" w:color="auto" w:fill="auto"/>
            <w:vAlign w:val="center"/>
            <w:hideMark/>
          </w:tcPr>
          <w:p w14:paraId="59C1C57F" w14:textId="77777777" w:rsidR="009B5DE5" w:rsidRPr="009B5DE5" w:rsidRDefault="009B5DE5" w:rsidP="009B5DE5">
            <w:pPr>
              <w:spacing w:after="0"/>
              <w:jc w:val="center"/>
              <w:rPr>
                <w:rFonts w:eastAsia="Times New Roman" w:cs="Times New Roman"/>
                <w:color w:val="000000"/>
                <w:sz w:val="23"/>
                <w:szCs w:val="23"/>
              </w:rPr>
            </w:pPr>
            <w:r w:rsidRPr="009B5DE5">
              <w:rPr>
                <w:rFonts w:eastAsia="Times New Roman" w:cs="Times New Roman"/>
                <w:color w:val="000000"/>
                <w:sz w:val="23"/>
                <w:szCs w:val="23"/>
              </w:rPr>
              <w:t> </w:t>
            </w:r>
          </w:p>
        </w:tc>
      </w:tr>
      <w:tr w:rsidR="009B5DE5" w:rsidRPr="009B5DE5" w14:paraId="73399B81" w14:textId="77777777" w:rsidTr="001B3328">
        <w:trPr>
          <w:trHeight w:val="331"/>
        </w:trPr>
        <w:tc>
          <w:tcPr>
            <w:tcW w:w="7105" w:type="dxa"/>
            <w:tcBorders>
              <w:top w:val="nil"/>
              <w:left w:val="double" w:sz="6" w:space="0" w:color="auto"/>
              <w:bottom w:val="double" w:sz="6" w:space="0" w:color="auto"/>
              <w:right w:val="nil"/>
            </w:tcBorders>
            <w:shd w:val="clear" w:color="auto" w:fill="auto"/>
            <w:vAlign w:val="bottom"/>
            <w:hideMark/>
          </w:tcPr>
          <w:p w14:paraId="33B63303" w14:textId="77777777" w:rsidR="009B5DE5" w:rsidRPr="009B5DE5" w:rsidRDefault="009B5DE5" w:rsidP="009B5DE5">
            <w:pPr>
              <w:spacing w:after="0"/>
              <w:jc w:val="left"/>
              <w:rPr>
                <w:rFonts w:eastAsia="Times New Roman" w:cs="Times New Roman"/>
                <w:sz w:val="20"/>
                <w:szCs w:val="20"/>
              </w:rPr>
            </w:pPr>
            <w:r w:rsidRPr="009B5DE5">
              <w:rPr>
                <w:rFonts w:eastAsia="Times New Roman" w:cs="Times New Roman"/>
                <w:sz w:val="20"/>
                <w:szCs w:val="20"/>
              </w:rPr>
              <w:t>Цене нафте (Брент, УСД/барел)</w:t>
            </w:r>
          </w:p>
        </w:tc>
        <w:tc>
          <w:tcPr>
            <w:tcW w:w="2940" w:type="dxa"/>
            <w:tcBorders>
              <w:top w:val="dotted" w:sz="4" w:space="0" w:color="auto"/>
              <w:left w:val="single" w:sz="4" w:space="0" w:color="auto"/>
              <w:bottom w:val="double" w:sz="6" w:space="0" w:color="auto"/>
              <w:right w:val="single" w:sz="8" w:space="0" w:color="000000"/>
            </w:tcBorders>
            <w:shd w:val="clear" w:color="auto" w:fill="auto"/>
            <w:vAlign w:val="bottom"/>
            <w:hideMark/>
          </w:tcPr>
          <w:p w14:paraId="6FCFBDBF" w14:textId="77777777" w:rsidR="009B5DE5" w:rsidRPr="009B5DE5" w:rsidRDefault="009B5DE5" w:rsidP="009B5DE5">
            <w:pPr>
              <w:spacing w:after="0"/>
              <w:jc w:val="center"/>
              <w:rPr>
                <w:rFonts w:eastAsia="Times New Roman" w:cs="Times New Roman"/>
                <w:sz w:val="18"/>
                <w:szCs w:val="18"/>
              </w:rPr>
            </w:pPr>
            <w:r w:rsidRPr="009B5DE5">
              <w:rPr>
                <w:rFonts w:eastAsia="Times New Roman" w:cs="Times New Roman"/>
                <w:sz w:val="18"/>
                <w:szCs w:val="18"/>
              </w:rPr>
              <w:t>Год. просек</w:t>
            </w:r>
          </w:p>
        </w:tc>
        <w:tc>
          <w:tcPr>
            <w:tcW w:w="988" w:type="dxa"/>
            <w:tcBorders>
              <w:top w:val="nil"/>
              <w:left w:val="nil"/>
              <w:bottom w:val="double" w:sz="6" w:space="0" w:color="auto"/>
              <w:right w:val="dotted" w:sz="4" w:space="0" w:color="auto"/>
            </w:tcBorders>
            <w:shd w:val="clear" w:color="auto" w:fill="auto"/>
            <w:vAlign w:val="center"/>
            <w:hideMark/>
          </w:tcPr>
          <w:p w14:paraId="0FAF496B"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8" w:type="dxa"/>
            <w:tcBorders>
              <w:top w:val="nil"/>
              <w:left w:val="nil"/>
              <w:bottom w:val="double" w:sz="6" w:space="0" w:color="auto"/>
              <w:right w:val="dotted" w:sz="4" w:space="0" w:color="auto"/>
            </w:tcBorders>
            <w:shd w:val="clear" w:color="auto" w:fill="auto"/>
            <w:vAlign w:val="center"/>
            <w:hideMark/>
          </w:tcPr>
          <w:p w14:paraId="52A03941"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8" w:type="dxa"/>
            <w:tcBorders>
              <w:top w:val="nil"/>
              <w:left w:val="nil"/>
              <w:bottom w:val="double" w:sz="6" w:space="0" w:color="auto"/>
              <w:right w:val="dotted" w:sz="4" w:space="0" w:color="auto"/>
            </w:tcBorders>
            <w:shd w:val="clear" w:color="auto" w:fill="auto"/>
            <w:vAlign w:val="center"/>
            <w:hideMark/>
          </w:tcPr>
          <w:p w14:paraId="67C152F8"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8" w:type="dxa"/>
            <w:tcBorders>
              <w:top w:val="nil"/>
              <w:left w:val="nil"/>
              <w:bottom w:val="double" w:sz="6" w:space="0" w:color="auto"/>
              <w:right w:val="dotted" w:sz="4" w:space="0" w:color="auto"/>
            </w:tcBorders>
            <w:shd w:val="clear" w:color="auto" w:fill="auto"/>
            <w:vAlign w:val="center"/>
            <w:hideMark/>
          </w:tcPr>
          <w:p w14:paraId="7E98E48F" w14:textId="77777777" w:rsidR="009B5DE5" w:rsidRPr="009B5DE5" w:rsidRDefault="009B5DE5" w:rsidP="009B5DE5">
            <w:pPr>
              <w:spacing w:after="0"/>
              <w:jc w:val="center"/>
              <w:rPr>
                <w:rFonts w:eastAsia="Times New Roman" w:cs="Times New Roman"/>
                <w:color w:val="000000"/>
                <w:sz w:val="20"/>
                <w:szCs w:val="20"/>
              </w:rPr>
            </w:pPr>
            <w:r w:rsidRPr="009B5DE5">
              <w:rPr>
                <w:rFonts w:eastAsia="Times New Roman" w:cs="Times New Roman"/>
                <w:color w:val="000000"/>
                <w:sz w:val="20"/>
                <w:szCs w:val="20"/>
              </w:rPr>
              <w:t> </w:t>
            </w:r>
          </w:p>
        </w:tc>
        <w:tc>
          <w:tcPr>
            <w:tcW w:w="988" w:type="dxa"/>
            <w:tcBorders>
              <w:top w:val="nil"/>
              <w:left w:val="nil"/>
              <w:bottom w:val="double" w:sz="6" w:space="0" w:color="auto"/>
              <w:right w:val="double" w:sz="6" w:space="0" w:color="auto"/>
            </w:tcBorders>
            <w:shd w:val="clear" w:color="auto" w:fill="auto"/>
            <w:vAlign w:val="center"/>
            <w:hideMark/>
          </w:tcPr>
          <w:p w14:paraId="4A853470" w14:textId="77777777" w:rsidR="009B5DE5" w:rsidRPr="009B5DE5" w:rsidRDefault="009B5DE5" w:rsidP="009B5DE5">
            <w:pPr>
              <w:spacing w:after="0"/>
              <w:jc w:val="center"/>
              <w:rPr>
                <w:rFonts w:eastAsia="Times New Roman" w:cs="Times New Roman"/>
                <w:color w:val="000000"/>
                <w:sz w:val="23"/>
                <w:szCs w:val="23"/>
              </w:rPr>
            </w:pPr>
            <w:r w:rsidRPr="009B5DE5">
              <w:rPr>
                <w:rFonts w:eastAsia="Times New Roman" w:cs="Times New Roman"/>
                <w:color w:val="000000"/>
                <w:sz w:val="23"/>
                <w:szCs w:val="23"/>
              </w:rPr>
              <w:t> </w:t>
            </w:r>
          </w:p>
        </w:tc>
      </w:tr>
    </w:tbl>
    <w:p w14:paraId="040F9682" w14:textId="77777777" w:rsidR="009B5DE5" w:rsidRDefault="009B5DE5" w:rsidP="009B5DE5">
      <w:pPr>
        <w:spacing w:after="160" w:line="259" w:lineRule="auto"/>
        <w:jc w:val="left"/>
        <w:rPr>
          <w:rFonts w:ascii="Calibri" w:eastAsia="Calibri" w:hAnsi="Calibri" w:cs="Times New Roman"/>
          <w:sz w:val="22"/>
          <w:lang w:val="sr-Cyrl-RS"/>
        </w:rPr>
      </w:pPr>
    </w:p>
    <w:p w14:paraId="650DA967" w14:textId="77777777" w:rsidR="00F829D4" w:rsidRDefault="00F829D4" w:rsidP="009B5DE5">
      <w:pPr>
        <w:spacing w:after="160" w:line="259" w:lineRule="auto"/>
        <w:jc w:val="left"/>
        <w:rPr>
          <w:rFonts w:ascii="Calibri" w:eastAsia="Calibri" w:hAnsi="Calibri" w:cs="Times New Roman"/>
          <w:sz w:val="22"/>
          <w:lang w:val="sr-Cyrl-RS"/>
        </w:rPr>
      </w:pPr>
    </w:p>
    <w:p w14:paraId="5828CCC0" w14:textId="77777777" w:rsidR="00F829D4" w:rsidRDefault="00F829D4" w:rsidP="009B5DE5">
      <w:pPr>
        <w:spacing w:after="160" w:line="259" w:lineRule="auto"/>
        <w:jc w:val="left"/>
        <w:rPr>
          <w:rFonts w:ascii="Calibri" w:eastAsia="Calibri" w:hAnsi="Calibri" w:cs="Times New Roman"/>
          <w:sz w:val="22"/>
          <w:lang w:val="sr-Cyrl-RS"/>
        </w:rPr>
      </w:pPr>
    </w:p>
    <w:p w14:paraId="3043D704" w14:textId="77777777" w:rsidR="00F829D4" w:rsidRDefault="00F829D4" w:rsidP="009B5DE5">
      <w:pPr>
        <w:spacing w:after="160" w:line="259" w:lineRule="auto"/>
        <w:jc w:val="left"/>
        <w:rPr>
          <w:rFonts w:ascii="Calibri" w:eastAsia="Calibri" w:hAnsi="Calibri" w:cs="Times New Roman"/>
          <w:sz w:val="22"/>
          <w:lang w:val="sr-Cyrl-RS"/>
        </w:rPr>
      </w:pPr>
    </w:p>
    <w:p w14:paraId="359C7232" w14:textId="77777777" w:rsidR="00F829D4" w:rsidRDefault="00F829D4" w:rsidP="009B5DE5">
      <w:pPr>
        <w:spacing w:after="160" w:line="259" w:lineRule="auto"/>
        <w:jc w:val="left"/>
        <w:rPr>
          <w:rFonts w:ascii="Calibri" w:eastAsia="Calibri" w:hAnsi="Calibri" w:cs="Times New Roman"/>
          <w:sz w:val="22"/>
          <w:lang w:val="sr-Cyrl-RS"/>
        </w:rPr>
      </w:pPr>
    </w:p>
    <w:p w14:paraId="4DD5B56A" w14:textId="77777777" w:rsidR="00F829D4" w:rsidRDefault="00F829D4" w:rsidP="009B5DE5">
      <w:pPr>
        <w:spacing w:after="160" w:line="259" w:lineRule="auto"/>
        <w:jc w:val="left"/>
        <w:rPr>
          <w:rFonts w:ascii="Calibri" w:eastAsia="Calibri" w:hAnsi="Calibri" w:cs="Times New Roman"/>
          <w:sz w:val="22"/>
          <w:lang w:val="sr-Cyrl-RS"/>
        </w:rPr>
      </w:pPr>
    </w:p>
    <w:p w14:paraId="1A9D87C4" w14:textId="77777777" w:rsidR="00F829D4" w:rsidRDefault="00F829D4" w:rsidP="009B5DE5">
      <w:pPr>
        <w:spacing w:after="160" w:line="259" w:lineRule="auto"/>
        <w:jc w:val="left"/>
        <w:rPr>
          <w:rFonts w:ascii="Calibri" w:eastAsia="Calibri" w:hAnsi="Calibri" w:cs="Times New Roman"/>
          <w:sz w:val="22"/>
          <w:lang w:val="sr-Cyrl-RS"/>
        </w:rPr>
      </w:pPr>
    </w:p>
    <w:p w14:paraId="286E1F08" w14:textId="77777777" w:rsidR="00F829D4" w:rsidRDefault="00F829D4" w:rsidP="009B5DE5">
      <w:pPr>
        <w:spacing w:after="160" w:line="259" w:lineRule="auto"/>
        <w:jc w:val="left"/>
        <w:rPr>
          <w:rFonts w:ascii="Calibri" w:eastAsia="Calibri" w:hAnsi="Calibri" w:cs="Times New Roman"/>
          <w:sz w:val="22"/>
          <w:lang w:val="sr-Cyrl-RS"/>
        </w:rPr>
      </w:pPr>
    </w:p>
    <w:p w14:paraId="23A92B8F" w14:textId="77777777" w:rsidR="00F829D4" w:rsidRDefault="00F829D4" w:rsidP="009B5DE5">
      <w:pPr>
        <w:spacing w:after="160" w:line="259" w:lineRule="auto"/>
        <w:jc w:val="left"/>
        <w:rPr>
          <w:rFonts w:ascii="Calibri" w:eastAsia="Calibri" w:hAnsi="Calibri" w:cs="Times New Roman"/>
          <w:sz w:val="22"/>
          <w:lang w:val="sr-Cyrl-RS"/>
        </w:rPr>
      </w:pPr>
    </w:p>
    <w:p w14:paraId="2BF8C286" w14:textId="77777777" w:rsidR="00F829D4" w:rsidRDefault="00F829D4" w:rsidP="009B5DE5">
      <w:pPr>
        <w:spacing w:after="160" w:line="259" w:lineRule="auto"/>
        <w:jc w:val="left"/>
        <w:rPr>
          <w:rFonts w:ascii="Calibri" w:eastAsia="Calibri" w:hAnsi="Calibri" w:cs="Times New Roman"/>
          <w:sz w:val="22"/>
          <w:lang w:val="sr-Cyrl-RS"/>
        </w:rPr>
      </w:pPr>
    </w:p>
    <w:p w14:paraId="518CDC7B" w14:textId="77777777" w:rsidR="009B5DE5" w:rsidRPr="009B5DE5" w:rsidRDefault="009B5DE5" w:rsidP="009B5DE5">
      <w:pPr>
        <w:pStyle w:val="Heading1"/>
        <w:spacing w:after="240"/>
        <w:rPr>
          <w:rFonts w:ascii="Times New Roman" w:eastAsiaTheme="minorHAnsi" w:hAnsi="Times New Roman" w:cs="Times New Roman"/>
          <w:b/>
          <w:color w:val="auto"/>
          <w:sz w:val="24"/>
          <w:szCs w:val="24"/>
          <w:lang w:val="sr-Latn-RS"/>
        </w:rPr>
      </w:pPr>
      <w:bookmarkStart w:id="242" w:name="_Toc185342430"/>
      <w:bookmarkStart w:id="243" w:name="_GoBack"/>
      <w:bookmarkEnd w:id="243"/>
      <w:r w:rsidRPr="009B5DE5">
        <w:rPr>
          <w:rFonts w:ascii="Times New Roman" w:eastAsiaTheme="minorHAnsi" w:hAnsi="Times New Roman" w:cs="Times New Roman"/>
          <w:b/>
          <w:color w:val="auto"/>
          <w:sz w:val="24"/>
          <w:szCs w:val="24"/>
          <w:lang w:val="sr-Latn-RS"/>
        </w:rPr>
        <w:lastRenderedPageBreak/>
        <w:t>АНЕКС 2: СПОЉНИ ДОПРИНОС ЕРП 2025-2027</w:t>
      </w:r>
      <w:bookmarkEnd w:id="242"/>
    </w:p>
    <w:p w14:paraId="23F34383" w14:textId="77777777" w:rsidR="009B5DE5" w:rsidRDefault="009B5DE5" w:rsidP="009B5DE5">
      <w:pPr>
        <w:rPr>
          <w:rFonts w:cs="Times New Roman"/>
          <w:szCs w:val="24"/>
        </w:rPr>
      </w:pPr>
    </w:p>
    <w:tbl>
      <w:tblPr>
        <w:tblStyle w:val="TableGrid"/>
        <w:tblW w:w="14601" w:type="dxa"/>
        <w:jc w:val="center"/>
        <w:tblLook w:val="04A0" w:firstRow="1" w:lastRow="0" w:firstColumn="1" w:lastColumn="0" w:noHBand="0" w:noVBand="1"/>
      </w:tblPr>
      <w:tblGrid>
        <w:gridCol w:w="1980"/>
        <w:gridCol w:w="3407"/>
        <w:gridCol w:w="3397"/>
        <w:gridCol w:w="1791"/>
        <w:gridCol w:w="4026"/>
      </w:tblGrid>
      <w:tr w:rsidR="009B5DE5" w14:paraId="43796444" w14:textId="77777777" w:rsidTr="00A55C9E">
        <w:trPr>
          <w:cnfStyle w:val="100000000000" w:firstRow="1" w:lastRow="0" w:firstColumn="0" w:lastColumn="0" w:oddVBand="0" w:evenVBand="0" w:oddHBand="0" w:evenHBand="0" w:firstRowFirstColumn="0" w:firstRowLastColumn="0" w:lastRowFirstColumn="0" w:lastRowLastColumn="0"/>
          <w:trHeight w:val="1741"/>
          <w:jc w:val="center"/>
        </w:trPr>
        <w:tc>
          <w:tcPr>
            <w:tcW w:w="1980" w:type="dxa"/>
          </w:tcPr>
          <w:p w14:paraId="4671B07C" w14:textId="77777777" w:rsidR="009B5DE5" w:rsidRPr="00380137" w:rsidRDefault="009B5DE5" w:rsidP="009B5DE5">
            <w:pPr>
              <w:pStyle w:val="Default"/>
              <w:jc w:val="center"/>
              <w:rPr>
                <w:rFonts w:ascii="Times New Roman" w:hAnsi="Times New Roman" w:cs="Times New Roman"/>
                <w:sz w:val="23"/>
                <w:szCs w:val="23"/>
              </w:rPr>
            </w:pPr>
            <w:r w:rsidRPr="00380137">
              <w:rPr>
                <w:rFonts w:ascii="Times New Roman" w:hAnsi="Times New Roman" w:cs="Times New Roman"/>
              </w:rPr>
              <w:t>Одељак области за примедбе</w:t>
            </w:r>
          </w:p>
        </w:tc>
        <w:tc>
          <w:tcPr>
            <w:tcW w:w="3407" w:type="dxa"/>
          </w:tcPr>
          <w:p w14:paraId="128C7238" w14:textId="77777777" w:rsidR="009B5DE5" w:rsidRPr="00380137" w:rsidRDefault="009B5DE5" w:rsidP="009B5DE5">
            <w:pPr>
              <w:pStyle w:val="Default"/>
              <w:jc w:val="center"/>
              <w:rPr>
                <w:rFonts w:ascii="Times New Roman" w:hAnsi="Times New Roman" w:cs="Times New Roman"/>
                <w:sz w:val="23"/>
                <w:szCs w:val="23"/>
              </w:rPr>
            </w:pPr>
            <w:r w:rsidRPr="00380137">
              <w:rPr>
                <w:rFonts w:ascii="Times New Roman" w:hAnsi="Times New Roman" w:cs="Times New Roman"/>
              </w:rPr>
              <w:t xml:space="preserve">Примљен коментар </w:t>
            </w:r>
            <w:r w:rsidRPr="00380137">
              <w:rPr>
                <w:rFonts w:ascii="Times New Roman" w:hAnsi="Times New Roman" w:cs="Times New Roman"/>
                <w:i/>
              </w:rPr>
              <w:t>(укључује датум пријема, формат коментара, главни садржај)</w:t>
            </w:r>
          </w:p>
        </w:tc>
        <w:tc>
          <w:tcPr>
            <w:tcW w:w="3397" w:type="dxa"/>
          </w:tcPr>
          <w:p w14:paraId="31069AC6" w14:textId="77777777" w:rsidR="009B5DE5" w:rsidRPr="00380137" w:rsidRDefault="00380137" w:rsidP="009B5DE5">
            <w:pPr>
              <w:pStyle w:val="Default"/>
              <w:jc w:val="center"/>
              <w:rPr>
                <w:rFonts w:ascii="Times New Roman" w:hAnsi="Times New Roman" w:cs="Times New Roman"/>
                <w:sz w:val="23"/>
                <w:szCs w:val="23"/>
              </w:rPr>
            </w:pPr>
            <w:r>
              <w:rPr>
                <w:rFonts w:ascii="Times New Roman" w:hAnsi="Times New Roman" w:cs="Times New Roman"/>
                <w:lang w:val="sr-Cyrl-RS"/>
              </w:rPr>
              <w:t>З</w:t>
            </w:r>
            <w:r w:rsidR="009B5DE5" w:rsidRPr="00380137">
              <w:rPr>
                <w:rFonts w:ascii="Times New Roman" w:hAnsi="Times New Roman" w:cs="Times New Roman"/>
              </w:rPr>
              <w:t xml:space="preserve">аинтересована страна </w:t>
            </w:r>
            <w:r w:rsidR="009B5DE5" w:rsidRPr="00380137">
              <w:rPr>
                <w:rFonts w:ascii="Times New Roman" w:hAnsi="Times New Roman" w:cs="Times New Roman"/>
                <w:i/>
              </w:rPr>
              <w:t>(укључује институцију, контакт особу и контакт податке)</w:t>
            </w:r>
          </w:p>
        </w:tc>
        <w:tc>
          <w:tcPr>
            <w:tcW w:w="1791" w:type="dxa"/>
          </w:tcPr>
          <w:p w14:paraId="656C5BE5" w14:textId="77777777" w:rsidR="009B5DE5" w:rsidRPr="00380137" w:rsidRDefault="009B5DE5" w:rsidP="009B5DE5">
            <w:pPr>
              <w:pStyle w:val="Default"/>
              <w:jc w:val="center"/>
              <w:rPr>
                <w:rFonts w:ascii="Times New Roman" w:hAnsi="Times New Roman" w:cs="Times New Roman"/>
                <w:i/>
              </w:rPr>
            </w:pPr>
            <w:r w:rsidRPr="00380137">
              <w:rPr>
                <w:rFonts w:ascii="Times New Roman" w:hAnsi="Times New Roman" w:cs="Times New Roman"/>
              </w:rPr>
              <w:t xml:space="preserve">Статус коментара </w:t>
            </w:r>
            <w:r w:rsidRPr="00380137">
              <w:rPr>
                <w:rFonts w:ascii="Times New Roman" w:hAnsi="Times New Roman" w:cs="Times New Roman"/>
                <w:i/>
              </w:rPr>
              <w:t>(прихваћен/</w:t>
            </w:r>
          </w:p>
          <w:p w14:paraId="090E425A" w14:textId="77777777" w:rsidR="009B5DE5" w:rsidRPr="00380137" w:rsidRDefault="009B5DE5" w:rsidP="009B5DE5">
            <w:pPr>
              <w:pStyle w:val="Default"/>
              <w:jc w:val="center"/>
              <w:rPr>
                <w:rFonts w:ascii="Times New Roman" w:hAnsi="Times New Roman" w:cs="Times New Roman"/>
                <w:sz w:val="23"/>
                <w:szCs w:val="23"/>
              </w:rPr>
            </w:pPr>
            <w:r w:rsidRPr="00380137">
              <w:rPr>
                <w:rFonts w:ascii="Times New Roman" w:hAnsi="Times New Roman" w:cs="Times New Roman"/>
                <w:i/>
              </w:rPr>
              <w:t>одбијен)</w:t>
            </w:r>
          </w:p>
        </w:tc>
        <w:tc>
          <w:tcPr>
            <w:tcW w:w="4026" w:type="dxa"/>
          </w:tcPr>
          <w:p w14:paraId="0314283A" w14:textId="77777777" w:rsidR="009B5DE5" w:rsidRPr="00380137" w:rsidRDefault="009B5DE5" w:rsidP="009B5DE5">
            <w:pPr>
              <w:jc w:val="center"/>
              <w:rPr>
                <w:rFonts w:cs="Times New Roman"/>
                <w:i/>
                <w:szCs w:val="24"/>
              </w:rPr>
            </w:pPr>
            <w:r w:rsidRPr="00380137">
              <w:rPr>
                <w:rFonts w:cs="Times New Roman"/>
                <w:szCs w:val="24"/>
              </w:rPr>
              <w:t xml:space="preserve">Коментар </w:t>
            </w:r>
            <w:r w:rsidRPr="00380137">
              <w:rPr>
                <w:rFonts w:cs="Times New Roman"/>
                <w:i/>
                <w:szCs w:val="24"/>
              </w:rPr>
              <w:t>(оправдање за прихватање/</w:t>
            </w:r>
          </w:p>
          <w:p w14:paraId="3757EF05" w14:textId="77777777" w:rsidR="009B5DE5" w:rsidRPr="00380137" w:rsidRDefault="009B5DE5" w:rsidP="009B5DE5">
            <w:pPr>
              <w:jc w:val="center"/>
              <w:rPr>
                <w:rFonts w:cs="Times New Roman"/>
                <w:szCs w:val="24"/>
              </w:rPr>
            </w:pPr>
            <w:r w:rsidRPr="00380137">
              <w:rPr>
                <w:rFonts w:cs="Times New Roman"/>
                <w:i/>
                <w:szCs w:val="24"/>
              </w:rPr>
              <w:t>одбијање)</w:t>
            </w:r>
          </w:p>
        </w:tc>
      </w:tr>
      <w:tr w:rsidR="009B5DE5" w14:paraId="427C9B6C" w14:textId="77777777" w:rsidTr="00A55C9E">
        <w:trPr>
          <w:jc w:val="center"/>
        </w:trPr>
        <w:tc>
          <w:tcPr>
            <w:tcW w:w="1980" w:type="dxa"/>
          </w:tcPr>
          <w:p w14:paraId="23086031" w14:textId="77777777" w:rsidR="009B5DE5" w:rsidRPr="00380137" w:rsidRDefault="009B5DE5" w:rsidP="009B5DE5">
            <w:pPr>
              <w:pStyle w:val="Default"/>
              <w:rPr>
                <w:rFonts w:ascii="Times New Roman" w:hAnsi="Times New Roman" w:cs="Times New Roman"/>
                <w:sz w:val="23"/>
                <w:szCs w:val="23"/>
                <w:lang w:val="sr-Cyrl-RS"/>
              </w:rPr>
            </w:pPr>
            <w:r w:rsidRPr="00380137">
              <w:rPr>
                <w:rFonts w:ascii="Times New Roman" w:hAnsi="Times New Roman" w:cs="Times New Roman"/>
              </w:rPr>
              <w:t>Макро-фискални оквир</w:t>
            </w:r>
          </w:p>
        </w:tc>
        <w:tc>
          <w:tcPr>
            <w:tcW w:w="3407" w:type="dxa"/>
          </w:tcPr>
          <w:p w14:paraId="135F0953" w14:textId="77777777" w:rsidR="009B5DE5" w:rsidRDefault="009B5DE5" w:rsidP="00A9310E">
            <w:pPr>
              <w:ind w:left="0" w:right="0"/>
              <w:rPr>
                <w:rFonts w:cs="Times New Roman"/>
                <w:szCs w:val="24"/>
                <w:lang w:val="sr-Cyrl-RS"/>
              </w:rPr>
            </w:pPr>
            <w:r>
              <w:rPr>
                <w:rFonts w:cs="Times New Roman"/>
                <w:szCs w:val="24"/>
                <w:lang w:val="sr-Cyrl-RS"/>
              </w:rPr>
              <w:t xml:space="preserve">Коментар примљен </w:t>
            </w:r>
            <w:r>
              <w:rPr>
                <w:rFonts w:cs="Times New Roman"/>
                <w:szCs w:val="24"/>
              </w:rPr>
              <w:t xml:space="preserve">6. </w:t>
            </w:r>
            <w:r>
              <w:rPr>
                <w:rFonts w:cs="Times New Roman"/>
                <w:szCs w:val="24"/>
                <w:lang w:val="sr-Cyrl-RS"/>
              </w:rPr>
              <w:t xml:space="preserve">децембра 2024. године, у електронској форми. </w:t>
            </w:r>
          </w:p>
          <w:p w14:paraId="3FF5809B" w14:textId="77777777" w:rsidR="009B5DE5" w:rsidRPr="00A16705" w:rsidRDefault="009B5DE5" w:rsidP="00A9310E">
            <w:pPr>
              <w:ind w:left="0" w:right="0"/>
              <w:rPr>
                <w:rFonts w:cs="Times New Roman"/>
                <w:szCs w:val="24"/>
                <w:lang w:val="sr-Cyrl-RS"/>
              </w:rPr>
            </w:pPr>
            <w:r>
              <w:rPr>
                <w:rFonts w:cs="Times New Roman"/>
                <w:szCs w:val="24"/>
                <w:lang w:val="sr-Cyrl-RS"/>
              </w:rPr>
              <w:t xml:space="preserve">Захтев да се </w:t>
            </w:r>
            <w:r w:rsidR="00A9310E">
              <w:rPr>
                <w:rFonts w:cs="Times New Roman"/>
                <w:szCs w:val="24"/>
                <w:lang w:val="sr-Cyrl-RS"/>
              </w:rPr>
              <w:t xml:space="preserve">наведе где је </w:t>
            </w:r>
            <w:r>
              <w:rPr>
                <w:rFonts w:cs="Times New Roman"/>
                <w:szCs w:val="24"/>
                <w:lang w:val="sr-Cyrl-RS"/>
              </w:rPr>
              <w:t xml:space="preserve">Програм </w:t>
            </w:r>
            <w:r w:rsidRPr="00A16705">
              <w:rPr>
                <w:rFonts w:cs="Times New Roman"/>
                <w:szCs w:val="24"/>
                <w:lang w:val="sr-Cyrl-RS"/>
              </w:rPr>
              <w:t>„</w:t>
            </w:r>
            <w:r>
              <w:rPr>
                <w:rFonts w:cs="Times New Roman"/>
                <w:szCs w:val="24"/>
                <w:lang w:val="sr-Cyrl-RS"/>
              </w:rPr>
              <w:t>Скок у будућност – Србија 2027“ доступ</w:t>
            </w:r>
            <w:r w:rsidR="00A9310E">
              <w:rPr>
                <w:rFonts w:cs="Times New Roman"/>
                <w:szCs w:val="24"/>
                <w:lang w:val="sr-Cyrl-RS"/>
              </w:rPr>
              <w:t>ан</w:t>
            </w:r>
            <w:r>
              <w:rPr>
                <w:rFonts w:cs="Times New Roman"/>
                <w:szCs w:val="24"/>
                <w:lang w:val="sr-Cyrl-RS"/>
              </w:rPr>
              <w:t xml:space="preserve"> на увид јавности.</w:t>
            </w:r>
          </w:p>
        </w:tc>
        <w:tc>
          <w:tcPr>
            <w:tcW w:w="3397" w:type="dxa"/>
          </w:tcPr>
          <w:p w14:paraId="485390C7" w14:textId="77777777" w:rsidR="00A9310E" w:rsidRDefault="009B5DE5" w:rsidP="00A9310E">
            <w:pPr>
              <w:jc w:val="left"/>
              <w:rPr>
                <w:rFonts w:cs="Times New Roman"/>
                <w:szCs w:val="24"/>
                <w:lang w:val="sr-Cyrl-RS"/>
              </w:rPr>
            </w:pPr>
            <w:r>
              <w:rPr>
                <w:rFonts w:cs="Times New Roman"/>
                <w:szCs w:val="24"/>
                <w:lang w:val="sr-Cyrl-RS"/>
              </w:rPr>
              <w:t xml:space="preserve">Транспарентност Србија (Немања Ненадић, електронска адреса: </w:t>
            </w:r>
            <w:hyperlink r:id="rId52" w:history="1">
              <w:r w:rsidRPr="005717F6">
                <w:rPr>
                  <w:rStyle w:val="Hyperlink"/>
                  <w:rFonts w:cs="Times New Roman"/>
                  <w:szCs w:val="24"/>
                  <w:lang w:val="sr-Cyrl-RS"/>
                </w:rPr>
                <w:t>ts@transparentnost.org.rs</w:t>
              </w:r>
            </w:hyperlink>
            <w:r>
              <w:rPr>
                <w:rFonts w:cs="Times New Roman"/>
                <w:szCs w:val="24"/>
                <w:lang w:val="sr-Cyrl-RS"/>
              </w:rPr>
              <w:t xml:space="preserve">, контакт телефон: </w:t>
            </w:r>
          </w:p>
          <w:p w14:paraId="48E5ED4C" w14:textId="77777777" w:rsidR="009B5DE5" w:rsidRDefault="009B5DE5" w:rsidP="00A9310E">
            <w:pPr>
              <w:jc w:val="left"/>
              <w:rPr>
                <w:rFonts w:cs="Times New Roman"/>
                <w:szCs w:val="24"/>
                <w:lang w:val="sr-Cyrl-RS"/>
              </w:rPr>
            </w:pPr>
            <w:r>
              <w:rPr>
                <w:rFonts w:cs="Times New Roman"/>
                <w:szCs w:val="24"/>
                <w:lang w:val="sr-Cyrl-RS"/>
              </w:rPr>
              <w:t>+381 11</w:t>
            </w:r>
            <w:r w:rsidRPr="00E12289">
              <w:rPr>
                <w:rFonts w:cs="Times New Roman"/>
                <w:szCs w:val="24"/>
                <w:lang w:val="sr-Cyrl-RS"/>
              </w:rPr>
              <w:t xml:space="preserve"> 303 38 27</w:t>
            </w:r>
          </w:p>
          <w:p w14:paraId="37CD4FA1" w14:textId="77777777" w:rsidR="009B5DE5" w:rsidRPr="00A16705" w:rsidRDefault="009B5DE5" w:rsidP="009B5DE5">
            <w:pPr>
              <w:rPr>
                <w:rFonts w:cs="Times New Roman"/>
                <w:szCs w:val="24"/>
                <w:lang w:val="sr-Cyrl-RS"/>
              </w:rPr>
            </w:pPr>
          </w:p>
        </w:tc>
        <w:tc>
          <w:tcPr>
            <w:tcW w:w="1791" w:type="dxa"/>
          </w:tcPr>
          <w:p w14:paraId="5A74B737" w14:textId="77777777" w:rsidR="009B5DE5" w:rsidRPr="004A2FA0" w:rsidRDefault="009B5DE5" w:rsidP="009B5DE5">
            <w:pPr>
              <w:rPr>
                <w:rFonts w:cs="Times New Roman"/>
                <w:szCs w:val="24"/>
                <w:highlight w:val="magenta"/>
                <w:lang w:val="sr-Cyrl-RS"/>
              </w:rPr>
            </w:pPr>
            <w:r w:rsidRPr="00A750D4">
              <w:rPr>
                <w:rFonts w:cs="Times New Roman"/>
                <w:szCs w:val="24"/>
                <w:lang w:val="sr-Cyrl-RS"/>
              </w:rPr>
              <w:t>Прихваћено</w:t>
            </w:r>
          </w:p>
        </w:tc>
        <w:tc>
          <w:tcPr>
            <w:tcW w:w="4026" w:type="dxa"/>
          </w:tcPr>
          <w:p w14:paraId="4AA5B01E" w14:textId="77777777" w:rsidR="009B5DE5" w:rsidRDefault="009B5DE5" w:rsidP="009B5DE5">
            <w:pPr>
              <w:rPr>
                <w:rFonts w:cs="Times New Roman"/>
                <w:szCs w:val="24"/>
                <w:lang w:val="sr-Cyrl-RS"/>
              </w:rPr>
            </w:pPr>
            <w:r w:rsidRPr="00A750D4">
              <w:rPr>
                <w:rFonts w:cs="Times New Roman"/>
                <w:szCs w:val="24"/>
              </w:rPr>
              <w:t>Програм</w:t>
            </w:r>
            <w:r w:rsidRPr="00A750D4">
              <w:rPr>
                <w:rFonts w:cs="Times New Roman"/>
                <w:szCs w:val="24"/>
                <w:lang w:val="sr-Cyrl-RS"/>
              </w:rPr>
              <w:t xml:space="preserve"> „</w:t>
            </w:r>
            <w:r w:rsidRPr="00A750D4">
              <w:rPr>
                <w:rFonts w:cs="Times New Roman"/>
                <w:szCs w:val="24"/>
              </w:rPr>
              <w:t xml:space="preserve">Скок у будућност – Србија 2027“ </w:t>
            </w:r>
            <w:r w:rsidRPr="00A750D4">
              <w:rPr>
                <w:rFonts w:cs="Times New Roman"/>
                <w:szCs w:val="24"/>
                <w:lang w:val="sr-Cyrl-RS"/>
              </w:rPr>
              <w:t>је</w:t>
            </w:r>
            <w:r w:rsidRPr="00A750D4">
              <w:rPr>
                <w:rFonts w:cs="Times New Roman"/>
                <w:szCs w:val="24"/>
              </w:rPr>
              <w:t xml:space="preserve"> објављен </w:t>
            </w:r>
            <w:r w:rsidRPr="00A750D4">
              <w:rPr>
                <w:rFonts w:cs="Times New Roman"/>
                <w:szCs w:val="24"/>
                <w:lang w:val="sr-Cyrl-RS"/>
              </w:rPr>
              <w:t xml:space="preserve">на следећем </w:t>
            </w:r>
            <w:r>
              <w:rPr>
                <w:rFonts w:cs="Times New Roman"/>
                <w:szCs w:val="24"/>
                <w:lang w:val="sr-Cyrl-RS"/>
              </w:rPr>
              <w:t>линку:</w:t>
            </w:r>
          </w:p>
          <w:p w14:paraId="51624165" w14:textId="77777777" w:rsidR="009B5DE5" w:rsidRDefault="009B5DE5" w:rsidP="009B5DE5">
            <w:pPr>
              <w:rPr>
                <w:color w:val="1F497D"/>
              </w:rPr>
            </w:pPr>
          </w:p>
          <w:p w14:paraId="41739902" w14:textId="77777777" w:rsidR="009B5DE5" w:rsidRDefault="00F03833" w:rsidP="009B5DE5">
            <w:pPr>
              <w:rPr>
                <w:color w:val="1F497D"/>
              </w:rPr>
            </w:pPr>
            <w:hyperlink r:id="rId53" w:history="1">
              <w:r w:rsidR="009B5DE5">
                <w:rPr>
                  <w:rStyle w:val="Hyperlink"/>
                </w:rPr>
                <w:t>https://srbija2027.gov.rs/</w:t>
              </w:r>
            </w:hyperlink>
            <w:r w:rsidR="009B5DE5">
              <w:rPr>
                <w:color w:val="1F497D"/>
              </w:rPr>
              <w:t xml:space="preserve"> </w:t>
            </w:r>
          </w:p>
          <w:p w14:paraId="0AC1A8FD" w14:textId="77777777" w:rsidR="009B5DE5" w:rsidRPr="007E629C" w:rsidRDefault="009B5DE5" w:rsidP="009B5DE5">
            <w:pPr>
              <w:rPr>
                <w:rFonts w:cs="Times New Roman"/>
                <w:szCs w:val="24"/>
                <w:highlight w:val="magenta"/>
                <w:lang w:val="sr-Cyrl-RS"/>
              </w:rPr>
            </w:pPr>
          </w:p>
        </w:tc>
      </w:tr>
      <w:tr w:rsidR="009B5DE5" w14:paraId="3E21EC93" w14:textId="77777777" w:rsidTr="00157B2E">
        <w:trPr>
          <w:trHeight w:hRule="exact" w:val="851"/>
          <w:jc w:val="center"/>
        </w:trPr>
        <w:tc>
          <w:tcPr>
            <w:tcW w:w="1980" w:type="dxa"/>
          </w:tcPr>
          <w:p w14:paraId="416349D6" w14:textId="77777777" w:rsidR="009B5DE5" w:rsidRPr="00380137" w:rsidRDefault="009B5DE5" w:rsidP="009B5DE5">
            <w:pPr>
              <w:rPr>
                <w:rFonts w:cs="Times New Roman"/>
                <w:szCs w:val="24"/>
              </w:rPr>
            </w:pPr>
            <w:r w:rsidRPr="00380137">
              <w:rPr>
                <w:rFonts w:cs="Times New Roman"/>
                <w:szCs w:val="24"/>
              </w:rPr>
              <w:t>Структурне реформе</w:t>
            </w:r>
          </w:p>
        </w:tc>
        <w:tc>
          <w:tcPr>
            <w:tcW w:w="3407" w:type="dxa"/>
          </w:tcPr>
          <w:p w14:paraId="19147B26" w14:textId="77777777" w:rsidR="009B5DE5" w:rsidRDefault="009B5DE5" w:rsidP="009B5DE5">
            <w:pPr>
              <w:rPr>
                <w:rFonts w:cs="Times New Roman"/>
                <w:szCs w:val="24"/>
              </w:rPr>
            </w:pPr>
          </w:p>
          <w:p w14:paraId="41C52391" w14:textId="77777777" w:rsidR="009B5DE5" w:rsidRDefault="009B5DE5" w:rsidP="009B5DE5">
            <w:pPr>
              <w:rPr>
                <w:rFonts w:cs="Times New Roman"/>
                <w:szCs w:val="24"/>
              </w:rPr>
            </w:pPr>
          </w:p>
          <w:p w14:paraId="42F24572" w14:textId="77777777" w:rsidR="009B5DE5" w:rsidRDefault="009B5DE5" w:rsidP="009B5DE5">
            <w:pPr>
              <w:rPr>
                <w:rFonts w:cs="Times New Roman"/>
                <w:szCs w:val="24"/>
              </w:rPr>
            </w:pPr>
          </w:p>
        </w:tc>
        <w:tc>
          <w:tcPr>
            <w:tcW w:w="3397" w:type="dxa"/>
          </w:tcPr>
          <w:p w14:paraId="635F0319" w14:textId="77777777" w:rsidR="009B5DE5" w:rsidRDefault="009B5DE5" w:rsidP="009B5DE5">
            <w:pPr>
              <w:rPr>
                <w:rFonts w:cs="Times New Roman"/>
                <w:szCs w:val="24"/>
              </w:rPr>
            </w:pPr>
          </w:p>
        </w:tc>
        <w:tc>
          <w:tcPr>
            <w:tcW w:w="1791" w:type="dxa"/>
          </w:tcPr>
          <w:p w14:paraId="4F06CA5F" w14:textId="77777777" w:rsidR="009B5DE5" w:rsidRDefault="009B5DE5" w:rsidP="009B5DE5">
            <w:pPr>
              <w:rPr>
                <w:rFonts w:cs="Times New Roman"/>
                <w:szCs w:val="24"/>
              </w:rPr>
            </w:pPr>
          </w:p>
        </w:tc>
        <w:tc>
          <w:tcPr>
            <w:tcW w:w="4026" w:type="dxa"/>
          </w:tcPr>
          <w:p w14:paraId="528E74C1" w14:textId="77777777" w:rsidR="009B5DE5" w:rsidRDefault="009B5DE5" w:rsidP="009B5DE5">
            <w:pPr>
              <w:rPr>
                <w:rFonts w:cs="Times New Roman"/>
                <w:szCs w:val="24"/>
              </w:rPr>
            </w:pPr>
          </w:p>
        </w:tc>
      </w:tr>
      <w:tr w:rsidR="009B5DE5" w14:paraId="43929BB1" w14:textId="77777777" w:rsidTr="00157B2E">
        <w:trPr>
          <w:trHeight w:hRule="exact" w:val="851"/>
          <w:jc w:val="center"/>
        </w:trPr>
        <w:tc>
          <w:tcPr>
            <w:tcW w:w="1980" w:type="dxa"/>
          </w:tcPr>
          <w:p w14:paraId="367DA2C9" w14:textId="77777777" w:rsidR="009B5DE5" w:rsidRPr="00380137" w:rsidRDefault="009B5DE5" w:rsidP="009B5DE5">
            <w:pPr>
              <w:pStyle w:val="Default"/>
              <w:rPr>
                <w:rFonts w:ascii="Times New Roman" w:hAnsi="Times New Roman" w:cs="Times New Roman"/>
              </w:rPr>
            </w:pPr>
            <w:r w:rsidRPr="00380137">
              <w:rPr>
                <w:rFonts w:ascii="Times New Roman" w:hAnsi="Times New Roman" w:cs="Times New Roman"/>
                <w:lang w:val="sr-Cyrl-RS"/>
              </w:rPr>
              <w:t xml:space="preserve">Реформска област </w:t>
            </w:r>
            <w:r w:rsidRPr="00380137">
              <w:rPr>
                <w:rFonts w:ascii="Times New Roman" w:hAnsi="Times New Roman" w:cs="Times New Roman"/>
              </w:rPr>
              <w:t xml:space="preserve"> </w:t>
            </w:r>
          </w:p>
        </w:tc>
        <w:tc>
          <w:tcPr>
            <w:tcW w:w="3407" w:type="dxa"/>
          </w:tcPr>
          <w:p w14:paraId="0CDADBA1" w14:textId="77777777" w:rsidR="009B5DE5" w:rsidRDefault="009B5DE5" w:rsidP="009B5DE5">
            <w:pPr>
              <w:rPr>
                <w:rFonts w:cs="Times New Roman"/>
                <w:szCs w:val="24"/>
              </w:rPr>
            </w:pPr>
          </w:p>
          <w:p w14:paraId="43286476" w14:textId="77777777" w:rsidR="009B5DE5" w:rsidRDefault="009B5DE5" w:rsidP="009B5DE5">
            <w:pPr>
              <w:rPr>
                <w:rFonts w:cs="Times New Roman"/>
                <w:szCs w:val="24"/>
              </w:rPr>
            </w:pPr>
          </w:p>
          <w:p w14:paraId="7FA2ECD0" w14:textId="77777777" w:rsidR="009B5DE5" w:rsidRDefault="009B5DE5" w:rsidP="009B5DE5">
            <w:pPr>
              <w:rPr>
                <w:rFonts w:cs="Times New Roman"/>
                <w:szCs w:val="24"/>
              </w:rPr>
            </w:pPr>
          </w:p>
        </w:tc>
        <w:tc>
          <w:tcPr>
            <w:tcW w:w="3397" w:type="dxa"/>
          </w:tcPr>
          <w:p w14:paraId="2863E19F" w14:textId="77777777" w:rsidR="009B5DE5" w:rsidRDefault="009B5DE5" w:rsidP="009B5DE5">
            <w:pPr>
              <w:rPr>
                <w:rFonts w:cs="Times New Roman"/>
                <w:szCs w:val="24"/>
              </w:rPr>
            </w:pPr>
          </w:p>
        </w:tc>
        <w:tc>
          <w:tcPr>
            <w:tcW w:w="1791" w:type="dxa"/>
          </w:tcPr>
          <w:p w14:paraId="1AD3668F" w14:textId="77777777" w:rsidR="009B5DE5" w:rsidRDefault="009B5DE5" w:rsidP="009B5DE5">
            <w:pPr>
              <w:rPr>
                <w:rFonts w:cs="Times New Roman"/>
                <w:szCs w:val="24"/>
              </w:rPr>
            </w:pPr>
          </w:p>
        </w:tc>
        <w:tc>
          <w:tcPr>
            <w:tcW w:w="4026" w:type="dxa"/>
          </w:tcPr>
          <w:p w14:paraId="3B122E9A" w14:textId="77777777" w:rsidR="009B5DE5" w:rsidRDefault="009B5DE5" w:rsidP="009B5DE5">
            <w:pPr>
              <w:rPr>
                <w:rFonts w:cs="Times New Roman"/>
                <w:szCs w:val="24"/>
              </w:rPr>
            </w:pPr>
          </w:p>
        </w:tc>
      </w:tr>
      <w:tr w:rsidR="009B5DE5" w14:paraId="28284B8B" w14:textId="77777777" w:rsidTr="00157B2E">
        <w:trPr>
          <w:trHeight w:hRule="exact" w:val="851"/>
          <w:jc w:val="center"/>
        </w:trPr>
        <w:tc>
          <w:tcPr>
            <w:tcW w:w="1980" w:type="dxa"/>
          </w:tcPr>
          <w:p w14:paraId="6A6BB5A8" w14:textId="77777777" w:rsidR="009B5DE5" w:rsidRPr="00380137" w:rsidRDefault="009B5DE5" w:rsidP="009B5DE5">
            <w:pPr>
              <w:pStyle w:val="Default"/>
              <w:rPr>
                <w:rFonts w:ascii="Times New Roman" w:hAnsi="Times New Roman" w:cs="Times New Roman"/>
              </w:rPr>
            </w:pPr>
            <w:r w:rsidRPr="00380137">
              <w:rPr>
                <w:rFonts w:ascii="Times New Roman" w:hAnsi="Times New Roman" w:cs="Times New Roman"/>
              </w:rPr>
              <w:t>Mера A</w:t>
            </w:r>
          </w:p>
        </w:tc>
        <w:tc>
          <w:tcPr>
            <w:tcW w:w="3407" w:type="dxa"/>
          </w:tcPr>
          <w:p w14:paraId="4124DE80" w14:textId="77777777" w:rsidR="009B5DE5" w:rsidRDefault="009B5DE5" w:rsidP="009B5DE5">
            <w:pPr>
              <w:rPr>
                <w:rFonts w:cs="Times New Roman"/>
                <w:szCs w:val="24"/>
              </w:rPr>
            </w:pPr>
          </w:p>
          <w:p w14:paraId="3E78A0A1" w14:textId="77777777" w:rsidR="009B5DE5" w:rsidRDefault="009B5DE5" w:rsidP="009B5DE5">
            <w:pPr>
              <w:rPr>
                <w:rFonts w:cs="Times New Roman"/>
                <w:szCs w:val="24"/>
              </w:rPr>
            </w:pPr>
          </w:p>
          <w:p w14:paraId="34B708F2" w14:textId="77777777" w:rsidR="009B5DE5" w:rsidRDefault="009B5DE5" w:rsidP="009B5DE5">
            <w:pPr>
              <w:rPr>
                <w:rFonts w:cs="Times New Roman"/>
                <w:szCs w:val="24"/>
              </w:rPr>
            </w:pPr>
          </w:p>
        </w:tc>
        <w:tc>
          <w:tcPr>
            <w:tcW w:w="3397" w:type="dxa"/>
          </w:tcPr>
          <w:p w14:paraId="6CDEF830" w14:textId="77777777" w:rsidR="009B5DE5" w:rsidRDefault="009B5DE5" w:rsidP="009B5DE5">
            <w:pPr>
              <w:rPr>
                <w:rFonts w:cs="Times New Roman"/>
                <w:szCs w:val="24"/>
              </w:rPr>
            </w:pPr>
          </w:p>
        </w:tc>
        <w:tc>
          <w:tcPr>
            <w:tcW w:w="1791" w:type="dxa"/>
          </w:tcPr>
          <w:p w14:paraId="40E44632" w14:textId="77777777" w:rsidR="009B5DE5" w:rsidRDefault="009B5DE5" w:rsidP="009B5DE5">
            <w:pPr>
              <w:rPr>
                <w:rFonts w:cs="Times New Roman"/>
                <w:szCs w:val="24"/>
              </w:rPr>
            </w:pPr>
          </w:p>
        </w:tc>
        <w:tc>
          <w:tcPr>
            <w:tcW w:w="4026" w:type="dxa"/>
          </w:tcPr>
          <w:p w14:paraId="1065B047" w14:textId="77777777" w:rsidR="009B5DE5" w:rsidRDefault="009B5DE5" w:rsidP="009B5DE5">
            <w:pPr>
              <w:rPr>
                <w:rFonts w:cs="Times New Roman"/>
                <w:szCs w:val="24"/>
              </w:rPr>
            </w:pPr>
          </w:p>
        </w:tc>
      </w:tr>
    </w:tbl>
    <w:p w14:paraId="2CE6CC5E" w14:textId="77777777" w:rsidR="006D0778" w:rsidRPr="00AD7E7D" w:rsidRDefault="006D0778" w:rsidP="002B77D1">
      <w:pPr>
        <w:rPr>
          <w:rFonts w:cs="Times New Roman"/>
          <w:szCs w:val="24"/>
          <w:lang w:val="sr-Cyrl-RS" w:eastAsia="ja-JP"/>
        </w:rPr>
      </w:pPr>
    </w:p>
    <w:sectPr w:rsidR="006D0778" w:rsidRPr="00AD7E7D" w:rsidSect="009B5DE5">
      <w:pgSz w:w="16838" w:h="11906" w:orient="landscape" w:code="9"/>
      <w:pgMar w:top="720" w:right="720" w:bottom="720" w:left="72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3E51988" w16cid:durableId="43D3EB00"/>
  <w16cid:commentId w16cid:paraId="74A1BD7F" w16cid:durableId="6CBBFF45"/>
  <w16cid:commentId w16cid:paraId="602701EB" w16cid:durableId="7B093AC8"/>
  <w16cid:commentId w16cid:paraId="32F83637" w16cid:durableId="03A50CDA"/>
  <w16cid:commentId w16cid:paraId="360775DA" w16cid:durableId="1A2F5E0D"/>
  <w16cid:commentId w16cid:paraId="4F01DE8A" w16cid:durableId="096421D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427CB3" w14:textId="77777777" w:rsidR="003E71E2" w:rsidRDefault="003E71E2" w:rsidP="00797049">
      <w:pPr>
        <w:spacing w:after="0"/>
      </w:pPr>
      <w:r>
        <w:separator/>
      </w:r>
    </w:p>
  </w:endnote>
  <w:endnote w:type="continuationSeparator" w:id="0">
    <w:p w14:paraId="10C2F4A9" w14:textId="77777777" w:rsidR="003E71E2" w:rsidRDefault="003E71E2" w:rsidP="007970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Tunga">
    <w:panose1 w:val="00000400000000000000"/>
    <w:charset w:val="00"/>
    <w:family w:val="swiss"/>
    <w:pitch w:val="variable"/>
    <w:sig w:usb0="004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imes New Roman"/>
      </w:rPr>
      <w:id w:val="1119728229"/>
      <w:docPartObj>
        <w:docPartGallery w:val="Page Numbers (Bottom of Page)"/>
        <w:docPartUnique/>
      </w:docPartObj>
    </w:sdtPr>
    <w:sdtEndPr>
      <w:rPr>
        <w:noProof/>
      </w:rPr>
    </w:sdtEndPr>
    <w:sdtContent>
      <w:sdt>
        <w:sdtPr>
          <w:rPr>
            <w:rFonts w:cs="Times New Roman"/>
          </w:rPr>
          <w:id w:val="685183512"/>
          <w:docPartObj>
            <w:docPartGallery w:val="Page Numbers (Bottom of Page)"/>
            <w:docPartUnique/>
          </w:docPartObj>
        </w:sdtPr>
        <w:sdtEndPr>
          <w:rPr>
            <w:noProof/>
            <w:sz w:val="20"/>
          </w:rPr>
        </w:sdtEndPr>
        <w:sdtContent>
          <w:p w14:paraId="3660BB06" w14:textId="720CA89C" w:rsidR="00F03833" w:rsidRPr="00B06AA2" w:rsidRDefault="00F03833" w:rsidP="00B06AA2">
            <w:pPr>
              <w:pStyle w:val="Footer"/>
              <w:rPr>
                <w:rFonts w:cs="Times New Roman"/>
                <w:noProof/>
                <w:sz w:val="20"/>
              </w:rP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6DF0F" w14:textId="6F074D41" w:rsidR="00F03833" w:rsidRDefault="00F03833">
    <w:pPr>
      <w:pStyle w:val="Footer"/>
    </w:pPr>
  </w:p>
  <w:p w14:paraId="06CE1BA3" w14:textId="77777777" w:rsidR="00F03833" w:rsidRDefault="00F038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imes New Roman"/>
      </w:rPr>
      <w:id w:val="-1331054200"/>
      <w:docPartObj>
        <w:docPartGallery w:val="Page Numbers (Bottom of Page)"/>
        <w:docPartUnique/>
      </w:docPartObj>
    </w:sdtPr>
    <w:sdtEndPr>
      <w:rPr>
        <w:noProof/>
      </w:rPr>
    </w:sdtEndPr>
    <w:sdtContent>
      <w:sdt>
        <w:sdtPr>
          <w:rPr>
            <w:rFonts w:cs="Times New Roman"/>
          </w:rPr>
          <w:id w:val="-269470304"/>
          <w:docPartObj>
            <w:docPartGallery w:val="Page Numbers (Bottom of Page)"/>
            <w:docPartUnique/>
          </w:docPartObj>
        </w:sdtPr>
        <w:sdtEndPr>
          <w:rPr>
            <w:noProof/>
            <w:sz w:val="20"/>
          </w:rPr>
        </w:sdtEndPr>
        <w:sdtContent>
          <w:p w14:paraId="3E573C4A" w14:textId="5BB3AAAC" w:rsidR="00F03833" w:rsidRPr="00B06AA2" w:rsidRDefault="00F03833" w:rsidP="00B06AA2">
            <w:pPr>
              <w:pStyle w:val="Footer"/>
              <w:rPr>
                <w:rFonts w:cs="Times New Roman"/>
                <w:noProof/>
                <w:sz w:val="20"/>
              </w:rPr>
            </w:pPr>
            <w:r w:rsidRPr="00446676">
              <w:rPr>
                <w:rFonts w:cs="Times New Roman"/>
                <w:sz w:val="20"/>
              </w:rPr>
              <w:fldChar w:fldCharType="begin"/>
            </w:r>
            <w:r w:rsidRPr="00446676">
              <w:rPr>
                <w:rFonts w:cs="Times New Roman"/>
                <w:sz w:val="20"/>
              </w:rPr>
              <w:instrText xml:space="preserve"> PAGE   \* MERGEFORMAT </w:instrText>
            </w:r>
            <w:r w:rsidRPr="00446676">
              <w:rPr>
                <w:rFonts w:cs="Times New Roman"/>
                <w:sz w:val="20"/>
              </w:rPr>
              <w:fldChar w:fldCharType="separate"/>
            </w:r>
            <w:r w:rsidR="001A6E89">
              <w:rPr>
                <w:rFonts w:cs="Times New Roman"/>
                <w:noProof/>
                <w:sz w:val="20"/>
              </w:rPr>
              <w:t>95</w:t>
            </w:r>
            <w:r w:rsidRPr="00446676">
              <w:rPr>
                <w:rFonts w:cs="Times New Roman"/>
                <w:noProof/>
                <w:sz w:val="20"/>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9871522"/>
      <w:docPartObj>
        <w:docPartGallery w:val="Page Numbers (Bottom of Page)"/>
        <w:docPartUnique/>
      </w:docPartObj>
    </w:sdtPr>
    <w:sdtEndPr>
      <w:rPr>
        <w:noProof/>
      </w:rPr>
    </w:sdtEndPr>
    <w:sdtContent>
      <w:p w14:paraId="03A96006" w14:textId="4B0456AF" w:rsidR="00F03833" w:rsidRDefault="00F03833">
        <w:pPr>
          <w:pStyle w:val="Footer"/>
        </w:pPr>
        <w:r>
          <w:fldChar w:fldCharType="begin"/>
        </w:r>
        <w:r>
          <w:instrText xml:space="preserve"> PAGE   \* MERGEFORMAT </w:instrText>
        </w:r>
        <w:r>
          <w:fldChar w:fldCharType="separate"/>
        </w:r>
        <w:r>
          <w:rPr>
            <w:noProof/>
          </w:rPr>
          <w:t>1</w:t>
        </w:r>
        <w:r>
          <w:rPr>
            <w:noProof/>
          </w:rPr>
          <w:fldChar w:fldCharType="end"/>
        </w:r>
      </w:p>
    </w:sdtContent>
  </w:sdt>
  <w:p w14:paraId="13D57E9B" w14:textId="77777777" w:rsidR="00F03833" w:rsidRDefault="00F038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4921CC" w14:textId="77777777" w:rsidR="003E71E2" w:rsidRDefault="003E71E2" w:rsidP="00797049">
      <w:pPr>
        <w:spacing w:after="0"/>
      </w:pPr>
      <w:r>
        <w:separator/>
      </w:r>
    </w:p>
  </w:footnote>
  <w:footnote w:type="continuationSeparator" w:id="0">
    <w:p w14:paraId="286D4647" w14:textId="77777777" w:rsidR="003E71E2" w:rsidRDefault="003E71E2" w:rsidP="00797049">
      <w:pPr>
        <w:spacing w:after="0"/>
      </w:pPr>
      <w:r>
        <w:continuationSeparator/>
      </w:r>
    </w:p>
  </w:footnote>
  <w:footnote w:id="1">
    <w:p w14:paraId="79A0EFC8" w14:textId="77777777" w:rsidR="00F03833" w:rsidRPr="002D6721" w:rsidRDefault="00F03833" w:rsidP="00E25CAC">
      <w:pPr>
        <w:pStyle w:val="FootnoteText"/>
        <w:ind w:firstLine="0"/>
        <w:jc w:val="left"/>
        <w:rPr>
          <w:rFonts w:ascii="Times New Roman" w:hAnsi="Times New Roman"/>
          <w:sz w:val="16"/>
          <w:szCs w:val="16"/>
          <w:lang w:val="sr-Latn-RS"/>
        </w:rPr>
      </w:pPr>
      <w:r w:rsidRPr="002D6721">
        <w:rPr>
          <w:rStyle w:val="FootnoteReference"/>
          <w:rFonts w:ascii="Times New Roman" w:hAnsi="Times New Roman"/>
          <w:sz w:val="16"/>
          <w:szCs w:val="16"/>
        </w:rPr>
        <w:footnoteRef/>
      </w:r>
      <w:r w:rsidRPr="002D6721">
        <w:rPr>
          <w:rFonts w:ascii="Times New Roman" w:hAnsi="Times New Roman"/>
          <w:sz w:val="16"/>
          <w:szCs w:val="16"/>
        </w:rPr>
        <w:t xml:space="preserve"> </w:t>
      </w:r>
      <w:r w:rsidRPr="002D6721">
        <w:rPr>
          <w:rFonts w:ascii="Times New Roman" w:hAnsi="Times New Roman"/>
          <w:sz w:val="16"/>
          <w:szCs w:val="16"/>
          <w:lang w:val="sr-Cyrl-RS"/>
        </w:rPr>
        <w:t>Подаци о укупном извозу и увозу робе дати су према методологији платног биланса, док су детаљни подаци (по различитим класификацијама) дати према методологији спољне трговине.</w:t>
      </w:r>
    </w:p>
  </w:footnote>
  <w:footnote w:id="2">
    <w:p w14:paraId="2E1BBCE0" w14:textId="77777777" w:rsidR="00F03833" w:rsidRPr="002D6721" w:rsidRDefault="00F03833" w:rsidP="00E25CAC">
      <w:pPr>
        <w:pStyle w:val="FootnoteText"/>
        <w:ind w:firstLine="0"/>
        <w:rPr>
          <w:rFonts w:ascii="Times New Roman" w:hAnsi="Times New Roman"/>
          <w:sz w:val="16"/>
          <w:szCs w:val="16"/>
        </w:rPr>
      </w:pPr>
      <w:r w:rsidRPr="002D6721">
        <w:rPr>
          <w:rStyle w:val="FootnoteReference"/>
          <w:rFonts w:ascii="Times New Roman" w:hAnsi="Times New Roman"/>
          <w:sz w:val="16"/>
          <w:szCs w:val="16"/>
        </w:rPr>
        <w:footnoteRef/>
      </w:r>
      <w:r w:rsidRPr="002D6721">
        <w:rPr>
          <w:rFonts w:ascii="Times New Roman" w:hAnsi="Times New Roman"/>
          <w:sz w:val="16"/>
          <w:szCs w:val="16"/>
        </w:rPr>
        <w:t xml:space="preserve"> </w:t>
      </w:r>
      <w:r w:rsidRPr="002D6721">
        <w:rPr>
          <w:rFonts w:ascii="Times New Roman" w:hAnsi="Times New Roman"/>
          <w:sz w:val="16"/>
          <w:szCs w:val="16"/>
          <w:lang w:val="sr-Cyrl-RS"/>
        </w:rPr>
        <w:t>Са стањем у јуну</w:t>
      </w:r>
      <w:r w:rsidRPr="002D6721">
        <w:rPr>
          <w:rFonts w:ascii="Times New Roman" w:hAnsi="Times New Roman"/>
          <w:sz w:val="16"/>
          <w:szCs w:val="16"/>
        </w:rPr>
        <w:t xml:space="preserve"> 20</w:t>
      </w:r>
      <w:r w:rsidRPr="002D6721">
        <w:rPr>
          <w:rFonts w:ascii="Times New Roman" w:hAnsi="Times New Roman"/>
          <w:sz w:val="16"/>
          <w:szCs w:val="16"/>
          <w:lang w:val="sr-Cyrl-RS"/>
        </w:rPr>
        <w:t>2</w:t>
      </w:r>
      <w:r>
        <w:rPr>
          <w:rFonts w:ascii="Times New Roman" w:hAnsi="Times New Roman"/>
          <w:sz w:val="16"/>
          <w:szCs w:val="16"/>
          <w:lang w:val="sr-Cyrl-RS"/>
        </w:rPr>
        <w:t>4</w:t>
      </w:r>
      <w:r w:rsidRPr="002D6721">
        <w:rPr>
          <w:rFonts w:ascii="Times New Roman" w:hAnsi="Times New Roman"/>
          <w:sz w:val="16"/>
          <w:szCs w:val="16"/>
        </w:rPr>
        <w:t>.</w:t>
      </w:r>
    </w:p>
  </w:footnote>
  <w:footnote w:id="3">
    <w:p w14:paraId="7929A288" w14:textId="77777777" w:rsidR="00F03833" w:rsidRPr="000F15A2" w:rsidRDefault="00F03833" w:rsidP="00E25CAC">
      <w:pPr>
        <w:pStyle w:val="FootnoteText"/>
        <w:ind w:firstLine="0"/>
        <w:rPr>
          <w:rFonts w:ascii="Times New Roman" w:hAnsi="Times New Roman"/>
          <w:sz w:val="16"/>
          <w:szCs w:val="16"/>
          <w:lang w:val="sr-Cyrl-RS"/>
        </w:rPr>
      </w:pPr>
      <w:r w:rsidRPr="000F15A2">
        <w:rPr>
          <w:rStyle w:val="FootnoteReference"/>
          <w:rFonts w:ascii="Times New Roman" w:hAnsi="Times New Roman"/>
          <w:sz w:val="16"/>
          <w:szCs w:val="16"/>
        </w:rPr>
        <w:footnoteRef/>
      </w:r>
      <w:r w:rsidRPr="000F15A2">
        <w:rPr>
          <w:rFonts w:ascii="Times New Roman" w:hAnsi="Times New Roman"/>
          <w:sz w:val="16"/>
          <w:szCs w:val="16"/>
        </w:rPr>
        <w:t xml:space="preserve"> Тај праг се даље смањује на 64% у 2026. и 57% у 2027.</w:t>
      </w:r>
    </w:p>
  </w:footnote>
  <w:footnote w:id="4">
    <w:p w14:paraId="4D4D2E59" w14:textId="77777777" w:rsidR="00F03833" w:rsidRPr="002D6721" w:rsidRDefault="00F03833" w:rsidP="00E25CAC">
      <w:pPr>
        <w:pStyle w:val="FootnoteText"/>
        <w:ind w:firstLine="0"/>
        <w:rPr>
          <w:rFonts w:ascii="Times New Roman" w:hAnsi="Times New Roman"/>
          <w:sz w:val="16"/>
          <w:szCs w:val="16"/>
          <w:lang w:val="sr-Cyrl-RS"/>
        </w:rPr>
      </w:pPr>
      <w:r w:rsidRPr="002D6721">
        <w:rPr>
          <w:rStyle w:val="FootnoteReference"/>
          <w:rFonts w:ascii="Times New Roman" w:hAnsi="Times New Roman"/>
          <w:sz w:val="16"/>
          <w:szCs w:val="16"/>
        </w:rPr>
        <w:footnoteRef/>
      </w:r>
      <w:r w:rsidRPr="002D6721">
        <w:rPr>
          <w:rFonts w:ascii="Times New Roman" w:hAnsi="Times New Roman"/>
          <w:sz w:val="16"/>
          <w:szCs w:val="16"/>
        </w:rPr>
        <w:t xml:space="preserve"> </w:t>
      </w:r>
      <w:r>
        <w:rPr>
          <w:rFonts w:ascii="Times New Roman" w:hAnsi="Times New Roman"/>
          <w:sz w:val="16"/>
          <w:szCs w:val="16"/>
          <w:lang w:val="sr-Cyrl-RS"/>
        </w:rPr>
        <w:t xml:space="preserve">Ако се уључе нерезиденти динарска штедња је у септембру износила 174,0 млрд динара, а према </w:t>
      </w:r>
      <w:r w:rsidRPr="002D6721">
        <w:rPr>
          <w:rFonts w:ascii="Times New Roman" w:hAnsi="Times New Roman"/>
          <w:sz w:val="16"/>
          <w:szCs w:val="16"/>
          <w:lang w:val="sr-Cyrl-RS"/>
        </w:rPr>
        <w:t xml:space="preserve">прелиминарним подацима, у </w:t>
      </w:r>
      <w:r w:rsidRPr="00B307A9">
        <w:rPr>
          <w:rFonts w:ascii="Times New Roman" w:hAnsi="Times New Roman"/>
          <w:sz w:val="16"/>
          <w:szCs w:val="16"/>
          <w:lang w:val="sr-Cyrl-RS"/>
        </w:rPr>
        <w:t xml:space="preserve">октобру је </w:t>
      </w:r>
      <w:r w:rsidRPr="00B307A9">
        <w:rPr>
          <w:rFonts w:ascii="Times New Roman" w:hAnsi="Times New Roman"/>
          <w:sz w:val="16"/>
          <w:szCs w:val="16"/>
        </w:rPr>
        <w:t xml:space="preserve">износила рекордних </w:t>
      </w:r>
      <w:r w:rsidRPr="00B307A9">
        <w:rPr>
          <w:rFonts w:ascii="Times New Roman" w:hAnsi="Times New Roman"/>
          <w:sz w:val="16"/>
          <w:szCs w:val="16"/>
          <w:lang w:val="sr-Cyrl-RS"/>
        </w:rPr>
        <w:t>175</w:t>
      </w:r>
      <w:r w:rsidRPr="00B307A9">
        <w:rPr>
          <w:rFonts w:ascii="Times New Roman" w:hAnsi="Times New Roman"/>
          <w:sz w:val="16"/>
          <w:szCs w:val="16"/>
        </w:rPr>
        <w:t>,6 млрд динара</w:t>
      </w:r>
      <w:r w:rsidRPr="002D6721">
        <w:rPr>
          <w:rFonts w:ascii="Times New Roman" w:hAnsi="Times New Roman"/>
          <w:sz w:val="16"/>
          <w:szCs w:val="16"/>
          <w:lang w:val="sr-Cyrl-RS"/>
        </w:rPr>
        <w:t xml:space="preserve"> </w:t>
      </w:r>
      <w:r>
        <w:rPr>
          <w:rFonts w:ascii="Times New Roman" w:hAnsi="Times New Roman"/>
          <w:sz w:val="16"/>
          <w:szCs w:val="16"/>
          <w:lang w:val="sr-Cyrl-RS"/>
        </w:rPr>
        <w:t>што одговара</w:t>
      </w:r>
      <w:r w:rsidRPr="002D6721">
        <w:rPr>
          <w:rFonts w:ascii="Times New Roman" w:hAnsi="Times New Roman"/>
          <w:sz w:val="16"/>
          <w:szCs w:val="16"/>
        </w:rPr>
        <w:t xml:space="preserve"> противвредности од </w:t>
      </w:r>
      <w:r>
        <w:rPr>
          <w:rFonts w:ascii="Times New Roman" w:hAnsi="Times New Roman"/>
          <w:sz w:val="16"/>
          <w:szCs w:val="16"/>
          <w:lang w:val="sr-Cyrl-RS"/>
        </w:rPr>
        <w:t>1,5 млрд</w:t>
      </w:r>
      <w:r w:rsidRPr="002D6721">
        <w:rPr>
          <w:rFonts w:ascii="Times New Roman" w:hAnsi="Times New Roman"/>
          <w:sz w:val="16"/>
          <w:szCs w:val="16"/>
        </w:rPr>
        <w:t xml:space="preserve"> евра</w:t>
      </w:r>
      <w:r w:rsidRPr="002D6721">
        <w:rPr>
          <w:rFonts w:ascii="Times New Roman" w:hAnsi="Times New Roman"/>
          <w:sz w:val="16"/>
          <w:szCs w:val="16"/>
          <w:lang w:val="sr-Cyrl-RS"/>
        </w:rPr>
        <w:t>.</w:t>
      </w:r>
    </w:p>
  </w:footnote>
  <w:footnote w:id="5">
    <w:p w14:paraId="24F7D863" w14:textId="77777777" w:rsidR="00F03833" w:rsidRPr="000268BD" w:rsidRDefault="00F03833" w:rsidP="00E25CAC">
      <w:pPr>
        <w:pStyle w:val="FootnoteText"/>
        <w:ind w:firstLine="0"/>
        <w:rPr>
          <w:lang w:val="sr-Cyrl-RS"/>
        </w:rPr>
      </w:pPr>
      <w:r w:rsidRPr="00854FF7">
        <w:rPr>
          <w:rStyle w:val="FootnoteReference"/>
          <w:rFonts w:ascii="Times New Roman" w:hAnsi="Times New Roman"/>
          <w:sz w:val="16"/>
          <w:szCs w:val="16"/>
        </w:rPr>
        <w:footnoteRef/>
      </w:r>
      <w:r w:rsidRPr="00854FF7">
        <w:rPr>
          <w:rStyle w:val="FootnoteReference"/>
          <w:rFonts w:ascii="Times New Roman" w:hAnsi="Times New Roman"/>
          <w:sz w:val="16"/>
          <w:szCs w:val="16"/>
        </w:rPr>
        <w:t xml:space="preserve"> У складу са Одлуком о утврђивању листе системски значајних банака у Републици Србији и стопа заштитног слоја капитала за те банке од 10. маја 2024. године.</w:t>
      </w:r>
    </w:p>
  </w:footnote>
  <w:footnote w:id="6">
    <w:p w14:paraId="53350F74" w14:textId="77777777" w:rsidR="00F03833" w:rsidRPr="008F7892" w:rsidRDefault="00F03833" w:rsidP="005D223F">
      <w:pPr>
        <w:pStyle w:val="FootnoteText"/>
        <w:ind w:firstLine="0"/>
        <w:rPr>
          <w:rFonts w:ascii="Times New Roman" w:hAnsi="Times New Roman"/>
          <w:sz w:val="16"/>
          <w:szCs w:val="16"/>
        </w:rPr>
      </w:pPr>
      <w:r w:rsidRPr="00F252D5">
        <w:rPr>
          <w:rFonts w:ascii="Times New Roman" w:hAnsi="Times New Roman"/>
          <w:sz w:val="16"/>
          <w:szCs w:val="16"/>
          <w:vertAlign w:val="superscript"/>
        </w:rPr>
        <w:footnoteRef/>
      </w:r>
      <w:r w:rsidRPr="008F7892">
        <w:rPr>
          <w:rFonts w:ascii="Times New Roman" w:hAnsi="Times New Roman"/>
          <w:sz w:val="16"/>
          <w:szCs w:val="16"/>
          <w:vertAlign w:val="superscript"/>
        </w:rPr>
        <w:t xml:space="preserve"> </w:t>
      </w:r>
      <w:r>
        <w:rPr>
          <w:rFonts w:ascii="Times New Roman" w:hAnsi="Times New Roman"/>
          <w:sz w:val="16"/>
          <w:szCs w:val="16"/>
          <w:lang w:val="sr-Cyrl-RS"/>
        </w:rPr>
        <w:t>У</w:t>
      </w:r>
      <w:r w:rsidRPr="00BD1F94">
        <w:rPr>
          <w:rFonts w:ascii="Times New Roman" w:hAnsi="Times New Roman"/>
          <w:sz w:val="16"/>
          <w:szCs w:val="16"/>
        </w:rPr>
        <w:t xml:space="preserve"> односу 80:20.</w:t>
      </w:r>
    </w:p>
  </w:footnote>
  <w:footnote w:id="7">
    <w:p w14:paraId="359EA58A" w14:textId="77777777" w:rsidR="00F03833" w:rsidRPr="0047402B" w:rsidRDefault="00F03833" w:rsidP="006D0778">
      <w:pPr>
        <w:pStyle w:val="FootnoteText"/>
        <w:ind w:firstLine="0"/>
        <w:rPr>
          <w:rFonts w:ascii="Times New Roman" w:hAnsi="Times New Roman" w:cs="Times New Roman"/>
          <w:sz w:val="16"/>
          <w:szCs w:val="16"/>
          <w:lang w:val="sr-Cyrl-RS"/>
        </w:rPr>
      </w:pPr>
      <w:r w:rsidRPr="0047402B">
        <w:rPr>
          <w:rStyle w:val="FootnoteReference"/>
          <w:rFonts w:ascii="Times New Roman" w:hAnsi="Times New Roman" w:cs="Times New Roman"/>
          <w:color w:val="auto"/>
          <w:sz w:val="16"/>
          <w:szCs w:val="16"/>
        </w:rPr>
        <w:footnoteRef/>
      </w:r>
      <w:r w:rsidRPr="0047402B">
        <w:rPr>
          <w:rFonts w:ascii="Times New Roman" w:hAnsi="Times New Roman" w:cs="Times New Roman"/>
          <w:color w:val="auto"/>
          <w:sz w:val="16"/>
          <w:szCs w:val="16"/>
          <w:lang w:val="sr-Cyrl-RS"/>
        </w:rPr>
        <w:t xml:space="preserve"> Нови ентитети могу се укључити или искључити из обухвата сектора државе у складу са статистичким критеријумима и међународним стандардима који их одређују.</w:t>
      </w:r>
    </w:p>
  </w:footnote>
  <w:footnote w:id="8">
    <w:p w14:paraId="22417527" w14:textId="77777777" w:rsidR="00F03833" w:rsidRPr="008C0499" w:rsidRDefault="00F03833" w:rsidP="006D0778">
      <w:pPr>
        <w:spacing w:after="60"/>
        <w:rPr>
          <w:rFonts w:cs="Times New Roman"/>
          <w:sz w:val="16"/>
          <w:szCs w:val="16"/>
          <w:lang w:val="sr-Cyrl-RS"/>
        </w:rPr>
      </w:pPr>
      <w:r w:rsidRPr="008C0499">
        <w:rPr>
          <w:rStyle w:val="FootnoteReference"/>
          <w:rFonts w:cs="Times New Roman"/>
          <w:sz w:val="16"/>
          <w:szCs w:val="16"/>
          <w:lang w:val="sr-Cyrl-RS"/>
        </w:rPr>
        <w:footnoteRef/>
      </w:r>
      <w:r w:rsidRPr="008C0499">
        <w:rPr>
          <w:rFonts w:cs="Times New Roman"/>
          <w:sz w:val="16"/>
          <w:szCs w:val="16"/>
          <w:lang w:val="sr-Cyrl-RS"/>
        </w:rPr>
        <w:t xml:space="preserve"> </w:t>
      </w:r>
      <w:r w:rsidRPr="008C0499">
        <w:rPr>
          <w:rFonts w:eastAsia="Times New Roman" w:cs="Times New Roman"/>
          <w:bCs/>
          <w:sz w:val="16"/>
          <w:szCs w:val="16"/>
          <w:lang w:val="sr-Cyrl-RS"/>
        </w:rPr>
        <w:t>Детаљнији опис коришћене методологије и резултата могу се пронаћи у Фискалној стратегији за 2013. годину са пројекцијама за 2014. и 2015. годину или путем линка</w:t>
      </w:r>
      <w:r w:rsidRPr="008C0499">
        <w:rPr>
          <w:rFonts w:cs="Times New Roman"/>
          <w:sz w:val="16"/>
          <w:szCs w:val="16"/>
          <w:lang w:val="sr-Cyrl-RS"/>
        </w:rPr>
        <w:t xml:space="preserve"> </w:t>
      </w:r>
      <w:hyperlink r:id="rId1" w:history="1">
        <w:r w:rsidRPr="008C0499">
          <w:rPr>
            <w:rStyle w:val="Hyperlink"/>
            <w:rFonts w:cs="Times New Roman"/>
            <w:color w:val="44546A" w:themeColor="text2"/>
            <w:sz w:val="16"/>
            <w:szCs w:val="16"/>
          </w:rPr>
          <w:t>https</w:t>
        </w:r>
        <w:r w:rsidRPr="008C0499">
          <w:rPr>
            <w:rStyle w:val="Hyperlink"/>
            <w:rFonts w:cs="Times New Roman"/>
            <w:color w:val="44546A" w:themeColor="text2"/>
            <w:sz w:val="16"/>
            <w:szCs w:val="16"/>
            <w:lang w:val="sr-Cyrl-RS"/>
          </w:rPr>
          <w:t>://</w:t>
        </w:r>
        <w:r w:rsidRPr="008C0499">
          <w:rPr>
            <w:rStyle w:val="Hyperlink"/>
            <w:rFonts w:cs="Times New Roman"/>
            <w:color w:val="44546A" w:themeColor="text2"/>
            <w:sz w:val="16"/>
            <w:szCs w:val="16"/>
          </w:rPr>
          <w:t>www</w:t>
        </w:r>
        <w:r w:rsidRPr="008C0499">
          <w:rPr>
            <w:rStyle w:val="Hyperlink"/>
            <w:rFonts w:cs="Times New Roman"/>
            <w:color w:val="44546A" w:themeColor="text2"/>
            <w:sz w:val="16"/>
            <w:szCs w:val="16"/>
            <w:lang w:val="sr-Cyrl-RS"/>
          </w:rPr>
          <w:t>.</w:t>
        </w:r>
        <w:r w:rsidRPr="008C0499">
          <w:rPr>
            <w:rStyle w:val="Hyperlink"/>
            <w:rFonts w:cs="Times New Roman"/>
            <w:color w:val="44546A" w:themeColor="text2"/>
            <w:sz w:val="16"/>
            <w:szCs w:val="16"/>
          </w:rPr>
          <w:t>mfin</w:t>
        </w:r>
        <w:r w:rsidRPr="008C0499">
          <w:rPr>
            <w:rStyle w:val="Hyperlink"/>
            <w:rFonts w:cs="Times New Roman"/>
            <w:color w:val="44546A" w:themeColor="text2"/>
            <w:sz w:val="16"/>
            <w:szCs w:val="16"/>
            <w:lang w:val="sr-Cyrl-RS"/>
          </w:rPr>
          <w:t>.</w:t>
        </w:r>
        <w:r w:rsidRPr="008C0499">
          <w:rPr>
            <w:rStyle w:val="Hyperlink"/>
            <w:rFonts w:cs="Times New Roman"/>
            <w:color w:val="44546A" w:themeColor="text2"/>
            <w:sz w:val="16"/>
            <w:szCs w:val="16"/>
          </w:rPr>
          <w:t>gov</w:t>
        </w:r>
        <w:r w:rsidRPr="008C0499">
          <w:rPr>
            <w:rStyle w:val="Hyperlink"/>
            <w:rFonts w:cs="Times New Roman"/>
            <w:color w:val="44546A" w:themeColor="text2"/>
            <w:sz w:val="16"/>
            <w:szCs w:val="16"/>
            <w:lang w:val="sr-Cyrl-RS"/>
          </w:rPr>
          <w:t>.</w:t>
        </w:r>
        <w:r w:rsidRPr="008C0499">
          <w:rPr>
            <w:rStyle w:val="Hyperlink"/>
            <w:rFonts w:cs="Times New Roman"/>
            <w:color w:val="44546A" w:themeColor="text2"/>
            <w:sz w:val="16"/>
            <w:szCs w:val="16"/>
          </w:rPr>
          <w:t>rs</w:t>
        </w:r>
        <w:r w:rsidRPr="008C0499">
          <w:rPr>
            <w:rStyle w:val="Hyperlink"/>
            <w:rFonts w:cs="Times New Roman"/>
            <w:color w:val="44546A" w:themeColor="text2"/>
            <w:sz w:val="16"/>
            <w:szCs w:val="16"/>
            <w:lang w:val="sr-Cyrl-RS"/>
          </w:rPr>
          <w:t>//</w:t>
        </w:r>
        <w:r w:rsidRPr="008C0499">
          <w:rPr>
            <w:rStyle w:val="Hyperlink"/>
            <w:rFonts w:cs="Times New Roman"/>
            <w:color w:val="44546A" w:themeColor="text2"/>
            <w:sz w:val="16"/>
            <w:szCs w:val="16"/>
          </w:rPr>
          <w:t>upload</w:t>
        </w:r>
        <w:r w:rsidRPr="008C0499">
          <w:rPr>
            <w:rStyle w:val="Hyperlink"/>
            <w:rFonts w:cs="Times New Roman"/>
            <w:color w:val="44546A" w:themeColor="text2"/>
            <w:sz w:val="16"/>
            <w:szCs w:val="16"/>
            <w:lang w:val="sr-Cyrl-RS"/>
          </w:rPr>
          <w:t>/</w:t>
        </w:r>
        <w:r w:rsidRPr="008C0499">
          <w:rPr>
            <w:rStyle w:val="Hyperlink"/>
            <w:rFonts w:cs="Times New Roman"/>
            <w:color w:val="44546A" w:themeColor="text2"/>
            <w:sz w:val="16"/>
            <w:szCs w:val="16"/>
          </w:rPr>
          <w:t>media</w:t>
        </w:r>
        <w:r w:rsidRPr="008C0499">
          <w:rPr>
            <w:rStyle w:val="Hyperlink"/>
            <w:rFonts w:cs="Times New Roman"/>
            <w:color w:val="44546A" w:themeColor="text2"/>
            <w:sz w:val="16"/>
            <w:szCs w:val="16"/>
            <w:lang w:val="sr-Cyrl-RS"/>
          </w:rPr>
          <w:t>/</w:t>
        </w:r>
        <w:r w:rsidRPr="008C0499">
          <w:rPr>
            <w:rStyle w:val="Hyperlink"/>
            <w:rFonts w:cs="Times New Roman"/>
            <w:color w:val="44546A" w:themeColor="text2"/>
            <w:sz w:val="16"/>
            <w:szCs w:val="16"/>
          </w:rPr>
          <w:t>jzsbpL</w:t>
        </w:r>
        <w:r w:rsidRPr="008C0499">
          <w:rPr>
            <w:rStyle w:val="Hyperlink"/>
            <w:rFonts w:cs="Times New Roman"/>
            <w:color w:val="44546A" w:themeColor="text2"/>
            <w:sz w:val="16"/>
            <w:szCs w:val="16"/>
            <w:lang w:val="sr-Cyrl-RS"/>
          </w:rPr>
          <w:t>_601</w:t>
        </w:r>
        <w:r w:rsidRPr="008C0499">
          <w:rPr>
            <w:rStyle w:val="Hyperlink"/>
            <w:rFonts w:cs="Times New Roman"/>
            <w:color w:val="44546A" w:themeColor="text2"/>
            <w:sz w:val="16"/>
            <w:szCs w:val="16"/>
          </w:rPr>
          <w:t>ab</w:t>
        </w:r>
        <w:r w:rsidRPr="008C0499">
          <w:rPr>
            <w:rStyle w:val="Hyperlink"/>
            <w:rFonts w:cs="Times New Roman"/>
            <w:color w:val="44546A" w:themeColor="text2"/>
            <w:sz w:val="16"/>
            <w:szCs w:val="16"/>
            <w:lang w:val="sr-Cyrl-RS"/>
          </w:rPr>
          <w:t>1585</w:t>
        </w:r>
        <w:r w:rsidRPr="008C0499">
          <w:rPr>
            <w:rStyle w:val="Hyperlink"/>
            <w:rFonts w:cs="Times New Roman"/>
            <w:color w:val="44546A" w:themeColor="text2"/>
            <w:sz w:val="16"/>
            <w:szCs w:val="16"/>
          </w:rPr>
          <w:t>ca</w:t>
        </w:r>
        <w:r w:rsidRPr="008C0499">
          <w:rPr>
            <w:rStyle w:val="Hyperlink"/>
            <w:rFonts w:cs="Times New Roman"/>
            <w:color w:val="44546A" w:themeColor="text2"/>
            <w:sz w:val="16"/>
            <w:szCs w:val="16"/>
            <w:lang w:val="sr-Cyrl-RS"/>
          </w:rPr>
          <w:t>02.</w:t>
        </w:r>
        <w:r w:rsidRPr="008C0499">
          <w:rPr>
            <w:rStyle w:val="Hyperlink"/>
            <w:rFonts w:cs="Times New Roman"/>
            <w:color w:val="44546A" w:themeColor="text2"/>
            <w:sz w:val="16"/>
            <w:szCs w:val="16"/>
          </w:rPr>
          <w:t>pdf</w:t>
        </w:r>
      </w:hyperlink>
    </w:p>
  </w:footnote>
  <w:footnote w:id="9">
    <w:p w14:paraId="443820B9" w14:textId="77777777" w:rsidR="00F03833" w:rsidRPr="00D0767F" w:rsidRDefault="00F03833" w:rsidP="006D0778">
      <w:pPr>
        <w:pStyle w:val="FootnoteText"/>
        <w:ind w:firstLine="0"/>
        <w:rPr>
          <w:rFonts w:ascii="Times New Roman" w:hAnsi="Times New Roman" w:cs="Times New Roman"/>
          <w:sz w:val="16"/>
          <w:szCs w:val="16"/>
          <w:lang w:val="sr-Cyrl-RS"/>
        </w:rPr>
      </w:pPr>
      <w:r w:rsidRPr="00D0767F">
        <w:rPr>
          <w:rStyle w:val="FootnoteReference"/>
          <w:rFonts w:ascii="Times New Roman" w:hAnsi="Times New Roman" w:cs="Times New Roman"/>
          <w:sz w:val="16"/>
          <w:szCs w:val="16"/>
          <w:lang w:val="sr-Cyrl-RS"/>
        </w:rPr>
        <w:footnoteRef/>
      </w:r>
      <w:r w:rsidRPr="00D0767F">
        <w:rPr>
          <w:rFonts w:ascii="Times New Roman" w:hAnsi="Times New Roman" w:cs="Times New Roman"/>
          <w:sz w:val="16"/>
          <w:szCs w:val="16"/>
          <w:lang w:val="sr-Cyrl-RS"/>
        </w:rPr>
        <w:t xml:space="preserve"> Закон о јавном дугу („Службени гласник РС”, бр. 61/05, 107/09, 78/11, 68/15, 95/18, 91/19 и 149/20).</w:t>
      </w:r>
    </w:p>
  </w:footnote>
  <w:footnote w:id="10">
    <w:p w14:paraId="384C44F4" w14:textId="77777777" w:rsidR="00F03833" w:rsidRPr="00870B54" w:rsidRDefault="00F03833" w:rsidP="006D0778">
      <w:pPr>
        <w:pStyle w:val="FootnoteText"/>
        <w:ind w:firstLine="0"/>
        <w:rPr>
          <w:rFonts w:ascii="Times New Roman" w:hAnsi="Times New Roman" w:cs="Times New Roman"/>
          <w:sz w:val="16"/>
          <w:szCs w:val="16"/>
          <w:lang w:val="sr-Cyrl-RS"/>
        </w:rPr>
      </w:pPr>
      <w:r w:rsidRPr="00870B54">
        <w:rPr>
          <w:rStyle w:val="FootnoteReference"/>
          <w:rFonts w:ascii="Times New Roman" w:hAnsi="Times New Roman" w:cs="Times New Roman"/>
          <w:sz w:val="16"/>
          <w:szCs w:val="16"/>
        </w:rPr>
        <w:footnoteRef/>
      </w:r>
      <w:r w:rsidRPr="00870B54">
        <w:rPr>
          <w:rFonts w:ascii="Times New Roman" w:hAnsi="Times New Roman" w:cs="Times New Roman"/>
          <w:sz w:val="16"/>
          <w:szCs w:val="16"/>
        </w:rPr>
        <w:t xml:space="preserve"> </w:t>
      </w:r>
      <w:r w:rsidRPr="00870B54">
        <w:rPr>
          <w:rFonts w:ascii="Times New Roman" w:hAnsi="Times New Roman" w:cs="Times New Roman"/>
          <w:sz w:val="16"/>
          <w:szCs w:val="16"/>
          <w:lang w:val="sr-Cyrl-RS"/>
        </w:rPr>
        <w:t>Програм економских реформи 2024-2026</w:t>
      </w:r>
    </w:p>
  </w:footnote>
  <w:footnote w:id="11">
    <w:p w14:paraId="60FE261F" w14:textId="77777777" w:rsidR="00F03833" w:rsidRPr="0025311F" w:rsidRDefault="00F03833" w:rsidP="00421E0C">
      <w:pPr>
        <w:pStyle w:val="FootnoteText"/>
        <w:rPr>
          <w:lang w:val="sr-Cyrl-RS"/>
        </w:rPr>
      </w:pPr>
      <w:r w:rsidRPr="000E7FD0">
        <w:rPr>
          <w:rStyle w:val="FootnoteReference"/>
        </w:rPr>
        <w:footnoteRef/>
      </w:r>
      <w:r w:rsidRPr="000E7FD0">
        <w:t xml:space="preserve"> Digital WB6+ Initiative (2018):  The Impact of Digital Transformation on the Western Balkans</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0E6EB78"/>
    <w:lvl w:ilvl="0">
      <w:start w:val="1"/>
      <w:numFmt w:val="bullet"/>
      <w:pStyle w:val="ListBullet1"/>
      <w:lvlText w:val="•"/>
      <w:lvlJc w:val="left"/>
      <w:pPr>
        <w:ind w:left="576" w:hanging="288"/>
      </w:pPr>
      <w:rPr>
        <w:rFonts w:ascii="Cambria" w:hAnsi="Cambria" w:hint="default"/>
        <w:color w:val="5B9BD5" w:themeColor="accent1"/>
      </w:rPr>
    </w:lvl>
  </w:abstractNum>
  <w:abstractNum w:abstractNumId="1" w15:restartNumberingAfterBreak="0">
    <w:nsid w:val="01B81DEA"/>
    <w:multiLevelType w:val="multilevel"/>
    <w:tmpl w:val="B7A4B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67F5D"/>
    <w:multiLevelType w:val="hybridMultilevel"/>
    <w:tmpl w:val="E28809B4"/>
    <w:lvl w:ilvl="0" w:tplc="04090001">
      <w:start w:val="1"/>
      <w:numFmt w:val="bullet"/>
      <w:pStyle w:val="ListNumber5"/>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01AF9"/>
    <w:multiLevelType w:val="hybridMultilevel"/>
    <w:tmpl w:val="A154AE00"/>
    <w:lvl w:ilvl="0" w:tplc="BFA4663C">
      <w:start w:val="1"/>
      <w:numFmt w:val="bullet"/>
      <w:lvlText w:val="-"/>
      <w:lvlJc w:val="left"/>
      <w:pPr>
        <w:ind w:left="720" w:hanging="360"/>
      </w:pPr>
      <w:rPr>
        <w:rFonts w:ascii="Calibri" w:eastAsia="MS PGothic"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328B3"/>
    <w:multiLevelType w:val="hybridMultilevel"/>
    <w:tmpl w:val="4B800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FA5C74"/>
    <w:multiLevelType w:val="hybridMultilevel"/>
    <w:tmpl w:val="361E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2F00BE"/>
    <w:multiLevelType w:val="hybridMultilevel"/>
    <w:tmpl w:val="6E8082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14F2D2B"/>
    <w:multiLevelType w:val="hybridMultilevel"/>
    <w:tmpl w:val="14FEB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96F9C"/>
    <w:multiLevelType w:val="hybridMultilevel"/>
    <w:tmpl w:val="03588D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 w15:restartNumberingAfterBreak="0">
    <w:nsid w:val="1A7C45D5"/>
    <w:multiLevelType w:val="hybridMultilevel"/>
    <w:tmpl w:val="9756494C"/>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0" w15:restartNumberingAfterBreak="0">
    <w:nsid w:val="1EC1773A"/>
    <w:multiLevelType w:val="multilevel"/>
    <w:tmpl w:val="705C1ACA"/>
    <w:lvl w:ilvl="0">
      <w:start w:val="1"/>
      <w:numFmt w:val="upperRoman"/>
      <w:lvlText w:val="%1."/>
      <w:lvlJc w:val="left"/>
      <w:pPr>
        <w:ind w:left="360" w:hanging="360"/>
      </w:pPr>
      <w:rPr>
        <w:rFonts w:hint="default"/>
      </w:rPr>
    </w:lvl>
    <w:lvl w:ilvl="1">
      <w:start w:val="1"/>
      <w:numFmt w:val="decimal"/>
      <w:pStyle w:val="EFPNaslov2"/>
      <w:lvlText w:val="%1.%2."/>
      <w:lvlJc w:val="left"/>
      <w:pPr>
        <w:ind w:left="79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FA82CA8"/>
    <w:multiLevelType w:val="multilevel"/>
    <w:tmpl w:val="CC92B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FA5E91"/>
    <w:multiLevelType w:val="hybridMultilevel"/>
    <w:tmpl w:val="5DF4BD4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4836565"/>
    <w:multiLevelType w:val="hybridMultilevel"/>
    <w:tmpl w:val="63CADC3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15:restartNumberingAfterBreak="0">
    <w:nsid w:val="29E6161D"/>
    <w:multiLevelType w:val="multilevel"/>
    <w:tmpl w:val="063EE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9E4A7A"/>
    <w:multiLevelType w:val="hybridMultilevel"/>
    <w:tmpl w:val="C0505144"/>
    <w:lvl w:ilvl="0" w:tplc="D8A2529A">
      <w:start w:val="1"/>
      <w:numFmt w:val="decimal"/>
      <w:pStyle w:val="ListNumber2"/>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C61598"/>
    <w:multiLevelType w:val="hybridMultilevel"/>
    <w:tmpl w:val="26EA460E"/>
    <w:lvl w:ilvl="0" w:tplc="241A0011">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17" w15:restartNumberingAfterBreak="0">
    <w:nsid w:val="30195F79"/>
    <w:multiLevelType w:val="hybridMultilevel"/>
    <w:tmpl w:val="DDF6E3A4"/>
    <w:lvl w:ilvl="0" w:tplc="28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18" w15:restartNumberingAfterBreak="0">
    <w:nsid w:val="311B23A4"/>
    <w:multiLevelType w:val="hybridMultilevel"/>
    <w:tmpl w:val="0F4E72E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14850F7"/>
    <w:multiLevelType w:val="hybridMultilevel"/>
    <w:tmpl w:val="9D58C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3D7BB7"/>
    <w:multiLevelType w:val="hybridMultilevel"/>
    <w:tmpl w:val="70E435F0"/>
    <w:lvl w:ilvl="0" w:tplc="41C0CB00">
      <w:start w:val="1"/>
      <w:numFmt w:val="decimal"/>
      <w:pStyle w:val="ParagraphNumbering"/>
      <w:lvlText w:val="%1.     "/>
      <w:lvlJc w:val="left"/>
      <w:pPr>
        <w:ind w:left="630" w:hanging="360"/>
      </w:pPr>
      <w:rPr>
        <w:rFonts w:ascii="Segoe UI" w:hAnsi="Segoe UI" w:hint="default"/>
        <w:b/>
        <w:i w:val="0"/>
        <w:sz w:val="21"/>
      </w:rPr>
    </w:lvl>
    <w:lvl w:ilvl="1" w:tplc="33B40FEA" w:tentative="1">
      <w:start w:val="1"/>
      <w:numFmt w:val="lowerLetter"/>
      <w:lvlText w:val="%2."/>
      <w:lvlJc w:val="left"/>
      <w:pPr>
        <w:ind w:left="1440" w:hanging="360"/>
      </w:pPr>
    </w:lvl>
    <w:lvl w:ilvl="2" w:tplc="DCB0CC42" w:tentative="1">
      <w:start w:val="1"/>
      <w:numFmt w:val="lowerRoman"/>
      <w:lvlText w:val="%3."/>
      <w:lvlJc w:val="right"/>
      <w:pPr>
        <w:ind w:left="2160" w:hanging="180"/>
      </w:pPr>
    </w:lvl>
    <w:lvl w:ilvl="3" w:tplc="B790AE84" w:tentative="1">
      <w:start w:val="1"/>
      <w:numFmt w:val="decimal"/>
      <w:lvlText w:val="%4."/>
      <w:lvlJc w:val="left"/>
      <w:pPr>
        <w:ind w:left="2880" w:hanging="360"/>
      </w:pPr>
    </w:lvl>
    <w:lvl w:ilvl="4" w:tplc="889A005E" w:tentative="1">
      <w:start w:val="1"/>
      <w:numFmt w:val="lowerLetter"/>
      <w:lvlText w:val="%5."/>
      <w:lvlJc w:val="left"/>
      <w:pPr>
        <w:ind w:left="3600" w:hanging="360"/>
      </w:pPr>
    </w:lvl>
    <w:lvl w:ilvl="5" w:tplc="6960F5F0" w:tentative="1">
      <w:start w:val="1"/>
      <w:numFmt w:val="lowerRoman"/>
      <w:lvlText w:val="%6."/>
      <w:lvlJc w:val="right"/>
      <w:pPr>
        <w:ind w:left="4320" w:hanging="180"/>
      </w:pPr>
    </w:lvl>
    <w:lvl w:ilvl="6" w:tplc="BBB45C82" w:tentative="1">
      <w:start w:val="1"/>
      <w:numFmt w:val="decimal"/>
      <w:lvlText w:val="%7."/>
      <w:lvlJc w:val="left"/>
      <w:pPr>
        <w:ind w:left="5040" w:hanging="360"/>
      </w:pPr>
    </w:lvl>
    <w:lvl w:ilvl="7" w:tplc="5516958C" w:tentative="1">
      <w:start w:val="1"/>
      <w:numFmt w:val="lowerLetter"/>
      <w:lvlText w:val="%8."/>
      <w:lvlJc w:val="left"/>
      <w:pPr>
        <w:ind w:left="5760" w:hanging="360"/>
      </w:pPr>
    </w:lvl>
    <w:lvl w:ilvl="8" w:tplc="98DCDC2C" w:tentative="1">
      <w:start w:val="1"/>
      <w:numFmt w:val="lowerRoman"/>
      <w:lvlText w:val="%9."/>
      <w:lvlJc w:val="right"/>
      <w:pPr>
        <w:ind w:left="6480" w:hanging="180"/>
      </w:pPr>
    </w:lvl>
  </w:abstractNum>
  <w:abstractNum w:abstractNumId="21" w15:restartNumberingAfterBreak="0">
    <w:nsid w:val="367F6A45"/>
    <w:multiLevelType w:val="multilevel"/>
    <w:tmpl w:val="0436C7FE"/>
    <w:lvl w:ilvl="0">
      <w:start w:val="1"/>
      <w:numFmt w:val="decimal"/>
      <w:pStyle w:val="ListNumber1"/>
      <w:lvlText w:val="%1."/>
      <w:lvlJc w:val="left"/>
      <w:pPr>
        <w:ind w:left="360" w:hanging="360"/>
      </w:pPr>
      <w:rPr>
        <w:rFonts w:hint="default"/>
        <w:color w:val="5B9BD5" w:themeColor="accent1"/>
      </w:rPr>
    </w:lvl>
    <w:lvl w:ilvl="1">
      <w:start w:val="1"/>
      <w:numFmt w:val="decimal"/>
      <w:pStyle w:val="ListNumber21"/>
      <w:suff w:val="space"/>
      <w:lvlText w:val="%1.%2"/>
      <w:lvlJc w:val="left"/>
      <w:pPr>
        <w:ind w:left="936" w:hanging="576"/>
      </w:pPr>
      <w:rPr>
        <w:rFonts w:hint="default"/>
        <w:color w:val="5B9BD5" w:themeColor="accent1"/>
      </w:rPr>
    </w:lvl>
    <w:lvl w:ilvl="2">
      <w:start w:val="1"/>
      <w:numFmt w:val="lowerLetter"/>
      <w:pStyle w:val="ListNumber31"/>
      <w:lvlText w:val="%3."/>
      <w:lvlJc w:val="left"/>
      <w:pPr>
        <w:ind w:left="720" w:hanging="360"/>
      </w:pPr>
      <w:rPr>
        <w:rFonts w:hint="default"/>
        <w:color w:val="5B9BD5" w:themeColor="accent1"/>
      </w:rPr>
    </w:lvl>
    <w:lvl w:ilvl="3">
      <w:start w:val="1"/>
      <w:numFmt w:val="lowerRoman"/>
      <w:pStyle w:val="ListNumber41"/>
      <w:lvlText w:val="%4."/>
      <w:lvlJc w:val="left"/>
      <w:pPr>
        <w:ind w:left="1080" w:hanging="360"/>
      </w:pPr>
      <w:rPr>
        <w:rFonts w:hint="default"/>
        <w:color w:val="5B9BD5" w:themeColor="accent1"/>
      </w:rPr>
    </w:lvl>
    <w:lvl w:ilvl="4">
      <w:start w:val="1"/>
      <w:numFmt w:val="lowerLetter"/>
      <w:pStyle w:val="ListNumber51"/>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74F1C1E"/>
    <w:multiLevelType w:val="hybridMultilevel"/>
    <w:tmpl w:val="D12AD8A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7A0236D"/>
    <w:multiLevelType w:val="hybridMultilevel"/>
    <w:tmpl w:val="F6F47070"/>
    <w:lvl w:ilvl="0" w:tplc="014AD722">
      <w:start w:val="1"/>
      <w:numFmt w:val="decimal"/>
      <w:pStyle w:val="Nabrajanjemera"/>
      <w:lvlText w:val="Приоритетна мера %1."/>
      <w:lvlJc w:val="left"/>
      <w:pPr>
        <w:ind w:left="786" w:hanging="360"/>
      </w:pPr>
      <w:rPr>
        <w:rFonts w:hint="default"/>
        <w:b/>
        <w:i w:val="0"/>
        <w:smallCap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FE286B"/>
    <w:multiLevelType w:val="multilevel"/>
    <w:tmpl w:val="7E8E7DFC"/>
    <w:lvl w:ilvl="0">
      <w:start w:val="1"/>
      <w:numFmt w:val="upperRoman"/>
      <w:pStyle w:val="IFS2012naslov1"/>
      <w:lvlText w:val="%1."/>
      <w:lvlJc w:val="left"/>
      <w:pPr>
        <w:ind w:left="1080" w:hanging="720"/>
      </w:pPr>
      <w:rPr>
        <w:rFonts w:hint="default"/>
      </w:rPr>
    </w:lvl>
    <w:lvl w:ilvl="1">
      <w:start w:val="1"/>
      <w:numFmt w:val="decimal"/>
      <w:isLgl/>
      <w:lvlText w:val="%1.%2."/>
      <w:lvlJc w:val="left"/>
      <w:pPr>
        <w:ind w:left="965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0EE3AB8"/>
    <w:multiLevelType w:val="multilevel"/>
    <w:tmpl w:val="E97AA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0A1BA8"/>
    <w:multiLevelType w:val="hybridMultilevel"/>
    <w:tmpl w:val="9560019E"/>
    <w:lvl w:ilvl="0" w:tplc="1DFCD06E">
      <w:start w:val="1"/>
      <w:numFmt w:val="bullet"/>
      <w:lvlText w:val=""/>
      <w:lvlJc w:val="left"/>
      <w:pPr>
        <w:ind w:left="1440" w:hanging="360"/>
      </w:pPr>
      <w:rPr>
        <w:rFonts w:ascii="Wingdings" w:hAnsi="Wingdings" w:hint="default"/>
        <w:color w:val="44546A" w:themeColor="text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3A85611"/>
    <w:multiLevelType w:val="multilevel"/>
    <w:tmpl w:val="18667D1A"/>
    <w:lvl w:ilvl="0">
      <w:start w:val="1"/>
      <w:numFmt w:val="decimal"/>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15:restartNumberingAfterBreak="0">
    <w:nsid w:val="46F3294C"/>
    <w:multiLevelType w:val="hybridMultilevel"/>
    <w:tmpl w:val="0C0A48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87463E"/>
    <w:multiLevelType w:val="hybridMultilevel"/>
    <w:tmpl w:val="F5B00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7802E6"/>
    <w:multiLevelType w:val="hybridMultilevel"/>
    <w:tmpl w:val="D8BA1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717A3C"/>
    <w:multiLevelType w:val="hybridMultilevel"/>
    <w:tmpl w:val="4498CBF0"/>
    <w:lvl w:ilvl="0" w:tplc="1DFCD06E">
      <w:start w:val="1"/>
      <w:numFmt w:val="bullet"/>
      <w:lvlText w:val=""/>
      <w:lvlJc w:val="left"/>
      <w:pPr>
        <w:ind w:left="720" w:hanging="360"/>
      </w:pPr>
      <w:rPr>
        <w:rFonts w:ascii="Wingdings" w:hAnsi="Wingdings" w:hint="default"/>
        <w:color w:val="44546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FD5C5B"/>
    <w:multiLevelType w:val="hybridMultilevel"/>
    <w:tmpl w:val="A216C010"/>
    <w:lvl w:ilvl="0" w:tplc="1DFCD06E">
      <w:start w:val="1"/>
      <w:numFmt w:val="bullet"/>
      <w:lvlText w:val=""/>
      <w:lvlJc w:val="left"/>
      <w:pPr>
        <w:ind w:left="720" w:hanging="360"/>
      </w:pPr>
      <w:rPr>
        <w:rFonts w:ascii="Wingdings" w:hAnsi="Wingdings" w:hint="default"/>
        <w:color w:val="44546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9A278D"/>
    <w:multiLevelType w:val="hybridMultilevel"/>
    <w:tmpl w:val="2CA41BF0"/>
    <w:lvl w:ilvl="0" w:tplc="04090001">
      <w:start w:val="1"/>
      <w:numFmt w:val="bullet"/>
      <w:pStyle w:val="ListNumber4"/>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A75434"/>
    <w:multiLevelType w:val="hybridMultilevel"/>
    <w:tmpl w:val="1F682A80"/>
    <w:lvl w:ilvl="0" w:tplc="1DFCD06E">
      <w:start w:val="1"/>
      <w:numFmt w:val="bullet"/>
      <w:lvlText w:val=""/>
      <w:lvlJc w:val="left"/>
      <w:pPr>
        <w:ind w:left="720" w:hanging="360"/>
      </w:pPr>
      <w:rPr>
        <w:rFonts w:ascii="Wingdings" w:hAnsi="Wingdings" w:hint="default"/>
        <w:color w:val="44546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DB66A5"/>
    <w:multiLevelType w:val="hybridMultilevel"/>
    <w:tmpl w:val="41C0C684"/>
    <w:lvl w:ilvl="0" w:tplc="A2DA36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15"/>
  </w:num>
  <w:num w:numId="4">
    <w:abstractNumId w:val="20"/>
  </w:num>
  <w:num w:numId="5">
    <w:abstractNumId w:val="33"/>
  </w:num>
  <w:num w:numId="6">
    <w:abstractNumId w:val="2"/>
  </w:num>
  <w:num w:numId="7">
    <w:abstractNumId w:val="24"/>
  </w:num>
  <w:num w:numId="8">
    <w:abstractNumId w:val="10"/>
  </w:num>
  <w:num w:numId="9">
    <w:abstractNumId w:val="23"/>
  </w:num>
  <w:num w:numId="10">
    <w:abstractNumId w:val="18"/>
  </w:num>
  <w:num w:numId="11">
    <w:abstractNumId w:val="28"/>
  </w:num>
  <w:num w:numId="12">
    <w:abstractNumId w:val="29"/>
  </w:num>
  <w:num w:numId="13">
    <w:abstractNumId w:val="32"/>
  </w:num>
  <w:num w:numId="14">
    <w:abstractNumId w:val="31"/>
  </w:num>
  <w:num w:numId="15">
    <w:abstractNumId w:val="26"/>
  </w:num>
  <w:num w:numId="16">
    <w:abstractNumId w:val="9"/>
  </w:num>
  <w:num w:numId="17">
    <w:abstractNumId w:val="4"/>
  </w:num>
  <w:num w:numId="18">
    <w:abstractNumId w:val="12"/>
  </w:num>
  <w:num w:numId="19">
    <w:abstractNumId w:val="8"/>
  </w:num>
  <w:num w:numId="20">
    <w:abstractNumId w:val="7"/>
  </w:num>
  <w:num w:numId="21">
    <w:abstractNumId w:val="6"/>
  </w:num>
  <w:num w:numId="22">
    <w:abstractNumId w:val="5"/>
  </w:num>
  <w:num w:numId="23">
    <w:abstractNumId w:val="30"/>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3"/>
  </w:num>
  <w:num w:numId="27">
    <w:abstractNumId w:val="22"/>
  </w:num>
  <w:num w:numId="28">
    <w:abstractNumId w:val="27"/>
  </w:num>
  <w:num w:numId="29">
    <w:abstractNumId w:val="13"/>
  </w:num>
  <w:num w:numId="30">
    <w:abstractNumId w:val="19"/>
  </w:num>
  <w:num w:numId="31">
    <w:abstractNumId w:val="17"/>
  </w:num>
  <w:num w:numId="32">
    <w:abstractNumId w:val="35"/>
  </w:num>
  <w:num w:numId="33">
    <w:abstractNumId w:val="25"/>
  </w:num>
  <w:num w:numId="34">
    <w:abstractNumId w:val="1"/>
  </w:num>
  <w:num w:numId="35">
    <w:abstractNumId w:val="11"/>
  </w:num>
  <w:num w:numId="36">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activeWritingStyle w:appName="MSWord" w:lang="ru-RU" w:vendorID="64" w:dllVersion="6" w:nlCheck="1" w:checkStyle="0"/>
  <w:activeWritingStyle w:appName="MSWord" w:lang="en-US" w:vendorID="64" w:dllVersion="6" w:nlCheck="1" w:checkStyle="0"/>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0"/>
  <w:activeWritingStyle w:appName="MSWord" w:lang="en-GB" w:vendorID="64" w:dllVersion="131078" w:nlCheck="1" w:checkStyle="0"/>
  <w:activeWritingStyle w:appName="MSWord" w:lang="ru-RU"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IyMjE2NjY0NzUxMDFT0lEKTi0uzszPAykwNKsFAOfHWSMtAAAA"/>
  </w:docVars>
  <w:rsids>
    <w:rsidRoot w:val="00797049"/>
    <w:rsid w:val="000006E6"/>
    <w:rsid w:val="00000DE8"/>
    <w:rsid w:val="00001E72"/>
    <w:rsid w:val="000020A3"/>
    <w:rsid w:val="00002B05"/>
    <w:rsid w:val="00010E52"/>
    <w:rsid w:val="00012D78"/>
    <w:rsid w:val="000137AC"/>
    <w:rsid w:val="00013A0B"/>
    <w:rsid w:val="00014DAA"/>
    <w:rsid w:val="00015AE1"/>
    <w:rsid w:val="00015B4B"/>
    <w:rsid w:val="00016066"/>
    <w:rsid w:val="00016287"/>
    <w:rsid w:val="000169B7"/>
    <w:rsid w:val="00017C48"/>
    <w:rsid w:val="00022AB8"/>
    <w:rsid w:val="00024FE3"/>
    <w:rsid w:val="000255B9"/>
    <w:rsid w:val="000260F7"/>
    <w:rsid w:val="000272D5"/>
    <w:rsid w:val="000274D2"/>
    <w:rsid w:val="000306FA"/>
    <w:rsid w:val="000309BB"/>
    <w:rsid w:val="00030D5A"/>
    <w:rsid w:val="00031CC2"/>
    <w:rsid w:val="00032157"/>
    <w:rsid w:val="000324A5"/>
    <w:rsid w:val="00032945"/>
    <w:rsid w:val="000335F3"/>
    <w:rsid w:val="00033627"/>
    <w:rsid w:val="000336DF"/>
    <w:rsid w:val="00033E00"/>
    <w:rsid w:val="00035AD8"/>
    <w:rsid w:val="00036356"/>
    <w:rsid w:val="00036738"/>
    <w:rsid w:val="00036DD7"/>
    <w:rsid w:val="00040056"/>
    <w:rsid w:val="00040ACE"/>
    <w:rsid w:val="00041AF9"/>
    <w:rsid w:val="00042597"/>
    <w:rsid w:val="00043758"/>
    <w:rsid w:val="000439A4"/>
    <w:rsid w:val="00045A4B"/>
    <w:rsid w:val="0004613A"/>
    <w:rsid w:val="0004623F"/>
    <w:rsid w:val="000466D1"/>
    <w:rsid w:val="00046CA9"/>
    <w:rsid w:val="000520F8"/>
    <w:rsid w:val="000524AA"/>
    <w:rsid w:val="00052735"/>
    <w:rsid w:val="00053A8F"/>
    <w:rsid w:val="00055592"/>
    <w:rsid w:val="00055B7C"/>
    <w:rsid w:val="000569AA"/>
    <w:rsid w:val="00056B85"/>
    <w:rsid w:val="00056C94"/>
    <w:rsid w:val="00057B4C"/>
    <w:rsid w:val="00057F4B"/>
    <w:rsid w:val="000604DA"/>
    <w:rsid w:val="00063378"/>
    <w:rsid w:val="0006370D"/>
    <w:rsid w:val="00064A3A"/>
    <w:rsid w:val="00065017"/>
    <w:rsid w:val="00065B13"/>
    <w:rsid w:val="00067011"/>
    <w:rsid w:val="00067709"/>
    <w:rsid w:val="0007083B"/>
    <w:rsid w:val="0007126F"/>
    <w:rsid w:val="00071E66"/>
    <w:rsid w:val="000733FF"/>
    <w:rsid w:val="00074995"/>
    <w:rsid w:val="00074B8A"/>
    <w:rsid w:val="0007697A"/>
    <w:rsid w:val="00076C95"/>
    <w:rsid w:val="00077C67"/>
    <w:rsid w:val="00083E78"/>
    <w:rsid w:val="000840EF"/>
    <w:rsid w:val="00084834"/>
    <w:rsid w:val="0008543E"/>
    <w:rsid w:val="00092829"/>
    <w:rsid w:val="000962C5"/>
    <w:rsid w:val="00096BBB"/>
    <w:rsid w:val="000971EA"/>
    <w:rsid w:val="0009786B"/>
    <w:rsid w:val="000A195A"/>
    <w:rsid w:val="000A1B24"/>
    <w:rsid w:val="000A2ED6"/>
    <w:rsid w:val="000A3003"/>
    <w:rsid w:val="000A3531"/>
    <w:rsid w:val="000A4EC1"/>
    <w:rsid w:val="000A518D"/>
    <w:rsid w:val="000A5857"/>
    <w:rsid w:val="000A663B"/>
    <w:rsid w:val="000A7001"/>
    <w:rsid w:val="000A78FC"/>
    <w:rsid w:val="000A7CED"/>
    <w:rsid w:val="000B0B28"/>
    <w:rsid w:val="000B10CF"/>
    <w:rsid w:val="000B2938"/>
    <w:rsid w:val="000B3461"/>
    <w:rsid w:val="000B3740"/>
    <w:rsid w:val="000B38A6"/>
    <w:rsid w:val="000B39F2"/>
    <w:rsid w:val="000B4DB4"/>
    <w:rsid w:val="000B544A"/>
    <w:rsid w:val="000B5661"/>
    <w:rsid w:val="000B590C"/>
    <w:rsid w:val="000B592E"/>
    <w:rsid w:val="000B5A70"/>
    <w:rsid w:val="000B5EDA"/>
    <w:rsid w:val="000C01FD"/>
    <w:rsid w:val="000C07AF"/>
    <w:rsid w:val="000C1D88"/>
    <w:rsid w:val="000C3BEC"/>
    <w:rsid w:val="000C44D1"/>
    <w:rsid w:val="000C4B58"/>
    <w:rsid w:val="000C5935"/>
    <w:rsid w:val="000C6FA1"/>
    <w:rsid w:val="000D0544"/>
    <w:rsid w:val="000D0E36"/>
    <w:rsid w:val="000D2C56"/>
    <w:rsid w:val="000D310F"/>
    <w:rsid w:val="000D3771"/>
    <w:rsid w:val="000D410C"/>
    <w:rsid w:val="000D46CB"/>
    <w:rsid w:val="000D5CE6"/>
    <w:rsid w:val="000D6108"/>
    <w:rsid w:val="000D6A65"/>
    <w:rsid w:val="000D6ED5"/>
    <w:rsid w:val="000D722D"/>
    <w:rsid w:val="000D7465"/>
    <w:rsid w:val="000E0422"/>
    <w:rsid w:val="000E1C07"/>
    <w:rsid w:val="000E2A0C"/>
    <w:rsid w:val="000E3447"/>
    <w:rsid w:val="000E50E4"/>
    <w:rsid w:val="000E5602"/>
    <w:rsid w:val="000E5CD1"/>
    <w:rsid w:val="000E5E6B"/>
    <w:rsid w:val="000E6525"/>
    <w:rsid w:val="000E7A27"/>
    <w:rsid w:val="000E7DFE"/>
    <w:rsid w:val="000F00CC"/>
    <w:rsid w:val="000F1DD8"/>
    <w:rsid w:val="000F26D4"/>
    <w:rsid w:val="000F28C3"/>
    <w:rsid w:val="000F44A7"/>
    <w:rsid w:val="000F4634"/>
    <w:rsid w:val="000F4925"/>
    <w:rsid w:val="000F5304"/>
    <w:rsid w:val="000F569C"/>
    <w:rsid w:val="000F647E"/>
    <w:rsid w:val="000F67F8"/>
    <w:rsid w:val="000F6AAC"/>
    <w:rsid w:val="000F6F06"/>
    <w:rsid w:val="000F7989"/>
    <w:rsid w:val="00100974"/>
    <w:rsid w:val="00101941"/>
    <w:rsid w:val="00101E69"/>
    <w:rsid w:val="001024EF"/>
    <w:rsid w:val="0010272F"/>
    <w:rsid w:val="00102974"/>
    <w:rsid w:val="001050DB"/>
    <w:rsid w:val="0010533C"/>
    <w:rsid w:val="00105E58"/>
    <w:rsid w:val="0010617D"/>
    <w:rsid w:val="001077E6"/>
    <w:rsid w:val="0011280A"/>
    <w:rsid w:val="00112B29"/>
    <w:rsid w:val="00112B6F"/>
    <w:rsid w:val="001138AE"/>
    <w:rsid w:val="001148BC"/>
    <w:rsid w:val="00114C7A"/>
    <w:rsid w:val="0011558D"/>
    <w:rsid w:val="00115D0E"/>
    <w:rsid w:val="001162EE"/>
    <w:rsid w:val="00117995"/>
    <w:rsid w:val="00120EF7"/>
    <w:rsid w:val="001216F1"/>
    <w:rsid w:val="001218D4"/>
    <w:rsid w:val="00123DB2"/>
    <w:rsid w:val="00123DFA"/>
    <w:rsid w:val="001242B4"/>
    <w:rsid w:val="00124DCA"/>
    <w:rsid w:val="001252B9"/>
    <w:rsid w:val="00125B23"/>
    <w:rsid w:val="00125E3B"/>
    <w:rsid w:val="00126765"/>
    <w:rsid w:val="001268CA"/>
    <w:rsid w:val="00127CF3"/>
    <w:rsid w:val="00127F10"/>
    <w:rsid w:val="0013006E"/>
    <w:rsid w:val="001311AC"/>
    <w:rsid w:val="00131770"/>
    <w:rsid w:val="00131B9B"/>
    <w:rsid w:val="00132FE3"/>
    <w:rsid w:val="001341ED"/>
    <w:rsid w:val="00134DD9"/>
    <w:rsid w:val="001362F0"/>
    <w:rsid w:val="00136E03"/>
    <w:rsid w:val="00137637"/>
    <w:rsid w:val="00137728"/>
    <w:rsid w:val="00137A2E"/>
    <w:rsid w:val="00137E4E"/>
    <w:rsid w:val="00140B2E"/>
    <w:rsid w:val="0014139B"/>
    <w:rsid w:val="00141FEF"/>
    <w:rsid w:val="00142AC7"/>
    <w:rsid w:val="001436CE"/>
    <w:rsid w:val="00144B54"/>
    <w:rsid w:val="00145836"/>
    <w:rsid w:val="0014590C"/>
    <w:rsid w:val="001459BF"/>
    <w:rsid w:val="00145DF8"/>
    <w:rsid w:val="001460C0"/>
    <w:rsid w:val="00147A94"/>
    <w:rsid w:val="00150ED1"/>
    <w:rsid w:val="0015100B"/>
    <w:rsid w:val="00151326"/>
    <w:rsid w:val="00152223"/>
    <w:rsid w:val="0015261E"/>
    <w:rsid w:val="00152E92"/>
    <w:rsid w:val="0015349A"/>
    <w:rsid w:val="001550BB"/>
    <w:rsid w:val="001553F6"/>
    <w:rsid w:val="00155FA6"/>
    <w:rsid w:val="00157B2E"/>
    <w:rsid w:val="001603E0"/>
    <w:rsid w:val="001608D7"/>
    <w:rsid w:val="001617F0"/>
    <w:rsid w:val="00162C43"/>
    <w:rsid w:val="0016454D"/>
    <w:rsid w:val="00165C22"/>
    <w:rsid w:val="00165F2B"/>
    <w:rsid w:val="001704C6"/>
    <w:rsid w:val="00170609"/>
    <w:rsid w:val="00170F63"/>
    <w:rsid w:val="001721D8"/>
    <w:rsid w:val="001737A3"/>
    <w:rsid w:val="00174752"/>
    <w:rsid w:val="00174D57"/>
    <w:rsid w:val="00174EDF"/>
    <w:rsid w:val="00175636"/>
    <w:rsid w:val="00176B54"/>
    <w:rsid w:val="00177234"/>
    <w:rsid w:val="00177DD2"/>
    <w:rsid w:val="00180D37"/>
    <w:rsid w:val="00181FA8"/>
    <w:rsid w:val="00183419"/>
    <w:rsid w:val="00184075"/>
    <w:rsid w:val="001840C4"/>
    <w:rsid w:val="0018553E"/>
    <w:rsid w:val="00186479"/>
    <w:rsid w:val="001870DE"/>
    <w:rsid w:val="00187D83"/>
    <w:rsid w:val="00190BD7"/>
    <w:rsid w:val="00192E23"/>
    <w:rsid w:val="0019320C"/>
    <w:rsid w:val="00193EC0"/>
    <w:rsid w:val="00194096"/>
    <w:rsid w:val="00195E62"/>
    <w:rsid w:val="00196F94"/>
    <w:rsid w:val="001A00A7"/>
    <w:rsid w:val="001A035D"/>
    <w:rsid w:val="001A04CA"/>
    <w:rsid w:val="001A1222"/>
    <w:rsid w:val="001A3D0D"/>
    <w:rsid w:val="001A51FE"/>
    <w:rsid w:val="001A6E89"/>
    <w:rsid w:val="001B3328"/>
    <w:rsid w:val="001B3D27"/>
    <w:rsid w:val="001B4CA8"/>
    <w:rsid w:val="001B67D3"/>
    <w:rsid w:val="001B6E46"/>
    <w:rsid w:val="001B6F54"/>
    <w:rsid w:val="001B7533"/>
    <w:rsid w:val="001C293A"/>
    <w:rsid w:val="001C42A2"/>
    <w:rsid w:val="001C6110"/>
    <w:rsid w:val="001C6A81"/>
    <w:rsid w:val="001C72D2"/>
    <w:rsid w:val="001C7B88"/>
    <w:rsid w:val="001C7C49"/>
    <w:rsid w:val="001D02F2"/>
    <w:rsid w:val="001D0341"/>
    <w:rsid w:val="001D0812"/>
    <w:rsid w:val="001D2A56"/>
    <w:rsid w:val="001D320E"/>
    <w:rsid w:val="001D38A0"/>
    <w:rsid w:val="001D4171"/>
    <w:rsid w:val="001D58B7"/>
    <w:rsid w:val="001D5AEF"/>
    <w:rsid w:val="001D71BB"/>
    <w:rsid w:val="001D775A"/>
    <w:rsid w:val="001E1744"/>
    <w:rsid w:val="001E1F98"/>
    <w:rsid w:val="001E28C8"/>
    <w:rsid w:val="001E3615"/>
    <w:rsid w:val="001E3C95"/>
    <w:rsid w:val="001E558B"/>
    <w:rsid w:val="001E604A"/>
    <w:rsid w:val="001E71D5"/>
    <w:rsid w:val="001E7781"/>
    <w:rsid w:val="001F1366"/>
    <w:rsid w:val="001F1E43"/>
    <w:rsid w:val="001F2ECD"/>
    <w:rsid w:val="001F3146"/>
    <w:rsid w:val="001F50C9"/>
    <w:rsid w:val="001F5119"/>
    <w:rsid w:val="001F728D"/>
    <w:rsid w:val="00200379"/>
    <w:rsid w:val="00200942"/>
    <w:rsid w:val="00201191"/>
    <w:rsid w:val="00201456"/>
    <w:rsid w:val="00201BEA"/>
    <w:rsid w:val="00202051"/>
    <w:rsid w:val="00202977"/>
    <w:rsid w:val="00202F36"/>
    <w:rsid w:val="00203015"/>
    <w:rsid w:val="002039D9"/>
    <w:rsid w:val="00204287"/>
    <w:rsid w:val="00204479"/>
    <w:rsid w:val="00205955"/>
    <w:rsid w:val="00206218"/>
    <w:rsid w:val="00206C1B"/>
    <w:rsid w:val="00207DB8"/>
    <w:rsid w:val="00210AD2"/>
    <w:rsid w:val="00210EBE"/>
    <w:rsid w:val="00211200"/>
    <w:rsid w:val="002122F3"/>
    <w:rsid w:val="00213E6E"/>
    <w:rsid w:val="002148DB"/>
    <w:rsid w:val="00214EDA"/>
    <w:rsid w:val="0021515B"/>
    <w:rsid w:val="00215B72"/>
    <w:rsid w:val="00217452"/>
    <w:rsid w:val="0022028E"/>
    <w:rsid w:val="00220464"/>
    <w:rsid w:val="002216E6"/>
    <w:rsid w:val="00222585"/>
    <w:rsid w:val="0022336F"/>
    <w:rsid w:val="00224134"/>
    <w:rsid w:val="0022473D"/>
    <w:rsid w:val="0022790B"/>
    <w:rsid w:val="00227AB9"/>
    <w:rsid w:val="00231E85"/>
    <w:rsid w:val="00233ECA"/>
    <w:rsid w:val="00234522"/>
    <w:rsid w:val="00234FB1"/>
    <w:rsid w:val="002364CD"/>
    <w:rsid w:val="00236EF5"/>
    <w:rsid w:val="00240B61"/>
    <w:rsid w:val="00241912"/>
    <w:rsid w:val="00243B8E"/>
    <w:rsid w:val="00244AC7"/>
    <w:rsid w:val="002466EA"/>
    <w:rsid w:val="0025003D"/>
    <w:rsid w:val="0025015E"/>
    <w:rsid w:val="00252161"/>
    <w:rsid w:val="002532F1"/>
    <w:rsid w:val="0025348C"/>
    <w:rsid w:val="00253A76"/>
    <w:rsid w:val="00253B3A"/>
    <w:rsid w:val="00253C01"/>
    <w:rsid w:val="00253E50"/>
    <w:rsid w:val="00254B25"/>
    <w:rsid w:val="00254ECD"/>
    <w:rsid w:val="00256703"/>
    <w:rsid w:val="002567A4"/>
    <w:rsid w:val="0026139F"/>
    <w:rsid w:val="00262C32"/>
    <w:rsid w:val="0026427F"/>
    <w:rsid w:val="00264D12"/>
    <w:rsid w:val="002661A7"/>
    <w:rsid w:val="0026699A"/>
    <w:rsid w:val="00266F9F"/>
    <w:rsid w:val="00267430"/>
    <w:rsid w:val="00270295"/>
    <w:rsid w:val="002704DB"/>
    <w:rsid w:val="002716C6"/>
    <w:rsid w:val="00271C31"/>
    <w:rsid w:val="00272BBA"/>
    <w:rsid w:val="0027332F"/>
    <w:rsid w:val="00274030"/>
    <w:rsid w:val="002741A2"/>
    <w:rsid w:val="00274A67"/>
    <w:rsid w:val="00275190"/>
    <w:rsid w:val="00275739"/>
    <w:rsid w:val="0027579B"/>
    <w:rsid w:val="00275AE8"/>
    <w:rsid w:val="00276402"/>
    <w:rsid w:val="00280CDF"/>
    <w:rsid w:val="00280FC2"/>
    <w:rsid w:val="002826CE"/>
    <w:rsid w:val="00282C9C"/>
    <w:rsid w:val="00284191"/>
    <w:rsid w:val="00285C20"/>
    <w:rsid w:val="002860F8"/>
    <w:rsid w:val="002863C3"/>
    <w:rsid w:val="002879DB"/>
    <w:rsid w:val="002905C9"/>
    <w:rsid w:val="0029061D"/>
    <w:rsid w:val="00291CBC"/>
    <w:rsid w:val="002927F6"/>
    <w:rsid w:val="00292BCF"/>
    <w:rsid w:val="0029355A"/>
    <w:rsid w:val="00293EB8"/>
    <w:rsid w:val="0029458E"/>
    <w:rsid w:val="002979AC"/>
    <w:rsid w:val="00297E37"/>
    <w:rsid w:val="002A2B8C"/>
    <w:rsid w:val="002A36D3"/>
    <w:rsid w:val="002A409F"/>
    <w:rsid w:val="002A6857"/>
    <w:rsid w:val="002A6B84"/>
    <w:rsid w:val="002A6C79"/>
    <w:rsid w:val="002A7232"/>
    <w:rsid w:val="002B0CFF"/>
    <w:rsid w:val="002B14D4"/>
    <w:rsid w:val="002B1550"/>
    <w:rsid w:val="002B16E7"/>
    <w:rsid w:val="002B176D"/>
    <w:rsid w:val="002B1F42"/>
    <w:rsid w:val="002B1F9D"/>
    <w:rsid w:val="002B36DA"/>
    <w:rsid w:val="002B3805"/>
    <w:rsid w:val="002B4647"/>
    <w:rsid w:val="002B469E"/>
    <w:rsid w:val="002B52B8"/>
    <w:rsid w:val="002B54DB"/>
    <w:rsid w:val="002B5E97"/>
    <w:rsid w:val="002B6728"/>
    <w:rsid w:val="002B77D1"/>
    <w:rsid w:val="002B7BA0"/>
    <w:rsid w:val="002C0AD2"/>
    <w:rsid w:val="002C0C52"/>
    <w:rsid w:val="002C0CB5"/>
    <w:rsid w:val="002C13A3"/>
    <w:rsid w:val="002C1A76"/>
    <w:rsid w:val="002C25D1"/>
    <w:rsid w:val="002C3436"/>
    <w:rsid w:val="002C3B67"/>
    <w:rsid w:val="002C3EC4"/>
    <w:rsid w:val="002C3FEF"/>
    <w:rsid w:val="002C4928"/>
    <w:rsid w:val="002C5470"/>
    <w:rsid w:val="002C5640"/>
    <w:rsid w:val="002C69B3"/>
    <w:rsid w:val="002C7197"/>
    <w:rsid w:val="002D0105"/>
    <w:rsid w:val="002D2BFB"/>
    <w:rsid w:val="002D318D"/>
    <w:rsid w:val="002D385F"/>
    <w:rsid w:val="002D42E1"/>
    <w:rsid w:val="002D475F"/>
    <w:rsid w:val="002D47AE"/>
    <w:rsid w:val="002D49B9"/>
    <w:rsid w:val="002D50B2"/>
    <w:rsid w:val="002D7078"/>
    <w:rsid w:val="002E0420"/>
    <w:rsid w:val="002E04BB"/>
    <w:rsid w:val="002E0CE3"/>
    <w:rsid w:val="002E1FF2"/>
    <w:rsid w:val="002E222C"/>
    <w:rsid w:val="002E248F"/>
    <w:rsid w:val="002E3364"/>
    <w:rsid w:val="002E35EF"/>
    <w:rsid w:val="002E3746"/>
    <w:rsid w:val="002E3CFC"/>
    <w:rsid w:val="002E5484"/>
    <w:rsid w:val="002E5B35"/>
    <w:rsid w:val="002E6934"/>
    <w:rsid w:val="002E6D1F"/>
    <w:rsid w:val="002E6D91"/>
    <w:rsid w:val="002E7E81"/>
    <w:rsid w:val="002F2911"/>
    <w:rsid w:val="002F2E15"/>
    <w:rsid w:val="002F4CC9"/>
    <w:rsid w:val="002F7F16"/>
    <w:rsid w:val="0030089D"/>
    <w:rsid w:val="00301463"/>
    <w:rsid w:val="00301E35"/>
    <w:rsid w:val="0030288E"/>
    <w:rsid w:val="003030E9"/>
    <w:rsid w:val="00304202"/>
    <w:rsid w:val="00304985"/>
    <w:rsid w:val="0030630A"/>
    <w:rsid w:val="00306E5F"/>
    <w:rsid w:val="00307068"/>
    <w:rsid w:val="00310355"/>
    <w:rsid w:val="003105A0"/>
    <w:rsid w:val="00310C45"/>
    <w:rsid w:val="0031123A"/>
    <w:rsid w:val="00312F4E"/>
    <w:rsid w:val="003155FE"/>
    <w:rsid w:val="00315DDB"/>
    <w:rsid w:val="00317FEC"/>
    <w:rsid w:val="003207C4"/>
    <w:rsid w:val="00320C35"/>
    <w:rsid w:val="00323489"/>
    <w:rsid w:val="0032417B"/>
    <w:rsid w:val="00324F32"/>
    <w:rsid w:val="003256E1"/>
    <w:rsid w:val="00325EAB"/>
    <w:rsid w:val="003276B1"/>
    <w:rsid w:val="003277A6"/>
    <w:rsid w:val="00330051"/>
    <w:rsid w:val="00330F5C"/>
    <w:rsid w:val="00330FF2"/>
    <w:rsid w:val="00332F5A"/>
    <w:rsid w:val="003330BA"/>
    <w:rsid w:val="0033359C"/>
    <w:rsid w:val="00333BF3"/>
    <w:rsid w:val="00333CD8"/>
    <w:rsid w:val="00334FF8"/>
    <w:rsid w:val="003352B8"/>
    <w:rsid w:val="00335DAD"/>
    <w:rsid w:val="00336757"/>
    <w:rsid w:val="00336AFC"/>
    <w:rsid w:val="00336C41"/>
    <w:rsid w:val="00336E7A"/>
    <w:rsid w:val="00340355"/>
    <w:rsid w:val="00342334"/>
    <w:rsid w:val="00342655"/>
    <w:rsid w:val="00343A3D"/>
    <w:rsid w:val="00344045"/>
    <w:rsid w:val="00344830"/>
    <w:rsid w:val="0034615F"/>
    <w:rsid w:val="003461C2"/>
    <w:rsid w:val="003468CB"/>
    <w:rsid w:val="003479DE"/>
    <w:rsid w:val="0035065C"/>
    <w:rsid w:val="003510B9"/>
    <w:rsid w:val="00352812"/>
    <w:rsid w:val="003529A3"/>
    <w:rsid w:val="00355C2A"/>
    <w:rsid w:val="003579AC"/>
    <w:rsid w:val="00360754"/>
    <w:rsid w:val="0036093A"/>
    <w:rsid w:val="003616A1"/>
    <w:rsid w:val="003633A8"/>
    <w:rsid w:val="003637A3"/>
    <w:rsid w:val="00363A18"/>
    <w:rsid w:val="00366425"/>
    <w:rsid w:val="00366A11"/>
    <w:rsid w:val="00366CFD"/>
    <w:rsid w:val="00367824"/>
    <w:rsid w:val="0037056F"/>
    <w:rsid w:val="00371033"/>
    <w:rsid w:val="003711D8"/>
    <w:rsid w:val="00371A0E"/>
    <w:rsid w:val="00371F25"/>
    <w:rsid w:val="00373BE9"/>
    <w:rsid w:val="00373D56"/>
    <w:rsid w:val="003756BB"/>
    <w:rsid w:val="00375C03"/>
    <w:rsid w:val="00376B1A"/>
    <w:rsid w:val="003777B9"/>
    <w:rsid w:val="00377D9F"/>
    <w:rsid w:val="00377E1E"/>
    <w:rsid w:val="00380137"/>
    <w:rsid w:val="00380C07"/>
    <w:rsid w:val="00380F46"/>
    <w:rsid w:val="003816A6"/>
    <w:rsid w:val="00381D4E"/>
    <w:rsid w:val="00381EDD"/>
    <w:rsid w:val="00382BAC"/>
    <w:rsid w:val="00383E1F"/>
    <w:rsid w:val="00384026"/>
    <w:rsid w:val="00384515"/>
    <w:rsid w:val="00384F61"/>
    <w:rsid w:val="003852E0"/>
    <w:rsid w:val="0038541A"/>
    <w:rsid w:val="00385A24"/>
    <w:rsid w:val="00385B7D"/>
    <w:rsid w:val="00386680"/>
    <w:rsid w:val="00386775"/>
    <w:rsid w:val="003869CF"/>
    <w:rsid w:val="00387094"/>
    <w:rsid w:val="00387A44"/>
    <w:rsid w:val="00387B35"/>
    <w:rsid w:val="0039015B"/>
    <w:rsid w:val="00390AA0"/>
    <w:rsid w:val="00393642"/>
    <w:rsid w:val="00393930"/>
    <w:rsid w:val="003948E5"/>
    <w:rsid w:val="0039538A"/>
    <w:rsid w:val="00395722"/>
    <w:rsid w:val="00396340"/>
    <w:rsid w:val="00396800"/>
    <w:rsid w:val="00396B9D"/>
    <w:rsid w:val="00396D62"/>
    <w:rsid w:val="00396F3D"/>
    <w:rsid w:val="0039768E"/>
    <w:rsid w:val="00397D0C"/>
    <w:rsid w:val="003A0AE3"/>
    <w:rsid w:val="003A1248"/>
    <w:rsid w:val="003A1974"/>
    <w:rsid w:val="003A35B1"/>
    <w:rsid w:val="003A39D4"/>
    <w:rsid w:val="003A39F4"/>
    <w:rsid w:val="003A3FB3"/>
    <w:rsid w:val="003A6ABA"/>
    <w:rsid w:val="003B03B6"/>
    <w:rsid w:val="003B18AA"/>
    <w:rsid w:val="003B248B"/>
    <w:rsid w:val="003B3CCF"/>
    <w:rsid w:val="003B3D00"/>
    <w:rsid w:val="003B5984"/>
    <w:rsid w:val="003B5B09"/>
    <w:rsid w:val="003B60E6"/>
    <w:rsid w:val="003B6C1F"/>
    <w:rsid w:val="003B73BE"/>
    <w:rsid w:val="003C1037"/>
    <w:rsid w:val="003C1049"/>
    <w:rsid w:val="003C104E"/>
    <w:rsid w:val="003C2A0B"/>
    <w:rsid w:val="003C2A7D"/>
    <w:rsid w:val="003C2C07"/>
    <w:rsid w:val="003C49B8"/>
    <w:rsid w:val="003C4AE7"/>
    <w:rsid w:val="003C4B9F"/>
    <w:rsid w:val="003C5DC4"/>
    <w:rsid w:val="003C6FA6"/>
    <w:rsid w:val="003D0D20"/>
    <w:rsid w:val="003D1113"/>
    <w:rsid w:val="003D2724"/>
    <w:rsid w:val="003D3394"/>
    <w:rsid w:val="003D55F3"/>
    <w:rsid w:val="003D5869"/>
    <w:rsid w:val="003D5FE3"/>
    <w:rsid w:val="003D76C1"/>
    <w:rsid w:val="003D7AAF"/>
    <w:rsid w:val="003E04E7"/>
    <w:rsid w:val="003E12CE"/>
    <w:rsid w:val="003E312F"/>
    <w:rsid w:val="003E3683"/>
    <w:rsid w:val="003E3750"/>
    <w:rsid w:val="003E3C9B"/>
    <w:rsid w:val="003E3E51"/>
    <w:rsid w:val="003E4DB6"/>
    <w:rsid w:val="003E57B8"/>
    <w:rsid w:val="003E640B"/>
    <w:rsid w:val="003E71E2"/>
    <w:rsid w:val="003E7A90"/>
    <w:rsid w:val="003E7D1D"/>
    <w:rsid w:val="003F01A2"/>
    <w:rsid w:val="003F4269"/>
    <w:rsid w:val="003F5310"/>
    <w:rsid w:val="003F56B1"/>
    <w:rsid w:val="003F5B19"/>
    <w:rsid w:val="003F6ECB"/>
    <w:rsid w:val="003F721E"/>
    <w:rsid w:val="00400538"/>
    <w:rsid w:val="004006D2"/>
    <w:rsid w:val="004013DE"/>
    <w:rsid w:val="00401C93"/>
    <w:rsid w:val="00403284"/>
    <w:rsid w:val="0040385C"/>
    <w:rsid w:val="004050EB"/>
    <w:rsid w:val="00407172"/>
    <w:rsid w:val="00410D53"/>
    <w:rsid w:val="00410DB2"/>
    <w:rsid w:val="00410DEF"/>
    <w:rsid w:val="004111E9"/>
    <w:rsid w:val="00411455"/>
    <w:rsid w:val="004118F0"/>
    <w:rsid w:val="004119EE"/>
    <w:rsid w:val="00411FBD"/>
    <w:rsid w:val="0041208E"/>
    <w:rsid w:val="00413D49"/>
    <w:rsid w:val="00414C71"/>
    <w:rsid w:val="00415A12"/>
    <w:rsid w:val="00415B3D"/>
    <w:rsid w:val="004202A9"/>
    <w:rsid w:val="00421233"/>
    <w:rsid w:val="00421267"/>
    <w:rsid w:val="00421E0C"/>
    <w:rsid w:val="00421FAF"/>
    <w:rsid w:val="00422399"/>
    <w:rsid w:val="00422633"/>
    <w:rsid w:val="00422E18"/>
    <w:rsid w:val="00422F3C"/>
    <w:rsid w:val="0042307B"/>
    <w:rsid w:val="004242C1"/>
    <w:rsid w:val="00424517"/>
    <w:rsid w:val="004245AE"/>
    <w:rsid w:val="00424F05"/>
    <w:rsid w:val="00425264"/>
    <w:rsid w:val="004262B3"/>
    <w:rsid w:val="00426466"/>
    <w:rsid w:val="0042748E"/>
    <w:rsid w:val="00430371"/>
    <w:rsid w:val="0043062B"/>
    <w:rsid w:val="00431107"/>
    <w:rsid w:val="004314F0"/>
    <w:rsid w:val="0043218A"/>
    <w:rsid w:val="00432907"/>
    <w:rsid w:val="00434C03"/>
    <w:rsid w:val="00434D9C"/>
    <w:rsid w:val="00435CA6"/>
    <w:rsid w:val="004379F8"/>
    <w:rsid w:val="00440B9B"/>
    <w:rsid w:val="00440DD7"/>
    <w:rsid w:val="00442605"/>
    <w:rsid w:val="00442AEC"/>
    <w:rsid w:val="004442F2"/>
    <w:rsid w:val="004449E9"/>
    <w:rsid w:val="00445BF4"/>
    <w:rsid w:val="00446676"/>
    <w:rsid w:val="004468DB"/>
    <w:rsid w:val="00447339"/>
    <w:rsid w:val="00447F5E"/>
    <w:rsid w:val="004512D1"/>
    <w:rsid w:val="00451981"/>
    <w:rsid w:val="00451B8D"/>
    <w:rsid w:val="004527CB"/>
    <w:rsid w:val="0045341D"/>
    <w:rsid w:val="00453E27"/>
    <w:rsid w:val="00453F51"/>
    <w:rsid w:val="004546A2"/>
    <w:rsid w:val="00455182"/>
    <w:rsid w:val="00457C30"/>
    <w:rsid w:val="00464796"/>
    <w:rsid w:val="00464F5F"/>
    <w:rsid w:val="004652DD"/>
    <w:rsid w:val="00465CE2"/>
    <w:rsid w:val="004669FD"/>
    <w:rsid w:val="0046775B"/>
    <w:rsid w:val="00467AFF"/>
    <w:rsid w:val="0047017C"/>
    <w:rsid w:val="00471ACC"/>
    <w:rsid w:val="0047302B"/>
    <w:rsid w:val="004739FD"/>
    <w:rsid w:val="0047512E"/>
    <w:rsid w:val="0047598D"/>
    <w:rsid w:val="0047749A"/>
    <w:rsid w:val="004777A4"/>
    <w:rsid w:val="004801D0"/>
    <w:rsid w:val="0048081F"/>
    <w:rsid w:val="00480BCD"/>
    <w:rsid w:val="004819DA"/>
    <w:rsid w:val="00482291"/>
    <w:rsid w:val="004825B8"/>
    <w:rsid w:val="0048287C"/>
    <w:rsid w:val="00482C63"/>
    <w:rsid w:val="00483284"/>
    <w:rsid w:val="0048553F"/>
    <w:rsid w:val="00485BCD"/>
    <w:rsid w:val="004874B7"/>
    <w:rsid w:val="004904B2"/>
    <w:rsid w:val="004905E2"/>
    <w:rsid w:val="0049158C"/>
    <w:rsid w:val="004938BE"/>
    <w:rsid w:val="004940F0"/>
    <w:rsid w:val="00494380"/>
    <w:rsid w:val="00494FC0"/>
    <w:rsid w:val="00495774"/>
    <w:rsid w:val="00495EF3"/>
    <w:rsid w:val="00495F46"/>
    <w:rsid w:val="00496883"/>
    <w:rsid w:val="004974DC"/>
    <w:rsid w:val="004A02EE"/>
    <w:rsid w:val="004A1D96"/>
    <w:rsid w:val="004A3031"/>
    <w:rsid w:val="004A3525"/>
    <w:rsid w:val="004A3CCD"/>
    <w:rsid w:val="004A4F9E"/>
    <w:rsid w:val="004A5A65"/>
    <w:rsid w:val="004A605B"/>
    <w:rsid w:val="004A6D12"/>
    <w:rsid w:val="004A6EEE"/>
    <w:rsid w:val="004B03A0"/>
    <w:rsid w:val="004B0B23"/>
    <w:rsid w:val="004B0CC8"/>
    <w:rsid w:val="004B1B7C"/>
    <w:rsid w:val="004B1F66"/>
    <w:rsid w:val="004B2A91"/>
    <w:rsid w:val="004B2F06"/>
    <w:rsid w:val="004B3192"/>
    <w:rsid w:val="004B3ED5"/>
    <w:rsid w:val="004B4045"/>
    <w:rsid w:val="004B4786"/>
    <w:rsid w:val="004B53A6"/>
    <w:rsid w:val="004B5EFA"/>
    <w:rsid w:val="004B6B15"/>
    <w:rsid w:val="004B7060"/>
    <w:rsid w:val="004B77A8"/>
    <w:rsid w:val="004C07DE"/>
    <w:rsid w:val="004C0D78"/>
    <w:rsid w:val="004C1702"/>
    <w:rsid w:val="004C18C7"/>
    <w:rsid w:val="004C211C"/>
    <w:rsid w:val="004C2768"/>
    <w:rsid w:val="004C28EA"/>
    <w:rsid w:val="004C35AB"/>
    <w:rsid w:val="004C43DB"/>
    <w:rsid w:val="004C541E"/>
    <w:rsid w:val="004C599B"/>
    <w:rsid w:val="004C7997"/>
    <w:rsid w:val="004D19A0"/>
    <w:rsid w:val="004D230C"/>
    <w:rsid w:val="004D33F0"/>
    <w:rsid w:val="004D3F5B"/>
    <w:rsid w:val="004D4156"/>
    <w:rsid w:val="004D461F"/>
    <w:rsid w:val="004D6726"/>
    <w:rsid w:val="004D728F"/>
    <w:rsid w:val="004D7572"/>
    <w:rsid w:val="004D7E44"/>
    <w:rsid w:val="004E0984"/>
    <w:rsid w:val="004E0A88"/>
    <w:rsid w:val="004E16D2"/>
    <w:rsid w:val="004E21EF"/>
    <w:rsid w:val="004E2E5D"/>
    <w:rsid w:val="004E4F1A"/>
    <w:rsid w:val="004E576E"/>
    <w:rsid w:val="004E57DB"/>
    <w:rsid w:val="004E5D95"/>
    <w:rsid w:val="004E601F"/>
    <w:rsid w:val="004E6AFD"/>
    <w:rsid w:val="004E7230"/>
    <w:rsid w:val="004E72CF"/>
    <w:rsid w:val="004E7B0F"/>
    <w:rsid w:val="004F1583"/>
    <w:rsid w:val="004F1AA1"/>
    <w:rsid w:val="004F1BF8"/>
    <w:rsid w:val="004F1C33"/>
    <w:rsid w:val="004F1EF3"/>
    <w:rsid w:val="004F287B"/>
    <w:rsid w:val="004F4240"/>
    <w:rsid w:val="004F4ADA"/>
    <w:rsid w:val="004F5192"/>
    <w:rsid w:val="004F59B9"/>
    <w:rsid w:val="004F70CB"/>
    <w:rsid w:val="00501568"/>
    <w:rsid w:val="005021DB"/>
    <w:rsid w:val="00502A14"/>
    <w:rsid w:val="00503B0C"/>
    <w:rsid w:val="00503C85"/>
    <w:rsid w:val="00504E10"/>
    <w:rsid w:val="005052DA"/>
    <w:rsid w:val="00505A5E"/>
    <w:rsid w:val="005060A6"/>
    <w:rsid w:val="005060D9"/>
    <w:rsid w:val="00506244"/>
    <w:rsid w:val="00506C1F"/>
    <w:rsid w:val="00506E75"/>
    <w:rsid w:val="00510260"/>
    <w:rsid w:val="005104C2"/>
    <w:rsid w:val="00510973"/>
    <w:rsid w:val="0051225A"/>
    <w:rsid w:val="00512282"/>
    <w:rsid w:val="00513541"/>
    <w:rsid w:val="00513D86"/>
    <w:rsid w:val="00514D6A"/>
    <w:rsid w:val="00515142"/>
    <w:rsid w:val="005153C0"/>
    <w:rsid w:val="00515E22"/>
    <w:rsid w:val="005164CE"/>
    <w:rsid w:val="00516C31"/>
    <w:rsid w:val="00517804"/>
    <w:rsid w:val="0052044C"/>
    <w:rsid w:val="00521287"/>
    <w:rsid w:val="00524A98"/>
    <w:rsid w:val="00524AB1"/>
    <w:rsid w:val="00524E61"/>
    <w:rsid w:val="00525362"/>
    <w:rsid w:val="0052577F"/>
    <w:rsid w:val="00525F7A"/>
    <w:rsid w:val="00526094"/>
    <w:rsid w:val="0052689F"/>
    <w:rsid w:val="00526F36"/>
    <w:rsid w:val="00527A51"/>
    <w:rsid w:val="00527B84"/>
    <w:rsid w:val="00527D14"/>
    <w:rsid w:val="0053028D"/>
    <w:rsid w:val="00530F17"/>
    <w:rsid w:val="00531815"/>
    <w:rsid w:val="005326D7"/>
    <w:rsid w:val="00534798"/>
    <w:rsid w:val="00534C06"/>
    <w:rsid w:val="00534F4E"/>
    <w:rsid w:val="005351A0"/>
    <w:rsid w:val="0053595C"/>
    <w:rsid w:val="005375DF"/>
    <w:rsid w:val="00537B19"/>
    <w:rsid w:val="00540609"/>
    <w:rsid w:val="00541C08"/>
    <w:rsid w:val="00543E3A"/>
    <w:rsid w:val="005444CD"/>
    <w:rsid w:val="005457D2"/>
    <w:rsid w:val="00545F19"/>
    <w:rsid w:val="00546453"/>
    <w:rsid w:val="005478EF"/>
    <w:rsid w:val="00547D89"/>
    <w:rsid w:val="00550474"/>
    <w:rsid w:val="00551263"/>
    <w:rsid w:val="0055152E"/>
    <w:rsid w:val="0055280A"/>
    <w:rsid w:val="00552B30"/>
    <w:rsid w:val="005552E3"/>
    <w:rsid w:val="0055693E"/>
    <w:rsid w:val="005569E7"/>
    <w:rsid w:val="00560635"/>
    <w:rsid w:val="00560CAC"/>
    <w:rsid w:val="00562D11"/>
    <w:rsid w:val="00562D74"/>
    <w:rsid w:val="00562F88"/>
    <w:rsid w:val="00563037"/>
    <w:rsid w:val="00563F10"/>
    <w:rsid w:val="00564155"/>
    <w:rsid w:val="00564540"/>
    <w:rsid w:val="00565BFB"/>
    <w:rsid w:val="005674A7"/>
    <w:rsid w:val="0057091A"/>
    <w:rsid w:val="005714F2"/>
    <w:rsid w:val="00571D45"/>
    <w:rsid w:val="00572619"/>
    <w:rsid w:val="00573009"/>
    <w:rsid w:val="005739CD"/>
    <w:rsid w:val="00574019"/>
    <w:rsid w:val="005744A5"/>
    <w:rsid w:val="00575CD2"/>
    <w:rsid w:val="00577BF9"/>
    <w:rsid w:val="00577C04"/>
    <w:rsid w:val="00577D6E"/>
    <w:rsid w:val="00580059"/>
    <w:rsid w:val="00580133"/>
    <w:rsid w:val="00580E99"/>
    <w:rsid w:val="005813EB"/>
    <w:rsid w:val="0058170F"/>
    <w:rsid w:val="005817F0"/>
    <w:rsid w:val="005818F4"/>
    <w:rsid w:val="005820D7"/>
    <w:rsid w:val="005823F8"/>
    <w:rsid w:val="00583A8C"/>
    <w:rsid w:val="00587133"/>
    <w:rsid w:val="00587875"/>
    <w:rsid w:val="00591CC0"/>
    <w:rsid w:val="0059206E"/>
    <w:rsid w:val="0059589C"/>
    <w:rsid w:val="005965A2"/>
    <w:rsid w:val="0059669D"/>
    <w:rsid w:val="00597FE3"/>
    <w:rsid w:val="00597FF7"/>
    <w:rsid w:val="005A0495"/>
    <w:rsid w:val="005A1859"/>
    <w:rsid w:val="005A1958"/>
    <w:rsid w:val="005A1E5D"/>
    <w:rsid w:val="005A2B43"/>
    <w:rsid w:val="005A3081"/>
    <w:rsid w:val="005A33CF"/>
    <w:rsid w:val="005A3946"/>
    <w:rsid w:val="005A3C17"/>
    <w:rsid w:val="005A4237"/>
    <w:rsid w:val="005A4830"/>
    <w:rsid w:val="005A52A6"/>
    <w:rsid w:val="005A5F68"/>
    <w:rsid w:val="005A611A"/>
    <w:rsid w:val="005A65E2"/>
    <w:rsid w:val="005A6DD6"/>
    <w:rsid w:val="005A7265"/>
    <w:rsid w:val="005A7294"/>
    <w:rsid w:val="005B0363"/>
    <w:rsid w:val="005B2030"/>
    <w:rsid w:val="005B2C3E"/>
    <w:rsid w:val="005B2E1E"/>
    <w:rsid w:val="005B35F3"/>
    <w:rsid w:val="005B3D0F"/>
    <w:rsid w:val="005B4B18"/>
    <w:rsid w:val="005B6328"/>
    <w:rsid w:val="005B6AAF"/>
    <w:rsid w:val="005B6D11"/>
    <w:rsid w:val="005B70AB"/>
    <w:rsid w:val="005B7DB6"/>
    <w:rsid w:val="005C11EC"/>
    <w:rsid w:val="005C239F"/>
    <w:rsid w:val="005C2649"/>
    <w:rsid w:val="005C288D"/>
    <w:rsid w:val="005C2EFD"/>
    <w:rsid w:val="005C35FA"/>
    <w:rsid w:val="005C3ABF"/>
    <w:rsid w:val="005C40FB"/>
    <w:rsid w:val="005C4156"/>
    <w:rsid w:val="005C451A"/>
    <w:rsid w:val="005C499C"/>
    <w:rsid w:val="005C756A"/>
    <w:rsid w:val="005C77E2"/>
    <w:rsid w:val="005D0D13"/>
    <w:rsid w:val="005D0E66"/>
    <w:rsid w:val="005D223F"/>
    <w:rsid w:val="005D2EEE"/>
    <w:rsid w:val="005D621B"/>
    <w:rsid w:val="005D77C7"/>
    <w:rsid w:val="005E2598"/>
    <w:rsid w:val="005E2CDC"/>
    <w:rsid w:val="005E333F"/>
    <w:rsid w:val="005E65E7"/>
    <w:rsid w:val="005E78EA"/>
    <w:rsid w:val="005F0318"/>
    <w:rsid w:val="005F1B90"/>
    <w:rsid w:val="005F2182"/>
    <w:rsid w:val="005F26DA"/>
    <w:rsid w:val="005F2E61"/>
    <w:rsid w:val="005F3193"/>
    <w:rsid w:val="005F4510"/>
    <w:rsid w:val="005F5A7D"/>
    <w:rsid w:val="005F733E"/>
    <w:rsid w:val="005F7CEE"/>
    <w:rsid w:val="005F7E08"/>
    <w:rsid w:val="0060016D"/>
    <w:rsid w:val="00600D1C"/>
    <w:rsid w:val="00601439"/>
    <w:rsid w:val="00602019"/>
    <w:rsid w:val="006039A4"/>
    <w:rsid w:val="00603A8B"/>
    <w:rsid w:val="00603C5B"/>
    <w:rsid w:val="0060423A"/>
    <w:rsid w:val="006047A9"/>
    <w:rsid w:val="00605BBE"/>
    <w:rsid w:val="00607145"/>
    <w:rsid w:val="00607898"/>
    <w:rsid w:val="006104B4"/>
    <w:rsid w:val="00610A75"/>
    <w:rsid w:val="00610F9D"/>
    <w:rsid w:val="0061107C"/>
    <w:rsid w:val="00611338"/>
    <w:rsid w:val="00611DA0"/>
    <w:rsid w:val="00611DAF"/>
    <w:rsid w:val="00612D57"/>
    <w:rsid w:val="00613408"/>
    <w:rsid w:val="00613492"/>
    <w:rsid w:val="00613C3B"/>
    <w:rsid w:val="00613CB3"/>
    <w:rsid w:val="0061413A"/>
    <w:rsid w:val="0061418F"/>
    <w:rsid w:val="00615D63"/>
    <w:rsid w:val="00616221"/>
    <w:rsid w:val="0061628B"/>
    <w:rsid w:val="00617CB9"/>
    <w:rsid w:val="006203A4"/>
    <w:rsid w:val="006205D2"/>
    <w:rsid w:val="00620844"/>
    <w:rsid w:val="0062169A"/>
    <w:rsid w:val="00621B32"/>
    <w:rsid w:val="00623484"/>
    <w:rsid w:val="00623B24"/>
    <w:rsid w:val="006244BF"/>
    <w:rsid w:val="00625DBF"/>
    <w:rsid w:val="00626314"/>
    <w:rsid w:val="00626AC4"/>
    <w:rsid w:val="00626E55"/>
    <w:rsid w:val="0062763C"/>
    <w:rsid w:val="00631EAD"/>
    <w:rsid w:val="0063370F"/>
    <w:rsid w:val="00633BAF"/>
    <w:rsid w:val="00636500"/>
    <w:rsid w:val="00637C64"/>
    <w:rsid w:val="00640567"/>
    <w:rsid w:val="00641419"/>
    <w:rsid w:val="00642E17"/>
    <w:rsid w:val="006437C7"/>
    <w:rsid w:val="00643C8D"/>
    <w:rsid w:val="00646A9B"/>
    <w:rsid w:val="00647E8A"/>
    <w:rsid w:val="00650ECB"/>
    <w:rsid w:val="00650F7F"/>
    <w:rsid w:val="0065245F"/>
    <w:rsid w:val="00652D12"/>
    <w:rsid w:val="00652E8C"/>
    <w:rsid w:val="00653585"/>
    <w:rsid w:val="0065364A"/>
    <w:rsid w:val="006566ED"/>
    <w:rsid w:val="0065728B"/>
    <w:rsid w:val="00657819"/>
    <w:rsid w:val="00660066"/>
    <w:rsid w:val="0066087D"/>
    <w:rsid w:val="00660CA2"/>
    <w:rsid w:val="006615AC"/>
    <w:rsid w:val="00661603"/>
    <w:rsid w:val="0066187F"/>
    <w:rsid w:val="00661D48"/>
    <w:rsid w:val="00663CE6"/>
    <w:rsid w:val="00665099"/>
    <w:rsid w:val="00665839"/>
    <w:rsid w:val="0066789A"/>
    <w:rsid w:val="006701F4"/>
    <w:rsid w:val="0067024C"/>
    <w:rsid w:val="006703FC"/>
    <w:rsid w:val="006715CE"/>
    <w:rsid w:val="00671AC9"/>
    <w:rsid w:val="00671F4B"/>
    <w:rsid w:val="00672D1F"/>
    <w:rsid w:val="0067426F"/>
    <w:rsid w:val="00674E64"/>
    <w:rsid w:val="006755A1"/>
    <w:rsid w:val="0067605A"/>
    <w:rsid w:val="00676837"/>
    <w:rsid w:val="00677296"/>
    <w:rsid w:val="006778F6"/>
    <w:rsid w:val="0068036B"/>
    <w:rsid w:val="00682BA0"/>
    <w:rsid w:val="006840AB"/>
    <w:rsid w:val="00685C5A"/>
    <w:rsid w:val="00686BC1"/>
    <w:rsid w:val="00687260"/>
    <w:rsid w:val="006902A1"/>
    <w:rsid w:val="0069096A"/>
    <w:rsid w:val="00691D63"/>
    <w:rsid w:val="006940F1"/>
    <w:rsid w:val="0069425C"/>
    <w:rsid w:val="0069448E"/>
    <w:rsid w:val="00695770"/>
    <w:rsid w:val="00695C78"/>
    <w:rsid w:val="00696F78"/>
    <w:rsid w:val="00697382"/>
    <w:rsid w:val="00697724"/>
    <w:rsid w:val="006A0140"/>
    <w:rsid w:val="006A138B"/>
    <w:rsid w:val="006A1BEF"/>
    <w:rsid w:val="006A28CE"/>
    <w:rsid w:val="006A48F5"/>
    <w:rsid w:val="006A4E10"/>
    <w:rsid w:val="006A60B5"/>
    <w:rsid w:val="006A66F4"/>
    <w:rsid w:val="006A789C"/>
    <w:rsid w:val="006A7A99"/>
    <w:rsid w:val="006B041F"/>
    <w:rsid w:val="006B051D"/>
    <w:rsid w:val="006B0787"/>
    <w:rsid w:val="006B0889"/>
    <w:rsid w:val="006B1227"/>
    <w:rsid w:val="006B314E"/>
    <w:rsid w:val="006B3D79"/>
    <w:rsid w:val="006B5B76"/>
    <w:rsid w:val="006B6780"/>
    <w:rsid w:val="006B69D6"/>
    <w:rsid w:val="006B6A89"/>
    <w:rsid w:val="006C0E63"/>
    <w:rsid w:val="006C198C"/>
    <w:rsid w:val="006C1F01"/>
    <w:rsid w:val="006C20D0"/>
    <w:rsid w:val="006C20F6"/>
    <w:rsid w:val="006C2389"/>
    <w:rsid w:val="006C23AF"/>
    <w:rsid w:val="006C2F27"/>
    <w:rsid w:val="006C365B"/>
    <w:rsid w:val="006C46A3"/>
    <w:rsid w:val="006C4A33"/>
    <w:rsid w:val="006C547C"/>
    <w:rsid w:val="006C5944"/>
    <w:rsid w:val="006C5948"/>
    <w:rsid w:val="006C633C"/>
    <w:rsid w:val="006C63C9"/>
    <w:rsid w:val="006C7009"/>
    <w:rsid w:val="006C7B8D"/>
    <w:rsid w:val="006D0778"/>
    <w:rsid w:val="006D0C6D"/>
    <w:rsid w:val="006D0F50"/>
    <w:rsid w:val="006D131B"/>
    <w:rsid w:val="006D1CBD"/>
    <w:rsid w:val="006D2BE2"/>
    <w:rsid w:val="006D5474"/>
    <w:rsid w:val="006D6696"/>
    <w:rsid w:val="006D67F5"/>
    <w:rsid w:val="006D690A"/>
    <w:rsid w:val="006D6D1D"/>
    <w:rsid w:val="006D72AC"/>
    <w:rsid w:val="006D787D"/>
    <w:rsid w:val="006D7F18"/>
    <w:rsid w:val="006E0F34"/>
    <w:rsid w:val="006E1AF2"/>
    <w:rsid w:val="006E2776"/>
    <w:rsid w:val="006E3D67"/>
    <w:rsid w:val="006E4BD3"/>
    <w:rsid w:val="006E68F3"/>
    <w:rsid w:val="006E6FF7"/>
    <w:rsid w:val="006E73FB"/>
    <w:rsid w:val="006E7673"/>
    <w:rsid w:val="006E778F"/>
    <w:rsid w:val="006F038E"/>
    <w:rsid w:val="006F0467"/>
    <w:rsid w:val="006F09C2"/>
    <w:rsid w:val="006F2955"/>
    <w:rsid w:val="006F4A7D"/>
    <w:rsid w:val="006F4BDE"/>
    <w:rsid w:val="006F5417"/>
    <w:rsid w:val="006F645D"/>
    <w:rsid w:val="006F6891"/>
    <w:rsid w:val="006F6D53"/>
    <w:rsid w:val="006F759C"/>
    <w:rsid w:val="00700E5A"/>
    <w:rsid w:val="00701EC8"/>
    <w:rsid w:val="0070260A"/>
    <w:rsid w:val="0070276C"/>
    <w:rsid w:val="00703F7D"/>
    <w:rsid w:val="0070417B"/>
    <w:rsid w:val="007042B6"/>
    <w:rsid w:val="00705918"/>
    <w:rsid w:val="00705B21"/>
    <w:rsid w:val="00706959"/>
    <w:rsid w:val="00707304"/>
    <w:rsid w:val="00710F0A"/>
    <w:rsid w:val="00710FE9"/>
    <w:rsid w:val="007117C2"/>
    <w:rsid w:val="00711AF5"/>
    <w:rsid w:val="00711F30"/>
    <w:rsid w:val="0071281F"/>
    <w:rsid w:val="0071335A"/>
    <w:rsid w:val="007141C1"/>
    <w:rsid w:val="00714796"/>
    <w:rsid w:val="00715B79"/>
    <w:rsid w:val="00715B97"/>
    <w:rsid w:val="00715D28"/>
    <w:rsid w:val="00715EA2"/>
    <w:rsid w:val="007160BB"/>
    <w:rsid w:val="007160E5"/>
    <w:rsid w:val="00716DC6"/>
    <w:rsid w:val="00720961"/>
    <w:rsid w:val="00721B88"/>
    <w:rsid w:val="00722515"/>
    <w:rsid w:val="00722715"/>
    <w:rsid w:val="007236D3"/>
    <w:rsid w:val="00724541"/>
    <w:rsid w:val="007246F3"/>
    <w:rsid w:val="007251A9"/>
    <w:rsid w:val="00725578"/>
    <w:rsid w:val="007262B8"/>
    <w:rsid w:val="007272B6"/>
    <w:rsid w:val="00727B35"/>
    <w:rsid w:val="00730771"/>
    <w:rsid w:val="00731814"/>
    <w:rsid w:val="0073236A"/>
    <w:rsid w:val="00732445"/>
    <w:rsid w:val="00734F86"/>
    <w:rsid w:val="00734FAD"/>
    <w:rsid w:val="007351E3"/>
    <w:rsid w:val="007357D6"/>
    <w:rsid w:val="00735C8F"/>
    <w:rsid w:val="00736876"/>
    <w:rsid w:val="0073704A"/>
    <w:rsid w:val="00740003"/>
    <w:rsid w:val="00740E58"/>
    <w:rsid w:val="00740EE7"/>
    <w:rsid w:val="00741267"/>
    <w:rsid w:val="00741890"/>
    <w:rsid w:val="00742053"/>
    <w:rsid w:val="007425E8"/>
    <w:rsid w:val="00743871"/>
    <w:rsid w:val="007448F7"/>
    <w:rsid w:val="007463A9"/>
    <w:rsid w:val="00746C5F"/>
    <w:rsid w:val="00747367"/>
    <w:rsid w:val="00747A4C"/>
    <w:rsid w:val="007505B1"/>
    <w:rsid w:val="00750ADF"/>
    <w:rsid w:val="007510F2"/>
    <w:rsid w:val="00753287"/>
    <w:rsid w:val="00753D07"/>
    <w:rsid w:val="0075409F"/>
    <w:rsid w:val="0075490C"/>
    <w:rsid w:val="0075494B"/>
    <w:rsid w:val="007553DD"/>
    <w:rsid w:val="0075602B"/>
    <w:rsid w:val="0075627A"/>
    <w:rsid w:val="00756FB1"/>
    <w:rsid w:val="007575CC"/>
    <w:rsid w:val="00757DEB"/>
    <w:rsid w:val="00760D38"/>
    <w:rsid w:val="007616DF"/>
    <w:rsid w:val="007622B6"/>
    <w:rsid w:val="007629CA"/>
    <w:rsid w:val="00762DE5"/>
    <w:rsid w:val="00763141"/>
    <w:rsid w:val="007639D9"/>
    <w:rsid w:val="00764B06"/>
    <w:rsid w:val="00765B8F"/>
    <w:rsid w:val="007661B3"/>
    <w:rsid w:val="00766476"/>
    <w:rsid w:val="00766F9D"/>
    <w:rsid w:val="0076756B"/>
    <w:rsid w:val="0076760C"/>
    <w:rsid w:val="00770530"/>
    <w:rsid w:val="00770694"/>
    <w:rsid w:val="007706DE"/>
    <w:rsid w:val="00770DE4"/>
    <w:rsid w:val="00772C60"/>
    <w:rsid w:val="00773F74"/>
    <w:rsid w:val="00774AF1"/>
    <w:rsid w:val="00776BD7"/>
    <w:rsid w:val="00781122"/>
    <w:rsid w:val="007821FB"/>
    <w:rsid w:val="00783C0A"/>
    <w:rsid w:val="00784623"/>
    <w:rsid w:val="00784ABE"/>
    <w:rsid w:val="00787889"/>
    <w:rsid w:val="007902D0"/>
    <w:rsid w:val="00791E6E"/>
    <w:rsid w:val="00792ABB"/>
    <w:rsid w:val="00795C03"/>
    <w:rsid w:val="00795D8E"/>
    <w:rsid w:val="007966E4"/>
    <w:rsid w:val="00796F9C"/>
    <w:rsid w:val="00797049"/>
    <w:rsid w:val="00797AE0"/>
    <w:rsid w:val="007A07E7"/>
    <w:rsid w:val="007A0E6C"/>
    <w:rsid w:val="007A0EB8"/>
    <w:rsid w:val="007A14A2"/>
    <w:rsid w:val="007A1539"/>
    <w:rsid w:val="007A17B7"/>
    <w:rsid w:val="007A2188"/>
    <w:rsid w:val="007A2496"/>
    <w:rsid w:val="007A25D3"/>
    <w:rsid w:val="007A25F4"/>
    <w:rsid w:val="007A28B9"/>
    <w:rsid w:val="007A2D0B"/>
    <w:rsid w:val="007A4B5B"/>
    <w:rsid w:val="007A4C17"/>
    <w:rsid w:val="007B25C2"/>
    <w:rsid w:val="007B2B5E"/>
    <w:rsid w:val="007B2ED1"/>
    <w:rsid w:val="007B59FE"/>
    <w:rsid w:val="007B61E5"/>
    <w:rsid w:val="007B69F9"/>
    <w:rsid w:val="007B6BFF"/>
    <w:rsid w:val="007B6F29"/>
    <w:rsid w:val="007B73C8"/>
    <w:rsid w:val="007C013F"/>
    <w:rsid w:val="007C0F14"/>
    <w:rsid w:val="007C1F34"/>
    <w:rsid w:val="007C2486"/>
    <w:rsid w:val="007C29DD"/>
    <w:rsid w:val="007C3538"/>
    <w:rsid w:val="007C56AD"/>
    <w:rsid w:val="007C56B7"/>
    <w:rsid w:val="007C7833"/>
    <w:rsid w:val="007C78CB"/>
    <w:rsid w:val="007C7DAA"/>
    <w:rsid w:val="007D09C0"/>
    <w:rsid w:val="007D1257"/>
    <w:rsid w:val="007D1B05"/>
    <w:rsid w:val="007D2445"/>
    <w:rsid w:val="007D28A5"/>
    <w:rsid w:val="007D322B"/>
    <w:rsid w:val="007D3416"/>
    <w:rsid w:val="007D3A61"/>
    <w:rsid w:val="007D4DEA"/>
    <w:rsid w:val="007D5448"/>
    <w:rsid w:val="007D5C1A"/>
    <w:rsid w:val="007D74AC"/>
    <w:rsid w:val="007E0785"/>
    <w:rsid w:val="007E0C93"/>
    <w:rsid w:val="007E139D"/>
    <w:rsid w:val="007E1B95"/>
    <w:rsid w:val="007E1DAE"/>
    <w:rsid w:val="007E3D2B"/>
    <w:rsid w:val="007E5F3C"/>
    <w:rsid w:val="007E67A6"/>
    <w:rsid w:val="007E7295"/>
    <w:rsid w:val="007E7580"/>
    <w:rsid w:val="007F1CC6"/>
    <w:rsid w:val="007F285F"/>
    <w:rsid w:val="007F3B95"/>
    <w:rsid w:val="007F3F19"/>
    <w:rsid w:val="007F4277"/>
    <w:rsid w:val="007F4B6E"/>
    <w:rsid w:val="007F4E06"/>
    <w:rsid w:val="007F7835"/>
    <w:rsid w:val="007F7EB2"/>
    <w:rsid w:val="00800AF5"/>
    <w:rsid w:val="008023BD"/>
    <w:rsid w:val="0080326F"/>
    <w:rsid w:val="00803EE5"/>
    <w:rsid w:val="008044C8"/>
    <w:rsid w:val="0080459A"/>
    <w:rsid w:val="00805B73"/>
    <w:rsid w:val="00807C35"/>
    <w:rsid w:val="00807E41"/>
    <w:rsid w:val="008105F9"/>
    <w:rsid w:val="00810C28"/>
    <w:rsid w:val="00812DFA"/>
    <w:rsid w:val="008147CA"/>
    <w:rsid w:val="00814DDB"/>
    <w:rsid w:val="00816D03"/>
    <w:rsid w:val="008171A7"/>
    <w:rsid w:val="00817867"/>
    <w:rsid w:val="008207C1"/>
    <w:rsid w:val="00820CEB"/>
    <w:rsid w:val="00821443"/>
    <w:rsid w:val="0082172D"/>
    <w:rsid w:val="008217AA"/>
    <w:rsid w:val="008226BC"/>
    <w:rsid w:val="00823AA0"/>
    <w:rsid w:val="00823CAB"/>
    <w:rsid w:val="00824676"/>
    <w:rsid w:val="00824BAC"/>
    <w:rsid w:val="00824C9A"/>
    <w:rsid w:val="00826441"/>
    <w:rsid w:val="00827887"/>
    <w:rsid w:val="00830135"/>
    <w:rsid w:val="00830D7D"/>
    <w:rsid w:val="00831C8B"/>
    <w:rsid w:val="00831FF9"/>
    <w:rsid w:val="00832BE1"/>
    <w:rsid w:val="00832DF3"/>
    <w:rsid w:val="00832EE5"/>
    <w:rsid w:val="008332B5"/>
    <w:rsid w:val="0083361C"/>
    <w:rsid w:val="008343A6"/>
    <w:rsid w:val="00834AB0"/>
    <w:rsid w:val="00835669"/>
    <w:rsid w:val="008365D0"/>
    <w:rsid w:val="008375C8"/>
    <w:rsid w:val="00841704"/>
    <w:rsid w:val="00841D37"/>
    <w:rsid w:val="00842861"/>
    <w:rsid w:val="00842EFE"/>
    <w:rsid w:val="008430DE"/>
    <w:rsid w:val="0084393C"/>
    <w:rsid w:val="00845CB0"/>
    <w:rsid w:val="0084640C"/>
    <w:rsid w:val="0085116E"/>
    <w:rsid w:val="0085209D"/>
    <w:rsid w:val="00852413"/>
    <w:rsid w:val="008528E5"/>
    <w:rsid w:val="00853323"/>
    <w:rsid w:val="00854FCC"/>
    <w:rsid w:val="00854FFB"/>
    <w:rsid w:val="00855174"/>
    <w:rsid w:val="00855B48"/>
    <w:rsid w:val="00856857"/>
    <w:rsid w:val="008579CF"/>
    <w:rsid w:val="00860A19"/>
    <w:rsid w:val="00861631"/>
    <w:rsid w:val="00861649"/>
    <w:rsid w:val="00862232"/>
    <w:rsid w:val="008636AC"/>
    <w:rsid w:val="008639E6"/>
    <w:rsid w:val="008641D5"/>
    <w:rsid w:val="00864523"/>
    <w:rsid w:val="00866085"/>
    <w:rsid w:val="00866D9B"/>
    <w:rsid w:val="0087003E"/>
    <w:rsid w:val="00872089"/>
    <w:rsid w:val="00872514"/>
    <w:rsid w:val="008725AF"/>
    <w:rsid w:val="00872CF4"/>
    <w:rsid w:val="0087346D"/>
    <w:rsid w:val="00874F24"/>
    <w:rsid w:val="0087526E"/>
    <w:rsid w:val="00877A7B"/>
    <w:rsid w:val="00880510"/>
    <w:rsid w:val="00881254"/>
    <w:rsid w:val="008821DB"/>
    <w:rsid w:val="008822C7"/>
    <w:rsid w:val="00882CA6"/>
    <w:rsid w:val="00883BA2"/>
    <w:rsid w:val="0088400F"/>
    <w:rsid w:val="008840E0"/>
    <w:rsid w:val="00885300"/>
    <w:rsid w:val="00885330"/>
    <w:rsid w:val="0088590A"/>
    <w:rsid w:val="00885D1E"/>
    <w:rsid w:val="00886871"/>
    <w:rsid w:val="00892A98"/>
    <w:rsid w:val="00893374"/>
    <w:rsid w:val="008933D8"/>
    <w:rsid w:val="008943C8"/>
    <w:rsid w:val="00896365"/>
    <w:rsid w:val="00897ED1"/>
    <w:rsid w:val="008A012D"/>
    <w:rsid w:val="008A0C9D"/>
    <w:rsid w:val="008A11FA"/>
    <w:rsid w:val="008A1E98"/>
    <w:rsid w:val="008A1ECC"/>
    <w:rsid w:val="008A1EF9"/>
    <w:rsid w:val="008A214A"/>
    <w:rsid w:val="008A38D8"/>
    <w:rsid w:val="008A3BDF"/>
    <w:rsid w:val="008A3D21"/>
    <w:rsid w:val="008A4F01"/>
    <w:rsid w:val="008A5639"/>
    <w:rsid w:val="008A67EC"/>
    <w:rsid w:val="008A7E85"/>
    <w:rsid w:val="008B0404"/>
    <w:rsid w:val="008B0FB3"/>
    <w:rsid w:val="008B15E9"/>
    <w:rsid w:val="008B22E9"/>
    <w:rsid w:val="008B2FE3"/>
    <w:rsid w:val="008B38E4"/>
    <w:rsid w:val="008B3D55"/>
    <w:rsid w:val="008B4865"/>
    <w:rsid w:val="008B587D"/>
    <w:rsid w:val="008B5BFB"/>
    <w:rsid w:val="008B75A0"/>
    <w:rsid w:val="008C0397"/>
    <w:rsid w:val="008C17E2"/>
    <w:rsid w:val="008C213A"/>
    <w:rsid w:val="008C2B1A"/>
    <w:rsid w:val="008C3E07"/>
    <w:rsid w:val="008C40F2"/>
    <w:rsid w:val="008C46E1"/>
    <w:rsid w:val="008C50EA"/>
    <w:rsid w:val="008C55A2"/>
    <w:rsid w:val="008C56A3"/>
    <w:rsid w:val="008C5CE3"/>
    <w:rsid w:val="008C5D77"/>
    <w:rsid w:val="008D1A79"/>
    <w:rsid w:val="008D1F13"/>
    <w:rsid w:val="008D22C0"/>
    <w:rsid w:val="008D3366"/>
    <w:rsid w:val="008D39C4"/>
    <w:rsid w:val="008D4802"/>
    <w:rsid w:val="008D4F38"/>
    <w:rsid w:val="008D5B8D"/>
    <w:rsid w:val="008D691E"/>
    <w:rsid w:val="008D70DC"/>
    <w:rsid w:val="008D7594"/>
    <w:rsid w:val="008D78F3"/>
    <w:rsid w:val="008E197B"/>
    <w:rsid w:val="008E2E8D"/>
    <w:rsid w:val="008E39EA"/>
    <w:rsid w:val="008E5060"/>
    <w:rsid w:val="008E68FA"/>
    <w:rsid w:val="008E6A75"/>
    <w:rsid w:val="008E74F9"/>
    <w:rsid w:val="008F1F0C"/>
    <w:rsid w:val="008F22E0"/>
    <w:rsid w:val="008F3B6D"/>
    <w:rsid w:val="008F48D8"/>
    <w:rsid w:val="008F521E"/>
    <w:rsid w:val="008F657A"/>
    <w:rsid w:val="008F7B99"/>
    <w:rsid w:val="00900A02"/>
    <w:rsid w:val="0090303B"/>
    <w:rsid w:val="00903A11"/>
    <w:rsid w:val="00903F69"/>
    <w:rsid w:val="00904640"/>
    <w:rsid w:val="00905A9F"/>
    <w:rsid w:val="0090611F"/>
    <w:rsid w:val="00906D02"/>
    <w:rsid w:val="009103FF"/>
    <w:rsid w:val="009105E8"/>
    <w:rsid w:val="00912C05"/>
    <w:rsid w:val="00912CA5"/>
    <w:rsid w:val="00913C14"/>
    <w:rsid w:val="00914076"/>
    <w:rsid w:val="00915EC2"/>
    <w:rsid w:val="00916E48"/>
    <w:rsid w:val="00916F31"/>
    <w:rsid w:val="00921113"/>
    <w:rsid w:val="009235C5"/>
    <w:rsid w:val="00923D8E"/>
    <w:rsid w:val="00923E25"/>
    <w:rsid w:val="0092412B"/>
    <w:rsid w:val="009241A2"/>
    <w:rsid w:val="0092468C"/>
    <w:rsid w:val="00924BCA"/>
    <w:rsid w:val="00925F0C"/>
    <w:rsid w:val="00926192"/>
    <w:rsid w:val="00926304"/>
    <w:rsid w:val="009308CE"/>
    <w:rsid w:val="00930E1A"/>
    <w:rsid w:val="00930F9D"/>
    <w:rsid w:val="00932B4F"/>
    <w:rsid w:val="00932F88"/>
    <w:rsid w:val="009332DB"/>
    <w:rsid w:val="009333E2"/>
    <w:rsid w:val="0093362A"/>
    <w:rsid w:val="00933940"/>
    <w:rsid w:val="00933E3D"/>
    <w:rsid w:val="00933F5C"/>
    <w:rsid w:val="00935ECF"/>
    <w:rsid w:val="00937854"/>
    <w:rsid w:val="00937BFB"/>
    <w:rsid w:val="00941155"/>
    <w:rsid w:val="00941F82"/>
    <w:rsid w:val="00942077"/>
    <w:rsid w:val="0094261C"/>
    <w:rsid w:val="0094566A"/>
    <w:rsid w:val="00945CCC"/>
    <w:rsid w:val="00946500"/>
    <w:rsid w:val="00950C47"/>
    <w:rsid w:val="00950FDE"/>
    <w:rsid w:val="009511B5"/>
    <w:rsid w:val="009517A7"/>
    <w:rsid w:val="00951FE0"/>
    <w:rsid w:val="00953198"/>
    <w:rsid w:val="00954295"/>
    <w:rsid w:val="00954D52"/>
    <w:rsid w:val="009551C8"/>
    <w:rsid w:val="0095591A"/>
    <w:rsid w:val="00955EB4"/>
    <w:rsid w:val="00956282"/>
    <w:rsid w:val="009562D9"/>
    <w:rsid w:val="0095794A"/>
    <w:rsid w:val="0096014E"/>
    <w:rsid w:val="009613EF"/>
    <w:rsid w:val="00961A04"/>
    <w:rsid w:val="00961D5A"/>
    <w:rsid w:val="00963514"/>
    <w:rsid w:val="0096436C"/>
    <w:rsid w:val="009653F7"/>
    <w:rsid w:val="009655A3"/>
    <w:rsid w:val="00966D98"/>
    <w:rsid w:val="00966F0C"/>
    <w:rsid w:val="00967283"/>
    <w:rsid w:val="00967A5D"/>
    <w:rsid w:val="00967E21"/>
    <w:rsid w:val="00970039"/>
    <w:rsid w:val="00970EFE"/>
    <w:rsid w:val="00970F0C"/>
    <w:rsid w:val="00971211"/>
    <w:rsid w:val="0097183A"/>
    <w:rsid w:val="00971CAE"/>
    <w:rsid w:val="009720B6"/>
    <w:rsid w:val="009720D6"/>
    <w:rsid w:val="009727B0"/>
    <w:rsid w:val="00973B05"/>
    <w:rsid w:val="00975218"/>
    <w:rsid w:val="009754B4"/>
    <w:rsid w:val="0097588D"/>
    <w:rsid w:val="009760C3"/>
    <w:rsid w:val="0098003B"/>
    <w:rsid w:val="00981B55"/>
    <w:rsid w:val="00981FDD"/>
    <w:rsid w:val="0098256F"/>
    <w:rsid w:val="009829C5"/>
    <w:rsid w:val="00982B31"/>
    <w:rsid w:val="00983920"/>
    <w:rsid w:val="00984CFE"/>
    <w:rsid w:val="009902EB"/>
    <w:rsid w:val="009910C5"/>
    <w:rsid w:val="00992527"/>
    <w:rsid w:val="00992B51"/>
    <w:rsid w:val="00992B59"/>
    <w:rsid w:val="0099332A"/>
    <w:rsid w:val="0099370B"/>
    <w:rsid w:val="009943B4"/>
    <w:rsid w:val="00995158"/>
    <w:rsid w:val="00995DD8"/>
    <w:rsid w:val="009A032C"/>
    <w:rsid w:val="009A1280"/>
    <w:rsid w:val="009A1321"/>
    <w:rsid w:val="009A1E48"/>
    <w:rsid w:val="009A2B9A"/>
    <w:rsid w:val="009A389E"/>
    <w:rsid w:val="009A431D"/>
    <w:rsid w:val="009A4EE8"/>
    <w:rsid w:val="009A5089"/>
    <w:rsid w:val="009A5C25"/>
    <w:rsid w:val="009B0814"/>
    <w:rsid w:val="009B241C"/>
    <w:rsid w:val="009B402F"/>
    <w:rsid w:val="009B4520"/>
    <w:rsid w:val="009B4A55"/>
    <w:rsid w:val="009B4C7F"/>
    <w:rsid w:val="009B5AAF"/>
    <w:rsid w:val="009B5C04"/>
    <w:rsid w:val="009B5DE5"/>
    <w:rsid w:val="009B7C2D"/>
    <w:rsid w:val="009C01B4"/>
    <w:rsid w:val="009C0A23"/>
    <w:rsid w:val="009C1A2C"/>
    <w:rsid w:val="009C1F49"/>
    <w:rsid w:val="009C2CAE"/>
    <w:rsid w:val="009C32E3"/>
    <w:rsid w:val="009C38FE"/>
    <w:rsid w:val="009C39F8"/>
    <w:rsid w:val="009C3E78"/>
    <w:rsid w:val="009C7740"/>
    <w:rsid w:val="009D0423"/>
    <w:rsid w:val="009D04A6"/>
    <w:rsid w:val="009D0C40"/>
    <w:rsid w:val="009D2340"/>
    <w:rsid w:val="009D2C37"/>
    <w:rsid w:val="009D5767"/>
    <w:rsid w:val="009D6472"/>
    <w:rsid w:val="009D6798"/>
    <w:rsid w:val="009D6B48"/>
    <w:rsid w:val="009D7580"/>
    <w:rsid w:val="009D7735"/>
    <w:rsid w:val="009D7A09"/>
    <w:rsid w:val="009E0321"/>
    <w:rsid w:val="009E104C"/>
    <w:rsid w:val="009E1B81"/>
    <w:rsid w:val="009E1B88"/>
    <w:rsid w:val="009E33C6"/>
    <w:rsid w:val="009E3DAA"/>
    <w:rsid w:val="009E4346"/>
    <w:rsid w:val="009E51E9"/>
    <w:rsid w:val="009E5366"/>
    <w:rsid w:val="009E62DF"/>
    <w:rsid w:val="009E6E81"/>
    <w:rsid w:val="009E774C"/>
    <w:rsid w:val="009F046A"/>
    <w:rsid w:val="009F2129"/>
    <w:rsid w:val="009F2410"/>
    <w:rsid w:val="009F2623"/>
    <w:rsid w:val="009F2AAD"/>
    <w:rsid w:val="009F305C"/>
    <w:rsid w:val="009F3BD8"/>
    <w:rsid w:val="009F5B62"/>
    <w:rsid w:val="009F66D5"/>
    <w:rsid w:val="009F7FB9"/>
    <w:rsid w:val="00A00CD6"/>
    <w:rsid w:val="00A023EB"/>
    <w:rsid w:val="00A02C36"/>
    <w:rsid w:val="00A03A46"/>
    <w:rsid w:val="00A041F8"/>
    <w:rsid w:val="00A044A7"/>
    <w:rsid w:val="00A045E8"/>
    <w:rsid w:val="00A054A5"/>
    <w:rsid w:val="00A10098"/>
    <w:rsid w:val="00A1019B"/>
    <w:rsid w:val="00A121A1"/>
    <w:rsid w:val="00A13A51"/>
    <w:rsid w:val="00A13C50"/>
    <w:rsid w:val="00A13F5E"/>
    <w:rsid w:val="00A14016"/>
    <w:rsid w:val="00A14517"/>
    <w:rsid w:val="00A15448"/>
    <w:rsid w:val="00A17481"/>
    <w:rsid w:val="00A20EA4"/>
    <w:rsid w:val="00A20FB9"/>
    <w:rsid w:val="00A21968"/>
    <w:rsid w:val="00A22C37"/>
    <w:rsid w:val="00A22E60"/>
    <w:rsid w:val="00A242BF"/>
    <w:rsid w:val="00A258B2"/>
    <w:rsid w:val="00A2635B"/>
    <w:rsid w:val="00A30655"/>
    <w:rsid w:val="00A3375F"/>
    <w:rsid w:val="00A34CAE"/>
    <w:rsid w:val="00A34F5F"/>
    <w:rsid w:val="00A3594A"/>
    <w:rsid w:val="00A364FA"/>
    <w:rsid w:val="00A36CC0"/>
    <w:rsid w:val="00A37211"/>
    <w:rsid w:val="00A37F3E"/>
    <w:rsid w:val="00A412E1"/>
    <w:rsid w:val="00A41C9C"/>
    <w:rsid w:val="00A431D6"/>
    <w:rsid w:val="00A43A99"/>
    <w:rsid w:val="00A4536F"/>
    <w:rsid w:val="00A45393"/>
    <w:rsid w:val="00A4561D"/>
    <w:rsid w:val="00A458D7"/>
    <w:rsid w:val="00A46B53"/>
    <w:rsid w:val="00A46D95"/>
    <w:rsid w:val="00A47630"/>
    <w:rsid w:val="00A477DE"/>
    <w:rsid w:val="00A47C2C"/>
    <w:rsid w:val="00A50E42"/>
    <w:rsid w:val="00A528EF"/>
    <w:rsid w:val="00A54123"/>
    <w:rsid w:val="00A551AC"/>
    <w:rsid w:val="00A55675"/>
    <w:rsid w:val="00A55A8A"/>
    <w:rsid w:val="00A55C9E"/>
    <w:rsid w:val="00A55ED2"/>
    <w:rsid w:val="00A56DC9"/>
    <w:rsid w:val="00A6030D"/>
    <w:rsid w:val="00A61090"/>
    <w:rsid w:val="00A61B6A"/>
    <w:rsid w:val="00A63AB9"/>
    <w:rsid w:val="00A6621F"/>
    <w:rsid w:val="00A662C8"/>
    <w:rsid w:val="00A67515"/>
    <w:rsid w:val="00A70329"/>
    <w:rsid w:val="00A70672"/>
    <w:rsid w:val="00A71BD7"/>
    <w:rsid w:val="00A72478"/>
    <w:rsid w:val="00A724F1"/>
    <w:rsid w:val="00A728D8"/>
    <w:rsid w:val="00A74A7D"/>
    <w:rsid w:val="00A74EC4"/>
    <w:rsid w:val="00A751A7"/>
    <w:rsid w:val="00A75382"/>
    <w:rsid w:val="00A7557E"/>
    <w:rsid w:val="00A80025"/>
    <w:rsid w:val="00A8050B"/>
    <w:rsid w:val="00A8098E"/>
    <w:rsid w:val="00A810FC"/>
    <w:rsid w:val="00A817E1"/>
    <w:rsid w:val="00A82C5B"/>
    <w:rsid w:val="00A8410A"/>
    <w:rsid w:val="00A85219"/>
    <w:rsid w:val="00A85C2B"/>
    <w:rsid w:val="00A85E0D"/>
    <w:rsid w:val="00A86097"/>
    <w:rsid w:val="00A8649F"/>
    <w:rsid w:val="00A867E5"/>
    <w:rsid w:val="00A90E23"/>
    <w:rsid w:val="00A92544"/>
    <w:rsid w:val="00A9310E"/>
    <w:rsid w:val="00A9385D"/>
    <w:rsid w:val="00A93D49"/>
    <w:rsid w:val="00A93DA8"/>
    <w:rsid w:val="00A9505F"/>
    <w:rsid w:val="00A9529F"/>
    <w:rsid w:val="00A97BD9"/>
    <w:rsid w:val="00AA03C0"/>
    <w:rsid w:val="00AA0C6A"/>
    <w:rsid w:val="00AA0F94"/>
    <w:rsid w:val="00AA1085"/>
    <w:rsid w:val="00AA1092"/>
    <w:rsid w:val="00AA1BAE"/>
    <w:rsid w:val="00AA2AB7"/>
    <w:rsid w:val="00AA338B"/>
    <w:rsid w:val="00AA34B6"/>
    <w:rsid w:val="00AA368B"/>
    <w:rsid w:val="00AA5193"/>
    <w:rsid w:val="00AA52D5"/>
    <w:rsid w:val="00AA5AD3"/>
    <w:rsid w:val="00AA7490"/>
    <w:rsid w:val="00AA7B76"/>
    <w:rsid w:val="00AB00F9"/>
    <w:rsid w:val="00AB02CD"/>
    <w:rsid w:val="00AB2254"/>
    <w:rsid w:val="00AB2715"/>
    <w:rsid w:val="00AB2E92"/>
    <w:rsid w:val="00AB3AC5"/>
    <w:rsid w:val="00AB3B78"/>
    <w:rsid w:val="00AB3F77"/>
    <w:rsid w:val="00AB4A7F"/>
    <w:rsid w:val="00AB4F73"/>
    <w:rsid w:val="00AB5071"/>
    <w:rsid w:val="00AB53BF"/>
    <w:rsid w:val="00AB7442"/>
    <w:rsid w:val="00AC0746"/>
    <w:rsid w:val="00AC0E3C"/>
    <w:rsid w:val="00AC12B4"/>
    <w:rsid w:val="00AC1FEE"/>
    <w:rsid w:val="00AC260C"/>
    <w:rsid w:val="00AC2CA1"/>
    <w:rsid w:val="00AC2F68"/>
    <w:rsid w:val="00AC3EBB"/>
    <w:rsid w:val="00AC4759"/>
    <w:rsid w:val="00AC4AAC"/>
    <w:rsid w:val="00AC4F6B"/>
    <w:rsid w:val="00AC5D29"/>
    <w:rsid w:val="00AC7033"/>
    <w:rsid w:val="00AC74BB"/>
    <w:rsid w:val="00AC7A21"/>
    <w:rsid w:val="00AC7CC1"/>
    <w:rsid w:val="00AD08D6"/>
    <w:rsid w:val="00AD1A67"/>
    <w:rsid w:val="00AD229E"/>
    <w:rsid w:val="00AD3149"/>
    <w:rsid w:val="00AD32FB"/>
    <w:rsid w:val="00AD5E21"/>
    <w:rsid w:val="00AD62DA"/>
    <w:rsid w:val="00AD6447"/>
    <w:rsid w:val="00AD6C7C"/>
    <w:rsid w:val="00AD7E7D"/>
    <w:rsid w:val="00AD7EA0"/>
    <w:rsid w:val="00AE0752"/>
    <w:rsid w:val="00AE0C88"/>
    <w:rsid w:val="00AE1610"/>
    <w:rsid w:val="00AE21EC"/>
    <w:rsid w:val="00AE26FF"/>
    <w:rsid w:val="00AE28AE"/>
    <w:rsid w:val="00AE2E25"/>
    <w:rsid w:val="00AE2F44"/>
    <w:rsid w:val="00AE3D4D"/>
    <w:rsid w:val="00AE44EB"/>
    <w:rsid w:val="00AE7305"/>
    <w:rsid w:val="00AE7589"/>
    <w:rsid w:val="00AE7A62"/>
    <w:rsid w:val="00AE7B50"/>
    <w:rsid w:val="00AF05A3"/>
    <w:rsid w:val="00AF1691"/>
    <w:rsid w:val="00AF1831"/>
    <w:rsid w:val="00AF1BF1"/>
    <w:rsid w:val="00AF1C6C"/>
    <w:rsid w:val="00AF210A"/>
    <w:rsid w:val="00AF2FF9"/>
    <w:rsid w:val="00AF643F"/>
    <w:rsid w:val="00AF6B80"/>
    <w:rsid w:val="00AF6FA9"/>
    <w:rsid w:val="00AF76EC"/>
    <w:rsid w:val="00AF77D7"/>
    <w:rsid w:val="00B01746"/>
    <w:rsid w:val="00B021B7"/>
    <w:rsid w:val="00B03F96"/>
    <w:rsid w:val="00B061AE"/>
    <w:rsid w:val="00B06AA2"/>
    <w:rsid w:val="00B10FE2"/>
    <w:rsid w:val="00B119FB"/>
    <w:rsid w:val="00B11D4D"/>
    <w:rsid w:val="00B1210E"/>
    <w:rsid w:val="00B126BB"/>
    <w:rsid w:val="00B12A7C"/>
    <w:rsid w:val="00B1318C"/>
    <w:rsid w:val="00B13B77"/>
    <w:rsid w:val="00B1454A"/>
    <w:rsid w:val="00B14875"/>
    <w:rsid w:val="00B175E1"/>
    <w:rsid w:val="00B20485"/>
    <w:rsid w:val="00B20677"/>
    <w:rsid w:val="00B20F0C"/>
    <w:rsid w:val="00B21972"/>
    <w:rsid w:val="00B2262A"/>
    <w:rsid w:val="00B24D6C"/>
    <w:rsid w:val="00B2747B"/>
    <w:rsid w:val="00B27953"/>
    <w:rsid w:val="00B31645"/>
    <w:rsid w:val="00B318F2"/>
    <w:rsid w:val="00B3196F"/>
    <w:rsid w:val="00B3237F"/>
    <w:rsid w:val="00B326DA"/>
    <w:rsid w:val="00B32A2B"/>
    <w:rsid w:val="00B3663A"/>
    <w:rsid w:val="00B373A7"/>
    <w:rsid w:val="00B376D0"/>
    <w:rsid w:val="00B4065C"/>
    <w:rsid w:val="00B425B2"/>
    <w:rsid w:val="00B4270C"/>
    <w:rsid w:val="00B42C76"/>
    <w:rsid w:val="00B43F64"/>
    <w:rsid w:val="00B4473E"/>
    <w:rsid w:val="00B45889"/>
    <w:rsid w:val="00B46507"/>
    <w:rsid w:val="00B46C04"/>
    <w:rsid w:val="00B46DED"/>
    <w:rsid w:val="00B5275E"/>
    <w:rsid w:val="00B53011"/>
    <w:rsid w:val="00B54602"/>
    <w:rsid w:val="00B5488A"/>
    <w:rsid w:val="00B54D1D"/>
    <w:rsid w:val="00B622F1"/>
    <w:rsid w:val="00B63947"/>
    <w:rsid w:val="00B649CF"/>
    <w:rsid w:val="00B64D4E"/>
    <w:rsid w:val="00B656B5"/>
    <w:rsid w:val="00B658B7"/>
    <w:rsid w:val="00B65911"/>
    <w:rsid w:val="00B662E5"/>
    <w:rsid w:val="00B66407"/>
    <w:rsid w:val="00B66F3B"/>
    <w:rsid w:val="00B67094"/>
    <w:rsid w:val="00B70382"/>
    <w:rsid w:val="00B704D2"/>
    <w:rsid w:val="00B70953"/>
    <w:rsid w:val="00B72DDF"/>
    <w:rsid w:val="00B74096"/>
    <w:rsid w:val="00B745CB"/>
    <w:rsid w:val="00B7525C"/>
    <w:rsid w:val="00B75489"/>
    <w:rsid w:val="00B75F26"/>
    <w:rsid w:val="00B764CB"/>
    <w:rsid w:val="00B76D0C"/>
    <w:rsid w:val="00B77252"/>
    <w:rsid w:val="00B779CC"/>
    <w:rsid w:val="00B80649"/>
    <w:rsid w:val="00B80B66"/>
    <w:rsid w:val="00B819B2"/>
    <w:rsid w:val="00B83279"/>
    <w:rsid w:val="00B84B0F"/>
    <w:rsid w:val="00B84D32"/>
    <w:rsid w:val="00B8525C"/>
    <w:rsid w:val="00B86876"/>
    <w:rsid w:val="00B86E7C"/>
    <w:rsid w:val="00B87532"/>
    <w:rsid w:val="00B905D4"/>
    <w:rsid w:val="00B9068E"/>
    <w:rsid w:val="00B94141"/>
    <w:rsid w:val="00B94BB7"/>
    <w:rsid w:val="00B95333"/>
    <w:rsid w:val="00B957F7"/>
    <w:rsid w:val="00BA08C0"/>
    <w:rsid w:val="00BA138D"/>
    <w:rsid w:val="00BA1533"/>
    <w:rsid w:val="00BA4053"/>
    <w:rsid w:val="00BA4E0B"/>
    <w:rsid w:val="00BA503E"/>
    <w:rsid w:val="00BA50C1"/>
    <w:rsid w:val="00BA5980"/>
    <w:rsid w:val="00BA5C1D"/>
    <w:rsid w:val="00BA5F63"/>
    <w:rsid w:val="00BA6853"/>
    <w:rsid w:val="00BA7099"/>
    <w:rsid w:val="00BA75EE"/>
    <w:rsid w:val="00BB0BB4"/>
    <w:rsid w:val="00BB0FE1"/>
    <w:rsid w:val="00BB1F17"/>
    <w:rsid w:val="00BB400A"/>
    <w:rsid w:val="00BB4C2D"/>
    <w:rsid w:val="00BB4CD7"/>
    <w:rsid w:val="00BB7178"/>
    <w:rsid w:val="00BB756F"/>
    <w:rsid w:val="00BB7EA2"/>
    <w:rsid w:val="00BB7FAC"/>
    <w:rsid w:val="00BC0D07"/>
    <w:rsid w:val="00BC14AE"/>
    <w:rsid w:val="00BC1A50"/>
    <w:rsid w:val="00BC21D1"/>
    <w:rsid w:val="00BC2E87"/>
    <w:rsid w:val="00BC354B"/>
    <w:rsid w:val="00BC4BF7"/>
    <w:rsid w:val="00BC4DAD"/>
    <w:rsid w:val="00BC629F"/>
    <w:rsid w:val="00BC62E9"/>
    <w:rsid w:val="00BC68CA"/>
    <w:rsid w:val="00BC7CAB"/>
    <w:rsid w:val="00BC7EB4"/>
    <w:rsid w:val="00BD0E08"/>
    <w:rsid w:val="00BD2CB6"/>
    <w:rsid w:val="00BD3296"/>
    <w:rsid w:val="00BD3E0E"/>
    <w:rsid w:val="00BD4500"/>
    <w:rsid w:val="00BD4639"/>
    <w:rsid w:val="00BD5593"/>
    <w:rsid w:val="00BD6D39"/>
    <w:rsid w:val="00BD78F3"/>
    <w:rsid w:val="00BE030F"/>
    <w:rsid w:val="00BE08E2"/>
    <w:rsid w:val="00BE0BCF"/>
    <w:rsid w:val="00BE0C7F"/>
    <w:rsid w:val="00BE1ED5"/>
    <w:rsid w:val="00BE21D4"/>
    <w:rsid w:val="00BE27DA"/>
    <w:rsid w:val="00BE37B3"/>
    <w:rsid w:val="00BE3EF3"/>
    <w:rsid w:val="00BE461A"/>
    <w:rsid w:val="00BE462E"/>
    <w:rsid w:val="00BE638B"/>
    <w:rsid w:val="00BF08C7"/>
    <w:rsid w:val="00BF1087"/>
    <w:rsid w:val="00BF16F3"/>
    <w:rsid w:val="00BF1715"/>
    <w:rsid w:val="00BF1B06"/>
    <w:rsid w:val="00BF23E7"/>
    <w:rsid w:val="00BF244A"/>
    <w:rsid w:val="00BF37AF"/>
    <w:rsid w:val="00BF3A1B"/>
    <w:rsid w:val="00BF524A"/>
    <w:rsid w:val="00BF555C"/>
    <w:rsid w:val="00BF5A92"/>
    <w:rsid w:val="00BF6796"/>
    <w:rsid w:val="00BF6B0B"/>
    <w:rsid w:val="00BF6DCE"/>
    <w:rsid w:val="00BF75D8"/>
    <w:rsid w:val="00C00109"/>
    <w:rsid w:val="00C003D1"/>
    <w:rsid w:val="00C01F15"/>
    <w:rsid w:val="00C035EB"/>
    <w:rsid w:val="00C03D9D"/>
    <w:rsid w:val="00C06295"/>
    <w:rsid w:val="00C06F9F"/>
    <w:rsid w:val="00C07058"/>
    <w:rsid w:val="00C0794B"/>
    <w:rsid w:val="00C10331"/>
    <w:rsid w:val="00C1056F"/>
    <w:rsid w:val="00C125E2"/>
    <w:rsid w:val="00C12765"/>
    <w:rsid w:val="00C1281D"/>
    <w:rsid w:val="00C1320A"/>
    <w:rsid w:val="00C13880"/>
    <w:rsid w:val="00C13F68"/>
    <w:rsid w:val="00C147B8"/>
    <w:rsid w:val="00C156D8"/>
    <w:rsid w:val="00C20CBF"/>
    <w:rsid w:val="00C21260"/>
    <w:rsid w:val="00C22CD3"/>
    <w:rsid w:val="00C242BA"/>
    <w:rsid w:val="00C249A2"/>
    <w:rsid w:val="00C25DC7"/>
    <w:rsid w:val="00C261B0"/>
    <w:rsid w:val="00C2639C"/>
    <w:rsid w:val="00C26B1D"/>
    <w:rsid w:val="00C2704A"/>
    <w:rsid w:val="00C27BEE"/>
    <w:rsid w:val="00C27E19"/>
    <w:rsid w:val="00C301C6"/>
    <w:rsid w:val="00C306BF"/>
    <w:rsid w:val="00C30FCC"/>
    <w:rsid w:val="00C31FA7"/>
    <w:rsid w:val="00C32536"/>
    <w:rsid w:val="00C34300"/>
    <w:rsid w:val="00C34526"/>
    <w:rsid w:val="00C35528"/>
    <w:rsid w:val="00C35BA1"/>
    <w:rsid w:val="00C36118"/>
    <w:rsid w:val="00C361D8"/>
    <w:rsid w:val="00C3637E"/>
    <w:rsid w:val="00C36E49"/>
    <w:rsid w:val="00C37509"/>
    <w:rsid w:val="00C37F84"/>
    <w:rsid w:val="00C40FBA"/>
    <w:rsid w:val="00C41821"/>
    <w:rsid w:val="00C4230C"/>
    <w:rsid w:val="00C4277B"/>
    <w:rsid w:val="00C43DEA"/>
    <w:rsid w:val="00C4495C"/>
    <w:rsid w:val="00C44A1B"/>
    <w:rsid w:val="00C4500C"/>
    <w:rsid w:val="00C45972"/>
    <w:rsid w:val="00C45A4C"/>
    <w:rsid w:val="00C46ACC"/>
    <w:rsid w:val="00C4765D"/>
    <w:rsid w:val="00C51327"/>
    <w:rsid w:val="00C53E60"/>
    <w:rsid w:val="00C558A1"/>
    <w:rsid w:val="00C5767D"/>
    <w:rsid w:val="00C60052"/>
    <w:rsid w:val="00C60566"/>
    <w:rsid w:val="00C60F76"/>
    <w:rsid w:val="00C61C3E"/>
    <w:rsid w:val="00C61D9F"/>
    <w:rsid w:val="00C62CD8"/>
    <w:rsid w:val="00C62FA5"/>
    <w:rsid w:val="00C6388D"/>
    <w:rsid w:val="00C63D0D"/>
    <w:rsid w:val="00C64D11"/>
    <w:rsid w:val="00C67FF3"/>
    <w:rsid w:val="00C7077E"/>
    <w:rsid w:val="00C71226"/>
    <w:rsid w:val="00C71CD0"/>
    <w:rsid w:val="00C72270"/>
    <w:rsid w:val="00C722AB"/>
    <w:rsid w:val="00C73DC9"/>
    <w:rsid w:val="00C7639D"/>
    <w:rsid w:val="00C769DE"/>
    <w:rsid w:val="00C77A6F"/>
    <w:rsid w:val="00C77FFD"/>
    <w:rsid w:val="00C804F8"/>
    <w:rsid w:val="00C807A7"/>
    <w:rsid w:val="00C810F8"/>
    <w:rsid w:val="00C82765"/>
    <w:rsid w:val="00C83A6F"/>
    <w:rsid w:val="00C83B48"/>
    <w:rsid w:val="00C8497E"/>
    <w:rsid w:val="00C84C3A"/>
    <w:rsid w:val="00C85064"/>
    <w:rsid w:val="00C86A6C"/>
    <w:rsid w:val="00C86AE1"/>
    <w:rsid w:val="00C902D3"/>
    <w:rsid w:val="00C90F5D"/>
    <w:rsid w:val="00C91A88"/>
    <w:rsid w:val="00C92761"/>
    <w:rsid w:val="00C9304C"/>
    <w:rsid w:val="00C95577"/>
    <w:rsid w:val="00C964DC"/>
    <w:rsid w:val="00CA07F7"/>
    <w:rsid w:val="00CA10B2"/>
    <w:rsid w:val="00CA1334"/>
    <w:rsid w:val="00CA2960"/>
    <w:rsid w:val="00CA2F2C"/>
    <w:rsid w:val="00CA38DE"/>
    <w:rsid w:val="00CA4343"/>
    <w:rsid w:val="00CA5273"/>
    <w:rsid w:val="00CA58B1"/>
    <w:rsid w:val="00CA65CB"/>
    <w:rsid w:val="00CA6EAA"/>
    <w:rsid w:val="00CA71AD"/>
    <w:rsid w:val="00CB024D"/>
    <w:rsid w:val="00CB0487"/>
    <w:rsid w:val="00CB04AA"/>
    <w:rsid w:val="00CB12D9"/>
    <w:rsid w:val="00CB13F0"/>
    <w:rsid w:val="00CB157C"/>
    <w:rsid w:val="00CB26DC"/>
    <w:rsid w:val="00CB4EE7"/>
    <w:rsid w:val="00CB52FC"/>
    <w:rsid w:val="00CB663F"/>
    <w:rsid w:val="00CB6B4B"/>
    <w:rsid w:val="00CC38DE"/>
    <w:rsid w:val="00CC3C45"/>
    <w:rsid w:val="00CC463E"/>
    <w:rsid w:val="00CC4C3E"/>
    <w:rsid w:val="00CC58DC"/>
    <w:rsid w:val="00CC5A27"/>
    <w:rsid w:val="00CC6181"/>
    <w:rsid w:val="00CC6AB4"/>
    <w:rsid w:val="00CC6AD0"/>
    <w:rsid w:val="00CD0522"/>
    <w:rsid w:val="00CD0961"/>
    <w:rsid w:val="00CD0A41"/>
    <w:rsid w:val="00CD14BA"/>
    <w:rsid w:val="00CD199E"/>
    <w:rsid w:val="00CD266A"/>
    <w:rsid w:val="00CD37E4"/>
    <w:rsid w:val="00CD63A0"/>
    <w:rsid w:val="00CD66A7"/>
    <w:rsid w:val="00CD67A4"/>
    <w:rsid w:val="00CD6D3A"/>
    <w:rsid w:val="00CD700E"/>
    <w:rsid w:val="00CD7581"/>
    <w:rsid w:val="00CE1971"/>
    <w:rsid w:val="00CE19E3"/>
    <w:rsid w:val="00CE3280"/>
    <w:rsid w:val="00CE410E"/>
    <w:rsid w:val="00CE5D27"/>
    <w:rsid w:val="00CE6C76"/>
    <w:rsid w:val="00CF058E"/>
    <w:rsid w:val="00CF0FB2"/>
    <w:rsid w:val="00CF14F5"/>
    <w:rsid w:val="00CF1796"/>
    <w:rsid w:val="00CF21ED"/>
    <w:rsid w:val="00CF26CA"/>
    <w:rsid w:val="00CF3C92"/>
    <w:rsid w:val="00CF4522"/>
    <w:rsid w:val="00CF6476"/>
    <w:rsid w:val="00CF653D"/>
    <w:rsid w:val="00CF67AF"/>
    <w:rsid w:val="00CF6FC1"/>
    <w:rsid w:val="00D00208"/>
    <w:rsid w:val="00D00C58"/>
    <w:rsid w:val="00D01252"/>
    <w:rsid w:val="00D01D34"/>
    <w:rsid w:val="00D0268B"/>
    <w:rsid w:val="00D02F1E"/>
    <w:rsid w:val="00D02FEC"/>
    <w:rsid w:val="00D0315E"/>
    <w:rsid w:val="00D0357C"/>
    <w:rsid w:val="00D041E0"/>
    <w:rsid w:val="00D04D54"/>
    <w:rsid w:val="00D0583B"/>
    <w:rsid w:val="00D07445"/>
    <w:rsid w:val="00D0747E"/>
    <w:rsid w:val="00D07CDC"/>
    <w:rsid w:val="00D10323"/>
    <w:rsid w:val="00D112EF"/>
    <w:rsid w:val="00D11B75"/>
    <w:rsid w:val="00D12FD7"/>
    <w:rsid w:val="00D13EEF"/>
    <w:rsid w:val="00D14E5A"/>
    <w:rsid w:val="00D15564"/>
    <w:rsid w:val="00D15A88"/>
    <w:rsid w:val="00D15C8D"/>
    <w:rsid w:val="00D1696C"/>
    <w:rsid w:val="00D17BAC"/>
    <w:rsid w:val="00D202B1"/>
    <w:rsid w:val="00D209BD"/>
    <w:rsid w:val="00D21022"/>
    <w:rsid w:val="00D2109C"/>
    <w:rsid w:val="00D211B8"/>
    <w:rsid w:val="00D21506"/>
    <w:rsid w:val="00D216E4"/>
    <w:rsid w:val="00D21BA5"/>
    <w:rsid w:val="00D23C5B"/>
    <w:rsid w:val="00D24990"/>
    <w:rsid w:val="00D250E5"/>
    <w:rsid w:val="00D25519"/>
    <w:rsid w:val="00D26602"/>
    <w:rsid w:val="00D269D5"/>
    <w:rsid w:val="00D270FD"/>
    <w:rsid w:val="00D274D3"/>
    <w:rsid w:val="00D30997"/>
    <w:rsid w:val="00D318A2"/>
    <w:rsid w:val="00D3192C"/>
    <w:rsid w:val="00D323D9"/>
    <w:rsid w:val="00D3291F"/>
    <w:rsid w:val="00D338AB"/>
    <w:rsid w:val="00D33A35"/>
    <w:rsid w:val="00D33E98"/>
    <w:rsid w:val="00D34D85"/>
    <w:rsid w:val="00D35C87"/>
    <w:rsid w:val="00D35F7F"/>
    <w:rsid w:val="00D36231"/>
    <w:rsid w:val="00D36E83"/>
    <w:rsid w:val="00D4062E"/>
    <w:rsid w:val="00D42CB8"/>
    <w:rsid w:val="00D43A4D"/>
    <w:rsid w:val="00D442B5"/>
    <w:rsid w:val="00D4470B"/>
    <w:rsid w:val="00D450FE"/>
    <w:rsid w:val="00D4531C"/>
    <w:rsid w:val="00D46041"/>
    <w:rsid w:val="00D46214"/>
    <w:rsid w:val="00D46416"/>
    <w:rsid w:val="00D4645B"/>
    <w:rsid w:val="00D46F86"/>
    <w:rsid w:val="00D47A50"/>
    <w:rsid w:val="00D47AB1"/>
    <w:rsid w:val="00D47C7F"/>
    <w:rsid w:val="00D50624"/>
    <w:rsid w:val="00D50791"/>
    <w:rsid w:val="00D525F9"/>
    <w:rsid w:val="00D53ED3"/>
    <w:rsid w:val="00D5443B"/>
    <w:rsid w:val="00D54826"/>
    <w:rsid w:val="00D54F4B"/>
    <w:rsid w:val="00D55301"/>
    <w:rsid w:val="00D569F4"/>
    <w:rsid w:val="00D60408"/>
    <w:rsid w:val="00D623D0"/>
    <w:rsid w:val="00D640BF"/>
    <w:rsid w:val="00D644C6"/>
    <w:rsid w:val="00D64B3B"/>
    <w:rsid w:val="00D6500B"/>
    <w:rsid w:val="00D6652E"/>
    <w:rsid w:val="00D6757F"/>
    <w:rsid w:val="00D67F27"/>
    <w:rsid w:val="00D7144E"/>
    <w:rsid w:val="00D71C61"/>
    <w:rsid w:val="00D72DC3"/>
    <w:rsid w:val="00D7433D"/>
    <w:rsid w:val="00D752AF"/>
    <w:rsid w:val="00D75AF2"/>
    <w:rsid w:val="00D75C37"/>
    <w:rsid w:val="00D763B2"/>
    <w:rsid w:val="00D76C9A"/>
    <w:rsid w:val="00D76E42"/>
    <w:rsid w:val="00D7730A"/>
    <w:rsid w:val="00D77908"/>
    <w:rsid w:val="00D77FFE"/>
    <w:rsid w:val="00D80591"/>
    <w:rsid w:val="00D80D6C"/>
    <w:rsid w:val="00D818AE"/>
    <w:rsid w:val="00D8272B"/>
    <w:rsid w:val="00D829A4"/>
    <w:rsid w:val="00D82E28"/>
    <w:rsid w:val="00D835A8"/>
    <w:rsid w:val="00D837CF"/>
    <w:rsid w:val="00D83A89"/>
    <w:rsid w:val="00D84756"/>
    <w:rsid w:val="00D85007"/>
    <w:rsid w:val="00D863F1"/>
    <w:rsid w:val="00D8649F"/>
    <w:rsid w:val="00D864A3"/>
    <w:rsid w:val="00D8796F"/>
    <w:rsid w:val="00D90ADE"/>
    <w:rsid w:val="00D91882"/>
    <w:rsid w:val="00D9202B"/>
    <w:rsid w:val="00D93158"/>
    <w:rsid w:val="00D94708"/>
    <w:rsid w:val="00D954A4"/>
    <w:rsid w:val="00DA1485"/>
    <w:rsid w:val="00DA193A"/>
    <w:rsid w:val="00DA1A80"/>
    <w:rsid w:val="00DA22CA"/>
    <w:rsid w:val="00DA2DBE"/>
    <w:rsid w:val="00DA3058"/>
    <w:rsid w:val="00DA428B"/>
    <w:rsid w:val="00DA45F9"/>
    <w:rsid w:val="00DA4674"/>
    <w:rsid w:val="00DA50E8"/>
    <w:rsid w:val="00DA545E"/>
    <w:rsid w:val="00DA5BE6"/>
    <w:rsid w:val="00DA75E1"/>
    <w:rsid w:val="00DA794D"/>
    <w:rsid w:val="00DB034A"/>
    <w:rsid w:val="00DB1F40"/>
    <w:rsid w:val="00DB40F6"/>
    <w:rsid w:val="00DB5637"/>
    <w:rsid w:val="00DB618C"/>
    <w:rsid w:val="00DB68FD"/>
    <w:rsid w:val="00DB734D"/>
    <w:rsid w:val="00DC0BE2"/>
    <w:rsid w:val="00DC161B"/>
    <w:rsid w:val="00DC1811"/>
    <w:rsid w:val="00DC1FF2"/>
    <w:rsid w:val="00DC24F7"/>
    <w:rsid w:val="00DC3EE8"/>
    <w:rsid w:val="00DC4E9A"/>
    <w:rsid w:val="00DC650C"/>
    <w:rsid w:val="00DC7FFE"/>
    <w:rsid w:val="00DD00FA"/>
    <w:rsid w:val="00DD09B6"/>
    <w:rsid w:val="00DD0D72"/>
    <w:rsid w:val="00DD19D1"/>
    <w:rsid w:val="00DD28C8"/>
    <w:rsid w:val="00DD2A2C"/>
    <w:rsid w:val="00DD2BF4"/>
    <w:rsid w:val="00DD2E31"/>
    <w:rsid w:val="00DD4D6B"/>
    <w:rsid w:val="00DD5561"/>
    <w:rsid w:val="00DD5800"/>
    <w:rsid w:val="00DD5899"/>
    <w:rsid w:val="00DD5F03"/>
    <w:rsid w:val="00DE298C"/>
    <w:rsid w:val="00DE5FAE"/>
    <w:rsid w:val="00DE6D62"/>
    <w:rsid w:val="00DE7148"/>
    <w:rsid w:val="00DE769B"/>
    <w:rsid w:val="00DF1296"/>
    <w:rsid w:val="00DF1CF0"/>
    <w:rsid w:val="00DF2170"/>
    <w:rsid w:val="00DF242C"/>
    <w:rsid w:val="00DF30B7"/>
    <w:rsid w:val="00DF3B25"/>
    <w:rsid w:val="00DF4F3C"/>
    <w:rsid w:val="00DF5495"/>
    <w:rsid w:val="00DF6379"/>
    <w:rsid w:val="00DF64DA"/>
    <w:rsid w:val="00DF6D66"/>
    <w:rsid w:val="00DF7352"/>
    <w:rsid w:val="00DF78BF"/>
    <w:rsid w:val="00E0001B"/>
    <w:rsid w:val="00E014F8"/>
    <w:rsid w:val="00E0259B"/>
    <w:rsid w:val="00E0262B"/>
    <w:rsid w:val="00E02D11"/>
    <w:rsid w:val="00E039EB"/>
    <w:rsid w:val="00E0541E"/>
    <w:rsid w:val="00E0589E"/>
    <w:rsid w:val="00E05D7C"/>
    <w:rsid w:val="00E073B0"/>
    <w:rsid w:val="00E07A8E"/>
    <w:rsid w:val="00E1090B"/>
    <w:rsid w:val="00E12434"/>
    <w:rsid w:val="00E12CA9"/>
    <w:rsid w:val="00E12EB2"/>
    <w:rsid w:val="00E13F59"/>
    <w:rsid w:val="00E140DB"/>
    <w:rsid w:val="00E14751"/>
    <w:rsid w:val="00E153C4"/>
    <w:rsid w:val="00E1545D"/>
    <w:rsid w:val="00E1583B"/>
    <w:rsid w:val="00E15F14"/>
    <w:rsid w:val="00E1668B"/>
    <w:rsid w:val="00E1677E"/>
    <w:rsid w:val="00E16A62"/>
    <w:rsid w:val="00E23D2B"/>
    <w:rsid w:val="00E2451D"/>
    <w:rsid w:val="00E24EB1"/>
    <w:rsid w:val="00E25CAC"/>
    <w:rsid w:val="00E26058"/>
    <w:rsid w:val="00E26144"/>
    <w:rsid w:val="00E27158"/>
    <w:rsid w:val="00E2729B"/>
    <w:rsid w:val="00E27977"/>
    <w:rsid w:val="00E27F39"/>
    <w:rsid w:val="00E27FCE"/>
    <w:rsid w:val="00E30D57"/>
    <w:rsid w:val="00E31ACA"/>
    <w:rsid w:val="00E32831"/>
    <w:rsid w:val="00E32AE8"/>
    <w:rsid w:val="00E3327C"/>
    <w:rsid w:val="00E33B54"/>
    <w:rsid w:val="00E35D96"/>
    <w:rsid w:val="00E36DEB"/>
    <w:rsid w:val="00E36FA3"/>
    <w:rsid w:val="00E37BDB"/>
    <w:rsid w:val="00E406CC"/>
    <w:rsid w:val="00E409B3"/>
    <w:rsid w:val="00E40E8B"/>
    <w:rsid w:val="00E4128D"/>
    <w:rsid w:val="00E417E0"/>
    <w:rsid w:val="00E41E98"/>
    <w:rsid w:val="00E433BD"/>
    <w:rsid w:val="00E44F0F"/>
    <w:rsid w:val="00E459C7"/>
    <w:rsid w:val="00E45F6A"/>
    <w:rsid w:val="00E46243"/>
    <w:rsid w:val="00E47D91"/>
    <w:rsid w:val="00E50019"/>
    <w:rsid w:val="00E50055"/>
    <w:rsid w:val="00E5089F"/>
    <w:rsid w:val="00E50B35"/>
    <w:rsid w:val="00E51C9C"/>
    <w:rsid w:val="00E51F5C"/>
    <w:rsid w:val="00E52B4C"/>
    <w:rsid w:val="00E52D3E"/>
    <w:rsid w:val="00E52D98"/>
    <w:rsid w:val="00E52DDA"/>
    <w:rsid w:val="00E53429"/>
    <w:rsid w:val="00E5398D"/>
    <w:rsid w:val="00E53A0A"/>
    <w:rsid w:val="00E53C21"/>
    <w:rsid w:val="00E54670"/>
    <w:rsid w:val="00E54E8F"/>
    <w:rsid w:val="00E55638"/>
    <w:rsid w:val="00E55D2B"/>
    <w:rsid w:val="00E55E94"/>
    <w:rsid w:val="00E5741A"/>
    <w:rsid w:val="00E575DD"/>
    <w:rsid w:val="00E575E1"/>
    <w:rsid w:val="00E60968"/>
    <w:rsid w:val="00E62793"/>
    <w:rsid w:val="00E64214"/>
    <w:rsid w:val="00E64683"/>
    <w:rsid w:val="00E64F3D"/>
    <w:rsid w:val="00E66C6C"/>
    <w:rsid w:val="00E67663"/>
    <w:rsid w:val="00E67845"/>
    <w:rsid w:val="00E700E6"/>
    <w:rsid w:val="00E708F1"/>
    <w:rsid w:val="00E71860"/>
    <w:rsid w:val="00E71D91"/>
    <w:rsid w:val="00E72659"/>
    <w:rsid w:val="00E726B3"/>
    <w:rsid w:val="00E7497A"/>
    <w:rsid w:val="00E753FC"/>
    <w:rsid w:val="00E75BB3"/>
    <w:rsid w:val="00E7729B"/>
    <w:rsid w:val="00E7734C"/>
    <w:rsid w:val="00E77B40"/>
    <w:rsid w:val="00E77BE8"/>
    <w:rsid w:val="00E807FE"/>
    <w:rsid w:val="00E81818"/>
    <w:rsid w:val="00E82BE5"/>
    <w:rsid w:val="00E83E97"/>
    <w:rsid w:val="00E8422A"/>
    <w:rsid w:val="00E84619"/>
    <w:rsid w:val="00E8578D"/>
    <w:rsid w:val="00E85A00"/>
    <w:rsid w:val="00E90E60"/>
    <w:rsid w:val="00E925B8"/>
    <w:rsid w:val="00E93687"/>
    <w:rsid w:val="00E937C2"/>
    <w:rsid w:val="00E95568"/>
    <w:rsid w:val="00E9628E"/>
    <w:rsid w:val="00E96DBA"/>
    <w:rsid w:val="00E975CA"/>
    <w:rsid w:val="00EA05E1"/>
    <w:rsid w:val="00EA08FB"/>
    <w:rsid w:val="00EA11A2"/>
    <w:rsid w:val="00EA1561"/>
    <w:rsid w:val="00EA2646"/>
    <w:rsid w:val="00EA3025"/>
    <w:rsid w:val="00EA488B"/>
    <w:rsid w:val="00EA6A83"/>
    <w:rsid w:val="00EA734A"/>
    <w:rsid w:val="00EA737D"/>
    <w:rsid w:val="00EB273C"/>
    <w:rsid w:val="00EB4239"/>
    <w:rsid w:val="00EB619C"/>
    <w:rsid w:val="00EB73D3"/>
    <w:rsid w:val="00EB77D8"/>
    <w:rsid w:val="00EC0647"/>
    <w:rsid w:val="00EC16FF"/>
    <w:rsid w:val="00EC19EB"/>
    <w:rsid w:val="00EC241D"/>
    <w:rsid w:val="00EC28EA"/>
    <w:rsid w:val="00EC3436"/>
    <w:rsid w:val="00EC4A63"/>
    <w:rsid w:val="00EC7F4F"/>
    <w:rsid w:val="00ED0753"/>
    <w:rsid w:val="00ED07A4"/>
    <w:rsid w:val="00ED0ADE"/>
    <w:rsid w:val="00ED1E46"/>
    <w:rsid w:val="00ED1EC0"/>
    <w:rsid w:val="00ED20F2"/>
    <w:rsid w:val="00ED2E5D"/>
    <w:rsid w:val="00ED31EE"/>
    <w:rsid w:val="00ED400C"/>
    <w:rsid w:val="00ED5224"/>
    <w:rsid w:val="00ED527E"/>
    <w:rsid w:val="00ED5741"/>
    <w:rsid w:val="00ED6392"/>
    <w:rsid w:val="00EE0D88"/>
    <w:rsid w:val="00EE1DD0"/>
    <w:rsid w:val="00EE3255"/>
    <w:rsid w:val="00EE36F7"/>
    <w:rsid w:val="00EE3801"/>
    <w:rsid w:val="00EE4336"/>
    <w:rsid w:val="00EE4388"/>
    <w:rsid w:val="00EE446A"/>
    <w:rsid w:val="00EE595D"/>
    <w:rsid w:val="00EE663B"/>
    <w:rsid w:val="00EE6A49"/>
    <w:rsid w:val="00EE6BAB"/>
    <w:rsid w:val="00EE6D19"/>
    <w:rsid w:val="00EE7027"/>
    <w:rsid w:val="00EE783E"/>
    <w:rsid w:val="00EE7B7E"/>
    <w:rsid w:val="00EF22AE"/>
    <w:rsid w:val="00EF2492"/>
    <w:rsid w:val="00EF25CC"/>
    <w:rsid w:val="00EF2AEF"/>
    <w:rsid w:val="00EF2D8F"/>
    <w:rsid w:val="00EF2E51"/>
    <w:rsid w:val="00EF3959"/>
    <w:rsid w:val="00EF3D13"/>
    <w:rsid w:val="00EF41A9"/>
    <w:rsid w:val="00EF4798"/>
    <w:rsid w:val="00EF5705"/>
    <w:rsid w:val="00EF58A7"/>
    <w:rsid w:val="00EF68A3"/>
    <w:rsid w:val="00EF6C48"/>
    <w:rsid w:val="00EF7B41"/>
    <w:rsid w:val="00F01073"/>
    <w:rsid w:val="00F014D3"/>
    <w:rsid w:val="00F016D5"/>
    <w:rsid w:val="00F01CDA"/>
    <w:rsid w:val="00F02099"/>
    <w:rsid w:val="00F02EFD"/>
    <w:rsid w:val="00F03833"/>
    <w:rsid w:val="00F04545"/>
    <w:rsid w:val="00F04A47"/>
    <w:rsid w:val="00F04A4C"/>
    <w:rsid w:val="00F05D69"/>
    <w:rsid w:val="00F06432"/>
    <w:rsid w:val="00F07ED6"/>
    <w:rsid w:val="00F07F87"/>
    <w:rsid w:val="00F10015"/>
    <w:rsid w:val="00F10302"/>
    <w:rsid w:val="00F11013"/>
    <w:rsid w:val="00F113AA"/>
    <w:rsid w:val="00F11E3F"/>
    <w:rsid w:val="00F11FB9"/>
    <w:rsid w:val="00F12DC9"/>
    <w:rsid w:val="00F13198"/>
    <w:rsid w:val="00F131A8"/>
    <w:rsid w:val="00F13218"/>
    <w:rsid w:val="00F13AC6"/>
    <w:rsid w:val="00F140B9"/>
    <w:rsid w:val="00F151A3"/>
    <w:rsid w:val="00F15A96"/>
    <w:rsid w:val="00F164EF"/>
    <w:rsid w:val="00F16F51"/>
    <w:rsid w:val="00F218D5"/>
    <w:rsid w:val="00F21A1B"/>
    <w:rsid w:val="00F21C75"/>
    <w:rsid w:val="00F22361"/>
    <w:rsid w:val="00F231E6"/>
    <w:rsid w:val="00F23795"/>
    <w:rsid w:val="00F23F46"/>
    <w:rsid w:val="00F24284"/>
    <w:rsid w:val="00F24384"/>
    <w:rsid w:val="00F245A5"/>
    <w:rsid w:val="00F25393"/>
    <w:rsid w:val="00F2545C"/>
    <w:rsid w:val="00F27814"/>
    <w:rsid w:val="00F27C01"/>
    <w:rsid w:val="00F30985"/>
    <w:rsid w:val="00F31B66"/>
    <w:rsid w:val="00F32C0A"/>
    <w:rsid w:val="00F3386C"/>
    <w:rsid w:val="00F34425"/>
    <w:rsid w:val="00F34D00"/>
    <w:rsid w:val="00F36DE1"/>
    <w:rsid w:val="00F37867"/>
    <w:rsid w:val="00F41F9A"/>
    <w:rsid w:val="00F428EC"/>
    <w:rsid w:val="00F42ABE"/>
    <w:rsid w:val="00F42CEA"/>
    <w:rsid w:val="00F43B0A"/>
    <w:rsid w:val="00F45E26"/>
    <w:rsid w:val="00F46178"/>
    <w:rsid w:val="00F46218"/>
    <w:rsid w:val="00F465DD"/>
    <w:rsid w:val="00F466E3"/>
    <w:rsid w:val="00F478E2"/>
    <w:rsid w:val="00F51BA4"/>
    <w:rsid w:val="00F52BE5"/>
    <w:rsid w:val="00F5405B"/>
    <w:rsid w:val="00F551AB"/>
    <w:rsid w:val="00F55583"/>
    <w:rsid w:val="00F56B3A"/>
    <w:rsid w:val="00F57B2E"/>
    <w:rsid w:val="00F60542"/>
    <w:rsid w:val="00F6081C"/>
    <w:rsid w:val="00F608AD"/>
    <w:rsid w:val="00F60CC7"/>
    <w:rsid w:val="00F621C9"/>
    <w:rsid w:val="00F623AD"/>
    <w:rsid w:val="00F623B2"/>
    <w:rsid w:val="00F62C40"/>
    <w:rsid w:val="00F631EB"/>
    <w:rsid w:val="00F63B8C"/>
    <w:rsid w:val="00F642BA"/>
    <w:rsid w:val="00F64ADE"/>
    <w:rsid w:val="00F657FD"/>
    <w:rsid w:val="00F66001"/>
    <w:rsid w:val="00F67128"/>
    <w:rsid w:val="00F705F7"/>
    <w:rsid w:val="00F7206D"/>
    <w:rsid w:val="00F72DD1"/>
    <w:rsid w:val="00F72E77"/>
    <w:rsid w:val="00F73B38"/>
    <w:rsid w:val="00F742E5"/>
    <w:rsid w:val="00F7431D"/>
    <w:rsid w:val="00F743AC"/>
    <w:rsid w:val="00F745FF"/>
    <w:rsid w:val="00F75933"/>
    <w:rsid w:val="00F76258"/>
    <w:rsid w:val="00F76F00"/>
    <w:rsid w:val="00F81DC7"/>
    <w:rsid w:val="00F81F1E"/>
    <w:rsid w:val="00F829D4"/>
    <w:rsid w:val="00F82EF2"/>
    <w:rsid w:val="00F848A9"/>
    <w:rsid w:val="00F84A67"/>
    <w:rsid w:val="00F84EE4"/>
    <w:rsid w:val="00F85B3F"/>
    <w:rsid w:val="00F86166"/>
    <w:rsid w:val="00F862D1"/>
    <w:rsid w:val="00F868E7"/>
    <w:rsid w:val="00F86F51"/>
    <w:rsid w:val="00F87974"/>
    <w:rsid w:val="00F9073C"/>
    <w:rsid w:val="00F90AB5"/>
    <w:rsid w:val="00F90DAD"/>
    <w:rsid w:val="00F91081"/>
    <w:rsid w:val="00F919AD"/>
    <w:rsid w:val="00F92DD7"/>
    <w:rsid w:val="00F93F07"/>
    <w:rsid w:val="00F93F7E"/>
    <w:rsid w:val="00F94BD2"/>
    <w:rsid w:val="00F94CCF"/>
    <w:rsid w:val="00F96753"/>
    <w:rsid w:val="00F96AC8"/>
    <w:rsid w:val="00F97A10"/>
    <w:rsid w:val="00FA12D4"/>
    <w:rsid w:val="00FA1749"/>
    <w:rsid w:val="00FA1908"/>
    <w:rsid w:val="00FA3BF4"/>
    <w:rsid w:val="00FA4023"/>
    <w:rsid w:val="00FA455C"/>
    <w:rsid w:val="00FA5572"/>
    <w:rsid w:val="00FA774D"/>
    <w:rsid w:val="00FA791E"/>
    <w:rsid w:val="00FA7949"/>
    <w:rsid w:val="00FB19CB"/>
    <w:rsid w:val="00FB1F1C"/>
    <w:rsid w:val="00FB2678"/>
    <w:rsid w:val="00FB3F23"/>
    <w:rsid w:val="00FB4C1D"/>
    <w:rsid w:val="00FB5CC5"/>
    <w:rsid w:val="00FB6AED"/>
    <w:rsid w:val="00FB6D14"/>
    <w:rsid w:val="00FB7475"/>
    <w:rsid w:val="00FB761B"/>
    <w:rsid w:val="00FB7C1C"/>
    <w:rsid w:val="00FC0EEB"/>
    <w:rsid w:val="00FC12E3"/>
    <w:rsid w:val="00FC43B6"/>
    <w:rsid w:val="00FC59AC"/>
    <w:rsid w:val="00FD102F"/>
    <w:rsid w:val="00FD292F"/>
    <w:rsid w:val="00FD36F4"/>
    <w:rsid w:val="00FD463D"/>
    <w:rsid w:val="00FD4FB8"/>
    <w:rsid w:val="00FD5B8D"/>
    <w:rsid w:val="00FD634B"/>
    <w:rsid w:val="00FD68E2"/>
    <w:rsid w:val="00FD7D39"/>
    <w:rsid w:val="00FE0130"/>
    <w:rsid w:val="00FE097C"/>
    <w:rsid w:val="00FE1550"/>
    <w:rsid w:val="00FE16F8"/>
    <w:rsid w:val="00FE2B9C"/>
    <w:rsid w:val="00FE30E3"/>
    <w:rsid w:val="00FE3A69"/>
    <w:rsid w:val="00FE408F"/>
    <w:rsid w:val="00FE4CC7"/>
    <w:rsid w:val="00FE593E"/>
    <w:rsid w:val="00FE59A5"/>
    <w:rsid w:val="00FE59BD"/>
    <w:rsid w:val="00FE7789"/>
    <w:rsid w:val="00FE7A48"/>
    <w:rsid w:val="00FF060B"/>
    <w:rsid w:val="00FF13B4"/>
    <w:rsid w:val="00FF354A"/>
    <w:rsid w:val="00FF3941"/>
    <w:rsid w:val="00FF404B"/>
    <w:rsid w:val="00FF5D1A"/>
    <w:rsid w:val="00FF6D02"/>
    <w:rsid w:val="00FF6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012464"/>
  <w15:docId w15:val="{B4D2E140-75F6-4C89-8851-C03D21F71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6DA"/>
    <w:pPr>
      <w:spacing w:after="120" w:line="240" w:lineRule="auto"/>
      <w:jc w:val="both"/>
    </w:pPr>
    <w:rPr>
      <w:rFonts w:ascii="Times New Roman" w:hAnsi="Times New Roman"/>
      <w:sz w:val="24"/>
    </w:rPr>
  </w:style>
  <w:style w:type="paragraph" w:styleId="Heading1">
    <w:name w:val="heading 1"/>
    <w:basedOn w:val="Normal"/>
    <w:next w:val="Normal"/>
    <w:link w:val="Heading1Char1"/>
    <w:uiPriority w:val="9"/>
    <w:qFormat/>
    <w:rsid w:val="007970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Podnaslov 2"/>
    <w:basedOn w:val="Normal"/>
    <w:next w:val="Normal"/>
    <w:link w:val="Heading2Char"/>
    <w:uiPriority w:val="9"/>
    <w:unhideWhenUsed/>
    <w:qFormat/>
    <w:rsid w:val="00797049"/>
    <w:pPr>
      <w:keepNext/>
      <w:keepLines/>
      <w:spacing w:before="40" w:after="0"/>
      <w:outlineLvl w:val="1"/>
    </w:pPr>
    <w:rPr>
      <w:rFonts w:ascii="Cambria" w:eastAsia="MS PGothic" w:hAnsi="Cambria" w:cs="Arial"/>
      <w:color w:val="404040"/>
      <w:sz w:val="28"/>
      <w:szCs w:val="28"/>
    </w:rPr>
  </w:style>
  <w:style w:type="paragraph" w:styleId="Heading3">
    <w:name w:val="heading 3"/>
    <w:basedOn w:val="Normal"/>
    <w:next w:val="Normal"/>
    <w:link w:val="Heading3Char"/>
    <w:unhideWhenUsed/>
    <w:qFormat/>
    <w:rsid w:val="00797049"/>
    <w:pPr>
      <w:keepNext/>
      <w:keepLines/>
      <w:spacing w:before="40" w:after="0"/>
      <w:outlineLvl w:val="2"/>
    </w:pPr>
    <w:rPr>
      <w:rFonts w:ascii="Arial" w:eastAsia="MS PGothic" w:hAnsi="Arial" w:cs="Arial"/>
      <w:color w:val="000000"/>
      <w:szCs w:val="24"/>
    </w:rPr>
  </w:style>
  <w:style w:type="paragraph" w:styleId="Heading4">
    <w:name w:val="heading 4"/>
    <w:basedOn w:val="Normal"/>
    <w:next w:val="Normal"/>
    <w:link w:val="Heading4Char"/>
    <w:unhideWhenUsed/>
    <w:qFormat/>
    <w:rsid w:val="00797049"/>
    <w:pPr>
      <w:keepNext/>
      <w:keepLines/>
      <w:spacing w:before="40" w:after="0"/>
      <w:outlineLvl w:val="3"/>
    </w:pPr>
    <w:rPr>
      <w:rFonts w:ascii="Arial" w:eastAsia="MS PGothic" w:hAnsi="Arial" w:cs="Arial"/>
    </w:rPr>
  </w:style>
  <w:style w:type="paragraph" w:styleId="Heading5">
    <w:name w:val="heading 5"/>
    <w:basedOn w:val="Normal"/>
    <w:next w:val="Normal"/>
    <w:link w:val="Heading5Char"/>
    <w:unhideWhenUsed/>
    <w:qFormat/>
    <w:rsid w:val="00797049"/>
    <w:pPr>
      <w:keepNext/>
      <w:keepLines/>
      <w:spacing w:before="40" w:after="0"/>
      <w:outlineLvl w:val="4"/>
    </w:pPr>
    <w:rPr>
      <w:rFonts w:ascii="Arial" w:eastAsia="MS PGothic" w:hAnsi="Arial" w:cs="Arial"/>
      <w:color w:val="000000"/>
    </w:rPr>
  </w:style>
  <w:style w:type="paragraph" w:styleId="Heading6">
    <w:name w:val="heading 6"/>
    <w:basedOn w:val="Normal"/>
    <w:next w:val="Normal"/>
    <w:link w:val="Heading6Char"/>
    <w:unhideWhenUsed/>
    <w:qFormat/>
    <w:rsid w:val="00797049"/>
    <w:pPr>
      <w:keepNext/>
      <w:keepLines/>
      <w:spacing w:before="40" w:after="0"/>
      <w:outlineLvl w:val="5"/>
    </w:pPr>
    <w:rPr>
      <w:rFonts w:ascii="Arial" w:eastAsia="MS PGothic" w:hAnsi="Arial" w:cs="Arial"/>
      <w:i/>
      <w:iCs/>
      <w:color w:val="000000"/>
      <w:sz w:val="21"/>
      <w:szCs w:val="21"/>
    </w:rPr>
  </w:style>
  <w:style w:type="paragraph" w:styleId="Heading7">
    <w:name w:val="heading 7"/>
    <w:basedOn w:val="Normal"/>
    <w:next w:val="Normal"/>
    <w:link w:val="Heading7Char"/>
    <w:uiPriority w:val="9"/>
    <w:semiHidden/>
    <w:unhideWhenUsed/>
    <w:qFormat/>
    <w:rsid w:val="00797049"/>
    <w:pPr>
      <w:keepNext/>
      <w:keepLines/>
      <w:spacing w:before="40" w:after="0"/>
      <w:outlineLvl w:val="6"/>
    </w:pPr>
    <w:rPr>
      <w:rFonts w:ascii="Arial" w:eastAsia="MS PGothic" w:hAnsi="Arial" w:cs="Arial"/>
      <w:i/>
      <w:iCs/>
      <w:color w:val="7F1D09"/>
      <w:sz w:val="21"/>
      <w:szCs w:val="21"/>
    </w:rPr>
  </w:style>
  <w:style w:type="paragraph" w:styleId="Heading8">
    <w:name w:val="heading 8"/>
    <w:basedOn w:val="Normal"/>
    <w:next w:val="Normal"/>
    <w:link w:val="Heading8Char"/>
    <w:uiPriority w:val="9"/>
    <w:semiHidden/>
    <w:unhideWhenUsed/>
    <w:qFormat/>
    <w:rsid w:val="00797049"/>
    <w:pPr>
      <w:keepNext/>
      <w:keepLines/>
      <w:spacing w:before="40" w:after="0"/>
      <w:outlineLvl w:val="7"/>
    </w:pPr>
    <w:rPr>
      <w:rFonts w:ascii="Arial" w:eastAsia="MS PGothic" w:hAnsi="Arial" w:cs="Arial"/>
      <w:b/>
      <w:bCs/>
      <w:color w:val="000000"/>
    </w:rPr>
  </w:style>
  <w:style w:type="paragraph" w:styleId="Heading9">
    <w:name w:val="heading 9"/>
    <w:basedOn w:val="Normal"/>
    <w:next w:val="Normal"/>
    <w:link w:val="Heading9Char"/>
    <w:uiPriority w:val="9"/>
    <w:semiHidden/>
    <w:unhideWhenUsed/>
    <w:qFormat/>
    <w:rsid w:val="00797049"/>
    <w:pPr>
      <w:keepNext/>
      <w:keepLines/>
      <w:spacing w:before="40" w:after="0"/>
      <w:outlineLvl w:val="8"/>
    </w:pPr>
    <w:rPr>
      <w:rFonts w:ascii="Arial" w:eastAsia="MS PGothic" w:hAnsi="Arial" w:cs="Arial"/>
      <w:b/>
      <w:bCs/>
      <w:i/>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797049"/>
    <w:pPr>
      <w:keepNext/>
      <w:keepLines/>
      <w:spacing w:before="320" w:after="0"/>
      <w:outlineLvl w:val="0"/>
    </w:pPr>
    <w:rPr>
      <w:rFonts w:ascii="Arial" w:eastAsia="MS PGothic" w:hAnsi="Arial" w:cs="Arial"/>
      <w:color w:val="BF2B0E"/>
      <w:sz w:val="32"/>
      <w:szCs w:val="32"/>
    </w:rPr>
  </w:style>
  <w:style w:type="paragraph" w:customStyle="1" w:styleId="Heading21">
    <w:name w:val="Heading 21"/>
    <w:basedOn w:val="Normal"/>
    <w:next w:val="Normal"/>
    <w:uiPriority w:val="9"/>
    <w:unhideWhenUsed/>
    <w:qFormat/>
    <w:rsid w:val="00797049"/>
    <w:pPr>
      <w:keepNext/>
      <w:keepLines/>
      <w:spacing w:before="80" w:after="0"/>
      <w:outlineLvl w:val="1"/>
    </w:pPr>
    <w:rPr>
      <w:rFonts w:ascii="Cambria" w:eastAsia="MS PGothic" w:hAnsi="Cambria" w:cs="Arial"/>
      <w:color w:val="404040"/>
      <w:sz w:val="28"/>
      <w:szCs w:val="28"/>
      <w:lang w:eastAsia="ja-JP"/>
    </w:rPr>
  </w:style>
  <w:style w:type="paragraph" w:customStyle="1" w:styleId="Heading31">
    <w:name w:val="Heading 31"/>
    <w:basedOn w:val="Normal"/>
    <w:next w:val="Normal"/>
    <w:uiPriority w:val="9"/>
    <w:unhideWhenUsed/>
    <w:qFormat/>
    <w:rsid w:val="00797049"/>
    <w:pPr>
      <w:keepNext/>
      <w:keepLines/>
      <w:spacing w:before="40" w:after="0"/>
      <w:outlineLvl w:val="2"/>
    </w:pPr>
    <w:rPr>
      <w:rFonts w:ascii="Arial" w:eastAsia="MS PGothic" w:hAnsi="Arial" w:cs="Arial"/>
      <w:color w:val="000000"/>
      <w:szCs w:val="24"/>
      <w:lang w:eastAsia="ja-JP"/>
    </w:rPr>
  </w:style>
  <w:style w:type="paragraph" w:customStyle="1" w:styleId="Heading41">
    <w:name w:val="Heading 41"/>
    <w:basedOn w:val="Normal"/>
    <w:next w:val="Normal"/>
    <w:uiPriority w:val="9"/>
    <w:unhideWhenUsed/>
    <w:qFormat/>
    <w:rsid w:val="00797049"/>
    <w:pPr>
      <w:keepNext/>
      <w:keepLines/>
      <w:spacing w:before="40" w:after="0" w:line="264" w:lineRule="auto"/>
      <w:outlineLvl w:val="3"/>
    </w:pPr>
    <w:rPr>
      <w:rFonts w:ascii="Arial" w:eastAsia="MS PGothic" w:hAnsi="Arial" w:cs="Arial"/>
      <w:lang w:eastAsia="ja-JP"/>
    </w:rPr>
  </w:style>
  <w:style w:type="paragraph" w:customStyle="1" w:styleId="Heading51">
    <w:name w:val="Heading 51"/>
    <w:basedOn w:val="Normal"/>
    <w:next w:val="Normal"/>
    <w:uiPriority w:val="9"/>
    <w:semiHidden/>
    <w:unhideWhenUsed/>
    <w:qFormat/>
    <w:rsid w:val="00797049"/>
    <w:pPr>
      <w:keepNext/>
      <w:keepLines/>
      <w:spacing w:before="40" w:after="0" w:line="264" w:lineRule="auto"/>
      <w:outlineLvl w:val="4"/>
    </w:pPr>
    <w:rPr>
      <w:rFonts w:ascii="Arial" w:eastAsia="MS PGothic" w:hAnsi="Arial" w:cs="Arial"/>
      <w:color w:val="000000"/>
      <w:lang w:eastAsia="ja-JP"/>
    </w:rPr>
  </w:style>
  <w:style w:type="paragraph" w:customStyle="1" w:styleId="Heading61">
    <w:name w:val="Heading 61"/>
    <w:basedOn w:val="Normal"/>
    <w:next w:val="Normal"/>
    <w:uiPriority w:val="9"/>
    <w:semiHidden/>
    <w:unhideWhenUsed/>
    <w:qFormat/>
    <w:rsid w:val="00797049"/>
    <w:pPr>
      <w:keepNext/>
      <w:keepLines/>
      <w:spacing w:before="40" w:after="0" w:line="264" w:lineRule="auto"/>
      <w:outlineLvl w:val="5"/>
    </w:pPr>
    <w:rPr>
      <w:rFonts w:ascii="Arial" w:eastAsia="MS PGothic" w:hAnsi="Arial" w:cs="Arial"/>
      <w:i/>
      <w:iCs/>
      <w:color w:val="000000"/>
      <w:sz w:val="21"/>
      <w:szCs w:val="21"/>
      <w:lang w:eastAsia="ja-JP"/>
    </w:rPr>
  </w:style>
  <w:style w:type="paragraph" w:customStyle="1" w:styleId="Heading71">
    <w:name w:val="Heading 71"/>
    <w:basedOn w:val="Normal"/>
    <w:next w:val="Normal"/>
    <w:uiPriority w:val="9"/>
    <w:semiHidden/>
    <w:unhideWhenUsed/>
    <w:qFormat/>
    <w:rsid w:val="00797049"/>
    <w:pPr>
      <w:keepNext/>
      <w:keepLines/>
      <w:spacing w:before="40" w:after="0" w:line="264" w:lineRule="auto"/>
      <w:outlineLvl w:val="6"/>
    </w:pPr>
    <w:rPr>
      <w:rFonts w:ascii="Arial" w:eastAsia="MS PGothic" w:hAnsi="Arial" w:cs="Arial"/>
      <w:i/>
      <w:iCs/>
      <w:color w:val="7F1D09"/>
      <w:sz w:val="21"/>
      <w:szCs w:val="21"/>
      <w:lang w:eastAsia="ja-JP"/>
    </w:rPr>
  </w:style>
  <w:style w:type="paragraph" w:customStyle="1" w:styleId="Heading81">
    <w:name w:val="Heading 81"/>
    <w:basedOn w:val="Normal"/>
    <w:next w:val="Normal"/>
    <w:uiPriority w:val="9"/>
    <w:semiHidden/>
    <w:unhideWhenUsed/>
    <w:qFormat/>
    <w:rsid w:val="00797049"/>
    <w:pPr>
      <w:keepNext/>
      <w:keepLines/>
      <w:spacing w:before="40" w:after="0" w:line="264" w:lineRule="auto"/>
      <w:outlineLvl w:val="7"/>
    </w:pPr>
    <w:rPr>
      <w:rFonts w:ascii="Arial" w:eastAsia="MS PGothic" w:hAnsi="Arial" w:cs="Arial"/>
      <w:b/>
      <w:bCs/>
      <w:color w:val="000000"/>
      <w:sz w:val="20"/>
      <w:szCs w:val="20"/>
      <w:lang w:eastAsia="ja-JP"/>
    </w:rPr>
  </w:style>
  <w:style w:type="paragraph" w:customStyle="1" w:styleId="Heading91">
    <w:name w:val="Heading 91"/>
    <w:basedOn w:val="Normal"/>
    <w:next w:val="Normal"/>
    <w:uiPriority w:val="9"/>
    <w:semiHidden/>
    <w:unhideWhenUsed/>
    <w:qFormat/>
    <w:rsid w:val="00797049"/>
    <w:pPr>
      <w:keepNext/>
      <w:keepLines/>
      <w:spacing w:before="40" w:after="0" w:line="264" w:lineRule="auto"/>
      <w:outlineLvl w:val="8"/>
    </w:pPr>
    <w:rPr>
      <w:rFonts w:ascii="Arial" w:eastAsia="MS PGothic" w:hAnsi="Arial" w:cs="Arial"/>
      <w:b/>
      <w:bCs/>
      <w:i/>
      <w:iCs/>
      <w:color w:val="000000"/>
      <w:sz w:val="20"/>
      <w:szCs w:val="20"/>
      <w:lang w:eastAsia="ja-JP"/>
    </w:rPr>
  </w:style>
  <w:style w:type="numbering" w:customStyle="1" w:styleId="NoList1">
    <w:name w:val="No List1"/>
    <w:next w:val="NoList"/>
    <w:uiPriority w:val="99"/>
    <w:semiHidden/>
    <w:unhideWhenUsed/>
    <w:rsid w:val="00797049"/>
  </w:style>
  <w:style w:type="paragraph" w:customStyle="1" w:styleId="Footer1">
    <w:name w:val="Footer1"/>
    <w:basedOn w:val="Normal"/>
    <w:next w:val="Footer"/>
    <w:link w:val="FooterChar"/>
    <w:uiPriority w:val="99"/>
    <w:unhideWhenUsed/>
    <w:rsid w:val="00797049"/>
    <w:pPr>
      <w:spacing w:after="0" w:line="264" w:lineRule="auto"/>
      <w:ind w:left="29" w:right="144"/>
    </w:pPr>
    <w:rPr>
      <w:color w:val="EF4623"/>
    </w:rPr>
  </w:style>
  <w:style w:type="character" w:customStyle="1" w:styleId="FooterChar">
    <w:name w:val="Footer Char"/>
    <w:basedOn w:val="DefaultParagraphFont"/>
    <w:link w:val="Footer1"/>
    <w:uiPriority w:val="99"/>
    <w:rsid w:val="00797049"/>
    <w:rPr>
      <w:color w:val="EF4623"/>
    </w:rPr>
  </w:style>
  <w:style w:type="paragraph" w:customStyle="1" w:styleId="Subtitle1">
    <w:name w:val="Subtitle1"/>
    <w:basedOn w:val="Normal"/>
    <w:next w:val="Normal"/>
    <w:uiPriority w:val="11"/>
    <w:qFormat/>
    <w:rsid w:val="00797049"/>
    <w:pPr>
      <w:numPr>
        <w:ilvl w:val="1"/>
      </w:numPr>
    </w:pPr>
    <w:rPr>
      <w:rFonts w:ascii="Arial" w:eastAsia="MS PGothic" w:hAnsi="Arial" w:cs="Arial"/>
      <w:szCs w:val="24"/>
      <w:lang w:eastAsia="ja-JP"/>
    </w:rPr>
  </w:style>
  <w:style w:type="paragraph" w:customStyle="1" w:styleId="Graphic">
    <w:name w:val="Graphic"/>
    <w:basedOn w:val="Normal"/>
    <w:uiPriority w:val="99"/>
    <w:rsid w:val="00797049"/>
    <w:pPr>
      <w:spacing w:line="264" w:lineRule="auto"/>
      <w:jc w:val="center"/>
    </w:pPr>
    <w:rPr>
      <w:rFonts w:eastAsia="MS PGothic"/>
      <w:sz w:val="20"/>
      <w:szCs w:val="20"/>
      <w:lang w:eastAsia="ja-JP"/>
    </w:rPr>
  </w:style>
  <w:style w:type="paragraph" w:styleId="Header">
    <w:name w:val="header"/>
    <w:basedOn w:val="Normal"/>
    <w:link w:val="HeaderChar"/>
    <w:uiPriority w:val="99"/>
    <w:rsid w:val="00797049"/>
    <w:pPr>
      <w:spacing w:after="380" w:line="264" w:lineRule="auto"/>
    </w:pPr>
    <w:rPr>
      <w:rFonts w:eastAsia="MS PGothic"/>
      <w:sz w:val="20"/>
      <w:szCs w:val="20"/>
      <w:lang w:eastAsia="ja-JP"/>
    </w:rPr>
  </w:style>
  <w:style w:type="character" w:customStyle="1" w:styleId="HeaderChar">
    <w:name w:val="Header Char"/>
    <w:basedOn w:val="DefaultParagraphFont"/>
    <w:link w:val="Header"/>
    <w:uiPriority w:val="99"/>
    <w:rsid w:val="00797049"/>
    <w:rPr>
      <w:rFonts w:eastAsia="MS PGothic"/>
      <w:sz w:val="20"/>
      <w:szCs w:val="20"/>
      <w:lang w:eastAsia="ja-JP"/>
    </w:rPr>
  </w:style>
  <w:style w:type="table" w:styleId="TableGrid">
    <w:name w:val="Table Grid"/>
    <w:basedOn w:val="TableNormal"/>
    <w:uiPriority w:val="39"/>
    <w:rsid w:val="00797049"/>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InfoHeading">
    <w:name w:val="Info Heading"/>
    <w:basedOn w:val="Normal"/>
    <w:uiPriority w:val="2"/>
    <w:rsid w:val="00797049"/>
    <w:pPr>
      <w:spacing w:after="60" w:line="264" w:lineRule="auto"/>
      <w:ind w:left="29" w:right="29"/>
      <w:jc w:val="right"/>
    </w:pPr>
    <w:rPr>
      <w:rFonts w:eastAsia="MS PGothic"/>
      <w:b/>
      <w:bCs/>
      <w:color w:val="EF4623"/>
      <w:sz w:val="36"/>
      <w:szCs w:val="20"/>
      <w:lang w:eastAsia="ja-JP"/>
    </w:rPr>
  </w:style>
  <w:style w:type="paragraph" w:customStyle="1" w:styleId="Page">
    <w:name w:val="Page"/>
    <w:basedOn w:val="Normal"/>
    <w:next w:val="Normal"/>
    <w:uiPriority w:val="99"/>
    <w:unhideWhenUsed/>
    <w:rsid w:val="00797049"/>
    <w:pPr>
      <w:spacing w:after="40" w:line="264" w:lineRule="auto"/>
    </w:pPr>
    <w:rPr>
      <w:rFonts w:eastAsia="MS PGothic"/>
      <w:noProof/>
      <w:color w:val="000000"/>
      <w:sz w:val="36"/>
      <w:szCs w:val="20"/>
      <w:lang w:eastAsia="ja-JP"/>
    </w:rPr>
  </w:style>
  <w:style w:type="paragraph" w:customStyle="1" w:styleId="Title1">
    <w:name w:val="Title1"/>
    <w:basedOn w:val="Normal"/>
    <w:next w:val="Normal"/>
    <w:uiPriority w:val="10"/>
    <w:qFormat/>
    <w:rsid w:val="00797049"/>
    <w:pPr>
      <w:spacing w:after="0"/>
      <w:contextualSpacing/>
    </w:pPr>
    <w:rPr>
      <w:rFonts w:ascii="Arial" w:eastAsia="MS PGothic" w:hAnsi="Arial" w:cs="Arial"/>
      <w:color w:val="EF4623"/>
      <w:spacing w:val="-10"/>
      <w:sz w:val="56"/>
      <w:szCs w:val="56"/>
      <w:lang w:eastAsia="ja-JP"/>
    </w:rPr>
  </w:style>
  <w:style w:type="character" w:customStyle="1" w:styleId="TitleChar">
    <w:name w:val="Title Char"/>
    <w:basedOn w:val="DefaultParagraphFont"/>
    <w:link w:val="Title"/>
    <w:rsid w:val="00797049"/>
    <w:rPr>
      <w:rFonts w:ascii="Arial" w:eastAsia="MS PGothic" w:hAnsi="Arial" w:cs="Arial"/>
      <w:color w:val="EF4623"/>
      <w:spacing w:val="-10"/>
      <w:sz w:val="56"/>
      <w:szCs w:val="56"/>
    </w:rPr>
  </w:style>
  <w:style w:type="character" w:styleId="PlaceholderText">
    <w:name w:val="Placeholder Text"/>
    <w:basedOn w:val="DefaultParagraphFont"/>
    <w:uiPriority w:val="99"/>
    <w:semiHidden/>
    <w:rsid w:val="00797049"/>
    <w:rPr>
      <w:color w:val="808080"/>
    </w:rPr>
  </w:style>
  <w:style w:type="paragraph" w:styleId="BalloonText">
    <w:name w:val="Balloon Text"/>
    <w:basedOn w:val="Normal"/>
    <w:link w:val="BalloonTextChar"/>
    <w:uiPriority w:val="99"/>
    <w:unhideWhenUsed/>
    <w:rsid w:val="00797049"/>
    <w:pPr>
      <w:spacing w:after="0" w:line="264" w:lineRule="auto"/>
    </w:pPr>
    <w:rPr>
      <w:rFonts w:ascii="Tahoma" w:eastAsia="MS PGothic" w:hAnsi="Tahoma" w:cs="Tahoma"/>
      <w:sz w:val="16"/>
      <w:szCs w:val="20"/>
      <w:lang w:eastAsia="ja-JP"/>
    </w:rPr>
  </w:style>
  <w:style w:type="character" w:customStyle="1" w:styleId="BalloonTextChar">
    <w:name w:val="Balloon Text Char"/>
    <w:basedOn w:val="DefaultParagraphFont"/>
    <w:link w:val="BalloonText"/>
    <w:uiPriority w:val="99"/>
    <w:rsid w:val="00797049"/>
    <w:rPr>
      <w:rFonts w:ascii="Tahoma" w:eastAsia="MS PGothic" w:hAnsi="Tahoma" w:cs="Tahoma"/>
      <w:sz w:val="16"/>
      <w:szCs w:val="20"/>
      <w:lang w:eastAsia="ja-JP"/>
    </w:rPr>
  </w:style>
  <w:style w:type="character" w:styleId="Strong">
    <w:name w:val="Strong"/>
    <w:basedOn w:val="DefaultParagraphFont"/>
    <w:uiPriority w:val="22"/>
    <w:qFormat/>
    <w:rsid w:val="00797049"/>
    <w:rPr>
      <w:b/>
      <w:bCs/>
    </w:rPr>
  </w:style>
  <w:style w:type="character" w:customStyle="1" w:styleId="SubtitleChar">
    <w:name w:val="Subtitle Char"/>
    <w:basedOn w:val="DefaultParagraphFont"/>
    <w:link w:val="Subtitle"/>
    <w:rsid w:val="00797049"/>
    <w:rPr>
      <w:rFonts w:ascii="Arial" w:eastAsia="MS PGothic" w:hAnsi="Arial" w:cs="Arial"/>
      <w:sz w:val="24"/>
      <w:szCs w:val="24"/>
    </w:rPr>
  </w:style>
  <w:style w:type="paragraph" w:customStyle="1" w:styleId="Abstract">
    <w:name w:val="Abstract"/>
    <w:basedOn w:val="Normal"/>
    <w:uiPriority w:val="3"/>
    <w:rsid w:val="00797049"/>
    <w:pPr>
      <w:spacing w:before="360" w:after="480" w:line="360" w:lineRule="auto"/>
    </w:pPr>
    <w:rPr>
      <w:rFonts w:eastAsia="MS PGothic"/>
      <w:i/>
      <w:iCs/>
      <w:color w:val="EF4623"/>
      <w:kern w:val="20"/>
      <w:sz w:val="28"/>
      <w:szCs w:val="20"/>
      <w:lang w:eastAsia="ja-JP"/>
    </w:rPr>
  </w:style>
  <w:style w:type="paragraph" w:styleId="NoSpacing">
    <w:name w:val="No Spacing"/>
    <w:aliases w:val="Uvodna rečenica"/>
    <w:link w:val="NoSpacingChar"/>
    <w:uiPriority w:val="1"/>
    <w:qFormat/>
    <w:rsid w:val="00797049"/>
    <w:pPr>
      <w:spacing w:after="0" w:line="240" w:lineRule="auto"/>
    </w:pPr>
    <w:rPr>
      <w:rFonts w:eastAsia="MS PGothic"/>
      <w:sz w:val="20"/>
      <w:szCs w:val="20"/>
      <w:lang w:eastAsia="ja-JP"/>
    </w:rPr>
  </w:style>
  <w:style w:type="character" w:customStyle="1" w:styleId="Hyperlink1">
    <w:name w:val="Hyperlink1"/>
    <w:basedOn w:val="DefaultParagraphFont"/>
    <w:uiPriority w:val="99"/>
    <w:unhideWhenUsed/>
    <w:rsid w:val="00797049"/>
    <w:rPr>
      <w:color w:val="5F5F5F"/>
      <w:u w:val="single"/>
    </w:rPr>
  </w:style>
  <w:style w:type="paragraph" w:styleId="TOC1">
    <w:name w:val="toc 1"/>
    <w:basedOn w:val="Normal"/>
    <w:next w:val="Normal"/>
    <w:autoRedefine/>
    <w:uiPriority w:val="39"/>
    <w:unhideWhenUsed/>
    <w:qFormat/>
    <w:rsid w:val="00F46178"/>
    <w:pPr>
      <w:tabs>
        <w:tab w:val="left" w:pos="400"/>
        <w:tab w:val="right" w:leader="underscore" w:pos="8424"/>
      </w:tabs>
      <w:spacing w:before="40" w:after="100" w:line="288" w:lineRule="auto"/>
    </w:pPr>
    <w:rPr>
      <w:rFonts w:eastAsia="MS PGothic"/>
      <w:noProof/>
      <w:kern w:val="20"/>
      <w:sz w:val="20"/>
      <w:szCs w:val="20"/>
      <w:lang w:eastAsia="ja-JP"/>
    </w:rPr>
  </w:style>
  <w:style w:type="character" w:customStyle="1" w:styleId="Heading1Char">
    <w:name w:val="Heading 1 Char"/>
    <w:basedOn w:val="DefaultParagraphFont"/>
    <w:link w:val="Heading11"/>
    <w:uiPriority w:val="9"/>
    <w:rsid w:val="00797049"/>
    <w:rPr>
      <w:rFonts w:ascii="Arial" w:eastAsia="MS PGothic" w:hAnsi="Arial" w:cs="Arial"/>
      <w:color w:val="BF2B0E"/>
      <w:sz w:val="32"/>
      <w:szCs w:val="32"/>
    </w:rPr>
  </w:style>
  <w:style w:type="character" w:customStyle="1" w:styleId="Heading1Char1">
    <w:name w:val="Heading 1 Char1"/>
    <w:basedOn w:val="DefaultParagraphFont"/>
    <w:link w:val="Heading1"/>
    <w:uiPriority w:val="9"/>
    <w:rsid w:val="0079704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97049"/>
    <w:pPr>
      <w:spacing w:before="320"/>
      <w:outlineLvl w:val="9"/>
    </w:pPr>
    <w:rPr>
      <w:lang w:eastAsia="ja-JP"/>
    </w:rPr>
  </w:style>
  <w:style w:type="character" w:customStyle="1" w:styleId="Heading2Char">
    <w:name w:val="Heading 2 Char"/>
    <w:aliases w:val="Podnaslov 2 Char"/>
    <w:basedOn w:val="DefaultParagraphFont"/>
    <w:link w:val="Heading2"/>
    <w:uiPriority w:val="9"/>
    <w:rsid w:val="00797049"/>
    <w:rPr>
      <w:rFonts w:ascii="Cambria" w:eastAsia="MS PGothic" w:hAnsi="Cambria" w:cs="Arial"/>
      <w:color w:val="404040"/>
      <w:sz w:val="28"/>
      <w:szCs w:val="28"/>
    </w:rPr>
  </w:style>
  <w:style w:type="paragraph" w:customStyle="1" w:styleId="Quote1">
    <w:name w:val="Quote1"/>
    <w:basedOn w:val="Normal"/>
    <w:next w:val="Normal"/>
    <w:uiPriority w:val="29"/>
    <w:qFormat/>
    <w:rsid w:val="00797049"/>
    <w:pPr>
      <w:spacing w:before="160" w:line="264" w:lineRule="auto"/>
      <w:ind w:left="720" w:right="720"/>
    </w:pPr>
    <w:rPr>
      <w:rFonts w:eastAsia="MS PGothic"/>
      <w:i/>
      <w:iCs/>
      <w:color w:val="404040"/>
      <w:sz w:val="20"/>
      <w:szCs w:val="20"/>
      <w:lang w:eastAsia="ja-JP"/>
    </w:rPr>
  </w:style>
  <w:style w:type="character" w:customStyle="1" w:styleId="QuoteChar">
    <w:name w:val="Quote Char"/>
    <w:basedOn w:val="DefaultParagraphFont"/>
    <w:link w:val="Quote"/>
    <w:uiPriority w:val="29"/>
    <w:rsid w:val="00797049"/>
    <w:rPr>
      <w:i/>
      <w:iCs/>
      <w:color w:val="404040"/>
    </w:rPr>
  </w:style>
  <w:style w:type="paragraph" w:customStyle="1" w:styleId="Signature1">
    <w:name w:val="Signature1"/>
    <w:basedOn w:val="Normal"/>
    <w:next w:val="Signature"/>
    <w:link w:val="SignatureChar"/>
    <w:uiPriority w:val="9"/>
    <w:unhideWhenUsed/>
    <w:rsid w:val="00797049"/>
    <w:pPr>
      <w:spacing w:before="720" w:after="0" w:line="312" w:lineRule="auto"/>
      <w:contextualSpacing/>
    </w:pPr>
    <w:rPr>
      <w:color w:val="595959"/>
      <w:kern w:val="20"/>
    </w:rPr>
  </w:style>
  <w:style w:type="character" w:customStyle="1" w:styleId="SignatureChar">
    <w:name w:val="Signature Char"/>
    <w:basedOn w:val="DefaultParagraphFont"/>
    <w:link w:val="Signature1"/>
    <w:uiPriority w:val="9"/>
    <w:rsid w:val="00797049"/>
    <w:rPr>
      <w:color w:val="595959"/>
      <w:kern w:val="20"/>
    </w:rPr>
  </w:style>
  <w:style w:type="character" w:customStyle="1" w:styleId="NoSpacingChar">
    <w:name w:val="No Spacing Char"/>
    <w:aliases w:val="Uvodna rečenica Char"/>
    <w:basedOn w:val="DefaultParagraphFont"/>
    <w:link w:val="NoSpacing"/>
    <w:uiPriority w:val="1"/>
    <w:rsid w:val="00797049"/>
    <w:rPr>
      <w:rFonts w:eastAsia="MS PGothic"/>
      <w:sz w:val="20"/>
      <w:szCs w:val="20"/>
      <w:lang w:eastAsia="ja-JP"/>
    </w:rPr>
  </w:style>
  <w:style w:type="paragraph" w:customStyle="1" w:styleId="ListBullet1">
    <w:name w:val="List Bullet1"/>
    <w:basedOn w:val="Normal"/>
    <w:next w:val="ListBullet"/>
    <w:link w:val="ListBulletChar"/>
    <w:uiPriority w:val="99"/>
    <w:unhideWhenUsed/>
    <w:qFormat/>
    <w:rsid w:val="00797049"/>
    <w:pPr>
      <w:numPr>
        <w:numId w:val="1"/>
      </w:numPr>
      <w:spacing w:before="40" w:after="40" w:line="288" w:lineRule="auto"/>
    </w:pPr>
    <w:rPr>
      <w:rFonts w:eastAsia="MS PGothic"/>
      <w:color w:val="595959"/>
      <w:kern w:val="20"/>
      <w:sz w:val="20"/>
      <w:szCs w:val="20"/>
      <w:lang w:eastAsia="ja-JP"/>
    </w:rPr>
  </w:style>
  <w:style w:type="paragraph" w:customStyle="1" w:styleId="ListNumber1">
    <w:name w:val="List Number1"/>
    <w:basedOn w:val="Normal"/>
    <w:next w:val="ListNumber"/>
    <w:uiPriority w:val="1"/>
    <w:unhideWhenUsed/>
    <w:rsid w:val="00797049"/>
    <w:pPr>
      <w:numPr>
        <w:numId w:val="2"/>
      </w:numPr>
      <w:spacing w:before="40" w:line="288" w:lineRule="auto"/>
      <w:contextualSpacing/>
    </w:pPr>
    <w:rPr>
      <w:rFonts w:eastAsia="MS PGothic"/>
      <w:color w:val="595959"/>
      <w:kern w:val="20"/>
      <w:sz w:val="20"/>
      <w:szCs w:val="20"/>
      <w:lang w:eastAsia="ja-JP"/>
    </w:rPr>
  </w:style>
  <w:style w:type="paragraph" w:customStyle="1" w:styleId="ListNumber21">
    <w:name w:val="List Number 21"/>
    <w:basedOn w:val="Normal"/>
    <w:next w:val="ListNumber2"/>
    <w:uiPriority w:val="1"/>
    <w:unhideWhenUsed/>
    <w:rsid w:val="00797049"/>
    <w:pPr>
      <w:numPr>
        <w:ilvl w:val="1"/>
        <w:numId w:val="2"/>
      </w:numPr>
      <w:spacing w:before="40" w:line="288" w:lineRule="auto"/>
      <w:contextualSpacing/>
    </w:pPr>
    <w:rPr>
      <w:rFonts w:eastAsia="MS PGothic"/>
      <w:color w:val="595959"/>
      <w:kern w:val="20"/>
      <w:sz w:val="20"/>
      <w:szCs w:val="20"/>
      <w:lang w:eastAsia="ja-JP"/>
    </w:rPr>
  </w:style>
  <w:style w:type="paragraph" w:customStyle="1" w:styleId="ListNumber31">
    <w:name w:val="List Number 31"/>
    <w:basedOn w:val="Normal"/>
    <w:next w:val="ListNumber3"/>
    <w:uiPriority w:val="18"/>
    <w:unhideWhenUsed/>
    <w:rsid w:val="00797049"/>
    <w:pPr>
      <w:numPr>
        <w:ilvl w:val="2"/>
        <w:numId w:val="2"/>
      </w:numPr>
      <w:spacing w:before="40" w:line="288" w:lineRule="auto"/>
      <w:contextualSpacing/>
    </w:pPr>
    <w:rPr>
      <w:rFonts w:eastAsia="MS PGothic"/>
      <w:color w:val="595959"/>
      <w:kern w:val="20"/>
      <w:sz w:val="20"/>
      <w:szCs w:val="20"/>
      <w:lang w:eastAsia="ja-JP"/>
    </w:rPr>
  </w:style>
  <w:style w:type="paragraph" w:customStyle="1" w:styleId="ListNumber41">
    <w:name w:val="List Number 41"/>
    <w:basedOn w:val="Normal"/>
    <w:next w:val="ListNumber4"/>
    <w:uiPriority w:val="18"/>
    <w:unhideWhenUsed/>
    <w:rsid w:val="00797049"/>
    <w:pPr>
      <w:numPr>
        <w:ilvl w:val="3"/>
        <w:numId w:val="2"/>
      </w:numPr>
      <w:spacing w:before="40" w:line="288" w:lineRule="auto"/>
      <w:contextualSpacing/>
    </w:pPr>
    <w:rPr>
      <w:rFonts w:eastAsia="MS PGothic"/>
      <w:color w:val="595959"/>
      <w:kern w:val="20"/>
      <w:sz w:val="20"/>
      <w:szCs w:val="20"/>
      <w:lang w:eastAsia="ja-JP"/>
    </w:rPr>
  </w:style>
  <w:style w:type="paragraph" w:customStyle="1" w:styleId="ListNumber51">
    <w:name w:val="List Number 51"/>
    <w:basedOn w:val="Normal"/>
    <w:next w:val="ListNumber5"/>
    <w:uiPriority w:val="18"/>
    <w:unhideWhenUsed/>
    <w:rsid w:val="00797049"/>
    <w:pPr>
      <w:numPr>
        <w:ilvl w:val="4"/>
        <w:numId w:val="2"/>
      </w:numPr>
      <w:spacing w:before="40" w:line="288" w:lineRule="auto"/>
      <w:contextualSpacing/>
    </w:pPr>
    <w:rPr>
      <w:rFonts w:eastAsia="MS PGothic"/>
      <w:color w:val="595959"/>
      <w:kern w:val="20"/>
      <w:sz w:val="20"/>
      <w:szCs w:val="20"/>
      <w:lang w:eastAsia="ja-JP"/>
    </w:rPr>
  </w:style>
  <w:style w:type="table" w:customStyle="1" w:styleId="FinancialTable">
    <w:name w:val="Financial Table"/>
    <w:basedOn w:val="TableNormal"/>
    <w:uiPriority w:val="99"/>
    <w:rsid w:val="00797049"/>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character" w:styleId="CommentReference">
    <w:name w:val="annotation reference"/>
    <w:basedOn w:val="DefaultParagraphFont"/>
    <w:uiPriority w:val="99"/>
    <w:semiHidden/>
    <w:unhideWhenUsed/>
    <w:rsid w:val="00797049"/>
    <w:rPr>
      <w:sz w:val="16"/>
    </w:rPr>
  </w:style>
  <w:style w:type="paragraph" w:styleId="CommentText">
    <w:name w:val="annotation text"/>
    <w:basedOn w:val="Normal"/>
    <w:link w:val="CommentTextChar"/>
    <w:uiPriority w:val="99"/>
    <w:unhideWhenUsed/>
    <w:rsid w:val="00797049"/>
    <w:pPr>
      <w:spacing w:line="264" w:lineRule="auto"/>
    </w:pPr>
    <w:rPr>
      <w:rFonts w:eastAsia="MS PGothic"/>
      <w:sz w:val="20"/>
      <w:szCs w:val="20"/>
      <w:lang w:eastAsia="ja-JP"/>
    </w:rPr>
  </w:style>
  <w:style w:type="character" w:customStyle="1" w:styleId="CommentTextChar">
    <w:name w:val="Comment Text Char"/>
    <w:basedOn w:val="DefaultParagraphFont"/>
    <w:link w:val="CommentText"/>
    <w:uiPriority w:val="99"/>
    <w:rsid w:val="00797049"/>
    <w:rPr>
      <w:rFonts w:eastAsia="MS PGothic"/>
      <w:sz w:val="20"/>
      <w:szCs w:val="20"/>
      <w:lang w:eastAsia="ja-JP"/>
    </w:rPr>
  </w:style>
  <w:style w:type="paragraph" w:styleId="CommentSubject">
    <w:name w:val="annotation subject"/>
    <w:basedOn w:val="CommentText"/>
    <w:next w:val="CommentText"/>
    <w:link w:val="CommentSubjectChar"/>
    <w:uiPriority w:val="99"/>
    <w:semiHidden/>
    <w:unhideWhenUsed/>
    <w:rsid w:val="00797049"/>
    <w:rPr>
      <w:b/>
      <w:bCs/>
    </w:rPr>
  </w:style>
  <w:style w:type="character" w:customStyle="1" w:styleId="CommentSubjectChar">
    <w:name w:val="Comment Subject Char"/>
    <w:basedOn w:val="CommentTextChar"/>
    <w:link w:val="CommentSubject"/>
    <w:uiPriority w:val="99"/>
    <w:semiHidden/>
    <w:rsid w:val="00797049"/>
    <w:rPr>
      <w:rFonts w:eastAsia="MS PGothic"/>
      <w:b/>
      <w:bCs/>
      <w:sz w:val="20"/>
      <w:szCs w:val="20"/>
      <w:lang w:eastAsia="ja-JP"/>
    </w:rPr>
  </w:style>
  <w:style w:type="table" w:customStyle="1" w:styleId="LightShading1">
    <w:name w:val="Light Shading1"/>
    <w:basedOn w:val="TableNormal"/>
    <w:next w:val="LightShading"/>
    <w:uiPriority w:val="60"/>
    <w:rsid w:val="00797049"/>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TextDecimal">
    <w:name w:val="Table Text Decimal"/>
    <w:basedOn w:val="Normal"/>
    <w:uiPriority w:val="1"/>
    <w:rsid w:val="00797049"/>
    <w:pPr>
      <w:tabs>
        <w:tab w:val="decimal" w:pos="869"/>
      </w:tabs>
      <w:spacing w:before="60" w:after="60" w:line="264" w:lineRule="auto"/>
    </w:pPr>
    <w:rPr>
      <w:rFonts w:eastAsia="MS PGothic"/>
      <w:sz w:val="20"/>
      <w:szCs w:val="20"/>
      <w:lang w:eastAsia="ja-JP"/>
    </w:rPr>
  </w:style>
  <w:style w:type="paragraph" w:customStyle="1" w:styleId="TableText">
    <w:name w:val="Table Text"/>
    <w:basedOn w:val="Normal"/>
    <w:uiPriority w:val="1"/>
    <w:rsid w:val="00797049"/>
    <w:pPr>
      <w:spacing w:before="60" w:after="60" w:line="264" w:lineRule="auto"/>
    </w:pPr>
    <w:rPr>
      <w:rFonts w:eastAsia="MS PGothic"/>
      <w:sz w:val="20"/>
      <w:szCs w:val="20"/>
      <w:lang w:eastAsia="ja-JP"/>
    </w:rPr>
  </w:style>
  <w:style w:type="paragraph" w:customStyle="1" w:styleId="Organization">
    <w:name w:val="Organization"/>
    <w:basedOn w:val="Normal"/>
    <w:uiPriority w:val="2"/>
    <w:rsid w:val="00797049"/>
    <w:pPr>
      <w:spacing w:after="60" w:line="264" w:lineRule="auto"/>
      <w:ind w:left="29" w:right="29"/>
    </w:pPr>
    <w:rPr>
      <w:rFonts w:eastAsia="MS PGothic"/>
      <w:b/>
      <w:bCs/>
      <w:color w:val="EF4623"/>
      <w:sz w:val="36"/>
      <w:szCs w:val="20"/>
      <w:lang w:eastAsia="ja-JP"/>
    </w:rPr>
  </w:style>
  <w:style w:type="paragraph" w:styleId="TOC2">
    <w:name w:val="toc 2"/>
    <w:basedOn w:val="Normal"/>
    <w:next w:val="Normal"/>
    <w:autoRedefine/>
    <w:uiPriority w:val="39"/>
    <w:unhideWhenUsed/>
    <w:qFormat/>
    <w:rsid w:val="00DE298C"/>
    <w:pPr>
      <w:tabs>
        <w:tab w:val="left" w:pos="660"/>
        <w:tab w:val="right" w:leader="underscore" w:pos="8657"/>
      </w:tabs>
      <w:spacing w:after="100" w:line="264" w:lineRule="auto"/>
      <w:ind w:left="200"/>
    </w:pPr>
    <w:rPr>
      <w:rFonts w:ascii="Cambria" w:eastAsia="MS PGothic" w:hAnsi="Cambria"/>
      <w:noProof/>
      <w:sz w:val="20"/>
      <w:szCs w:val="20"/>
      <w:lang w:val="sr-Cyrl-RS" w:eastAsia="ja-JP"/>
    </w:rPr>
  </w:style>
  <w:style w:type="table" w:customStyle="1" w:styleId="GridTable6Colorful-Accent51">
    <w:name w:val="Grid Table 6 Colorful - Accent 51"/>
    <w:basedOn w:val="TableNormal"/>
    <w:next w:val="GridTable6Colorful-Accent54"/>
    <w:uiPriority w:val="51"/>
    <w:rsid w:val="00797049"/>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character" w:customStyle="1" w:styleId="Heading3Char">
    <w:name w:val="Heading 3 Char"/>
    <w:basedOn w:val="DefaultParagraphFont"/>
    <w:link w:val="Heading3"/>
    <w:rsid w:val="00797049"/>
    <w:rPr>
      <w:rFonts w:ascii="Arial" w:eastAsia="MS PGothic" w:hAnsi="Arial" w:cs="Arial"/>
      <w:color w:val="000000"/>
      <w:sz w:val="24"/>
      <w:szCs w:val="24"/>
    </w:rPr>
  </w:style>
  <w:style w:type="table" w:customStyle="1" w:styleId="LightShading-Accent12">
    <w:name w:val="Light Shading - Accent 12"/>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
    <w:name w:val="Grid Table 6 Colorful - Accent 511"/>
    <w:basedOn w:val="TableNormal"/>
    <w:uiPriority w:val="51"/>
    <w:rsid w:val="00797049"/>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
    <w:name w:val="Light Shading - Accent 121"/>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
    <w:name w:val="Grid Table 6 Colorful - Accent 11"/>
    <w:basedOn w:val="TableNormal"/>
    <w:next w:val="GridTable6Colorful-Accent13"/>
    <w:uiPriority w:val="51"/>
    <w:rsid w:val="00797049"/>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paragraph" w:styleId="TOC3">
    <w:name w:val="toc 3"/>
    <w:basedOn w:val="Normal"/>
    <w:next w:val="Normal"/>
    <w:autoRedefine/>
    <w:uiPriority w:val="39"/>
    <w:unhideWhenUsed/>
    <w:qFormat/>
    <w:rsid w:val="00797049"/>
    <w:pPr>
      <w:spacing w:after="100" w:line="264" w:lineRule="auto"/>
      <w:ind w:left="400"/>
    </w:pPr>
    <w:rPr>
      <w:rFonts w:eastAsia="MS PGothic"/>
      <w:sz w:val="20"/>
      <w:szCs w:val="20"/>
      <w:lang w:eastAsia="ja-JP"/>
    </w:rPr>
  </w:style>
  <w:style w:type="character" w:customStyle="1" w:styleId="Heading4Char">
    <w:name w:val="Heading 4 Char"/>
    <w:basedOn w:val="DefaultParagraphFont"/>
    <w:link w:val="Heading4"/>
    <w:rsid w:val="00797049"/>
    <w:rPr>
      <w:rFonts w:ascii="Arial" w:eastAsia="MS PGothic" w:hAnsi="Arial" w:cs="Arial"/>
      <w:sz w:val="22"/>
      <w:szCs w:val="22"/>
    </w:rPr>
  </w:style>
  <w:style w:type="character" w:customStyle="1" w:styleId="Heading5Char">
    <w:name w:val="Heading 5 Char"/>
    <w:basedOn w:val="DefaultParagraphFont"/>
    <w:link w:val="Heading5"/>
    <w:rsid w:val="00797049"/>
    <w:rPr>
      <w:rFonts w:ascii="Arial" w:eastAsia="MS PGothic" w:hAnsi="Arial" w:cs="Arial"/>
      <w:color w:val="000000"/>
      <w:sz w:val="22"/>
      <w:szCs w:val="22"/>
    </w:rPr>
  </w:style>
  <w:style w:type="character" w:customStyle="1" w:styleId="Heading6Char">
    <w:name w:val="Heading 6 Char"/>
    <w:basedOn w:val="DefaultParagraphFont"/>
    <w:link w:val="Heading6"/>
    <w:rsid w:val="00797049"/>
    <w:rPr>
      <w:rFonts w:ascii="Arial" w:eastAsia="MS PGothic" w:hAnsi="Arial" w:cs="Arial"/>
      <w:i/>
      <w:iCs/>
      <w:color w:val="000000"/>
      <w:sz w:val="21"/>
      <w:szCs w:val="21"/>
    </w:rPr>
  </w:style>
  <w:style w:type="character" w:customStyle="1" w:styleId="Heading7Char">
    <w:name w:val="Heading 7 Char"/>
    <w:basedOn w:val="DefaultParagraphFont"/>
    <w:link w:val="Heading7"/>
    <w:uiPriority w:val="9"/>
    <w:semiHidden/>
    <w:rsid w:val="00797049"/>
    <w:rPr>
      <w:rFonts w:ascii="Arial" w:eastAsia="MS PGothic" w:hAnsi="Arial" w:cs="Arial"/>
      <w:i/>
      <w:iCs/>
      <w:color w:val="7F1D09"/>
      <w:sz w:val="21"/>
      <w:szCs w:val="21"/>
    </w:rPr>
  </w:style>
  <w:style w:type="character" w:customStyle="1" w:styleId="Heading8Char">
    <w:name w:val="Heading 8 Char"/>
    <w:basedOn w:val="DefaultParagraphFont"/>
    <w:link w:val="Heading8"/>
    <w:uiPriority w:val="9"/>
    <w:semiHidden/>
    <w:rsid w:val="00797049"/>
    <w:rPr>
      <w:rFonts w:ascii="Arial" w:eastAsia="MS PGothic" w:hAnsi="Arial" w:cs="Arial"/>
      <w:b/>
      <w:bCs/>
      <w:color w:val="000000"/>
    </w:rPr>
  </w:style>
  <w:style w:type="character" w:customStyle="1" w:styleId="Heading9Char">
    <w:name w:val="Heading 9 Char"/>
    <w:basedOn w:val="DefaultParagraphFont"/>
    <w:link w:val="Heading9"/>
    <w:uiPriority w:val="9"/>
    <w:semiHidden/>
    <w:rsid w:val="00797049"/>
    <w:rPr>
      <w:rFonts w:ascii="Arial" w:eastAsia="MS PGothic" w:hAnsi="Arial" w:cs="Arial"/>
      <w:b/>
      <w:bCs/>
      <w:i/>
      <w:iCs/>
      <w:color w:val="000000"/>
    </w:rPr>
  </w:style>
  <w:style w:type="paragraph" w:customStyle="1" w:styleId="Caption1">
    <w:name w:val="Caption1"/>
    <w:basedOn w:val="Normal"/>
    <w:next w:val="Normal"/>
    <w:unhideWhenUsed/>
    <w:qFormat/>
    <w:rsid w:val="00797049"/>
    <w:rPr>
      <w:rFonts w:eastAsia="MS PGothic"/>
      <w:b/>
      <w:bCs/>
      <w:smallCaps/>
      <w:color w:val="595959"/>
      <w:spacing w:val="6"/>
      <w:sz w:val="20"/>
      <w:szCs w:val="20"/>
      <w:lang w:eastAsia="ja-JP"/>
    </w:rPr>
  </w:style>
  <w:style w:type="character" w:styleId="Emphasis">
    <w:name w:val="Emphasis"/>
    <w:basedOn w:val="DefaultParagraphFont"/>
    <w:uiPriority w:val="20"/>
    <w:qFormat/>
    <w:rsid w:val="00797049"/>
    <w:rPr>
      <w:i/>
      <w:iCs/>
    </w:rPr>
  </w:style>
  <w:style w:type="paragraph" w:customStyle="1" w:styleId="IntenseQuote1">
    <w:name w:val="Intense Quote1"/>
    <w:basedOn w:val="Normal"/>
    <w:next w:val="Normal"/>
    <w:uiPriority w:val="30"/>
    <w:qFormat/>
    <w:rsid w:val="00797049"/>
    <w:pPr>
      <w:pBdr>
        <w:left w:val="single" w:sz="18" w:space="12" w:color="EF4623"/>
      </w:pBdr>
      <w:spacing w:before="100" w:beforeAutospacing="1" w:line="300" w:lineRule="auto"/>
      <w:ind w:left="1224" w:right="1224"/>
    </w:pPr>
    <w:rPr>
      <w:rFonts w:ascii="Arial" w:eastAsia="MS PGothic" w:hAnsi="Arial" w:cs="Arial"/>
      <w:color w:val="EF4623"/>
      <w:sz w:val="28"/>
      <w:szCs w:val="28"/>
      <w:lang w:eastAsia="ja-JP"/>
    </w:rPr>
  </w:style>
  <w:style w:type="character" w:customStyle="1" w:styleId="IntenseQuoteChar">
    <w:name w:val="Intense Quote Char"/>
    <w:basedOn w:val="DefaultParagraphFont"/>
    <w:link w:val="IntenseQuote"/>
    <w:uiPriority w:val="30"/>
    <w:rsid w:val="00797049"/>
    <w:rPr>
      <w:rFonts w:ascii="Arial" w:eastAsia="MS PGothic" w:hAnsi="Arial" w:cs="Arial"/>
      <w:color w:val="EF4623"/>
      <w:sz w:val="28"/>
      <w:szCs w:val="28"/>
    </w:rPr>
  </w:style>
  <w:style w:type="character" w:customStyle="1" w:styleId="SubtleEmphasis1">
    <w:name w:val="Subtle Emphasis1"/>
    <w:basedOn w:val="DefaultParagraphFont"/>
    <w:uiPriority w:val="19"/>
    <w:qFormat/>
    <w:rsid w:val="00797049"/>
    <w:rPr>
      <w:i/>
      <w:iCs/>
      <w:color w:val="404040"/>
    </w:rPr>
  </w:style>
  <w:style w:type="character" w:styleId="IntenseEmphasis">
    <w:name w:val="Intense Emphasis"/>
    <w:basedOn w:val="DefaultParagraphFont"/>
    <w:uiPriority w:val="21"/>
    <w:qFormat/>
    <w:rsid w:val="00797049"/>
    <w:rPr>
      <w:b/>
      <w:bCs/>
      <w:i/>
      <w:iCs/>
    </w:rPr>
  </w:style>
  <w:style w:type="character" w:customStyle="1" w:styleId="SubtleReference1">
    <w:name w:val="Subtle Reference1"/>
    <w:basedOn w:val="DefaultParagraphFont"/>
    <w:uiPriority w:val="31"/>
    <w:qFormat/>
    <w:rsid w:val="00797049"/>
    <w:rPr>
      <w:smallCaps/>
      <w:color w:val="404040"/>
      <w:u w:val="single" w:color="7F7F7F"/>
    </w:rPr>
  </w:style>
  <w:style w:type="character" w:styleId="IntenseReference">
    <w:name w:val="Intense Reference"/>
    <w:basedOn w:val="DefaultParagraphFont"/>
    <w:uiPriority w:val="32"/>
    <w:qFormat/>
    <w:rsid w:val="00797049"/>
    <w:rPr>
      <w:b/>
      <w:bCs/>
      <w:smallCaps/>
      <w:spacing w:val="5"/>
      <w:u w:val="single"/>
    </w:rPr>
  </w:style>
  <w:style w:type="character" w:styleId="BookTitle">
    <w:name w:val="Book Title"/>
    <w:basedOn w:val="DefaultParagraphFont"/>
    <w:uiPriority w:val="33"/>
    <w:qFormat/>
    <w:rsid w:val="00797049"/>
    <w:rPr>
      <w:b/>
      <w:bCs/>
      <w:smallCaps/>
    </w:rPr>
  </w:style>
  <w:style w:type="paragraph" w:styleId="ListParagraph">
    <w:name w:val="List Paragraph"/>
    <w:aliases w:val="Liste 1,Liste Paragraf,Figure_name,numbered,Bullet List,FooterText,Paragraphe de liste1,Bulletr List Paragraph,列出段落,列出段落1,List Paragraph2,List Paragraph21,Párrafo de lista1,Parágrafo da Lista1,リスト段落1,Listeafsnit1,b1,lp1,cS List Paragraph"/>
    <w:basedOn w:val="Normal"/>
    <w:link w:val="ListParagraphChar"/>
    <w:uiPriority w:val="34"/>
    <w:qFormat/>
    <w:rsid w:val="00797049"/>
    <w:pPr>
      <w:spacing w:line="264" w:lineRule="auto"/>
      <w:ind w:left="720"/>
      <w:contextualSpacing/>
    </w:pPr>
    <w:rPr>
      <w:rFonts w:eastAsia="MS PGothic"/>
      <w:sz w:val="20"/>
      <w:szCs w:val="20"/>
      <w:lang w:eastAsia="ja-JP"/>
    </w:rPr>
  </w:style>
  <w:style w:type="paragraph" w:styleId="NormalWeb">
    <w:name w:val="Normal (Web)"/>
    <w:basedOn w:val="Normal"/>
    <w:uiPriority w:val="99"/>
    <w:unhideWhenUsed/>
    <w:rsid w:val="00797049"/>
    <w:pPr>
      <w:spacing w:before="100" w:beforeAutospacing="1" w:after="100" w:afterAutospacing="1"/>
    </w:pPr>
    <w:rPr>
      <w:rFonts w:eastAsia="MS PGothic" w:cs="Times New Roman"/>
      <w:szCs w:val="24"/>
    </w:rPr>
  </w:style>
  <w:style w:type="table" w:customStyle="1" w:styleId="LightShading-Accent122">
    <w:name w:val="Light Shading - Accent 122"/>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
    <w:name w:val="Grid Table 6 Colorful - Accent 52"/>
    <w:basedOn w:val="TableNormal"/>
    <w:next w:val="GridTable6Colorful-Accent54"/>
    <w:uiPriority w:val="51"/>
    <w:rsid w:val="00797049"/>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paragraph" w:customStyle="1" w:styleId="ParagraphNumbering">
    <w:name w:val="Paragraph Numbering"/>
    <w:basedOn w:val="Normal"/>
    <w:link w:val="ParagraphNumberingChar"/>
    <w:uiPriority w:val="99"/>
    <w:qFormat/>
    <w:rsid w:val="00797049"/>
    <w:pPr>
      <w:numPr>
        <w:numId w:val="4"/>
      </w:numPr>
      <w:spacing w:after="240" w:line="300" w:lineRule="exact"/>
    </w:pPr>
    <w:rPr>
      <w:rFonts w:ascii="Segoe UI" w:eastAsia="MS Mincho" w:hAnsi="Segoe UI" w:cs="Times New Roman"/>
      <w:sz w:val="21"/>
      <w:szCs w:val="24"/>
    </w:rPr>
  </w:style>
  <w:style w:type="character" w:customStyle="1" w:styleId="ParagraphNumberingChar">
    <w:name w:val="Paragraph Numbering Char"/>
    <w:basedOn w:val="DefaultParagraphFont"/>
    <w:link w:val="ParagraphNumbering"/>
    <w:uiPriority w:val="99"/>
    <w:rsid w:val="00797049"/>
    <w:rPr>
      <w:rFonts w:ascii="Segoe UI" w:eastAsia="MS Mincho" w:hAnsi="Segoe UI" w:cs="Times New Roman"/>
      <w:sz w:val="21"/>
      <w:szCs w:val="24"/>
    </w:rPr>
  </w:style>
  <w:style w:type="character" w:customStyle="1" w:styleId="ListParagraphChar">
    <w:name w:val="List Paragraph Char"/>
    <w:aliases w:val="Liste 1 Char,Liste Paragraf Char,Figure_name Char,numbered Char,Bullet List Char,FooterText Char,Paragraphe de liste1 Char,Bulletr List Paragraph Char,列出段落 Char,列出段落1 Char,List Paragraph2 Char,List Paragraph21 Char,リスト段落1 Char"/>
    <w:link w:val="ListParagraph"/>
    <w:uiPriority w:val="34"/>
    <w:qFormat/>
    <w:locked/>
    <w:rsid w:val="00797049"/>
    <w:rPr>
      <w:rFonts w:eastAsia="MS PGothic"/>
      <w:sz w:val="20"/>
      <w:szCs w:val="20"/>
      <w:lang w:eastAsia="ja-JP"/>
    </w:rPr>
  </w:style>
  <w:style w:type="paragraph" w:customStyle="1" w:styleId="IFS2012tekst">
    <w:name w:val="IFS 2012 tekst"/>
    <w:basedOn w:val="Normal"/>
    <w:uiPriority w:val="99"/>
    <w:qFormat/>
    <w:rsid w:val="00797049"/>
    <w:pPr>
      <w:ind w:firstLine="709"/>
    </w:pPr>
    <w:rPr>
      <w:rFonts w:ascii="Cambria" w:eastAsia="Calibri" w:hAnsi="Cambria" w:cs="Times New Roman"/>
      <w:color w:val="404040"/>
      <w:sz w:val="21"/>
      <w:lang w:val="sr-Cyrl-CS"/>
    </w:rPr>
  </w:style>
  <w:style w:type="paragraph" w:customStyle="1" w:styleId="IFS2012naslov1">
    <w:name w:val="IFS 2012 naslov 1"/>
    <w:basedOn w:val="Heading1"/>
    <w:uiPriority w:val="99"/>
    <w:qFormat/>
    <w:rsid w:val="00797049"/>
    <w:pPr>
      <w:numPr>
        <w:numId w:val="7"/>
      </w:numPr>
      <w:spacing w:before="0"/>
    </w:pPr>
    <w:rPr>
      <w:rFonts w:eastAsia="Times New Roman" w:cs="Calibri"/>
      <w:b/>
      <w:bCs/>
      <w:color w:val="4B4B4B"/>
      <w:szCs w:val="24"/>
      <w:lang w:val="sr-Cyrl-CS"/>
    </w:rPr>
  </w:style>
  <w:style w:type="paragraph" w:customStyle="1" w:styleId="IFS2012Naslov2">
    <w:name w:val="IFS 2012 Naslov 2"/>
    <w:basedOn w:val="Heading2"/>
    <w:autoRedefine/>
    <w:uiPriority w:val="99"/>
    <w:qFormat/>
    <w:rsid w:val="00797049"/>
  </w:style>
  <w:style w:type="paragraph" w:customStyle="1" w:styleId="IFS2012naslov3">
    <w:name w:val="IFS 2012 naslov 3"/>
    <w:basedOn w:val="Heading3"/>
    <w:autoRedefine/>
    <w:uiPriority w:val="99"/>
    <w:qFormat/>
    <w:rsid w:val="00797049"/>
  </w:style>
  <w:style w:type="paragraph" w:customStyle="1" w:styleId="Analizatekst">
    <w:name w:val="Analiza tekst"/>
    <w:basedOn w:val="Normal"/>
    <w:link w:val="AnalizatekstChar"/>
    <w:qFormat/>
    <w:rsid w:val="00797049"/>
    <w:pPr>
      <w:ind w:firstLine="709"/>
    </w:pPr>
    <w:rPr>
      <w:rFonts w:ascii="Calibri" w:eastAsia="Times New Roman" w:hAnsi="Calibri" w:cs="Times New Roman"/>
      <w:color w:val="404040"/>
      <w:lang w:val="sr-Cyrl-CS"/>
    </w:rPr>
  </w:style>
  <w:style w:type="character" w:customStyle="1" w:styleId="AnalizatekstChar">
    <w:name w:val="Analiza tekst Char"/>
    <w:link w:val="Analizatekst"/>
    <w:rsid w:val="00797049"/>
    <w:rPr>
      <w:rFonts w:ascii="Calibri" w:eastAsia="Times New Roman" w:hAnsi="Calibri" w:cs="Times New Roman"/>
      <w:color w:val="404040"/>
      <w:lang w:val="sr-Cyrl-CS"/>
    </w:rPr>
  </w:style>
  <w:style w:type="table" w:styleId="LightList-Accent3">
    <w:name w:val="Light List Accent 3"/>
    <w:aliases w:val="tabele 3"/>
    <w:basedOn w:val="TableNormal"/>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BodyText">
    <w:name w:val="Body Text"/>
    <w:basedOn w:val="Normal"/>
    <w:link w:val="BodyTextChar"/>
    <w:uiPriority w:val="99"/>
    <w:unhideWhenUsed/>
    <w:rsid w:val="00797049"/>
    <w:pPr>
      <w:spacing w:line="276" w:lineRule="auto"/>
      <w:ind w:firstLine="709"/>
    </w:pPr>
    <w:rPr>
      <w:rFonts w:ascii="Calibri" w:eastAsia="Calibri" w:hAnsi="Calibri" w:cs="Times New Roman"/>
      <w:color w:val="404040"/>
    </w:rPr>
  </w:style>
  <w:style w:type="character" w:customStyle="1" w:styleId="BodyTextChar">
    <w:name w:val="Body Text Char"/>
    <w:basedOn w:val="DefaultParagraphFont"/>
    <w:link w:val="BodyText"/>
    <w:uiPriority w:val="99"/>
    <w:rsid w:val="00797049"/>
    <w:rPr>
      <w:rFonts w:ascii="Calibri" w:eastAsia="Calibri" w:hAnsi="Calibri" w:cs="Times New Roman"/>
      <w:color w:val="404040"/>
    </w:rPr>
  </w:style>
  <w:style w:type="table" w:customStyle="1" w:styleId="LightShading-Accent11">
    <w:name w:val="Light Shading - Accent 1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5">
    <w:name w:val="Light List Accent 5"/>
    <w:basedOn w:val="TableNormal"/>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
    <w:name w:val="Light Shading - Accent 3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
    <w:name w:val="Light List - Accent 3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
    <w:name w:val="Table Grid1"/>
    <w:basedOn w:val="TableNormal"/>
    <w:next w:val="TableGrid"/>
    <w:uiPriority w:val="59"/>
    <w:rsid w:val="00797049"/>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
    <w:name w:val="Light List - Accent 5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
    <w:name w:val="Medium List 1 - Accent 51"/>
    <w:basedOn w:val="TableNormal"/>
    <w:next w:val="MediumList1-Accent5"/>
    <w:uiPriority w:val="65"/>
    <w:rsid w:val="00797049"/>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paragraph" w:styleId="FootnoteText">
    <w:name w:val="footnote text"/>
    <w:aliases w:val="Footnote Text Char Char Char,Footnote Text Char Char,Char Char Char,single space,ft,ft Char Char Char,ft Char Char,Fußnote, Char Char Char,footnote text,fn,FOOTNOTES,ADB,Footnote Text Char Char Char Char Char,Footnote Text Char Char1"/>
    <w:basedOn w:val="Normal"/>
    <w:link w:val="FootnoteTextChar"/>
    <w:uiPriority w:val="99"/>
    <w:unhideWhenUsed/>
    <w:qFormat/>
    <w:rsid w:val="00797049"/>
    <w:pPr>
      <w:ind w:firstLine="709"/>
    </w:pPr>
    <w:rPr>
      <w:rFonts w:ascii="Cambria" w:eastAsia="Times New Roman" w:hAnsi="Cambria" w:cs="Tahoma"/>
      <w:bCs/>
      <w:color w:val="404040"/>
      <w:sz w:val="20"/>
      <w:szCs w:val="20"/>
      <w:lang w:val="sr-Cyrl-CS"/>
    </w:rPr>
  </w:style>
  <w:style w:type="character" w:customStyle="1" w:styleId="FootnoteTextChar">
    <w:name w:val="Footnote Text Char"/>
    <w:aliases w:val="Footnote Text Char Char Char Char,Footnote Text Char Char Char1,Char Char Char Char,single space Char,ft Char,ft Char Char Char Char,ft Char Char Char1,Fußnote Char, Char Char Char Char,footnote text Char,fn Char,FOOTNOTES Char"/>
    <w:basedOn w:val="DefaultParagraphFont"/>
    <w:link w:val="FootnoteText"/>
    <w:uiPriority w:val="99"/>
    <w:qFormat/>
    <w:rsid w:val="00797049"/>
    <w:rPr>
      <w:rFonts w:ascii="Cambria" w:eastAsia="Times New Roman" w:hAnsi="Cambria" w:cs="Tahoma"/>
      <w:bCs/>
      <w:color w:val="404040"/>
      <w:sz w:val="20"/>
      <w:szCs w:val="20"/>
      <w:lang w:val="sr-Cyrl-CS"/>
    </w:rPr>
  </w:style>
  <w:style w:type="character" w:styleId="FootnoteReference">
    <w:name w:val="footnote reference"/>
    <w:aliases w:val="ftref,BVI fnr,Footnote za GI,Normal + Font:9 Point,Superscript 3 Point Times,SUPERS,EN Footnote Reference,number,Char Char,Footnote symbol,Footnote reference number,note TESI,ftref Char,BVI fnr Char,BVI fnr Car Char,Char Char Car Char"/>
    <w:link w:val="NumPar1"/>
    <w:uiPriority w:val="99"/>
    <w:unhideWhenUsed/>
    <w:qFormat/>
    <w:rsid w:val="00797049"/>
    <w:rPr>
      <w:vertAlign w:val="superscript"/>
    </w:rPr>
  </w:style>
  <w:style w:type="table" w:styleId="MediumList1-Accent5">
    <w:name w:val="Medium List 1 Accent 5"/>
    <w:basedOn w:val="TableNormal"/>
    <w:uiPriority w:val="65"/>
    <w:rsid w:val="00797049"/>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
    <w:name w:val="No List11"/>
    <w:next w:val="NoList"/>
    <w:uiPriority w:val="99"/>
    <w:semiHidden/>
    <w:unhideWhenUsed/>
    <w:rsid w:val="00797049"/>
  </w:style>
  <w:style w:type="character" w:customStyle="1" w:styleId="BookTitle1">
    <w:name w:val="Book Title1"/>
    <w:uiPriority w:val="33"/>
    <w:qFormat/>
    <w:rsid w:val="00797049"/>
    <w:rPr>
      <w:rFonts w:ascii="Calibri" w:hAnsi="Calibri"/>
      <w:b/>
      <w:bCs/>
      <w:smallCaps/>
      <w:color w:val="17365D"/>
      <w:spacing w:val="5"/>
      <w:sz w:val="36"/>
    </w:rPr>
  </w:style>
  <w:style w:type="paragraph" w:customStyle="1" w:styleId="TOC21">
    <w:name w:val="TOC 21"/>
    <w:basedOn w:val="Normal"/>
    <w:next w:val="Normal"/>
    <w:autoRedefine/>
    <w:uiPriority w:val="39"/>
    <w:unhideWhenUsed/>
    <w:qFormat/>
    <w:rsid w:val="00797049"/>
    <w:pPr>
      <w:tabs>
        <w:tab w:val="left" w:pos="660"/>
        <w:tab w:val="right" w:leader="dot" w:pos="8755"/>
      </w:tabs>
      <w:ind w:left="440" w:firstLine="709"/>
    </w:pPr>
    <w:rPr>
      <w:rFonts w:ascii="Calibri" w:eastAsia="Times New Roman" w:hAnsi="Calibri" w:cs="Times New Roman"/>
      <w:b/>
      <w:i/>
      <w:noProof/>
      <w:color w:val="404040"/>
      <w:szCs w:val="24"/>
      <w:lang w:val="sr-Cyrl-CS"/>
    </w:rPr>
  </w:style>
  <w:style w:type="paragraph" w:customStyle="1" w:styleId="TOC31">
    <w:name w:val="TOC 31"/>
    <w:basedOn w:val="Normal"/>
    <w:next w:val="Normal"/>
    <w:autoRedefine/>
    <w:uiPriority w:val="39"/>
    <w:unhideWhenUsed/>
    <w:qFormat/>
    <w:rsid w:val="00797049"/>
    <w:pPr>
      <w:tabs>
        <w:tab w:val="right" w:leader="dot" w:pos="8755"/>
      </w:tabs>
      <w:spacing w:after="240" w:line="276" w:lineRule="auto"/>
      <w:ind w:left="708" w:firstLine="709"/>
      <w:jc w:val="center"/>
    </w:pPr>
    <w:rPr>
      <w:rFonts w:ascii="Calibri" w:eastAsia="Times New Roman" w:hAnsi="Calibri" w:cs="Times New Roman"/>
      <w:smallCaps/>
      <w:noProof/>
      <w:color w:val="404040"/>
      <w:spacing w:val="5"/>
      <w:szCs w:val="24"/>
      <w:lang w:val="sr-Cyrl-CS" w:bidi="en-US"/>
    </w:rPr>
  </w:style>
  <w:style w:type="table" w:customStyle="1" w:styleId="LightGrid-Accent51">
    <w:name w:val="Light Grid - Accent 5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
    <w:name w:val="Светло сенчење – наглашавање 1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itleChar1">
    <w:name w:val="Title Char1"/>
    <w:uiPriority w:val="10"/>
    <w:rsid w:val="00797049"/>
    <w:rPr>
      <w:rFonts w:ascii="Cambria" w:eastAsia="Times New Roman" w:hAnsi="Cambria" w:cs="Times New Roman"/>
      <w:color w:val="4A4F64"/>
      <w:spacing w:val="5"/>
      <w:kern w:val="28"/>
      <w:sz w:val="52"/>
      <w:szCs w:val="52"/>
    </w:rPr>
  </w:style>
  <w:style w:type="character" w:customStyle="1" w:styleId="Heading4Char1">
    <w:name w:val="Heading 4 Char1"/>
    <w:uiPriority w:val="9"/>
    <w:semiHidden/>
    <w:rsid w:val="00797049"/>
    <w:rPr>
      <w:rFonts w:ascii="Cambria" w:eastAsia="Times New Roman" w:hAnsi="Cambria" w:cs="Times New Roman"/>
      <w:b/>
      <w:bCs/>
      <w:i/>
      <w:iCs/>
      <w:color w:val="D16349"/>
    </w:rPr>
  </w:style>
  <w:style w:type="table" w:styleId="LightGrid-Accent5">
    <w:name w:val="Light Grid Accent 5"/>
    <w:basedOn w:val="TableNormal"/>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
    <w:name w:val="tabele za ifs"/>
    <w:basedOn w:val="TableNormal"/>
    <w:uiPriority w:val="99"/>
    <w:qFormat/>
    <w:rsid w:val="00797049"/>
    <w:pPr>
      <w:spacing w:after="0" w:line="240" w:lineRule="auto"/>
    </w:pPr>
    <w:rPr>
      <w:rFonts w:ascii="Cambria Math" w:eastAsia="Calibri" w:hAnsi="Cambria Math" w:cs="Times New Roman"/>
      <w:sz w:val="20"/>
      <w:szCs w:val="20"/>
      <w:lang w:val="en-GB" w:eastAsia="en-GB"/>
    </w:rPr>
    <w:tblPr/>
  </w:style>
  <w:style w:type="table" w:customStyle="1" w:styleId="MediumList2-Accent31">
    <w:name w:val="Medium List 2 - Accent 31"/>
    <w:aliases w:val="tabele za ifs 1"/>
    <w:basedOn w:val="TableNormal"/>
    <w:uiPriority w:val="66"/>
    <w:rsid w:val="00797049"/>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paragraph" w:styleId="TOC4">
    <w:name w:val="toc 4"/>
    <w:basedOn w:val="Normal"/>
    <w:next w:val="Normal"/>
    <w:autoRedefine/>
    <w:uiPriority w:val="39"/>
    <w:unhideWhenUsed/>
    <w:rsid w:val="00797049"/>
    <w:pPr>
      <w:spacing w:after="100" w:line="276" w:lineRule="auto"/>
      <w:ind w:left="660" w:firstLine="709"/>
    </w:pPr>
    <w:rPr>
      <w:rFonts w:ascii="Cambria" w:eastAsia="Calibri" w:hAnsi="Cambria" w:cs="Times New Roman"/>
      <w:color w:val="404040"/>
      <w:sz w:val="21"/>
      <w:lang w:val="sr-Cyrl-CS"/>
    </w:rPr>
  </w:style>
  <w:style w:type="paragraph" w:styleId="TOC5">
    <w:name w:val="toc 5"/>
    <w:basedOn w:val="Normal"/>
    <w:next w:val="Normal"/>
    <w:autoRedefine/>
    <w:uiPriority w:val="39"/>
    <w:unhideWhenUsed/>
    <w:rsid w:val="00797049"/>
    <w:pPr>
      <w:spacing w:after="100" w:line="276" w:lineRule="auto"/>
      <w:ind w:left="880" w:firstLine="709"/>
    </w:pPr>
    <w:rPr>
      <w:rFonts w:ascii="Cambria" w:eastAsia="Calibri" w:hAnsi="Cambria" w:cs="Times New Roman"/>
      <w:color w:val="404040"/>
      <w:sz w:val="21"/>
      <w:lang w:val="sr-Cyrl-CS"/>
    </w:rPr>
  </w:style>
  <w:style w:type="paragraph" w:styleId="EndnoteText">
    <w:name w:val="endnote text"/>
    <w:basedOn w:val="Normal"/>
    <w:link w:val="EndnoteTextChar"/>
    <w:uiPriority w:val="99"/>
    <w:semiHidden/>
    <w:unhideWhenUsed/>
    <w:rsid w:val="00797049"/>
    <w:pPr>
      <w:ind w:firstLine="709"/>
    </w:pPr>
    <w:rPr>
      <w:rFonts w:ascii="Calibri" w:eastAsia="Calibri" w:hAnsi="Calibri" w:cs="Times New Roman"/>
      <w:color w:val="404040"/>
      <w:sz w:val="20"/>
      <w:szCs w:val="20"/>
      <w:lang w:val="sr-Cyrl-CS"/>
    </w:rPr>
  </w:style>
  <w:style w:type="character" w:customStyle="1" w:styleId="EndnoteTextChar">
    <w:name w:val="Endnote Text Char"/>
    <w:basedOn w:val="DefaultParagraphFont"/>
    <w:link w:val="EndnoteText"/>
    <w:uiPriority w:val="99"/>
    <w:semiHidden/>
    <w:rsid w:val="00797049"/>
    <w:rPr>
      <w:rFonts w:ascii="Calibri" w:eastAsia="Calibri" w:hAnsi="Calibri" w:cs="Times New Roman"/>
      <w:color w:val="404040"/>
      <w:sz w:val="20"/>
      <w:szCs w:val="20"/>
      <w:lang w:val="sr-Cyrl-CS"/>
    </w:rPr>
  </w:style>
  <w:style w:type="character" w:styleId="EndnoteReference">
    <w:name w:val="endnote reference"/>
    <w:uiPriority w:val="99"/>
    <w:semiHidden/>
    <w:unhideWhenUsed/>
    <w:rsid w:val="00797049"/>
    <w:rPr>
      <w:vertAlign w:val="superscript"/>
    </w:rPr>
  </w:style>
  <w:style w:type="character" w:customStyle="1" w:styleId="apple-style-span">
    <w:name w:val="apple-style-span"/>
    <w:basedOn w:val="DefaultParagraphFont"/>
    <w:rsid w:val="00797049"/>
  </w:style>
  <w:style w:type="paragraph" w:customStyle="1" w:styleId="Default">
    <w:name w:val="Default"/>
    <w:rsid w:val="00797049"/>
    <w:pPr>
      <w:autoSpaceDE w:val="0"/>
      <w:autoSpaceDN w:val="0"/>
      <w:adjustRightInd w:val="0"/>
      <w:spacing w:after="0" w:line="240" w:lineRule="auto"/>
      <w:jc w:val="both"/>
    </w:pPr>
    <w:rPr>
      <w:rFonts w:ascii="Arial" w:eastAsia="Times New Roman" w:hAnsi="Arial" w:cs="Arial"/>
      <w:color w:val="000000"/>
      <w:sz w:val="24"/>
      <w:szCs w:val="24"/>
    </w:rPr>
  </w:style>
  <w:style w:type="paragraph" w:customStyle="1" w:styleId="msolistparagraph0">
    <w:name w:val="msolistparagraph"/>
    <w:basedOn w:val="Normal"/>
    <w:uiPriority w:val="99"/>
    <w:rsid w:val="00797049"/>
    <w:pPr>
      <w:spacing w:after="200" w:line="276" w:lineRule="auto"/>
      <w:ind w:left="720" w:firstLine="709"/>
      <w:contextualSpacing/>
    </w:pPr>
    <w:rPr>
      <w:rFonts w:ascii="Calibri" w:eastAsia="Times New Roman" w:hAnsi="Calibri" w:cs="Times New Roman"/>
      <w:color w:val="404040"/>
    </w:rPr>
  </w:style>
  <w:style w:type="paragraph" w:styleId="Revision">
    <w:name w:val="Revision"/>
    <w:hidden/>
    <w:uiPriority w:val="99"/>
    <w:semiHidden/>
    <w:rsid w:val="00797049"/>
    <w:pPr>
      <w:spacing w:after="0" w:line="240" w:lineRule="auto"/>
      <w:jc w:val="both"/>
    </w:pPr>
    <w:rPr>
      <w:rFonts w:ascii="Calibri" w:eastAsia="Calibri" w:hAnsi="Calibri" w:cs="Times New Roman"/>
      <w:lang w:val="sr-Cyrl-CS"/>
    </w:rPr>
  </w:style>
  <w:style w:type="table" w:styleId="ColorfulList-Accent1">
    <w:name w:val="Colorful List Accent 1"/>
    <w:basedOn w:val="TableNormal"/>
    <w:uiPriority w:val="72"/>
    <w:rsid w:val="00797049"/>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character" w:customStyle="1" w:styleId="BodyChar">
    <w:name w:val="Body Char"/>
    <w:link w:val="Body"/>
    <w:rsid w:val="00797049"/>
    <w:rPr>
      <w:rFonts w:ascii="Arial" w:hAnsi="Arial" w:cs="Arial"/>
      <w:kern w:val="20"/>
      <w:sz w:val="24"/>
      <w:szCs w:val="24"/>
      <w:lang w:val="en-GB"/>
    </w:rPr>
  </w:style>
  <w:style w:type="paragraph" w:customStyle="1" w:styleId="Body">
    <w:name w:val="Body"/>
    <w:basedOn w:val="Normal"/>
    <w:link w:val="BodyChar"/>
    <w:rsid w:val="00797049"/>
    <w:pPr>
      <w:spacing w:after="140" w:line="288" w:lineRule="auto"/>
      <w:ind w:firstLine="709"/>
    </w:pPr>
    <w:rPr>
      <w:rFonts w:ascii="Arial" w:hAnsi="Arial" w:cs="Arial"/>
      <w:kern w:val="20"/>
      <w:szCs w:val="24"/>
      <w:lang w:val="en-GB"/>
    </w:rPr>
  </w:style>
  <w:style w:type="paragraph" w:customStyle="1" w:styleId="Body5">
    <w:name w:val="Body 5"/>
    <w:basedOn w:val="Normal"/>
    <w:uiPriority w:val="99"/>
    <w:rsid w:val="00797049"/>
    <w:pPr>
      <w:spacing w:after="140" w:line="290" w:lineRule="auto"/>
      <w:ind w:left="2608" w:firstLine="709"/>
    </w:pPr>
    <w:rPr>
      <w:rFonts w:ascii="Arial" w:eastAsia="Batang" w:hAnsi="Arial" w:cs="Times New Roman"/>
      <w:color w:val="404040"/>
      <w:kern w:val="20"/>
      <w:sz w:val="20"/>
      <w:szCs w:val="24"/>
      <w:lang w:val="en-GB"/>
    </w:rPr>
  </w:style>
  <w:style w:type="paragraph" w:customStyle="1" w:styleId="Body6">
    <w:name w:val="Body 6"/>
    <w:basedOn w:val="Normal"/>
    <w:uiPriority w:val="99"/>
    <w:rsid w:val="00797049"/>
    <w:pPr>
      <w:spacing w:after="140" w:line="290" w:lineRule="auto"/>
      <w:ind w:left="3288" w:firstLine="709"/>
    </w:pPr>
    <w:rPr>
      <w:rFonts w:ascii="Arial" w:eastAsia="Batang" w:hAnsi="Arial" w:cs="Times New Roman"/>
      <w:color w:val="404040"/>
      <w:kern w:val="20"/>
      <w:sz w:val="20"/>
      <w:szCs w:val="24"/>
      <w:lang w:val="en-GB"/>
    </w:rPr>
  </w:style>
  <w:style w:type="paragraph" w:customStyle="1" w:styleId="Level1">
    <w:name w:val="Level 1"/>
    <w:basedOn w:val="Normal"/>
    <w:next w:val="Normal"/>
    <w:uiPriority w:val="99"/>
    <w:rsid w:val="00797049"/>
    <w:pPr>
      <w:keepNext/>
      <w:tabs>
        <w:tab w:val="num" w:pos="680"/>
      </w:tabs>
      <w:spacing w:before="280" w:after="140" w:line="290" w:lineRule="auto"/>
      <w:ind w:left="680" w:hanging="680"/>
      <w:outlineLvl w:val="0"/>
    </w:pPr>
    <w:rPr>
      <w:rFonts w:ascii="Arial" w:eastAsia="Batang" w:hAnsi="Arial" w:cs="Times New Roman"/>
      <w:b/>
      <w:bCs/>
      <w:color w:val="404040"/>
      <w:kern w:val="20"/>
      <w:szCs w:val="32"/>
      <w:lang w:val="en-GB"/>
    </w:rPr>
  </w:style>
  <w:style w:type="paragraph" w:customStyle="1" w:styleId="Level2">
    <w:name w:val="Level 2"/>
    <w:basedOn w:val="Normal"/>
    <w:uiPriority w:val="99"/>
    <w:rsid w:val="00797049"/>
    <w:pPr>
      <w:tabs>
        <w:tab w:val="num" w:pos="680"/>
      </w:tabs>
      <w:spacing w:after="140" w:line="290" w:lineRule="auto"/>
      <w:ind w:left="680" w:hanging="360"/>
    </w:pPr>
    <w:rPr>
      <w:rFonts w:ascii="Arial" w:eastAsia="Batang" w:hAnsi="Arial" w:cs="Times New Roman"/>
      <w:color w:val="404040"/>
      <w:kern w:val="20"/>
      <w:sz w:val="20"/>
      <w:szCs w:val="28"/>
      <w:lang w:val="en-GB"/>
    </w:rPr>
  </w:style>
  <w:style w:type="paragraph" w:customStyle="1" w:styleId="Level3">
    <w:name w:val="Level 3"/>
    <w:basedOn w:val="Normal"/>
    <w:uiPriority w:val="99"/>
    <w:rsid w:val="00797049"/>
    <w:pPr>
      <w:tabs>
        <w:tab w:val="num" w:pos="1361"/>
      </w:tabs>
      <w:spacing w:after="140" w:line="290" w:lineRule="auto"/>
      <w:ind w:left="1361" w:hanging="681"/>
    </w:pPr>
    <w:rPr>
      <w:rFonts w:ascii="Arial" w:eastAsia="Batang" w:hAnsi="Arial" w:cs="Times New Roman"/>
      <w:color w:val="404040"/>
      <w:kern w:val="20"/>
      <w:sz w:val="20"/>
      <w:szCs w:val="28"/>
      <w:lang w:val="en-GB"/>
    </w:rPr>
  </w:style>
  <w:style w:type="paragraph" w:customStyle="1" w:styleId="Level4">
    <w:name w:val="Level 4"/>
    <w:basedOn w:val="Normal"/>
    <w:uiPriority w:val="99"/>
    <w:rsid w:val="00797049"/>
    <w:pPr>
      <w:tabs>
        <w:tab w:val="num" w:pos="2041"/>
      </w:tabs>
      <w:spacing w:after="140" w:line="290" w:lineRule="auto"/>
      <w:ind w:left="2041" w:hanging="360"/>
    </w:pPr>
    <w:rPr>
      <w:rFonts w:ascii="Arial" w:eastAsia="Batang" w:hAnsi="Arial" w:cs="Times New Roman"/>
      <w:color w:val="404040"/>
      <w:kern w:val="20"/>
      <w:sz w:val="20"/>
      <w:szCs w:val="24"/>
      <w:lang w:val="en-GB"/>
    </w:rPr>
  </w:style>
  <w:style w:type="character" w:customStyle="1" w:styleId="apple-converted-space">
    <w:name w:val="apple-converted-space"/>
    <w:basedOn w:val="DefaultParagraphFont"/>
    <w:rsid w:val="00797049"/>
  </w:style>
  <w:style w:type="numbering" w:customStyle="1" w:styleId="NoList2">
    <w:name w:val="No List2"/>
    <w:next w:val="NoList"/>
    <w:uiPriority w:val="99"/>
    <w:semiHidden/>
    <w:unhideWhenUsed/>
    <w:rsid w:val="00797049"/>
  </w:style>
  <w:style w:type="table" w:customStyle="1" w:styleId="LightList-Accent32">
    <w:name w:val="Light List - Accent 32"/>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
    <w:name w:val="Light List - Accent 31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
    <w:name w:val="Light Shading - Accent 13"/>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odyTextIndent">
    <w:name w:val="Body Text Indent"/>
    <w:basedOn w:val="Normal"/>
    <w:link w:val="BodyTextIndentChar"/>
    <w:uiPriority w:val="99"/>
    <w:unhideWhenUsed/>
    <w:rsid w:val="00797049"/>
    <w:pPr>
      <w:ind w:firstLine="709"/>
      <w:jc w:val="center"/>
    </w:pPr>
    <w:rPr>
      <w:rFonts w:ascii="Cambria" w:eastAsia="Calibri" w:hAnsi="Cambria" w:cs="Times New Roman"/>
      <w:bCs/>
      <w:color w:val="404040"/>
      <w:sz w:val="21"/>
      <w:szCs w:val="21"/>
      <w:lang w:val="sr-Cyrl-CS"/>
    </w:rPr>
  </w:style>
  <w:style w:type="character" w:customStyle="1" w:styleId="BodyTextIndentChar">
    <w:name w:val="Body Text Indent Char"/>
    <w:basedOn w:val="DefaultParagraphFont"/>
    <w:link w:val="BodyTextIndent"/>
    <w:uiPriority w:val="99"/>
    <w:rsid w:val="00797049"/>
    <w:rPr>
      <w:rFonts w:ascii="Cambria" w:eastAsia="Calibri" w:hAnsi="Cambria" w:cs="Times New Roman"/>
      <w:bCs/>
      <w:color w:val="404040"/>
      <w:sz w:val="21"/>
      <w:szCs w:val="21"/>
      <w:lang w:val="sr-Cyrl-CS"/>
    </w:rPr>
  </w:style>
  <w:style w:type="paragraph" w:styleId="BodyText2">
    <w:name w:val="Body Text 2"/>
    <w:basedOn w:val="Normal"/>
    <w:link w:val="BodyText2Char"/>
    <w:uiPriority w:val="99"/>
    <w:unhideWhenUsed/>
    <w:rsid w:val="00797049"/>
    <w:pPr>
      <w:spacing w:line="480" w:lineRule="auto"/>
      <w:ind w:firstLine="709"/>
    </w:pPr>
    <w:rPr>
      <w:rFonts w:ascii="Cambria" w:eastAsia="Times New Roman" w:hAnsi="Cambria" w:cs="Tahoma"/>
      <w:bCs/>
      <w:color w:val="404040"/>
      <w:szCs w:val="24"/>
      <w:lang w:val="sr-Cyrl-CS"/>
    </w:rPr>
  </w:style>
  <w:style w:type="character" w:customStyle="1" w:styleId="BodyText2Char">
    <w:name w:val="Body Text 2 Char"/>
    <w:basedOn w:val="DefaultParagraphFont"/>
    <w:link w:val="BodyText2"/>
    <w:uiPriority w:val="99"/>
    <w:rsid w:val="00797049"/>
    <w:rPr>
      <w:rFonts w:ascii="Cambria" w:eastAsia="Times New Roman" w:hAnsi="Cambria" w:cs="Tahoma"/>
      <w:bCs/>
      <w:color w:val="404040"/>
      <w:szCs w:val="24"/>
      <w:lang w:val="sr-Cyrl-CS"/>
    </w:rPr>
  </w:style>
  <w:style w:type="paragraph" w:styleId="BodyTextIndent2">
    <w:name w:val="Body Text Indent 2"/>
    <w:basedOn w:val="Normal"/>
    <w:link w:val="BodyTextIndent2Char"/>
    <w:uiPriority w:val="99"/>
    <w:unhideWhenUsed/>
    <w:rsid w:val="00797049"/>
    <w:pPr>
      <w:ind w:firstLine="708"/>
    </w:pPr>
    <w:rPr>
      <w:rFonts w:ascii="Cambria" w:eastAsia="Times New Roman" w:hAnsi="Cambria" w:cs="Tahoma"/>
      <w:bCs/>
      <w:color w:val="404040"/>
      <w:sz w:val="21"/>
      <w:szCs w:val="21"/>
      <w:lang w:val="sr-Cyrl-CS"/>
    </w:rPr>
  </w:style>
  <w:style w:type="character" w:customStyle="1" w:styleId="BodyTextIndent2Char">
    <w:name w:val="Body Text Indent 2 Char"/>
    <w:basedOn w:val="DefaultParagraphFont"/>
    <w:link w:val="BodyTextIndent2"/>
    <w:uiPriority w:val="99"/>
    <w:rsid w:val="00797049"/>
    <w:rPr>
      <w:rFonts w:ascii="Cambria" w:eastAsia="Times New Roman" w:hAnsi="Cambria" w:cs="Tahoma"/>
      <w:bCs/>
      <w:color w:val="404040"/>
      <w:sz w:val="21"/>
      <w:szCs w:val="21"/>
      <w:lang w:val="sr-Cyrl-CS"/>
    </w:rPr>
  </w:style>
  <w:style w:type="paragraph" w:styleId="BodyText3">
    <w:name w:val="Body Text 3"/>
    <w:basedOn w:val="Normal"/>
    <w:link w:val="BodyText3Char"/>
    <w:uiPriority w:val="99"/>
    <w:unhideWhenUsed/>
    <w:rsid w:val="00797049"/>
    <w:rPr>
      <w:rFonts w:ascii="Cambria" w:eastAsia="Times New Roman" w:hAnsi="Cambria" w:cs="Tahoma"/>
      <w:color w:val="404040"/>
      <w:kern w:val="20"/>
      <w:sz w:val="21"/>
      <w:szCs w:val="21"/>
      <w:lang w:val="sr-Cyrl-CS" w:eastAsia="ko-KR"/>
    </w:rPr>
  </w:style>
  <w:style w:type="character" w:customStyle="1" w:styleId="BodyText3Char">
    <w:name w:val="Body Text 3 Char"/>
    <w:basedOn w:val="DefaultParagraphFont"/>
    <w:link w:val="BodyText3"/>
    <w:uiPriority w:val="99"/>
    <w:rsid w:val="00797049"/>
    <w:rPr>
      <w:rFonts w:ascii="Cambria" w:eastAsia="Times New Roman" w:hAnsi="Cambria" w:cs="Tahoma"/>
      <w:color w:val="404040"/>
      <w:kern w:val="20"/>
      <w:sz w:val="21"/>
      <w:szCs w:val="21"/>
      <w:lang w:val="sr-Cyrl-CS" w:eastAsia="ko-KR"/>
    </w:rPr>
  </w:style>
  <w:style w:type="paragraph" w:styleId="BodyTextIndent3">
    <w:name w:val="Body Text Indent 3"/>
    <w:basedOn w:val="Normal"/>
    <w:link w:val="BodyTextIndent3Char"/>
    <w:uiPriority w:val="99"/>
    <w:unhideWhenUsed/>
    <w:rsid w:val="00797049"/>
    <w:pPr>
      <w:ind w:firstLine="709"/>
    </w:pPr>
    <w:rPr>
      <w:rFonts w:ascii="Cambria" w:eastAsia="Times New Roman" w:hAnsi="Cambria" w:cs="Tahoma"/>
      <w:color w:val="404040"/>
      <w:sz w:val="21"/>
      <w:szCs w:val="21"/>
      <w:lang w:val="sr-Cyrl-CS"/>
    </w:rPr>
  </w:style>
  <w:style w:type="character" w:customStyle="1" w:styleId="BodyTextIndent3Char">
    <w:name w:val="Body Text Indent 3 Char"/>
    <w:basedOn w:val="DefaultParagraphFont"/>
    <w:link w:val="BodyTextIndent3"/>
    <w:uiPriority w:val="99"/>
    <w:rsid w:val="00797049"/>
    <w:rPr>
      <w:rFonts w:ascii="Cambria" w:eastAsia="Times New Roman" w:hAnsi="Cambria" w:cs="Tahoma"/>
      <w:color w:val="404040"/>
      <w:sz w:val="21"/>
      <w:szCs w:val="21"/>
      <w:lang w:val="sr-Cyrl-CS"/>
    </w:rPr>
  </w:style>
  <w:style w:type="table" w:customStyle="1" w:styleId="LightShading-Accent131">
    <w:name w:val="Light Shading - Accent 13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
    <w:name w:val="Light Shading - Accent 13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
    <w:name w:val="tabele 31"/>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
    <w:name w:val="Light Shading - Accent 11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
    <w:name w:val="Light Shading - Accent 32"/>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
    <w:name w:val="Light List - Accent 52"/>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
    <w:name w:val="Light Shading - Accent 31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
    <w:name w:val="Light List - Accent 312"/>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
    <w:name w:val="Light List - Accent 51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
    <w:name w:val="Light Grid - Accent 5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
    <w:name w:val="Светло сенчење – наглашавање 11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
    <w:name w:val="Light Grid - Accent 52"/>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
    <w:name w:val="Light List - Accent 321"/>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
    <w:name w:val="Light List - Accent 311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
    <w:name w:val="Light Shading - Accent 133"/>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
    <w:name w:val="Light Shading - Accent 13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
    <w:name w:val="Light Shading - Accent 132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
    <w:name w:val="Light Shading - Accent 112"/>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
    <w:name w:val="Light Shading - Accent 134"/>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
    <w:name w:val="Light Shading - Accent 113"/>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
    <w:name w:val="Light Shading - Accent 135"/>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
    <w:name w:val="Light Shading - Accent 136"/>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
    <w:name w:val="Light Shading - Accent 137"/>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
    <w:name w:val="tabele 32"/>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
    <w:name w:val="Light Shading - Accent 114"/>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
    <w:name w:val="Light Shading - Accent 33"/>
    <w:basedOn w:val="TableNormal"/>
    <w:next w:val="LightShading-Accent3"/>
    <w:uiPriority w:val="60"/>
    <w:rsid w:val="00797049"/>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
    <w:name w:val="Light List - Accent 53"/>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
    <w:name w:val="Light Shading - Accent 312"/>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
    <w:name w:val="Light List - Accent 313"/>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
    <w:name w:val="Light List - Accent 512"/>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
    <w:name w:val="Light Grid - Accent 512"/>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
    <w:name w:val="Светло сенчење – наглашавање 112"/>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
    <w:name w:val="Light Grid - Accent 53"/>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
    <w:name w:val="Light List - Accent 322"/>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
    <w:name w:val="Light List - Accent 3112"/>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
    <w:name w:val="Light Shading - Accent 138"/>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
    <w:name w:val="Light Shading - Accent 131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
    <w:name w:val="Light Shading - Accent 132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
    <w:name w:val="Light Shading - Accent 115"/>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
    <w:name w:val="Light Shading - Accent 139"/>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
    <w:name w:val="Light Shading - Accent 116"/>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
    <w:name w:val="Light Shading - Accent 1310"/>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
    <w:name w:val="Light Shading - Accent 1313"/>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
    <w:name w:val="tabele 33"/>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
    <w:name w:val="Light Shading - Accent 117"/>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
    <w:name w:val="Light Shading - Accent 34"/>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
    <w:name w:val="Light List - Accent 54"/>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
    <w:name w:val="Light Shading - Accent 313"/>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
    <w:name w:val="Light List - Accent 314"/>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
    <w:name w:val="Light List - Accent 513"/>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
    <w:name w:val="Light Grid - Accent 513"/>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
    <w:name w:val="Светло сенчење – наглашавање 113"/>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
    <w:name w:val="Light Grid - Accent 54"/>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
    <w:name w:val="Light Shading - Accent 123"/>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
    <w:name w:val="Light List - Accent 323"/>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
    <w:name w:val="Light List - Accent 3113"/>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
    <w:name w:val="Light Shading - Accent 1314"/>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
    <w:name w:val="Light Shading - Accent 1315"/>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
    <w:name w:val="Light Shading - Accent 1323"/>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
    <w:name w:val="Light Shading - Accent 1316"/>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
    <w:name w:val="Light Shading - Accent 138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
    <w:name w:val="Light Shading - Accent 118"/>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
    <w:name w:val="Light Shading - Accent 139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
    <w:name w:val="Light Shading - Accent 116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
    <w:name w:val="Light Shading - Accent 1310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
    <w:name w:val="Light Shading - Accent 136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llowedHyperlink1">
    <w:name w:val="FollowedHyperlink1"/>
    <w:basedOn w:val="DefaultParagraphFont"/>
    <w:uiPriority w:val="99"/>
    <w:semiHidden/>
    <w:unhideWhenUsed/>
    <w:rsid w:val="00797049"/>
    <w:rPr>
      <w:color w:val="919191"/>
      <w:u w:val="single"/>
    </w:rPr>
  </w:style>
  <w:style w:type="table" w:customStyle="1" w:styleId="LightShading-Accent119">
    <w:name w:val="Light Shading - Accent 119"/>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
    <w:name w:val="Light Shading - Accent 14"/>
    <w:basedOn w:val="TableNormal"/>
    <w:next w:val="LightShading-Accent1"/>
    <w:uiPriority w:val="60"/>
    <w:rsid w:val="00797049"/>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paragraph" w:styleId="HTMLPreformatted">
    <w:name w:val="HTML Preformatted"/>
    <w:basedOn w:val="Normal"/>
    <w:link w:val="HTMLPreformattedChar"/>
    <w:uiPriority w:val="99"/>
    <w:semiHidden/>
    <w:unhideWhenUsed/>
    <w:rsid w:val="00797049"/>
    <w:pPr>
      <w:spacing w:after="0"/>
      <w:ind w:firstLine="709"/>
    </w:pPr>
    <w:rPr>
      <w:rFonts w:ascii="Consolas" w:eastAsia="Times New Roman" w:hAnsi="Consolas" w:cs="Consolas"/>
      <w:bCs/>
      <w:color w:val="404040"/>
      <w:sz w:val="20"/>
      <w:szCs w:val="20"/>
      <w:lang w:val="sr-Cyrl-CS"/>
    </w:rPr>
  </w:style>
  <w:style w:type="character" w:customStyle="1" w:styleId="HTMLPreformattedChar">
    <w:name w:val="HTML Preformatted Char"/>
    <w:basedOn w:val="DefaultParagraphFont"/>
    <w:link w:val="HTMLPreformatted"/>
    <w:uiPriority w:val="99"/>
    <w:semiHidden/>
    <w:rsid w:val="00797049"/>
    <w:rPr>
      <w:rFonts w:ascii="Consolas" w:eastAsia="Times New Roman" w:hAnsi="Consolas" w:cs="Consolas"/>
      <w:bCs/>
      <w:color w:val="404040"/>
      <w:sz w:val="20"/>
      <w:szCs w:val="20"/>
      <w:lang w:val="sr-Cyrl-CS"/>
    </w:rPr>
  </w:style>
  <w:style w:type="table" w:customStyle="1" w:styleId="LightShading-Accent331">
    <w:name w:val="Light Shading - Accent 33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
    <w:name w:val="Light Shading - Accent 332"/>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
    <w:name w:val="Light Shading - Accent 333"/>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
    <w:name w:val="Light Shading - Accent 34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
    <w:name w:val="Light Shading - Accent 342"/>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
    <w:name w:val="Light Grid - Accent 514"/>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
    <w:name w:val="Light Grid - Accent 55"/>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
    <w:name w:val="Light Grid - Accent 51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
    <w:name w:val="Light Grid - Accent 52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
    <w:name w:val="Light Grid - Accent 512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
    <w:name w:val="Light Grid - Accent 53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
    <w:name w:val="Light Grid - Accent 513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
    <w:name w:val="Light Grid - Accent 54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
    <w:name w:val="Light Shading - Accent 61"/>
    <w:basedOn w:val="TableNormal"/>
    <w:next w:val="LightShading-Accent6"/>
    <w:uiPriority w:val="60"/>
    <w:rsid w:val="00797049"/>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character" w:customStyle="1" w:styleId="ListBulletChar">
    <w:name w:val="List Bullet Char"/>
    <w:basedOn w:val="DefaultParagraphFont"/>
    <w:link w:val="ListBullet1"/>
    <w:uiPriority w:val="99"/>
    <w:locked/>
    <w:rsid w:val="00797049"/>
    <w:rPr>
      <w:rFonts w:eastAsia="MS PGothic"/>
      <w:color w:val="595959"/>
      <w:kern w:val="20"/>
      <w:sz w:val="20"/>
      <w:szCs w:val="20"/>
      <w:lang w:eastAsia="ja-JP"/>
    </w:rPr>
  </w:style>
  <w:style w:type="table" w:customStyle="1" w:styleId="GridTable6Colorful-Accent41">
    <w:name w:val="Grid Table 6 Colorful - Accent 41"/>
    <w:basedOn w:val="TableNormal"/>
    <w:next w:val="GridTable6Colorful-Accent43"/>
    <w:uiPriority w:val="51"/>
    <w:rsid w:val="00797049"/>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
    <w:name w:val="Light Shading - Accent 611"/>
    <w:basedOn w:val="TableNormal"/>
    <w:next w:val="LightShading-Accent6"/>
    <w:uiPriority w:val="60"/>
    <w:rsid w:val="00797049"/>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
    <w:name w:val="Grid Table 6 Colorful - Accent 31"/>
    <w:basedOn w:val="TableNormal"/>
    <w:next w:val="GridTable6Colorful-Accent33"/>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
    <w:name w:val="Grid Table 4 - Accent 51"/>
    <w:basedOn w:val="TableNormal"/>
    <w:next w:val="GridTable4-Accent53"/>
    <w:uiPriority w:val="49"/>
    <w:rsid w:val="00797049"/>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
    <w:name w:val="Grid Table 5 Dark - Accent 51"/>
    <w:basedOn w:val="TableNormal"/>
    <w:next w:val="GridTable5Dark-Accent53"/>
    <w:uiPriority w:val="50"/>
    <w:rsid w:val="0079704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a">
    <w:name w:val="ФС"/>
    <w:basedOn w:val="TableNormal"/>
    <w:uiPriority w:val="99"/>
    <w:rsid w:val="00797049"/>
    <w:pPr>
      <w:spacing w:after="0" w:line="240" w:lineRule="auto"/>
    </w:pPr>
    <w:rPr>
      <w:rFonts w:ascii="Calibri" w:eastAsia="Calibri" w:hAnsi="Calibri" w:cs="Times New Roman"/>
      <w:sz w:val="20"/>
      <w:szCs w:val="20"/>
    </w:rPr>
    <w:tblPr/>
  </w:style>
  <w:style w:type="table" w:customStyle="1" w:styleId="ListTable6Colorful-Accent31">
    <w:name w:val="List Table 6 Colorful - Accent 31"/>
    <w:basedOn w:val="TableNormal"/>
    <w:next w:val="ListTable6Colorful-Accent33"/>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
    <w:name w:val="Grid Table 1 Light - Accent 11"/>
    <w:basedOn w:val="TableNormal"/>
    <w:next w:val="GridTable1Light-Accent13"/>
    <w:uiPriority w:val="46"/>
    <w:rsid w:val="00797049"/>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
    <w:name w:val="List Table 1 Light - Accent 11"/>
    <w:basedOn w:val="TableNormal"/>
    <w:next w:val="ListTable1Light-Accent13"/>
    <w:uiPriority w:val="46"/>
    <w:rsid w:val="00797049"/>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
    <w:name w:val="List Table 2 - Accent 11"/>
    <w:basedOn w:val="TableNormal"/>
    <w:next w:val="ListTable2-Accent13"/>
    <w:uiPriority w:val="47"/>
    <w:rsid w:val="00797049"/>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
    <w:name w:val="List Table 2 - Accent 51"/>
    <w:basedOn w:val="TableNormal"/>
    <w:next w:val="ListTable2-Accent53"/>
    <w:uiPriority w:val="47"/>
    <w:rsid w:val="00797049"/>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
    <w:name w:val="Grid Table 2 - Accent 51"/>
    <w:basedOn w:val="TableNormal"/>
    <w:next w:val="GridTable2-Accent53"/>
    <w:uiPriority w:val="47"/>
    <w:rsid w:val="00797049"/>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
    <w:name w:val="Table Grid2"/>
    <w:basedOn w:val="TableNormal"/>
    <w:next w:val="TableGrid"/>
    <w:uiPriority w:val="39"/>
    <w:rsid w:val="00797049"/>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
    <w:name w:val="Light Shading - Accent 124"/>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
    <w:name w:val="Grid Table 6 Colorful - Accent 512"/>
    <w:basedOn w:val="TableNormal"/>
    <w:next w:val="GridTable6Colorful-Accent54"/>
    <w:uiPriority w:val="51"/>
    <w:rsid w:val="00797049"/>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
    <w:name w:val="Grid Table 6 Colorful - Accent 513"/>
    <w:basedOn w:val="TableNormal"/>
    <w:uiPriority w:val="51"/>
    <w:rsid w:val="00797049"/>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
    <w:name w:val="No List3"/>
    <w:next w:val="NoList"/>
    <w:uiPriority w:val="99"/>
    <w:semiHidden/>
    <w:unhideWhenUsed/>
    <w:rsid w:val="00797049"/>
  </w:style>
  <w:style w:type="table" w:customStyle="1" w:styleId="TableGrid3">
    <w:name w:val="Table Grid3"/>
    <w:basedOn w:val="TableNormal"/>
    <w:next w:val="TableGrid"/>
    <w:uiPriority w:val="39"/>
    <w:rsid w:val="00797049"/>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
    <w:name w:val="Financial Table1"/>
    <w:basedOn w:val="TableNormal"/>
    <w:uiPriority w:val="99"/>
    <w:rsid w:val="00797049"/>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
    <w:name w:val="Grid Table 6 Colorful - Accent 53"/>
    <w:basedOn w:val="TableNormal"/>
    <w:next w:val="GridTable6Colorful-Accent54"/>
    <w:uiPriority w:val="51"/>
    <w:rsid w:val="00797049"/>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
    <w:name w:val="Light Shading - Accent 125"/>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
    <w:name w:val="Grid Table 6 Colorful - Accent 514"/>
    <w:basedOn w:val="TableNormal"/>
    <w:uiPriority w:val="51"/>
    <w:rsid w:val="00797049"/>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
    <w:name w:val="Light Shading - Accent 1211"/>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
    <w:name w:val="Grid Table 6 Colorful - Accent 5111"/>
    <w:basedOn w:val="TableNormal"/>
    <w:uiPriority w:val="51"/>
    <w:rsid w:val="00797049"/>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
    <w:name w:val="Grid Table 6 Colorful - Accent 12"/>
    <w:basedOn w:val="TableNormal"/>
    <w:next w:val="GridTable6Colorful-Accent13"/>
    <w:uiPriority w:val="51"/>
    <w:rsid w:val="00797049"/>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
    <w:name w:val="Light Shading - Accent 1221"/>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
    <w:name w:val="Grid Table 6 Colorful - Accent 521"/>
    <w:basedOn w:val="TableNormal"/>
    <w:next w:val="GridTable6Colorful-Accent54"/>
    <w:uiPriority w:val="51"/>
    <w:rsid w:val="00797049"/>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
    <w:name w:val="tabele 34"/>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
    <w:name w:val="Light Shading - Accent 1110"/>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
    <w:name w:val="Light Shading - Accent 35"/>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
    <w:name w:val="Light List - Accent 55"/>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
    <w:name w:val="Light Shading - Accent 314"/>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
    <w:name w:val="Light List - Accent 315"/>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
    <w:name w:val="Table Grid11"/>
    <w:basedOn w:val="TableNormal"/>
    <w:next w:val="TableGrid"/>
    <w:uiPriority w:val="59"/>
    <w:rsid w:val="00797049"/>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
    <w:name w:val="Light List - Accent 514"/>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
    <w:name w:val="Medium List 1 - Accent 511"/>
    <w:basedOn w:val="TableNormal"/>
    <w:next w:val="MediumList1-Accent5"/>
    <w:uiPriority w:val="65"/>
    <w:rsid w:val="00797049"/>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
    <w:name w:val="Medium List 1 - Accent 52"/>
    <w:basedOn w:val="TableNormal"/>
    <w:next w:val="MediumList1-Accent5"/>
    <w:uiPriority w:val="65"/>
    <w:rsid w:val="00797049"/>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
    <w:name w:val="No List111"/>
    <w:next w:val="NoList"/>
    <w:uiPriority w:val="99"/>
    <w:semiHidden/>
    <w:unhideWhenUsed/>
    <w:rsid w:val="00797049"/>
  </w:style>
  <w:style w:type="table" w:customStyle="1" w:styleId="LightGrid-Accent515">
    <w:name w:val="Light Grid - Accent 515"/>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
    <w:name w:val="Светло сенчење – наглашавање 114"/>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
    <w:name w:val="Light Grid - Accent 56"/>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
    <w:name w:val="tabele za ifs1"/>
    <w:basedOn w:val="TableNormal"/>
    <w:uiPriority w:val="99"/>
    <w:qFormat/>
    <w:rsid w:val="00797049"/>
    <w:pPr>
      <w:spacing w:after="0" w:line="240" w:lineRule="auto"/>
    </w:pPr>
    <w:rPr>
      <w:rFonts w:ascii="Cambria Math" w:eastAsia="Calibri" w:hAnsi="Cambria Math" w:cs="Times New Roman"/>
      <w:sz w:val="20"/>
      <w:szCs w:val="20"/>
      <w:lang w:val="en-GB" w:eastAsia="en-GB"/>
    </w:rPr>
    <w:tblPr/>
  </w:style>
  <w:style w:type="table" w:customStyle="1" w:styleId="tabelezaifs11">
    <w:name w:val="tabele za ifs 11"/>
    <w:basedOn w:val="TableNormal"/>
    <w:uiPriority w:val="66"/>
    <w:rsid w:val="00797049"/>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
    <w:name w:val="Colorful List - Accent 11"/>
    <w:basedOn w:val="TableNormal"/>
    <w:next w:val="ColorfulList-Accent1"/>
    <w:uiPriority w:val="72"/>
    <w:rsid w:val="00797049"/>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
    <w:name w:val="No List21"/>
    <w:next w:val="NoList"/>
    <w:uiPriority w:val="99"/>
    <w:semiHidden/>
    <w:unhideWhenUsed/>
    <w:rsid w:val="00797049"/>
  </w:style>
  <w:style w:type="table" w:customStyle="1" w:styleId="LightList-Accent324">
    <w:name w:val="Light List - Accent 324"/>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
    <w:name w:val="Light List - Accent 3114"/>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
    <w:name w:val="Light Shading - Accent 1317"/>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
    <w:name w:val="Light Shading - Accent 1318"/>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
    <w:name w:val="Light Shading - Accent 1324"/>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
    <w:name w:val="tabele 311"/>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
    <w:name w:val="Light Shading - Accent 111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
    <w:name w:val="Light Shading - Accent 32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
    <w:name w:val="Light List - Accent 521"/>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
    <w:name w:val="Light Shading - Accent 311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
    <w:name w:val="Light List - Accent 312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
    <w:name w:val="Light List - Accent 511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
    <w:name w:val="Light Grid - Accent 5112"/>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
    <w:name w:val="Светло сенчење – наглашавање 111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
    <w:name w:val="Light Grid - Accent 522"/>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
    <w:name w:val="Light List - Accent 3211"/>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
    <w:name w:val="Light List - Accent 3111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
    <w:name w:val="Light Shading - Accent 133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
    <w:name w:val="Light Shading - Accent 131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
    <w:name w:val="Light Shading - Accent 132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
    <w:name w:val="Light Shading - Accent 112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
    <w:name w:val="Light Shading - Accent 134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
    <w:name w:val="Light Shading - Accent 113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
    <w:name w:val="Light Shading - Accent 135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
    <w:name w:val="Light Shading - Accent 136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
    <w:name w:val="Light Shading - Accent 137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
    <w:name w:val="tabele 321"/>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
    <w:name w:val="Light Shading - Accent 114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
    <w:name w:val="Light Shading - Accent 334"/>
    <w:basedOn w:val="TableNormal"/>
    <w:next w:val="LightShading-Accent3"/>
    <w:uiPriority w:val="60"/>
    <w:rsid w:val="00797049"/>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
    <w:name w:val="Light List - Accent 531"/>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
    <w:name w:val="Light Shading - Accent 312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
    <w:name w:val="Light List - Accent 313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
    <w:name w:val="Light List - Accent 512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
    <w:name w:val="Light Grid - Accent 5122"/>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
    <w:name w:val="Светло сенчење – наглашавање 112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
    <w:name w:val="Light Grid - Accent 532"/>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
    <w:name w:val="Light List - Accent 3221"/>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
    <w:name w:val="Light List - Accent 3112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
    <w:name w:val="Light Shading - Accent 138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
    <w:name w:val="Light Shading - Accent 1312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
    <w:name w:val="Light Shading - Accent 1322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
    <w:name w:val="Light Shading - Accent 115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
    <w:name w:val="Light Shading - Accent 139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
    <w:name w:val="Light Shading - Accent 1162"/>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
    <w:name w:val="Light Shading - Accent 13102"/>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
    <w:name w:val="Light Shading - Accent 1313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
    <w:name w:val="tabele 331"/>
    <w:basedOn w:val="TableNormal"/>
    <w:next w:val="LightList-Accent3"/>
    <w:uiPriority w:val="61"/>
    <w:rsid w:val="00797049"/>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
    <w:name w:val="Light Shading - Accent 117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
    <w:name w:val="Light Shading - Accent 343"/>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
    <w:name w:val="Light List - Accent 541"/>
    <w:basedOn w:val="TableNormal"/>
    <w:next w:val="LightList-Accent5"/>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
    <w:name w:val="Light Shading - Accent 3131"/>
    <w:basedOn w:val="TableNormal"/>
    <w:next w:val="LightShading-Accent3"/>
    <w:uiPriority w:val="60"/>
    <w:rsid w:val="00797049"/>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
    <w:name w:val="Light List - Accent 314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
    <w:name w:val="Light List - Accent 5131"/>
    <w:basedOn w:val="TableNormal"/>
    <w:next w:val="LightList-Accent5"/>
    <w:uiPriority w:val="61"/>
    <w:rsid w:val="00797049"/>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
    <w:name w:val="Light Grid - Accent 5132"/>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
    <w:name w:val="Светло сенчење – наглашавање 1131"/>
    <w:basedOn w:val="TableNormal"/>
    <w:uiPriority w:val="60"/>
    <w:rsid w:val="00797049"/>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
    <w:name w:val="Light Grid - Accent 542"/>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
    <w:name w:val="Light Shading - Accent 1231"/>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
    <w:name w:val="Light List - Accent 3231"/>
    <w:basedOn w:val="TableNormal"/>
    <w:next w:val="LightList-Accent3"/>
    <w:uiPriority w:val="61"/>
    <w:rsid w:val="00797049"/>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
    <w:name w:val="Light List - Accent 31131"/>
    <w:basedOn w:val="TableNormal"/>
    <w:next w:val="LightList-Accent3"/>
    <w:uiPriority w:val="61"/>
    <w:rsid w:val="00797049"/>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
    <w:name w:val="Light Shading - Accent 1314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
    <w:name w:val="Light Shading - Accent 1315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
    <w:name w:val="Light Shading - Accent 1323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
    <w:name w:val="Light Shading - Accent 1316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
    <w:name w:val="Light Shading - Accent 138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
    <w:name w:val="Light Shading - Accent 118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
    <w:name w:val="Light Shading - Accent 139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
    <w:name w:val="Light Shading - Accent 11611"/>
    <w:basedOn w:val="TableNormal"/>
    <w:uiPriority w:val="60"/>
    <w:rsid w:val="00797049"/>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
    <w:name w:val="Light Shading - Accent 1310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
    <w:name w:val="Light Shading - Accent 1361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
    <w:name w:val="Light Shading - Accent 1191"/>
    <w:basedOn w:val="TableNormal"/>
    <w:uiPriority w:val="60"/>
    <w:rsid w:val="00797049"/>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
    <w:name w:val="Light Shading - Accent 331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
    <w:name w:val="Light Shading - Accent 332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
    <w:name w:val="Light Shading - Accent 333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
    <w:name w:val="Light Shading - Accent 341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
    <w:name w:val="Light Shading - Accent 3421"/>
    <w:basedOn w:val="TableNormal"/>
    <w:next w:val="LightShading-Accent3"/>
    <w:uiPriority w:val="60"/>
    <w:rsid w:val="0079704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
    <w:name w:val="Light Grid - Accent 514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
    <w:name w:val="Light Grid - Accent 55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
    <w:name w:val="Light Grid - Accent 511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
    <w:name w:val="Light Grid - Accent 521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
    <w:name w:val="Light Grid - Accent 512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
    <w:name w:val="Light Grid - Accent 531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
    <w:name w:val="Light Grid - Accent 51311"/>
    <w:basedOn w:val="TableNormal"/>
    <w:next w:val="LightGrid-Accent5"/>
    <w:uiPriority w:val="62"/>
    <w:rsid w:val="0079704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
    <w:name w:val="Light Grid - Accent 5411"/>
    <w:basedOn w:val="TableNormal"/>
    <w:next w:val="LightGrid-Accent5"/>
    <w:uiPriority w:val="62"/>
    <w:rsid w:val="0079704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
    <w:name w:val="Light Shading - Accent 62"/>
    <w:basedOn w:val="TableNormal"/>
    <w:next w:val="LightShading-Accent6"/>
    <w:uiPriority w:val="60"/>
    <w:rsid w:val="00797049"/>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
    <w:name w:val="Grid Table 6 Colorful - Accent 42"/>
    <w:basedOn w:val="TableNormal"/>
    <w:next w:val="GridTable6Colorful-Accent43"/>
    <w:uiPriority w:val="51"/>
    <w:rsid w:val="00797049"/>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
    <w:name w:val="Grid Table 6 Colorful - Accent 32"/>
    <w:basedOn w:val="TableNormal"/>
    <w:next w:val="GridTable6Colorful-Accent33"/>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
    <w:name w:val="Grid Table 4 - Accent 52"/>
    <w:basedOn w:val="TableNormal"/>
    <w:next w:val="GridTable4-Accent53"/>
    <w:uiPriority w:val="49"/>
    <w:rsid w:val="00797049"/>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
    <w:name w:val="Grid Table 5 Dark - Accent 52"/>
    <w:basedOn w:val="TableNormal"/>
    <w:next w:val="GridTable5Dark-Accent53"/>
    <w:uiPriority w:val="50"/>
    <w:rsid w:val="00797049"/>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
    <w:name w:val="ФС1"/>
    <w:basedOn w:val="TableNormal"/>
    <w:uiPriority w:val="99"/>
    <w:rsid w:val="00797049"/>
    <w:pPr>
      <w:spacing w:after="0" w:line="240" w:lineRule="auto"/>
    </w:pPr>
    <w:rPr>
      <w:rFonts w:ascii="Calibri" w:eastAsia="Calibri" w:hAnsi="Calibri" w:cs="Times New Roman"/>
      <w:sz w:val="20"/>
      <w:szCs w:val="20"/>
    </w:rPr>
    <w:tblPr/>
  </w:style>
  <w:style w:type="table" w:customStyle="1" w:styleId="ListTable6Colorful-Accent32">
    <w:name w:val="List Table 6 Colorful - Accent 32"/>
    <w:basedOn w:val="TableNormal"/>
    <w:next w:val="ListTable6Colorful-Accent33"/>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
    <w:name w:val="Grid Table 1 Light - Accent 12"/>
    <w:basedOn w:val="TableNormal"/>
    <w:next w:val="GridTable1Light-Accent13"/>
    <w:uiPriority w:val="46"/>
    <w:rsid w:val="00797049"/>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
    <w:name w:val="List Table 1 Light - Accent 12"/>
    <w:basedOn w:val="TableNormal"/>
    <w:next w:val="ListTable1Light-Accent13"/>
    <w:uiPriority w:val="46"/>
    <w:rsid w:val="00797049"/>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
    <w:name w:val="List Table 2 - Accent 12"/>
    <w:basedOn w:val="TableNormal"/>
    <w:next w:val="ListTable2-Accent13"/>
    <w:uiPriority w:val="47"/>
    <w:rsid w:val="00797049"/>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
    <w:name w:val="List Table 2 - Accent 52"/>
    <w:basedOn w:val="TableNormal"/>
    <w:next w:val="ListTable2-Accent53"/>
    <w:uiPriority w:val="47"/>
    <w:rsid w:val="00797049"/>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
    <w:name w:val="Grid Table 2 - Accent 52"/>
    <w:basedOn w:val="TableNormal"/>
    <w:next w:val="GridTable2-Accent53"/>
    <w:uiPriority w:val="47"/>
    <w:rsid w:val="00797049"/>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
    <w:name w:val="Grid Table 6 Colorful - Accent 411"/>
    <w:basedOn w:val="TableNormal"/>
    <w:uiPriority w:val="51"/>
    <w:rsid w:val="00797049"/>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
    <w:name w:val="Grid Table 6 Colorful - Accent 311"/>
    <w:basedOn w:val="TableNormal"/>
    <w:uiPriority w:val="51"/>
    <w:rsid w:val="00797049"/>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
    <w:name w:val="Table Grid21"/>
    <w:basedOn w:val="TableNormal"/>
    <w:next w:val="TableGrid"/>
    <w:uiPriority w:val="39"/>
    <w:rsid w:val="00797049"/>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
    <w:name w:val="Light Shading - Accent 1241"/>
    <w:basedOn w:val="TableNormal"/>
    <w:uiPriority w:val="60"/>
    <w:rsid w:val="00797049"/>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
    <w:name w:val="Light Shading - Accent 1251"/>
    <w:basedOn w:val="TableNormal"/>
    <w:uiPriority w:val="60"/>
    <w:rsid w:val="00797049"/>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paragraph" w:styleId="Footer">
    <w:name w:val="footer"/>
    <w:basedOn w:val="Normal"/>
    <w:link w:val="FooterChar1"/>
    <w:uiPriority w:val="99"/>
    <w:unhideWhenUsed/>
    <w:rsid w:val="00797049"/>
    <w:pPr>
      <w:tabs>
        <w:tab w:val="center" w:pos="4680"/>
        <w:tab w:val="right" w:pos="9360"/>
      </w:tabs>
      <w:spacing w:after="0"/>
    </w:pPr>
  </w:style>
  <w:style w:type="character" w:customStyle="1" w:styleId="FooterChar1">
    <w:name w:val="Footer Char1"/>
    <w:basedOn w:val="DefaultParagraphFont"/>
    <w:link w:val="Footer"/>
    <w:uiPriority w:val="99"/>
    <w:rsid w:val="00797049"/>
  </w:style>
  <w:style w:type="paragraph" w:styleId="Title">
    <w:name w:val="Title"/>
    <w:basedOn w:val="Normal"/>
    <w:next w:val="Normal"/>
    <w:link w:val="TitleChar"/>
    <w:qFormat/>
    <w:rsid w:val="00797049"/>
    <w:pPr>
      <w:spacing w:after="0"/>
      <w:contextualSpacing/>
    </w:pPr>
    <w:rPr>
      <w:rFonts w:ascii="Arial" w:eastAsia="MS PGothic" w:hAnsi="Arial" w:cs="Arial"/>
      <w:color w:val="EF4623"/>
      <w:spacing w:val="-10"/>
      <w:sz w:val="56"/>
      <w:szCs w:val="56"/>
    </w:rPr>
  </w:style>
  <w:style w:type="character" w:customStyle="1" w:styleId="TitleChar2">
    <w:name w:val="Title Char2"/>
    <w:basedOn w:val="DefaultParagraphFont"/>
    <w:uiPriority w:val="10"/>
    <w:rsid w:val="007970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797049"/>
    <w:pPr>
      <w:numPr>
        <w:ilvl w:val="1"/>
      </w:numPr>
    </w:pPr>
    <w:rPr>
      <w:rFonts w:ascii="Arial" w:eastAsia="MS PGothic" w:hAnsi="Arial" w:cs="Arial"/>
      <w:szCs w:val="24"/>
    </w:rPr>
  </w:style>
  <w:style w:type="character" w:customStyle="1" w:styleId="SubtitleChar1">
    <w:name w:val="Subtitle Char1"/>
    <w:basedOn w:val="DefaultParagraphFont"/>
    <w:uiPriority w:val="11"/>
    <w:rsid w:val="00797049"/>
    <w:rPr>
      <w:rFonts w:eastAsiaTheme="minorEastAsia"/>
      <w:color w:val="5A5A5A" w:themeColor="text1" w:themeTint="A5"/>
      <w:spacing w:val="15"/>
    </w:rPr>
  </w:style>
  <w:style w:type="character" w:styleId="Hyperlink">
    <w:name w:val="Hyperlink"/>
    <w:basedOn w:val="DefaultParagraphFont"/>
    <w:uiPriority w:val="99"/>
    <w:unhideWhenUsed/>
    <w:rsid w:val="00797049"/>
    <w:rPr>
      <w:color w:val="0563C1" w:themeColor="hyperlink"/>
      <w:u w:val="single"/>
    </w:rPr>
  </w:style>
  <w:style w:type="character" w:customStyle="1" w:styleId="Heading2Char1">
    <w:name w:val="Heading 2 Char1"/>
    <w:basedOn w:val="DefaultParagraphFont"/>
    <w:uiPriority w:val="9"/>
    <w:semiHidden/>
    <w:rsid w:val="00797049"/>
    <w:rPr>
      <w:rFonts w:asciiTheme="majorHAnsi" w:eastAsiaTheme="majorEastAsia" w:hAnsiTheme="majorHAnsi" w:cstheme="majorBidi"/>
      <w:color w:val="2E74B5" w:themeColor="accent1" w:themeShade="BF"/>
      <w:sz w:val="26"/>
      <w:szCs w:val="26"/>
    </w:rPr>
  </w:style>
  <w:style w:type="paragraph" w:styleId="Quote">
    <w:name w:val="Quote"/>
    <w:basedOn w:val="Normal"/>
    <w:next w:val="Normal"/>
    <w:link w:val="QuoteChar"/>
    <w:uiPriority w:val="29"/>
    <w:qFormat/>
    <w:rsid w:val="00797049"/>
    <w:pPr>
      <w:spacing w:before="200"/>
      <w:ind w:left="864" w:right="864"/>
      <w:jc w:val="center"/>
    </w:pPr>
    <w:rPr>
      <w:i/>
      <w:iCs/>
      <w:color w:val="404040"/>
    </w:rPr>
  </w:style>
  <w:style w:type="character" w:customStyle="1" w:styleId="QuoteChar1">
    <w:name w:val="Quote Char1"/>
    <w:basedOn w:val="DefaultParagraphFont"/>
    <w:uiPriority w:val="29"/>
    <w:rsid w:val="00797049"/>
    <w:rPr>
      <w:i/>
      <w:iCs/>
      <w:color w:val="404040" w:themeColor="text1" w:themeTint="BF"/>
    </w:rPr>
  </w:style>
  <w:style w:type="paragraph" w:styleId="Signature">
    <w:name w:val="Signature"/>
    <w:basedOn w:val="Normal"/>
    <w:link w:val="SignatureChar1"/>
    <w:uiPriority w:val="99"/>
    <w:unhideWhenUsed/>
    <w:rsid w:val="00797049"/>
    <w:pPr>
      <w:spacing w:after="0"/>
      <w:ind w:left="4252"/>
    </w:pPr>
  </w:style>
  <w:style w:type="character" w:customStyle="1" w:styleId="SignatureChar1">
    <w:name w:val="Signature Char1"/>
    <w:basedOn w:val="DefaultParagraphFont"/>
    <w:link w:val="Signature"/>
    <w:uiPriority w:val="99"/>
    <w:rsid w:val="00797049"/>
  </w:style>
  <w:style w:type="paragraph" w:styleId="ListBullet">
    <w:name w:val="List Bullet"/>
    <w:basedOn w:val="Normal"/>
    <w:uiPriority w:val="99"/>
    <w:unhideWhenUsed/>
    <w:qFormat/>
    <w:rsid w:val="00797049"/>
    <w:pPr>
      <w:ind w:left="576" w:hanging="288"/>
      <w:contextualSpacing/>
    </w:pPr>
  </w:style>
  <w:style w:type="paragraph" w:styleId="ListNumber">
    <w:name w:val="List Number"/>
    <w:basedOn w:val="Normal"/>
    <w:uiPriority w:val="99"/>
    <w:unhideWhenUsed/>
    <w:rsid w:val="00797049"/>
    <w:pPr>
      <w:ind w:left="360" w:hanging="360"/>
      <w:contextualSpacing/>
    </w:pPr>
  </w:style>
  <w:style w:type="paragraph" w:styleId="ListNumber2">
    <w:name w:val="List Number 2"/>
    <w:basedOn w:val="Normal"/>
    <w:uiPriority w:val="99"/>
    <w:unhideWhenUsed/>
    <w:rsid w:val="00797049"/>
    <w:pPr>
      <w:numPr>
        <w:numId w:val="3"/>
      </w:numPr>
      <w:contextualSpacing/>
    </w:pPr>
  </w:style>
  <w:style w:type="paragraph" w:styleId="ListNumber3">
    <w:name w:val="List Number 3"/>
    <w:basedOn w:val="Normal"/>
    <w:uiPriority w:val="99"/>
    <w:unhideWhenUsed/>
    <w:rsid w:val="00797049"/>
    <w:pPr>
      <w:ind w:left="630" w:hanging="360"/>
      <w:contextualSpacing/>
    </w:pPr>
  </w:style>
  <w:style w:type="paragraph" w:styleId="ListNumber4">
    <w:name w:val="List Number 4"/>
    <w:basedOn w:val="Normal"/>
    <w:uiPriority w:val="99"/>
    <w:unhideWhenUsed/>
    <w:rsid w:val="00797049"/>
    <w:pPr>
      <w:numPr>
        <w:numId w:val="5"/>
      </w:numPr>
      <w:contextualSpacing/>
    </w:pPr>
  </w:style>
  <w:style w:type="paragraph" w:styleId="ListNumber5">
    <w:name w:val="List Number 5"/>
    <w:basedOn w:val="Normal"/>
    <w:uiPriority w:val="99"/>
    <w:unhideWhenUsed/>
    <w:rsid w:val="00797049"/>
    <w:pPr>
      <w:numPr>
        <w:numId w:val="6"/>
      </w:numPr>
      <w:contextualSpacing/>
    </w:pPr>
  </w:style>
  <w:style w:type="table" w:styleId="LightShading">
    <w:name w:val="Light Shading"/>
    <w:basedOn w:val="TableNormal"/>
    <w:uiPriority w:val="60"/>
    <w:unhideWhenUsed/>
    <w:rsid w:val="007970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4">
    <w:name w:val="Grid Table 6 Colorful - Accent 54"/>
    <w:basedOn w:val="TableNormal"/>
    <w:uiPriority w:val="51"/>
    <w:rsid w:val="00797049"/>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3Char1">
    <w:name w:val="Heading 3 Char1"/>
    <w:basedOn w:val="DefaultParagraphFont"/>
    <w:uiPriority w:val="9"/>
    <w:semiHidden/>
    <w:rsid w:val="00797049"/>
    <w:rPr>
      <w:rFonts w:asciiTheme="majorHAnsi" w:eastAsiaTheme="majorEastAsia" w:hAnsiTheme="majorHAnsi" w:cstheme="majorBidi"/>
      <w:color w:val="1F4D78" w:themeColor="accent1" w:themeShade="7F"/>
      <w:sz w:val="24"/>
      <w:szCs w:val="24"/>
    </w:rPr>
  </w:style>
  <w:style w:type="table" w:customStyle="1" w:styleId="GridTable6Colorful-Accent13">
    <w:name w:val="Grid Table 6 Colorful - Accent 13"/>
    <w:basedOn w:val="TableNormal"/>
    <w:uiPriority w:val="51"/>
    <w:rsid w:val="00797049"/>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4Char2">
    <w:name w:val="Heading 4 Char2"/>
    <w:basedOn w:val="DefaultParagraphFont"/>
    <w:uiPriority w:val="9"/>
    <w:semiHidden/>
    <w:rsid w:val="00797049"/>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797049"/>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797049"/>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797049"/>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797049"/>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797049"/>
    <w:rPr>
      <w:rFonts w:asciiTheme="majorHAnsi" w:eastAsiaTheme="majorEastAsia" w:hAnsiTheme="majorHAnsi" w:cstheme="majorBidi"/>
      <w:i/>
      <w:iCs/>
      <w:color w:val="272727" w:themeColor="text1" w:themeTint="D8"/>
      <w:sz w:val="21"/>
      <w:szCs w:val="21"/>
    </w:rPr>
  </w:style>
  <w:style w:type="paragraph" w:styleId="IntenseQuote">
    <w:name w:val="Intense Quote"/>
    <w:basedOn w:val="Normal"/>
    <w:next w:val="Normal"/>
    <w:link w:val="IntenseQuoteChar"/>
    <w:uiPriority w:val="30"/>
    <w:qFormat/>
    <w:rsid w:val="00797049"/>
    <w:pPr>
      <w:pBdr>
        <w:top w:val="single" w:sz="4" w:space="10" w:color="5B9BD5" w:themeColor="accent1"/>
        <w:bottom w:val="single" w:sz="4" w:space="10" w:color="5B9BD5" w:themeColor="accent1"/>
      </w:pBdr>
      <w:spacing w:before="360" w:after="360"/>
      <w:ind w:left="864" w:right="864"/>
      <w:jc w:val="center"/>
    </w:pPr>
    <w:rPr>
      <w:rFonts w:ascii="Arial" w:eastAsia="MS PGothic" w:hAnsi="Arial" w:cs="Arial"/>
      <w:color w:val="EF4623"/>
      <w:sz w:val="28"/>
      <w:szCs w:val="28"/>
    </w:rPr>
  </w:style>
  <w:style w:type="character" w:customStyle="1" w:styleId="IntenseQuoteChar1">
    <w:name w:val="Intense Quote Char1"/>
    <w:basedOn w:val="DefaultParagraphFont"/>
    <w:uiPriority w:val="30"/>
    <w:rsid w:val="00797049"/>
    <w:rPr>
      <w:i/>
      <w:iCs/>
      <w:color w:val="5B9BD5" w:themeColor="accent1"/>
    </w:rPr>
  </w:style>
  <w:style w:type="character" w:styleId="SubtleEmphasis">
    <w:name w:val="Subtle Emphasis"/>
    <w:basedOn w:val="DefaultParagraphFont"/>
    <w:uiPriority w:val="19"/>
    <w:qFormat/>
    <w:rsid w:val="00797049"/>
    <w:rPr>
      <w:i/>
      <w:iCs/>
      <w:color w:val="404040" w:themeColor="text1" w:themeTint="BF"/>
    </w:rPr>
  </w:style>
  <w:style w:type="character" w:styleId="SubtleReference">
    <w:name w:val="Subtle Reference"/>
    <w:basedOn w:val="DefaultParagraphFont"/>
    <w:uiPriority w:val="31"/>
    <w:qFormat/>
    <w:rsid w:val="00797049"/>
    <w:rPr>
      <w:smallCaps/>
      <w:color w:val="5A5A5A" w:themeColor="text1" w:themeTint="A5"/>
    </w:rPr>
  </w:style>
  <w:style w:type="character" w:styleId="FollowedHyperlink">
    <w:name w:val="FollowedHyperlink"/>
    <w:basedOn w:val="DefaultParagraphFont"/>
    <w:uiPriority w:val="99"/>
    <w:semiHidden/>
    <w:unhideWhenUsed/>
    <w:rsid w:val="00797049"/>
    <w:rPr>
      <w:color w:val="954F72" w:themeColor="followedHyperlink"/>
      <w:u w:val="single"/>
    </w:rPr>
  </w:style>
  <w:style w:type="table" w:styleId="LightShading-Accent1">
    <w:name w:val="Light Shading Accent 1"/>
    <w:basedOn w:val="TableNormal"/>
    <w:uiPriority w:val="60"/>
    <w:unhideWhenUsed/>
    <w:rsid w:val="00797049"/>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6">
    <w:name w:val="Light Shading Accent 6"/>
    <w:basedOn w:val="TableNormal"/>
    <w:uiPriority w:val="60"/>
    <w:unhideWhenUsed/>
    <w:rsid w:val="00797049"/>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3">
    <w:name w:val="Grid Table 6 Colorful - Accent 43"/>
    <w:basedOn w:val="TableNormal"/>
    <w:uiPriority w:val="51"/>
    <w:rsid w:val="00797049"/>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3">
    <w:name w:val="Grid Table 6 Colorful - Accent 33"/>
    <w:basedOn w:val="TableNormal"/>
    <w:uiPriority w:val="51"/>
    <w:rsid w:val="0079704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3">
    <w:name w:val="Grid Table 4 - Accent 53"/>
    <w:basedOn w:val="TableNormal"/>
    <w:uiPriority w:val="49"/>
    <w:rsid w:val="0079704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3">
    <w:name w:val="Grid Table 5 Dark - Accent 53"/>
    <w:basedOn w:val="TableNormal"/>
    <w:uiPriority w:val="50"/>
    <w:rsid w:val="007970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3">
    <w:name w:val="List Table 6 Colorful - Accent 33"/>
    <w:basedOn w:val="TableNormal"/>
    <w:uiPriority w:val="51"/>
    <w:rsid w:val="00797049"/>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3">
    <w:name w:val="Grid Table 1 Light - Accent 13"/>
    <w:basedOn w:val="TableNormal"/>
    <w:uiPriority w:val="46"/>
    <w:rsid w:val="00797049"/>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3">
    <w:name w:val="List Table 1 Light - Accent 13"/>
    <w:basedOn w:val="TableNormal"/>
    <w:uiPriority w:val="46"/>
    <w:rsid w:val="00797049"/>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3">
    <w:name w:val="List Table 2 - Accent 13"/>
    <w:basedOn w:val="TableNormal"/>
    <w:uiPriority w:val="47"/>
    <w:rsid w:val="00797049"/>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3">
    <w:name w:val="List Table 2 - Accent 53"/>
    <w:basedOn w:val="TableNormal"/>
    <w:uiPriority w:val="47"/>
    <w:rsid w:val="00797049"/>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3">
    <w:name w:val="Grid Table 2 - Accent 53"/>
    <w:basedOn w:val="TableNormal"/>
    <w:uiPriority w:val="47"/>
    <w:rsid w:val="00797049"/>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LineNumber">
    <w:name w:val="line number"/>
    <w:basedOn w:val="DefaultParagraphFont"/>
    <w:uiPriority w:val="99"/>
    <w:semiHidden/>
    <w:unhideWhenUsed/>
    <w:rsid w:val="00E27F39"/>
  </w:style>
  <w:style w:type="table" w:customStyle="1" w:styleId="TableGrid22">
    <w:name w:val="Table Grid22"/>
    <w:basedOn w:val="TableNormal"/>
    <w:next w:val="TableGrid"/>
    <w:uiPriority w:val="39"/>
    <w:rsid w:val="00AE44EB"/>
    <w:pPr>
      <w:spacing w:before="120" w:after="120" w:line="264" w:lineRule="auto"/>
      <w:ind w:left="115" w:right="115"/>
    </w:pPr>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styleId="Caption">
    <w:name w:val="caption"/>
    <w:basedOn w:val="Normal"/>
    <w:next w:val="Normal"/>
    <w:uiPriority w:val="35"/>
    <w:unhideWhenUsed/>
    <w:qFormat/>
    <w:rsid w:val="002C0AD2"/>
    <w:rPr>
      <w:rFonts w:eastAsiaTheme="minorEastAsia"/>
      <w:b/>
      <w:bCs/>
      <w:smallCaps/>
      <w:color w:val="595959" w:themeColor="text1" w:themeTint="A6"/>
      <w:spacing w:val="6"/>
      <w:sz w:val="20"/>
      <w:szCs w:val="20"/>
      <w:lang w:eastAsia="ja-JP"/>
    </w:rPr>
  </w:style>
  <w:style w:type="numbering" w:customStyle="1" w:styleId="NoList4">
    <w:name w:val="No List4"/>
    <w:next w:val="NoList"/>
    <w:uiPriority w:val="99"/>
    <w:semiHidden/>
    <w:unhideWhenUsed/>
    <w:rsid w:val="00C1281D"/>
  </w:style>
  <w:style w:type="numbering" w:customStyle="1" w:styleId="NoList12">
    <w:name w:val="No List12"/>
    <w:next w:val="NoList"/>
    <w:uiPriority w:val="99"/>
    <w:semiHidden/>
    <w:unhideWhenUsed/>
    <w:rsid w:val="00C1281D"/>
  </w:style>
  <w:style w:type="table" w:customStyle="1" w:styleId="TableGrid4">
    <w:name w:val="Table Grid4"/>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2">
    <w:name w:val="Financial Table2"/>
    <w:basedOn w:val="TableNormal"/>
    <w:uiPriority w:val="99"/>
    <w:rsid w:val="00C1281D"/>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1">
    <w:name w:val="Light Shading11"/>
    <w:basedOn w:val="TableNormal"/>
    <w:next w:val="LightShading"/>
    <w:uiPriority w:val="60"/>
    <w:rsid w:val="00C1281D"/>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5">
    <w:name w:val="Grid Table 6 Colorful - Accent 515"/>
    <w:basedOn w:val="TableNormal"/>
    <w:next w:val="GridTable6Colorful-Accent54"/>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6">
    <w:name w:val="Light Shading - Accent 126"/>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2">
    <w:name w:val="Grid Table 6 Colorful - Accent 5112"/>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2">
    <w:name w:val="Light Shading - Accent 121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1">
    <w:name w:val="Grid Table 6 Colorful - Accent 111"/>
    <w:basedOn w:val="TableNormal"/>
    <w:next w:val="GridTable6Colorful-Accent13"/>
    <w:uiPriority w:val="51"/>
    <w:rsid w:val="00C1281D"/>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2">
    <w:name w:val="Light Shading - Accent 122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2">
    <w:name w:val="Grid Table 6 Colorful - Accent 522"/>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5">
    <w:name w:val="tabele 35"/>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2">
    <w:name w:val="Light Shading - Accent 11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6">
    <w:name w:val="Light Shading - Accent 36"/>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6">
    <w:name w:val="Light List - Accent 56"/>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5">
    <w:name w:val="Light Shading - Accent 315"/>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6">
    <w:name w:val="Light List - Accent 316"/>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2">
    <w:name w:val="Table Grid12"/>
    <w:basedOn w:val="TableNormal"/>
    <w:next w:val="TableGrid"/>
    <w:uiPriority w:val="59"/>
    <w:rsid w:val="00C1281D"/>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5">
    <w:name w:val="Light List - Accent 515"/>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2">
    <w:name w:val="Medium List 1 - Accent 512"/>
    <w:basedOn w:val="TableNormal"/>
    <w:next w:val="MediumList1-Accent5"/>
    <w:uiPriority w:val="65"/>
    <w:rsid w:val="00C1281D"/>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olas" w:eastAsia="Times New Roman" w:hAnsi="Consolas"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3">
    <w:name w:val="Medium List 1 - Accent 53"/>
    <w:basedOn w:val="TableNormal"/>
    <w:next w:val="MediumList1-Accent5"/>
    <w:uiPriority w:val="65"/>
    <w:rsid w:val="00C1281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2">
    <w:name w:val="No List112"/>
    <w:next w:val="NoList"/>
    <w:uiPriority w:val="99"/>
    <w:semiHidden/>
    <w:unhideWhenUsed/>
    <w:rsid w:val="00C1281D"/>
  </w:style>
  <w:style w:type="table" w:customStyle="1" w:styleId="LightGrid-Accent516">
    <w:name w:val="Light Grid - Accent 516"/>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5">
    <w:name w:val="Светло сенчење – наглашавање 115"/>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7">
    <w:name w:val="Light Grid - Accent 57"/>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2">
    <w:name w:val="tabele za ifs2"/>
    <w:basedOn w:val="TableNormal"/>
    <w:uiPriority w:val="99"/>
    <w:qFormat/>
    <w:rsid w:val="00C1281D"/>
    <w:pPr>
      <w:spacing w:after="0" w:line="240" w:lineRule="auto"/>
    </w:pPr>
    <w:rPr>
      <w:rFonts w:ascii="Cambria Math" w:eastAsia="Calibri" w:hAnsi="Cambria Math" w:cs="Times New Roman"/>
      <w:sz w:val="20"/>
      <w:szCs w:val="20"/>
      <w:lang w:val="en-GB" w:eastAsia="en-GB"/>
    </w:rPr>
    <w:tblPr/>
  </w:style>
  <w:style w:type="table" w:customStyle="1" w:styleId="tabelezaifs12">
    <w:name w:val="tabele za ifs 12"/>
    <w:basedOn w:val="TableNormal"/>
    <w:uiPriority w:val="66"/>
    <w:rsid w:val="00C1281D"/>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2">
    <w:name w:val="Colorful List - Accent 12"/>
    <w:basedOn w:val="TableNormal"/>
    <w:next w:val="ColorfulList-Accent1"/>
    <w:uiPriority w:val="72"/>
    <w:rsid w:val="00C1281D"/>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2">
    <w:name w:val="No List22"/>
    <w:next w:val="NoList"/>
    <w:uiPriority w:val="99"/>
    <w:semiHidden/>
    <w:unhideWhenUsed/>
    <w:rsid w:val="00C1281D"/>
  </w:style>
  <w:style w:type="table" w:customStyle="1" w:styleId="LightList-Accent325">
    <w:name w:val="Light List - Accent 325"/>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5">
    <w:name w:val="Light List - Accent 3115"/>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9">
    <w:name w:val="Light Shading - Accent 1319"/>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0">
    <w:name w:val="Light Shading - Accent 13110"/>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5">
    <w:name w:val="Light Shading - Accent 1325"/>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2">
    <w:name w:val="tabele 31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3">
    <w:name w:val="Light Shading - Accent 111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2">
    <w:name w:val="Light Shading - Accent 32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2">
    <w:name w:val="Light List - Accent 52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2">
    <w:name w:val="Light Shading - Accent 311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2">
    <w:name w:val="Light List - Accent 312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2">
    <w:name w:val="Light List - Accent 511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3">
    <w:name w:val="Light Grid - Accent 511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2">
    <w:name w:val="Светло сенчење – наглашавање 111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3">
    <w:name w:val="Light Grid - Accent 52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2">
    <w:name w:val="Light List - Accent 321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2">
    <w:name w:val="Light List - Accent 311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2">
    <w:name w:val="Light Shading - Accent 133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2">
    <w:name w:val="Light Shading - Accent 13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2">
    <w:name w:val="Light Shading - Accent 132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2">
    <w:name w:val="Light Shading - Accent 112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2">
    <w:name w:val="Light Shading - Accent 134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2">
    <w:name w:val="Light Shading - Accent 113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2">
    <w:name w:val="Light Shading - Accent 135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3">
    <w:name w:val="Light Shading - Accent 136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2">
    <w:name w:val="Light Shading - Accent 137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2">
    <w:name w:val="tabele 32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2">
    <w:name w:val="Light Shading - Accent 114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5">
    <w:name w:val="Light Shading - Accent 335"/>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2">
    <w:name w:val="Light List - Accent 53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2">
    <w:name w:val="Light Shading - Accent 312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2">
    <w:name w:val="Light List - Accent 313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2">
    <w:name w:val="Light List - Accent 512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3">
    <w:name w:val="Light Grid - Accent 512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2">
    <w:name w:val="Светло сенчење – наглашавање 112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3">
    <w:name w:val="Light Grid - Accent 53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2">
    <w:name w:val="Light List - Accent 322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2">
    <w:name w:val="Light List - Accent 3112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3">
    <w:name w:val="Light Shading - Accent 138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2">
    <w:name w:val="Light Shading - Accent 131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2">
    <w:name w:val="Light Shading - Accent 132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2">
    <w:name w:val="Light Shading - Accent 115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3">
    <w:name w:val="Light Shading - Accent 139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3">
    <w:name w:val="Light Shading - Accent 116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3">
    <w:name w:val="Light Shading - Accent 1310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2">
    <w:name w:val="Light Shading - Accent 1313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2">
    <w:name w:val="tabele 33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2">
    <w:name w:val="Light Shading - Accent 117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4">
    <w:name w:val="Light Shading - Accent 344"/>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2">
    <w:name w:val="Light List - Accent 54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2">
    <w:name w:val="Light Shading - Accent 313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2">
    <w:name w:val="Light List - Accent 314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2">
    <w:name w:val="Light List - Accent 513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3">
    <w:name w:val="Light Grid - Accent 513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2">
    <w:name w:val="Светло сенчење – наглашавање 113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3">
    <w:name w:val="Light Grid - Accent 54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2">
    <w:name w:val="Light Shading - Accent 123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2">
    <w:name w:val="Light List - Accent 323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2">
    <w:name w:val="Light List - Accent 3113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2">
    <w:name w:val="Light Shading - Accent 1314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2">
    <w:name w:val="Light Shading - Accent 1315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2">
    <w:name w:val="Light Shading - Accent 1323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2">
    <w:name w:val="Light Shading - Accent 1316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2">
    <w:name w:val="Light Shading - Accent 138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2">
    <w:name w:val="Light Shading - Accent 118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2">
    <w:name w:val="Light Shading - Accent 139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2">
    <w:name w:val="Light Shading - Accent 116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2">
    <w:name w:val="Light Shading - Accent 1310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2">
    <w:name w:val="Light Shading - Accent 136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2">
    <w:name w:val="Light Shading - Accent 119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1">
    <w:name w:val="Light Shading - Accent 141"/>
    <w:basedOn w:val="TableNormal"/>
    <w:next w:val="LightShading-Accent1"/>
    <w:uiPriority w:val="60"/>
    <w:rsid w:val="00C1281D"/>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2">
    <w:name w:val="Light Shading - Accent 33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2">
    <w:name w:val="Light Shading - Accent 332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2">
    <w:name w:val="Light Shading - Accent 333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2">
    <w:name w:val="Light Shading - Accent 34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2">
    <w:name w:val="Light Shading - Accent 342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2">
    <w:name w:val="Light Grid - Accent 514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2">
    <w:name w:val="Light Grid - Accent 55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2">
    <w:name w:val="Light Grid - Accent 511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2">
    <w:name w:val="Light Grid - Accent 52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2">
    <w:name w:val="Light Grid - Accent 512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2">
    <w:name w:val="Light Grid - Accent 53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2">
    <w:name w:val="Light Grid - Accent 513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2">
    <w:name w:val="Light Grid - Accent 54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2">
    <w:name w:val="Light Shading - Accent 612"/>
    <w:basedOn w:val="TableNormal"/>
    <w:next w:val="LightShading-Accent6"/>
    <w:uiPriority w:val="60"/>
    <w:rsid w:val="00C1281D"/>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2">
    <w:name w:val="Grid Table 6 Colorful - Accent 412"/>
    <w:basedOn w:val="TableNormal"/>
    <w:next w:val="GridTable6Colorful-Accent43"/>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1">
    <w:name w:val="Light Shading - Accent 6111"/>
    <w:basedOn w:val="TableNormal"/>
    <w:next w:val="LightShading-Accent6"/>
    <w:uiPriority w:val="60"/>
    <w:rsid w:val="00C1281D"/>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2">
    <w:name w:val="Grid Table 6 Colorful - Accent 312"/>
    <w:basedOn w:val="TableNormal"/>
    <w:next w:val="Grid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1">
    <w:name w:val="Grid Table 4 - Accent 511"/>
    <w:basedOn w:val="TableNormal"/>
    <w:next w:val="GridTable4-Accent53"/>
    <w:uiPriority w:val="49"/>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1">
    <w:name w:val="Grid Table 5 Dark - Accent 511"/>
    <w:basedOn w:val="TableNormal"/>
    <w:next w:val="GridTable5Dark-Accent53"/>
    <w:uiPriority w:val="50"/>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2">
    <w:name w:val="ФС2"/>
    <w:basedOn w:val="TableNormal"/>
    <w:uiPriority w:val="99"/>
    <w:rsid w:val="00C1281D"/>
    <w:pPr>
      <w:spacing w:after="0" w:line="240" w:lineRule="auto"/>
    </w:pPr>
    <w:rPr>
      <w:rFonts w:ascii="Calibri" w:eastAsia="Calibri" w:hAnsi="Calibri" w:cs="Times New Roman"/>
      <w:sz w:val="20"/>
      <w:szCs w:val="20"/>
    </w:rPr>
    <w:tblPr/>
  </w:style>
  <w:style w:type="table" w:customStyle="1" w:styleId="ListTable6Colorful-Accent311">
    <w:name w:val="List Table 6 Colorful - Accent 311"/>
    <w:basedOn w:val="TableNormal"/>
    <w:next w:val="List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1">
    <w:name w:val="Grid Table 1 Light - Accent 111"/>
    <w:basedOn w:val="TableNormal"/>
    <w:next w:val="GridTable1Light-Accent13"/>
    <w:uiPriority w:val="46"/>
    <w:rsid w:val="00C1281D"/>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1">
    <w:name w:val="List Table 1 Light - Accent 111"/>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1">
    <w:name w:val="List Table 2 - Accent 111"/>
    <w:basedOn w:val="TableNormal"/>
    <w:next w:val="ListTable2-Accent13"/>
    <w:uiPriority w:val="47"/>
    <w:rsid w:val="00C1281D"/>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1">
    <w:name w:val="List Table 2 - Accent 511"/>
    <w:basedOn w:val="TableNormal"/>
    <w:next w:val="ListTable2-Accent53"/>
    <w:uiPriority w:val="47"/>
    <w:rsid w:val="00C1281D"/>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1">
    <w:name w:val="Grid Table 2 - Accent 511"/>
    <w:basedOn w:val="TableNormal"/>
    <w:next w:val="GridTable2-Accent53"/>
    <w:uiPriority w:val="47"/>
    <w:rsid w:val="00C1281D"/>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21">
    <w:name w:val="Table Grid221"/>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2">
    <w:name w:val="Light Shading - Accent 124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1">
    <w:name w:val="Grid Table 6 Colorful - Accent 5121"/>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1">
    <w:name w:val="Grid Table 6 Colorful - Accent 5131"/>
    <w:basedOn w:val="TableNormal"/>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1">
    <w:name w:val="No List31"/>
    <w:next w:val="NoList"/>
    <w:uiPriority w:val="99"/>
    <w:semiHidden/>
    <w:unhideWhenUsed/>
    <w:rsid w:val="00C1281D"/>
  </w:style>
  <w:style w:type="table" w:customStyle="1" w:styleId="TableGrid31">
    <w:name w:val="Table Grid31"/>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1">
    <w:name w:val="Financial Table11"/>
    <w:basedOn w:val="TableNormal"/>
    <w:uiPriority w:val="99"/>
    <w:rsid w:val="00C1281D"/>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1">
    <w:name w:val="Grid Table 6 Colorful - Accent 531"/>
    <w:basedOn w:val="TableNormal"/>
    <w:next w:val="GridTable6Colorful-Accent54"/>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2">
    <w:name w:val="Light Shading - Accent 125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1">
    <w:name w:val="Grid Table 6 Colorful - Accent 5141"/>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1">
    <w:name w:val="Light Shading - Accent 12111"/>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1">
    <w:name w:val="Grid Table 6 Colorful - Accent 51111"/>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1">
    <w:name w:val="Grid Table 6 Colorful - Accent 121"/>
    <w:basedOn w:val="TableNormal"/>
    <w:next w:val="GridTable6Colorful-Accent13"/>
    <w:uiPriority w:val="51"/>
    <w:rsid w:val="00C1281D"/>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1">
    <w:name w:val="Light Shading - Accent 12211"/>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1">
    <w:name w:val="Grid Table 6 Colorful - Accent 5211"/>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1">
    <w:name w:val="tabele 341"/>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1">
    <w:name w:val="Light Shading - Accent 1110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1">
    <w:name w:val="Light Shading - Accent 35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1">
    <w:name w:val="Light List - Accent 551"/>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1">
    <w:name w:val="Light Shading - Accent 3141"/>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1">
    <w:name w:val="Light List - Accent 315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1">
    <w:name w:val="Table Grid111"/>
    <w:basedOn w:val="TableNormal"/>
    <w:next w:val="TableGrid"/>
    <w:uiPriority w:val="59"/>
    <w:rsid w:val="00C1281D"/>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1">
    <w:name w:val="Light List - Accent 5141"/>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1">
    <w:name w:val="Medium List 1 - Accent 5111"/>
    <w:basedOn w:val="TableNormal"/>
    <w:next w:val="MediumList1-Accent5"/>
    <w:uiPriority w:val="65"/>
    <w:rsid w:val="00C1281D"/>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olas" w:eastAsia="Times New Roman" w:hAnsi="Consolas"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1">
    <w:name w:val="Medium List 1 - Accent 521"/>
    <w:basedOn w:val="TableNormal"/>
    <w:next w:val="MediumList1-Accent5"/>
    <w:uiPriority w:val="65"/>
    <w:rsid w:val="00C1281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1">
    <w:name w:val="No List1111"/>
    <w:next w:val="NoList"/>
    <w:uiPriority w:val="99"/>
    <w:semiHidden/>
    <w:unhideWhenUsed/>
    <w:rsid w:val="00C1281D"/>
  </w:style>
  <w:style w:type="table" w:customStyle="1" w:styleId="LightGrid-Accent5151">
    <w:name w:val="Light Grid - Accent 515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1">
    <w:name w:val="Светло сенчење – наглашавање 1141"/>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1">
    <w:name w:val="Light Grid - Accent 56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10">
    <w:name w:val="tabele za ifs11"/>
    <w:basedOn w:val="TableNormal"/>
    <w:uiPriority w:val="99"/>
    <w:qFormat/>
    <w:rsid w:val="00C1281D"/>
    <w:pPr>
      <w:spacing w:after="0" w:line="240" w:lineRule="auto"/>
    </w:pPr>
    <w:rPr>
      <w:rFonts w:ascii="Cambria Math" w:eastAsia="Calibri" w:hAnsi="Cambria Math" w:cs="Times New Roman"/>
      <w:sz w:val="20"/>
      <w:szCs w:val="20"/>
      <w:lang w:val="en-GB" w:eastAsia="en-GB"/>
    </w:rPr>
    <w:tblPr/>
  </w:style>
  <w:style w:type="table" w:customStyle="1" w:styleId="tabelezaifs111">
    <w:name w:val="tabele za ifs 111"/>
    <w:basedOn w:val="TableNormal"/>
    <w:uiPriority w:val="66"/>
    <w:rsid w:val="00C1281D"/>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1">
    <w:name w:val="Colorful List - Accent 111"/>
    <w:basedOn w:val="TableNormal"/>
    <w:next w:val="ColorfulList-Accent1"/>
    <w:uiPriority w:val="72"/>
    <w:rsid w:val="00C1281D"/>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1">
    <w:name w:val="No List211"/>
    <w:next w:val="NoList"/>
    <w:uiPriority w:val="99"/>
    <w:semiHidden/>
    <w:unhideWhenUsed/>
    <w:rsid w:val="00C1281D"/>
  </w:style>
  <w:style w:type="table" w:customStyle="1" w:styleId="LightList-Accent3241">
    <w:name w:val="Light List - Accent 3241"/>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1">
    <w:name w:val="Light List - Accent 3114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1">
    <w:name w:val="Light Shading - Accent 1317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1">
    <w:name w:val="Light Shading - Accent 1318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1">
    <w:name w:val="Light Shading - Accent 1324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1">
    <w:name w:val="tabele 3111"/>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1">
    <w:name w:val="Light Shading - Accent 111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1">
    <w:name w:val="Light Shading - Accent 32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1">
    <w:name w:val="Light List - Accent 5211"/>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1">
    <w:name w:val="Light Shading - Accent 31111"/>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1">
    <w:name w:val="Light List - Accent 312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1">
    <w:name w:val="Light List - Accent 51111"/>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1">
    <w:name w:val="Light Grid - Accent 5112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1">
    <w:name w:val="Светло сенчење – наглашавање 11111"/>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1">
    <w:name w:val="Light Grid - Accent 522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1">
    <w:name w:val="Light List - Accent 32111"/>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1">
    <w:name w:val="Light List - Accent 3111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1">
    <w:name w:val="Light Shading - Accent 133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1">
    <w:name w:val="Light Shading - Accent 131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1">
    <w:name w:val="Light Shading - Accent 132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1">
    <w:name w:val="Light Shading - Accent 112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1">
    <w:name w:val="Light Shading - Accent 134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1">
    <w:name w:val="Light Shading - Accent 113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1">
    <w:name w:val="Light Shading - Accent 135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1">
    <w:name w:val="Light Shading - Accent 1362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1">
    <w:name w:val="Light Shading - Accent 137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1">
    <w:name w:val="tabele 3211"/>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1">
    <w:name w:val="Light Shading - Accent 114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1">
    <w:name w:val="Light Shading - Accent 3341"/>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1">
    <w:name w:val="Light List - Accent 5311"/>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1">
    <w:name w:val="Light Shading - Accent 31211"/>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1">
    <w:name w:val="Light List - Accent 313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1">
    <w:name w:val="Light List - Accent 51211"/>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1">
    <w:name w:val="Light Grid - Accent 5122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1">
    <w:name w:val="Светло сенчење – наглашавање 11211"/>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1">
    <w:name w:val="Light Grid - Accent 532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1">
    <w:name w:val="Light List - Accent 32211"/>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1">
    <w:name w:val="Light List - Accent 3112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1">
    <w:name w:val="Light Shading - Accent 1382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1">
    <w:name w:val="Light Shading - Accent 1312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1">
    <w:name w:val="Light Shading - Accent 1322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1">
    <w:name w:val="Light Shading - Accent 115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1">
    <w:name w:val="Light Shading - Accent 1392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1">
    <w:name w:val="Light Shading - Accent 1162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1">
    <w:name w:val="Light Shading - Accent 13102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1">
    <w:name w:val="Light Shading - Accent 1313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1">
    <w:name w:val="tabele 3311"/>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1">
    <w:name w:val="Light Shading - Accent 117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1">
    <w:name w:val="Light Shading - Accent 343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1">
    <w:name w:val="Light List - Accent 5411"/>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1">
    <w:name w:val="Light Shading - Accent 31311"/>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1">
    <w:name w:val="Light List - Accent 314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1">
    <w:name w:val="Light List - Accent 51311"/>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1">
    <w:name w:val="Light Grid - Accent 5132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1">
    <w:name w:val="Светло сенчење – наглашавање 11311"/>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1">
    <w:name w:val="Light Grid - Accent 542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1">
    <w:name w:val="Light Shading - Accent 12311"/>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1">
    <w:name w:val="Light List - Accent 32311"/>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1">
    <w:name w:val="Light List - Accent 311311"/>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1">
    <w:name w:val="Light Shading - Accent 1314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1">
    <w:name w:val="Light Shading - Accent 1315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1">
    <w:name w:val="Light Shading - Accent 1323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1">
    <w:name w:val="Light Shading - Accent 1316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1">
    <w:name w:val="Light Shading - Accent 138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1">
    <w:name w:val="Light Shading - Accent 118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1">
    <w:name w:val="Light Shading - Accent 139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1">
    <w:name w:val="Light Shading - Accent 116111"/>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1">
    <w:name w:val="Light Shading - Accent 1310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1">
    <w:name w:val="Light Shading - Accent 1361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1">
    <w:name w:val="Light Shading - Accent 11911"/>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1">
    <w:name w:val="Light Shading - Accent 331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1">
    <w:name w:val="Light Shading - Accent 332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1">
    <w:name w:val="Light Shading - Accent 333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1">
    <w:name w:val="Light Shading - Accent 341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1">
    <w:name w:val="Light Shading - Accent 34211"/>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1">
    <w:name w:val="Light Grid - Accent 5141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1">
    <w:name w:val="Light Grid - Accent 551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1">
    <w:name w:val="Light Grid - Accent 51111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1">
    <w:name w:val="Light Grid - Accent 5211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1">
    <w:name w:val="Light Grid - Accent 51211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1">
    <w:name w:val="Light Grid - Accent 5311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1">
    <w:name w:val="Light Grid - Accent 513111"/>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1">
    <w:name w:val="Light Grid - Accent 54111"/>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1">
    <w:name w:val="Light Shading - Accent 621"/>
    <w:basedOn w:val="TableNormal"/>
    <w:next w:val="LightShading-Accent6"/>
    <w:uiPriority w:val="60"/>
    <w:rsid w:val="00C1281D"/>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1">
    <w:name w:val="Grid Table 6 Colorful - Accent 421"/>
    <w:basedOn w:val="TableNormal"/>
    <w:next w:val="GridTable6Colorful-Accent43"/>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1">
    <w:name w:val="Grid Table 6 Colorful - Accent 321"/>
    <w:basedOn w:val="TableNormal"/>
    <w:next w:val="Grid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1">
    <w:name w:val="Grid Table 4 - Accent 521"/>
    <w:basedOn w:val="TableNormal"/>
    <w:next w:val="GridTable4-Accent53"/>
    <w:uiPriority w:val="49"/>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1">
    <w:name w:val="Grid Table 5 Dark - Accent 521"/>
    <w:basedOn w:val="TableNormal"/>
    <w:next w:val="GridTable5Dark-Accent53"/>
    <w:uiPriority w:val="50"/>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10">
    <w:name w:val="ФС11"/>
    <w:basedOn w:val="TableNormal"/>
    <w:uiPriority w:val="99"/>
    <w:rsid w:val="00C1281D"/>
    <w:pPr>
      <w:spacing w:after="0" w:line="240" w:lineRule="auto"/>
    </w:pPr>
    <w:rPr>
      <w:rFonts w:ascii="Calibri" w:eastAsia="Calibri" w:hAnsi="Calibri" w:cs="Times New Roman"/>
      <w:sz w:val="20"/>
      <w:szCs w:val="20"/>
    </w:rPr>
    <w:tblPr/>
  </w:style>
  <w:style w:type="table" w:customStyle="1" w:styleId="ListTable6Colorful-Accent321">
    <w:name w:val="List Table 6 Colorful - Accent 321"/>
    <w:basedOn w:val="TableNormal"/>
    <w:next w:val="List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1">
    <w:name w:val="Grid Table 1 Light - Accent 121"/>
    <w:basedOn w:val="TableNormal"/>
    <w:next w:val="GridTable1Light-Accent13"/>
    <w:uiPriority w:val="46"/>
    <w:rsid w:val="00C1281D"/>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1">
    <w:name w:val="List Table 1 Light - Accent 121"/>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1">
    <w:name w:val="List Table 2 - Accent 121"/>
    <w:basedOn w:val="TableNormal"/>
    <w:next w:val="ListTable2-Accent13"/>
    <w:uiPriority w:val="47"/>
    <w:rsid w:val="00C1281D"/>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1">
    <w:name w:val="List Table 2 - Accent 521"/>
    <w:basedOn w:val="TableNormal"/>
    <w:next w:val="ListTable2-Accent53"/>
    <w:uiPriority w:val="47"/>
    <w:rsid w:val="00C1281D"/>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1">
    <w:name w:val="Grid Table 2 - Accent 521"/>
    <w:basedOn w:val="TableNormal"/>
    <w:next w:val="GridTable2-Accent53"/>
    <w:uiPriority w:val="47"/>
    <w:rsid w:val="00C1281D"/>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1">
    <w:name w:val="Grid Table 6 Colorful - Accent 4111"/>
    <w:basedOn w:val="TableNormal"/>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1">
    <w:name w:val="Grid Table 6 Colorful - Accent 3111"/>
    <w:basedOn w:val="TableNormal"/>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1">
    <w:name w:val="Table Grid211"/>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1">
    <w:name w:val="Light Shading - Accent 12411"/>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1">
    <w:name w:val="Light Shading - Accent 12511"/>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2">
    <w:name w:val="Light Shading2"/>
    <w:basedOn w:val="TableNormal"/>
    <w:next w:val="LightShading"/>
    <w:uiPriority w:val="60"/>
    <w:semiHidden/>
    <w:unhideWhenUsed/>
    <w:rsid w:val="00C1281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40">
    <w:name w:val="Grid Table 6 Colorful - Accent 54"/>
    <w:basedOn w:val="TableNormal"/>
    <w:next w:val="GridTable6Colorful-Accent54"/>
    <w:uiPriority w:val="51"/>
    <w:rsid w:val="00C1281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30">
    <w:name w:val="Grid Table 6 Colorful - Accent 13"/>
    <w:basedOn w:val="TableNormal"/>
    <w:next w:val="GridTable6Colorful-Accent13"/>
    <w:uiPriority w:val="51"/>
    <w:rsid w:val="00C1281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5">
    <w:name w:val="Light Shading - Accent 15"/>
    <w:basedOn w:val="TableNormal"/>
    <w:next w:val="LightShading-Accent1"/>
    <w:uiPriority w:val="60"/>
    <w:semiHidden/>
    <w:unhideWhenUsed/>
    <w:rsid w:val="00C1281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3">
    <w:name w:val="Light Shading - Accent 63"/>
    <w:basedOn w:val="TableNormal"/>
    <w:next w:val="LightShading-Accent6"/>
    <w:uiPriority w:val="60"/>
    <w:semiHidden/>
    <w:unhideWhenUsed/>
    <w:rsid w:val="00C1281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30">
    <w:name w:val="Grid Table 6 Colorful - Accent 43"/>
    <w:basedOn w:val="TableNormal"/>
    <w:next w:val="GridTable6Colorful-Accent43"/>
    <w:uiPriority w:val="51"/>
    <w:rsid w:val="00C1281D"/>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30">
    <w:name w:val="Grid Table 6 Colorful - Accent 33"/>
    <w:basedOn w:val="TableNormal"/>
    <w:next w:val="GridTable6Colorful-Accent33"/>
    <w:uiPriority w:val="51"/>
    <w:rsid w:val="00C1281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30">
    <w:name w:val="Grid Table 4 - Accent 53"/>
    <w:basedOn w:val="TableNormal"/>
    <w:next w:val="GridTable4-Accent53"/>
    <w:uiPriority w:val="49"/>
    <w:rsid w:val="00C1281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30">
    <w:name w:val="Grid Table 5 Dark - Accent 53"/>
    <w:basedOn w:val="TableNormal"/>
    <w:next w:val="GridTable5Dark-Accent53"/>
    <w:uiPriority w:val="50"/>
    <w:rsid w:val="00C128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30">
    <w:name w:val="List Table 6 Colorful - Accent 33"/>
    <w:basedOn w:val="TableNormal"/>
    <w:next w:val="ListTable6Colorful-Accent33"/>
    <w:uiPriority w:val="51"/>
    <w:rsid w:val="00C1281D"/>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30">
    <w:name w:val="Grid Table 1 Light - Accent 13"/>
    <w:basedOn w:val="TableNormal"/>
    <w:next w:val="GridTable1Light-Accent13"/>
    <w:uiPriority w:val="46"/>
    <w:rsid w:val="00C1281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30">
    <w:name w:val="List Table 1 Light - Accent 13"/>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30">
    <w:name w:val="List Table 2 - Accent 13"/>
    <w:basedOn w:val="TableNormal"/>
    <w:next w:val="ListTable2-Accent13"/>
    <w:uiPriority w:val="47"/>
    <w:rsid w:val="00C1281D"/>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30">
    <w:name w:val="List Table 2 - Accent 53"/>
    <w:basedOn w:val="TableNormal"/>
    <w:next w:val="ListTable2-Accent53"/>
    <w:uiPriority w:val="47"/>
    <w:rsid w:val="00C1281D"/>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30">
    <w:name w:val="Grid Table 2 - Accent 53"/>
    <w:basedOn w:val="TableNormal"/>
    <w:next w:val="GridTable2-Accent53"/>
    <w:uiPriority w:val="47"/>
    <w:rsid w:val="00C1281D"/>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rsid w:val="00C1281D"/>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NoList5">
    <w:name w:val="No List5"/>
    <w:next w:val="NoList"/>
    <w:uiPriority w:val="99"/>
    <w:semiHidden/>
    <w:unhideWhenUsed/>
    <w:rsid w:val="00C1281D"/>
  </w:style>
  <w:style w:type="numbering" w:customStyle="1" w:styleId="NoList13">
    <w:name w:val="No List13"/>
    <w:next w:val="NoList"/>
    <w:uiPriority w:val="99"/>
    <w:semiHidden/>
    <w:unhideWhenUsed/>
    <w:rsid w:val="00C1281D"/>
  </w:style>
  <w:style w:type="table" w:customStyle="1" w:styleId="TableGrid5">
    <w:name w:val="Table Grid5"/>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3">
    <w:name w:val="Financial Table3"/>
    <w:basedOn w:val="TableNormal"/>
    <w:uiPriority w:val="99"/>
    <w:rsid w:val="00C1281D"/>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2">
    <w:name w:val="Light Shading12"/>
    <w:basedOn w:val="TableNormal"/>
    <w:next w:val="LightShading"/>
    <w:uiPriority w:val="60"/>
    <w:rsid w:val="00C1281D"/>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6">
    <w:name w:val="Grid Table 6 Colorful - Accent 516"/>
    <w:basedOn w:val="TableNormal"/>
    <w:next w:val="GridTable6Colorful-Accent54"/>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7">
    <w:name w:val="Light Shading - Accent 127"/>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3">
    <w:name w:val="Grid Table 6 Colorful - Accent 5113"/>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3">
    <w:name w:val="Light Shading - Accent 1213"/>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2">
    <w:name w:val="Grid Table 6 Colorful - Accent 112"/>
    <w:basedOn w:val="TableNormal"/>
    <w:next w:val="GridTable6Colorful-Accent13"/>
    <w:uiPriority w:val="51"/>
    <w:rsid w:val="00C1281D"/>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3">
    <w:name w:val="Light Shading - Accent 1223"/>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3">
    <w:name w:val="Grid Table 6 Colorful - Accent 523"/>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6">
    <w:name w:val="tabele 36"/>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4">
    <w:name w:val="Light Shading - Accent 1114"/>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7">
    <w:name w:val="Light Shading - Accent 37"/>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7">
    <w:name w:val="Light List - Accent 57"/>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6">
    <w:name w:val="Light Shading - Accent 316"/>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7">
    <w:name w:val="Light List - Accent 317"/>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3">
    <w:name w:val="Table Grid13"/>
    <w:basedOn w:val="TableNormal"/>
    <w:next w:val="TableGrid"/>
    <w:uiPriority w:val="59"/>
    <w:rsid w:val="00C1281D"/>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6">
    <w:name w:val="Light List - Accent 516"/>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3">
    <w:name w:val="Medium List 1 - Accent 513"/>
    <w:basedOn w:val="TableNormal"/>
    <w:next w:val="MediumList1-Accent5"/>
    <w:uiPriority w:val="65"/>
    <w:rsid w:val="00C1281D"/>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4">
    <w:name w:val="Medium List 1 - Accent 54"/>
    <w:basedOn w:val="TableNormal"/>
    <w:next w:val="MediumList1-Accent5"/>
    <w:uiPriority w:val="65"/>
    <w:rsid w:val="00C1281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3">
    <w:name w:val="No List113"/>
    <w:next w:val="NoList"/>
    <w:uiPriority w:val="99"/>
    <w:semiHidden/>
    <w:unhideWhenUsed/>
    <w:rsid w:val="00C1281D"/>
  </w:style>
  <w:style w:type="table" w:customStyle="1" w:styleId="LightGrid-Accent517">
    <w:name w:val="Light Grid - Accent 517"/>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6">
    <w:name w:val="Светло сенчење – наглашавање 116"/>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8">
    <w:name w:val="Light Grid - Accent 58"/>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3">
    <w:name w:val="tabele za ifs3"/>
    <w:basedOn w:val="TableNormal"/>
    <w:uiPriority w:val="99"/>
    <w:qFormat/>
    <w:rsid w:val="00C1281D"/>
    <w:pPr>
      <w:spacing w:after="0" w:line="240" w:lineRule="auto"/>
    </w:pPr>
    <w:rPr>
      <w:rFonts w:ascii="Cambria Math" w:eastAsia="Calibri" w:hAnsi="Cambria Math" w:cs="Times New Roman"/>
      <w:sz w:val="20"/>
      <w:szCs w:val="20"/>
      <w:lang w:val="en-GB" w:eastAsia="en-GB"/>
    </w:rPr>
    <w:tblPr/>
  </w:style>
  <w:style w:type="table" w:customStyle="1" w:styleId="tabelezaifs13">
    <w:name w:val="tabele za ifs 13"/>
    <w:basedOn w:val="TableNormal"/>
    <w:uiPriority w:val="66"/>
    <w:rsid w:val="00C1281D"/>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3">
    <w:name w:val="Colorful List - Accent 13"/>
    <w:basedOn w:val="TableNormal"/>
    <w:next w:val="ColorfulList-Accent1"/>
    <w:uiPriority w:val="72"/>
    <w:rsid w:val="00C1281D"/>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3">
    <w:name w:val="No List23"/>
    <w:next w:val="NoList"/>
    <w:uiPriority w:val="99"/>
    <w:semiHidden/>
    <w:unhideWhenUsed/>
    <w:rsid w:val="00C1281D"/>
  </w:style>
  <w:style w:type="table" w:customStyle="1" w:styleId="LightList-Accent326">
    <w:name w:val="Light List - Accent 326"/>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6">
    <w:name w:val="Light List - Accent 3116"/>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20">
    <w:name w:val="Light Shading - Accent 1320"/>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3">
    <w:name w:val="Light Shading - Accent 131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6">
    <w:name w:val="Light Shading - Accent 1326"/>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3">
    <w:name w:val="tabele 313"/>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5">
    <w:name w:val="Light Shading - Accent 1115"/>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3">
    <w:name w:val="Light Shading - Accent 32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3">
    <w:name w:val="Light List - Accent 523"/>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3">
    <w:name w:val="Light Shading - Accent 3113"/>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3">
    <w:name w:val="Light List - Accent 312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3">
    <w:name w:val="Light List - Accent 5113"/>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4">
    <w:name w:val="Light Grid - Accent 5114"/>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3">
    <w:name w:val="Светло сенчење – наглашавање 1113"/>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4">
    <w:name w:val="Light Grid - Accent 524"/>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3">
    <w:name w:val="Light List - Accent 3213"/>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3">
    <w:name w:val="Light List - Accent 3111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3">
    <w:name w:val="Light Shading - Accent 133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4">
    <w:name w:val="Light Shading - Accent 1311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3">
    <w:name w:val="Light Shading - Accent 132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3">
    <w:name w:val="Light Shading - Accent 112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3">
    <w:name w:val="Light Shading - Accent 134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3">
    <w:name w:val="Light Shading - Accent 113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3">
    <w:name w:val="Light Shading - Accent 135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4">
    <w:name w:val="Light Shading - Accent 136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3">
    <w:name w:val="Light Shading - Accent 137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3">
    <w:name w:val="tabele 323"/>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3">
    <w:name w:val="Light Shading - Accent 114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6">
    <w:name w:val="Light Shading - Accent 336"/>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3">
    <w:name w:val="Light List - Accent 533"/>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3">
    <w:name w:val="Light Shading - Accent 3123"/>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3">
    <w:name w:val="Light List - Accent 313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3">
    <w:name w:val="Light List - Accent 5123"/>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4">
    <w:name w:val="Light Grid - Accent 5124"/>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3">
    <w:name w:val="Светло сенчење – наглашавање 1123"/>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4">
    <w:name w:val="Light Grid - Accent 534"/>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3">
    <w:name w:val="Light List - Accent 3223"/>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3">
    <w:name w:val="Light List - Accent 3112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4">
    <w:name w:val="Light Shading - Accent 138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3">
    <w:name w:val="Light Shading - Accent 1312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3">
    <w:name w:val="Light Shading - Accent 1322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3">
    <w:name w:val="Light Shading - Accent 115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4">
    <w:name w:val="Light Shading - Accent 139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4">
    <w:name w:val="Light Shading - Accent 1164"/>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4">
    <w:name w:val="Light Shading - Accent 13104"/>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3">
    <w:name w:val="Light Shading - Accent 1313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3">
    <w:name w:val="tabele 333"/>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3">
    <w:name w:val="Light Shading - Accent 117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5">
    <w:name w:val="Light Shading - Accent 345"/>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3">
    <w:name w:val="Light List - Accent 543"/>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3">
    <w:name w:val="Light Shading - Accent 3133"/>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3">
    <w:name w:val="Light List - Accent 314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3">
    <w:name w:val="Light List - Accent 5133"/>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4">
    <w:name w:val="Light Grid - Accent 5134"/>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3">
    <w:name w:val="Светло сенчење – наглашавање 1133"/>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4">
    <w:name w:val="Light Grid - Accent 544"/>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3">
    <w:name w:val="Light Shading - Accent 1233"/>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3">
    <w:name w:val="Light List - Accent 3233"/>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3">
    <w:name w:val="Light List - Accent 31133"/>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3">
    <w:name w:val="Light Shading - Accent 1314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3">
    <w:name w:val="Light Shading - Accent 1315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3">
    <w:name w:val="Light Shading - Accent 1323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3">
    <w:name w:val="Light Shading - Accent 1316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3">
    <w:name w:val="Light Shading - Accent 138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3">
    <w:name w:val="Light Shading - Accent 118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3">
    <w:name w:val="Light Shading - Accent 139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3">
    <w:name w:val="Light Shading - Accent 11613"/>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3">
    <w:name w:val="Light Shading - Accent 1310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3">
    <w:name w:val="Light Shading - Accent 1361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3">
    <w:name w:val="Light Shading - Accent 1193"/>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2">
    <w:name w:val="Light Shading - Accent 142"/>
    <w:basedOn w:val="TableNormal"/>
    <w:next w:val="LightShading-Accent1"/>
    <w:uiPriority w:val="60"/>
    <w:rsid w:val="00C1281D"/>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3">
    <w:name w:val="Light Shading - Accent 331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3">
    <w:name w:val="Light Shading - Accent 332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3">
    <w:name w:val="Light Shading - Accent 333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3">
    <w:name w:val="Light Shading - Accent 341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3">
    <w:name w:val="Light Shading - Accent 3423"/>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3">
    <w:name w:val="Light Grid - Accent 514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3">
    <w:name w:val="Light Grid - Accent 55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3">
    <w:name w:val="Light Grid - Accent 5111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3">
    <w:name w:val="Light Grid - Accent 521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3">
    <w:name w:val="Light Grid - Accent 5121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3">
    <w:name w:val="Light Grid - Accent 531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3">
    <w:name w:val="Light Grid - Accent 51313"/>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3">
    <w:name w:val="Light Grid - Accent 5413"/>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3">
    <w:name w:val="Light Shading - Accent 613"/>
    <w:basedOn w:val="TableNormal"/>
    <w:next w:val="LightShading-Accent6"/>
    <w:uiPriority w:val="60"/>
    <w:rsid w:val="00C1281D"/>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3">
    <w:name w:val="Grid Table 6 Colorful - Accent 413"/>
    <w:basedOn w:val="TableNormal"/>
    <w:next w:val="GridTable6Colorful-Accent43"/>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2">
    <w:name w:val="Light Shading - Accent 6112"/>
    <w:basedOn w:val="TableNormal"/>
    <w:next w:val="LightShading-Accent6"/>
    <w:uiPriority w:val="60"/>
    <w:rsid w:val="00C1281D"/>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3">
    <w:name w:val="Grid Table 6 Colorful - Accent 313"/>
    <w:basedOn w:val="TableNormal"/>
    <w:next w:val="Grid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2">
    <w:name w:val="Grid Table 4 - Accent 512"/>
    <w:basedOn w:val="TableNormal"/>
    <w:next w:val="GridTable4-Accent53"/>
    <w:uiPriority w:val="49"/>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2">
    <w:name w:val="Grid Table 5 Dark - Accent 512"/>
    <w:basedOn w:val="TableNormal"/>
    <w:next w:val="GridTable5Dark-Accent53"/>
    <w:uiPriority w:val="50"/>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3">
    <w:name w:val="ФС3"/>
    <w:basedOn w:val="TableNormal"/>
    <w:uiPriority w:val="99"/>
    <w:rsid w:val="00C1281D"/>
    <w:pPr>
      <w:spacing w:after="0" w:line="240" w:lineRule="auto"/>
    </w:pPr>
    <w:rPr>
      <w:rFonts w:ascii="Calibri" w:eastAsia="Calibri" w:hAnsi="Calibri" w:cs="Times New Roman"/>
      <w:sz w:val="20"/>
      <w:szCs w:val="20"/>
    </w:rPr>
    <w:tblPr/>
  </w:style>
  <w:style w:type="table" w:customStyle="1" w:styleId="ListTable6Colorful-Accent312">
    <w:name w:val="List Table 6 Colorful - Accent 312"/>
    <w:basedOn w:val="TableNormal"/>
    <w:next w:val="List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2">
    <w:name w:val="Grid Table 1 Light - Accent 112"/>
    <w:basedOn w:val="TableNormal"/>
    <w:next w:val="GridTable1Light-Accent13"/>
    <w:uiPriority w:val="46"/>
    <w:rsid w:val="00C1281D"/>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2">
    <w:name w:val="List Table 1 Light - Accent 112"/>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2">
    <w:name w:val="List Table 2 - Accent 112"/>
    <w:basedOn w:val="TableNormal"/>
    <w:next w:val="ListTable2-Accent13"/>
    <w:uiPriority w:val="47"/>
    <w:rsid w:val="00C1281D"/>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2">
    <w:name w:val="List Table 2 - Accent 512"/>
    <w:basedOn w:val="TableNormal"/>
    <w:next w:val="ListTable2-Accent53"/>
    <w:uiPriority w:val="47"/>
    <w:rsid w:val="00C1281D"/>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2">
    <w:name w:val="Grid Table 2 - Accent 512"/>
    <w:basedOn w:val="TableNormal"/>
    <w:next w:val="GridTable2-Accent53"/>
    <w:uiPriority w:val="47"/>
    <w:rsid w:val="00C1281D"/>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3">
    <w:name w:val="Table Grid23"/>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3">
    <w:name w:val="Light Shading - Accent 1243"/>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2">
    <w:name w:val="Grid Table 6 Colorful - Accent 5122"/>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2">
    <w:name w:val="Grid Table 6 Colorful - Accent 5132"/>
    <w:basedOn w:val="TableNormal"/>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2">
    <w:name w:val="No List32"/>
    <w:next w:val="NoList"/>
    <w:uiPriority w:val="99"/>
    <w:semiHidden/>
    <w:unhideWhenUsed/>
    <w:rsid w:val="00C1281D"/>
  </w:style>
  <w:style w:type="table" w:customStyle="1" w:styleId="TableGrid32">
    <w:name w:val="Table Grid32"/>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2">
    <w:name w:val="Financial Table12"/>
    <w:basedOn w:val="TableNormal"/>
    <w:uiPriority w:val="99"/>
    <w:rsid w:val="00C1281D"/>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2">
    <w:name w:val="Grid Table 6 Colorful - Accent 532"/>
    <w:basedOn w:val="TableNormal"/>
    <w:next w:val="GridTable6Colorful-Accent54"/>
    <w:uiPriority w:val="51"/>
    <w:rsid w:val="00C1281D"/>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3">
    <w:name w:val="Light Shading - Accent 1253"/>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2">
    <w:name w:val="Grid Table 6 Colorful - Accent 5142"/>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2">
    <w:name w:val="Light Shading - Accent 1211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2">
    <w:name w:val="Grid Table 6 Colorful - Accent 51112"/>
    <w:basedOn w:val="TableNormal"/>
    <w:uiPriority w:val="51"/>
    <w:rsid w:val="00C1281D"/>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2">
    <w:name w:val="Grid Table 6 Colorful - Accent 122"/>
    <w:basedOn w:val="TableNormal"/>
    <w:next w:val="GridTable6Colorful-Accent13"/>
    <w:uiPriority w:val="51"/>
    <w:rsid w:val="00C1281D"/>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2">
    <w:name w:val="Light Shading - Accent 1221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2">
    <w:name w:val="Grid Table 6 Colorful - Accent 5212"/>
    <w:basedOn w:val="TableNormal"/>
    <w:next w:val="GridTable6Colorful-Accent54"/>
    <w:uiPriority w:val="51"/>
    <w:rsid w:val="00C1281D"/>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2">
    <w:name w:val="tabele 34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2">
    <w:name w:val="Light Shading - Accent 1110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2">
    <w:name w:val="Light Shading - Accent 35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2">
    <w:name w:val="Light List - Accent 55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2">
    <w:name w:val="Light Shading - Accent 314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2">
    <w:name w:val="Light List - Accent 315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2">
    <w:name w:val="Table Grid112"/>
    <w:basedOn w:val="TableNormal"/>
    <w:next w:val="TableGrid"/>
    <w:uiPriority w:val="59"/>
    <w:rsid w:val="00C1281D"/>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2">
    <w:name w:val="Light List - Accent 514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2">
    <w:name w:val="Medium List 1 - Accent 5112"/>
    <w:basedOn w:val="TableNormal"/>
    <w:next w:val="MediumList1-Accent5"/>
    <w:uiPriority w:val="65"/>
    <w:rsid w:val="00C1281D"/>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2">
    <w:name w:val="Medium List 1 - Accent 522"/>
    <w:basedOn w:val="TableNormal"/>
    <w:next w:val="MediumList1-Accent5"/>
    <w:uiPriority w:val="65"/>
    <w:rsid w:val="00C1281D"/>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2">
    <w:name w:val="No List1112"/>
    <w:next w:val="NoList"/>
    <w:uiPriority w:val="99"/>
    <w:semiHidden/>
    <w:unhideWhenUsed/>
    <w:rsid w:val="00C1281D"/>
  </w:style>
  <w:style w:type="table" w:customStyle="1" w:styleId="LightGrid-Accent5152">
    <w:name w:val="Light Grid - Accent 515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2">
    <w:name w:val="Светло сенчење – наглашавање 114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2">
    <w:name w:val="Light Grid - Accent 56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20">
    <w:name w:val="tabele za ifs12"/>
    <w:basedOn w:val="TableNormal"/>
    <w:uiPriority w:val="99"/>
    <w:qFormat/>
    <w:rsid w:val="00C1281D"/>
    <w:pPr>
      <w:spacing w:after="0" w:line="240" w:lineRule="auto"/>
    </w:pPr>
    <w:rPr>
      <w:rFonts w:ascii="Cambria Math" w:eastAsia="Calibri" w:hAnsi="Cambria Math" w:cs="Times New Roman"/>
      <w:sz w:val="20"/>
      <w:szCs w:val="20"/>
      <w:lang w:val="en-GB" w:eastAsia="en-GB"/>
    </w:rPr>
    <w:tblPr/>
  </w:style>
  <w:style w:type="table" w:customStyle="1" w:styleId="tabelezaifs112">
    <w:name w:val="tabele za ifs 112"/>
    <w:basedOn w:val="TableNormal"/>
    <w:uiPriority w:val="66"/>
    <w:rsid w:val="00C1281D"/>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2">
    <w:name w:val="Colorful List - Accent 112"/>
    <w:basedOn w:val="TableNormal"/>
    <w:next w:val="ColorfulList-Accent1"/>
    <w:uiPriority w:val="72"/>
    <w:rsid w:val="00C1281D"/>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2">
    <w:name w:val="No List212"/>
    <w:next w:val="NoList"/>
    <w:uiPriority w:val="99"/>
    <w:semiHidden/>
    <w:unhideWhenUsed/>
    <w:rsid w:val="00C1281D"/>
  </w:style>
  <w:style w:type="table" w:customStyle="1" w:styleId="LightList-Accent3242">
    <w:name w:val="Light List - Accent 324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2">
    <w:name w:val="Light List - Accent 3114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2">
    <w:name w:val="Light Shading - Accent 1317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2">
    <w:name w:val="Light Shading - Accent 1318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2">
    <w:name w:val="Light Shading - Accent 1324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2">
    <w:name w:val="tabele 311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2">
    <w:name w:val="Light Shading - Accent 111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2">
    <w:name w:val="Light Shading - Accent 32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2">
    <w:name w:val="Light List - Accent 521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2">
    <w:name w:val="Light Shading - Accent 3111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2">
    <w:name w:val="Light List - Accent 312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2">
    <w:name w:val="Light List - Accent 5111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2">
    <w:name w:val="Light Grid - Accent 5112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2">
    <w:name w:val="Светло сенчење – наглашавање 1111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2">
    <w:name w:val="Light Grid - Accent 522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2">
    <w:name w:val="Light List - Accent 3211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2">
    <w:name w:val="Light List - Accent 3111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2">
    <w:name w:val="Light Shading - Accent 133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2">
    <w:name w:val="Light Shading - Accent 131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2">
    <w:name w:val="Light Shading - Accent 132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2">
    <w:name w:val="Light Shading - Accent 112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2">
    <w:name w:val="Light Shading - Accent 134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2">
    <w:name w:val="Light Shading - Accent 113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2">
    <w:name w:val="Light Shading - Accent 135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2">
    <w:name w:val="Light Shading - Accent 136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2">
    <w:name w:val="Light Shading - Accent 137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2">
    <w:name w:val="tabele 321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2">
    <w:name w:val="Light Shading - Accent 114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2">
    <w:name w:val="Light Shading - Accent 3342"/>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2">
    <w:name w:val="Light List - Accent 531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2">
    <w:name w:val="Light Shading - Accent 3121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2">
    <w:name w:val="Light List - Accent 313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2">
    <w:name w:val="Light List - Accent 5121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2">
    <w:name w:val="Light Grid - Accent 5122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2">
    <w:name w:val="Светло сенчење – наглашавање 1121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2">
    <w:name w:val="Light Grid - Accent 532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2">
    <w:name w:val="Light List - Accent 3221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2">
    <w:name w:val="Light List - Accent 3112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2">
    <w:name w:val="Light Shading - Accent 138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2">
    <w:name w:val="Light Shading - Accent 1312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2">
    <w:name w:val="Light Shading - Accent 1322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2">
    <w:name w:val="Light Shading - Accent 115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2">
    <w:name w:val="Light Shading - Accent 139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2">
    <w:name w:val="Light Shading - Accent 1162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2">
    <w:name w:val="Light Shading - Accent 13102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2">
    <w:name w:val="Light Shading - Accent 1313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2">
    <w:name w:val="tabele 3312"/>
    <w:basedOn w:val="TableNormal"/>
    <w:next w:val="LightList-Accent3"/>
    <w:uiPriority w:val="61"/>
    <w:rsid w:val="00C1281D"/>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2">
    <w:name w:val="Light Shading - Accent 117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2">
    <w:name w:val="Light Shading - Accent 343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2">
    <w:name w:val="Light List - Accent 5412"/>
    <w:basedOn w:val="TableNormal"/>
    <w:next w:val="LightList-Accent5"/>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2">
    <w:name w:val="Light Shading - Accent 31312"/>
    <w:basedOn w:val="TableNormal"/>
    <w:next w:val="LightShading-Accent3"/>
    <w:uiPriority w:val="60"/>
    <w:rsid w:val="00C1281D"/>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2">
    <w:name w:val="Light List - Accent 314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2">
    <w:name w:val="Light List - Accent 51312"/>
    <w:basedOn w:val="TableNormal"/>
    <w:next w:val="LightList-Accent5"/>
    <w:uiPriority w:val="61"/>
    <w:rsid w:val="00C1281D"/>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2">
    <w:name w:val="Light Grid - Accent 5132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2">
    <w:name w:val="Светло сенчење – наглашавање 11312"/>
    <w:basedOn w:val="TableNormal"/>
    <w:uiPriority w:val="60"/>
    <w:rsid w:val="00C1281D"/>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2">
    <w:name w:val="Light Grid - Accent 542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2">
    <w:name w:val="Light Shading - Accent 1231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2">
    <w:name w:val="Light List - Accent 32312"/>
    <w:basedOn w:val="TableNormal"/>
    <w:next w:val="LightList-Accent3"/>
    <w:uiPriority w:val="61"/>
    <w:rsid w:val="00C1281D"/>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2">
    <w:name w:val="Light List - Accent 311312"/>
    <w:basedOn w:val="TableNormal"/>
    <w:next w:val="LightList-Accent3"/>
    <w:uiPriority w:val="61"/>
    <w:rsid w:val="00C1281D"/>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2">
    <w:name w:val="Light Shading - Accent 1314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2">
    <w:name w:val="Light Shading - Accent 1315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2">
    <w:name w:val="Light Shading - Accent 1323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2">
    <w:name w:val="Light Shading - Accent 1316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2">
    <w:name w:val="Light Shading - Accent 138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2">
    <w:name w:val="Light Shading - Accent 118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2">
    <w:name w:val="Light Shading - Accent 139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2">
    <w:name w:val="Light Shading - Accent 116112"/>
    <w:basedOn w:val="TableNormal"/>
    <w:uiPriority w:val="60"/>
    <w:rsid w:val="00C1281D"/>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2">
    <w:name w:val="Light Shading - Accent 1310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2">
    <w:name w:val="Light Shading - Accent 1361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2">
    <w:name w:val="Light Shading - Accent 11912"/>
    <w:basedOn w:val="TableNormal"/>
    <w:uiPriority w:val="60"/>
    <w:rsid w:val="00C1281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2">
    <w:name w:val="Light Shading - Accent 331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2">
    <w:name w:val="Light Shading - Accent 332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2">
    <w:name w:val="Light Shading - Accent 333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2">
    <w:name w:val="Light Shading - Accent 341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2">
    <w:name w:val="Light Shading - Accent 34212"/>
    <w:basedOn w:val="TableNormal"/>
    <w:next w:val="LightShading-Accent3"/>
    <w:uiPriority w:val="60"/>
    <w:rsid w:val="00C1281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2">
    <w:name w:val="Light Grid - Accent 514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2">
    <w:name w:val="Light Grid - Accent 55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2">
    <w:name w:val="Light Grid - Accent 5111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2">
    <w:name w:val="Light Grid - Accent 521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2">
    <w:name w:val="Light Grid - Accent 5121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2">
    <w:name w:val="Light Grid - Accent 531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2">
    <w:name w:val="Light Grid - Accent 513112"/>
    <w:basedOn w:val="TableNormal"/>
    <w:next w:val="LightGrid-Accent5"/>
    <w:uiPriority w:val="62"/>
    <w:rsid w:val="00C1281D"/>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2">
    <w:name w:val="Light Grid - Accent 54112"/>
    <w:basedOn w:val="TableNormal"/>
    <w:next w:val="LightGrid-Accent5"/>
    <w:uiPriority w:val="62"/>
    <w:rsid w:val="00C1281D"/>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2">
    <w:name w:val="Light Shading - Accent 622"/>
    <w:basedOn w:val="TableNormal"/>
    <w:next w:val="LightShading-Accent6"/>
    <w:uiPriority w:val="60"/>
    <w:rsid w:val="00C1281D"/>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2">
    <w:name w:val="Grid Table 6 Colorful - Accent 422"/>
    <w:basedOn w:val="TableNormal"/>
    <w:next w:val="GridTable6Colorful-Accent43"/>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2">
    <w:name w:val="Grid Table 6 Colorful - Accent 322"/>
    <w:basedOn w:val="TableNormal"/>
    <w:next w:val="Grid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2">
    <w:name w:val="Grid Table 4 - Accent 522"/>
    <w:basedOn w:val="TableNormal"/>
    <w:next w:val="GridTable4-Accent53"/>
    <w:uiPriority w:val="49"/>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2">
    <w:name w:val="Grid Table 5 Dark - Accent 522"/>
    <w:basedOn w:val="TableNormal"/>
    <w:next w:val="GridTable5Dark-Accent53"/>
    <w:uiPriority w:val="50"/>
    <w:rsid w:val="00C1281D"/>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2">
    <w:name w:val="ФС12"/>
    <w:basedOn w:val="TableNormal"/>
    <w:uiPriority w:val="99"/>
    <w:rsid w:val="00C1281D"/>
    <w:pPr>
      <w:spacing w:after="0" w:line="240" w:lineRule="auto"/>
    </w:pPr>
    <w:rPr>
      <w:rFonts w:ascii="Calibri" w:eastAsia="Calibri" w:hAnsi="Calibri" w:cs="Times New Roman"/>
      <w:sz w:val="20"/>
      <w:szCs w:val="20"/>
    </w:rPr>
    <w:tblPr/>
  </w:style>
  <w:style w:type="table" w:customStyle="1" w:styleId="ListTable6Colorful-Accent322">
    <w:name w:val="List Table 6 Colorful - Accent 322"/>
    <w:basedOn w:val="TableNormal"/>
    <w:next w:val="ListTable6Colorful-Accent33"/>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2">
    <w:name w:val="Grid Table 1 Light - Accent 122"/>
    <w:basedOn w:val="TableNormal"/>
    <w:next w:val="GridTable1Light-Accent13"/>
    <w:uiPriority w:val="46"/>
    <w:rsid w:val="00C1281D"/>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2">
    <w:name w:val="List Table 1 Light - Accent 122"/>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2">
    <w:name w:val="List Table 2 - Accent 122"/>
    <w:basedOn w:val="TableNormal"/>
    <w:next w:val="ListTable2-Accent13"/>
    <w:uiPriority w:val="47"/>
    <w:rsid w:val="00C1281D"/>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2">
    <w:name w:val="List Table 2 - Accent 522"/>
    <w:basedOn w:val="TableNormal"/>
    <w:next w:val="ListTable2-Accent53"/>
    <w:uiPriority w:val="47"/>
    <w:rsid w:val="00C1281D"/>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2">
    <w:name w:val="Grid Table 2 - Accent 522"/>
    <w:basedOn w:val="TableNormal"/>
    <w:next w:val="GridTable2-Accent53"/>
    <w:uiPriority w:val="47"/>
    <w:rsid w:val="00C1281D"/>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2">
    <w:name w:val="Grid Table 6 Colorful - Accent 4112"/>
    <w:basedOn w:val="TableNormal"/>
    <w:uiPriority w:val="51"/>
    <w:rsid w:val="00C1281D"/>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2">
    <w:name w:val="Grid Table 6 Colorful - Accent 3112"/>
    <w:basedOn w:val="TableNormal"/>
    <w:uiPriority w:val="51"/>
    <w:rsid w:val="00C1281D"/>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2">
    <w:name w:val="Table Grid212"/>
    <w:basedOn w:val="TableNormal"/>
    <w:next w:val="TableGrid"/>
    <w:uiPriority w:val="39"/>
    <w:rsid w:val="00C1281D"/>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2">
    <w:name w:val="Light Shading - Accent 12412"/>
    <w:basedOn w:val="TableNormal"/>
    <w:uiPriority w:val="60"/>
    <w:rsid w:val="00C1281D"/>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2">
    <w:name w:val="Light Shading - Accent 12512"/>
    <w:basedOn w:val="TableNormal"/>
    <w:uiPriority w:val="60"/>
    <w:rsid w:val="00C1281D"/>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3">
    <w:name w:val="Light Shading3"/>
    <w:basedOn w:val="TableNormal"/>
    <w:next w:val="LightShading"/>
    <w:uiPriority w:val="60"/>
    <w:semiHidden/>
    <w:unhideWhenUsed/>
    <w:rsid w:val="00C1281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5">
    <w:name w:val="Grid Table 6 Colorful - Accent 55"/>
    <w:basedOn w:val="TableNormal"/>
    <w:next w:val="GridTable6Colorful-Accent54"/>
    <w:uiPriority w:val="51"/>
    <w:rsid w:val="00C1281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4">
    <w:name w:val="Grid Table 6 Colorful - Accent 14"/>
    <w:basedOn w:val="TableNormal"/>
    <w:next w:val="GridTable6Colorful-Accent13"/>
    <w:uiPriority w:val="51"/>
    <w:rsid w:val="00C1281D"/>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6">
    <w:name w:val="Light Shading - Accent 16"/>
    <w:basedOn w:val="TableNormal"/>
    <w:next w:val="LightShading-Accent1"/>
    <w:uiPriority w:val="60"/>
    <w:semiHidden/>
    <w:unhideWhenUsed/>
    <w:rsid w:val="00C1281D"/>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4">
    <w:name w:val="Light Shading - Accent 64"/>
    <w:basedOn w:val="TableNormal"/>
    <w:next w:val="LightShading-Accent6"/>
    <w:uiPriority w:val="60"/>
    <w:semiHidden/>
    <w:unhideWhenUsed/>
    <w:rsid w:val="00C1281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4">
    <w:name w:val="Grid Table 6 Colorful - Accent 44"/>
    <w:basedOn w:val="TableNormal"/>
    <w:next w:val="GridTable6Colorful-Accent43"/>
    <w:uiPriority w:val="51"/>
    <w:rsid w:val="00C1281D"/>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4">
    <w:name w:val="Grid Table 6 Colorful - Accent 34"/>
    <w:basedOn w:val="TableNormal"/>
    <w:next w:val="GridTable6Colorful-Accent33"/>
    <w:uiPriority w:val="51"/>
    <w:rsid w:val="00C1281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4">
    <w:name w:val="Grid Table 4 - Accent 54"/>
    <w:basedOn w:val="TableNormal"/>
    <w:next w:val="GridTable4-Accent53"/>
    <w:uiPriority w:val="49"/>
    <w:rsid w:val="00C1281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4">
    <w:name w:val="Grid Table 5 Dark - Accent 54"/>
    <w:basedOn w:val="TableNormal"/>
    <w:next w:val="GridTable5Dark-Accent53"/>
    <w:uiPriority w:val="50"/>
    <w:rsid w:val="00C128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4">
    <w:name w:val="List Table 6 Colorful - Accent 34"/>
    <w:basedOn w:val="TableNormal"/>
    <w:next w:val="ListTable6Colorful-Accent33"/>
    <w:uiPriority w:val="51"/>
    <w:rsid w:val="00C1281D"/>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4">
    <w:name w:val="Grid Table 1 Light - Accent 14"/>
    <w:basedOn w:val="TableNormal"/>
    <w:next w:val="GridTable1Light-Accent13"/>
    <w:uiPriority w:val="46"/>
    <w:rsid w:val="00C1281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4">
    <w:name w:val="List Table 1 Light - Accent 14"/>
    <w:basedOn w:val="TableNormal"/>
    <w:next w:val="ListTable1Light-Accent13"/>
    <w:uiPriority w:val="46"/>
    <w:rsid w:val="00C1281D"/>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4">
    <w:name w:val="List Table 2 - Accent 14"/>
    <w:basedOn w:val="TableNormal"/>
    <w:next w:val="ListTable2-Accent13"/>
    <w:uiPriority w:val="47"/>
    <w:rsid w:val="00C1281D"/>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4">
    <w:name w:val="List Table 2 - Accent 54"/>
    <w:basedOn w:val="TableNormal"/>
    <w:next w:val="ListTable2-Accent53"/>
    <w:uiPriority w:val="47"/>
    <w:rsid w:val="00C1281D"/>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4">
    <w:name w:val="Grid Table 2 - Accent 54"/>
    <w:basedOn w:val="TableNormal"/>
    <w:next w:val="GridTable2-Accent53"/>
    <w:uiPriority w:val="47"/>
    <w:rsid w:val="00C1281D"/>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ghtShading-Accent337">
    <w:name w:val="Light Shading - Accent 337"/>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8">
    <w:name w:val="Light Shading - Accent 338"/>
    <w:basedOn w:val="TableNormal"/>
    <w:next w:val="LightShading-Accent3"/>
    <w:uiPriority w:val="60"/>
    <w:rsid w:val="00C1281D"/>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Normal1">
    <w:name w:val="Normal1"/>
    <w:rsid w:val="00913C14"/>
    <w:pPr>
      <w:pBdr>
        <w:top w:val="nil"/>
        <w:left w:val="nil"/>
        <w:bottom w:val="nil"/>
        <w:right w:val="nil"/>
        <w:between w:val="nil"/>
      </w:pBdr>
    </w:pPr>
    <w:rPr>
      <w:rFonts w:ascii="Calibri" w:eastAsia="Calibri" w:hAnsi="Calibri" w:cs="Calibri"/>
      <w:color w:val="000000"/>
    </w:rPr>
  </w:style>
  <w:style w:type="table" w:customStyle="1" w:styleId="ListTable6Colorful-Accent61">
    <w:name w:val="List Table 6 Colorful - Accent 61"/>
    <w:basedOn w:val="TableNormal"/>
    <w:uiPriority w:val="51"/>
    <w:rsid w:val="008D3366"/>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GlavnitekstGI">
    <w:name w:val="Glavni tekstGI"/>
    <w:basedOn w:val="Normal"/>
    <w:rsid w:val="00A20FB9"/>
    <w:pPr>
      <w:spacing w:before="40" w:after="40" w:line="300" w:lineRule="exact"/>
      <w:ind w:firstLine="357"/>
    </w:pPr>
    <w:rPr>
      <w:rFonts w:cs="Times New Roman"/>
    </w:rPr>
  </w:style>
  <w:style w:type="table" w:customStyle="1" w:styleId="TableGrid6">
    <w:name w:val="Table Grid6"/>
    <w:basedOn w:val="TableNormal"/>
    <w:next w:val="TableGrid"/>
    <w:uiPriority w:val="39"/>
    <w:rsid w:val="00E84619"/>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Char Char Char Char1,Footnote Text Char Char Char Char1,Footnote Text Char Char Char2,single space Char1,ft Char1,ft Char Char Char Char1,ft Char Char Char2,Fußnote Char1, Char Char Char Char1,footnote text Char1"/>
    <w:basedOn w:val="DefaultParagraphFont"/>
    <w:uiPriority w:val="99"/>
    <w:locked/>
    <w:rsid w:val="00E84619"/>
    <w:rPr>
      <w:rFonts w:cs="Times New Roman"/>
      <w:sz w:val="20"/>
      <w:szCs w:val="20"/>
    </w:rPr>
  </w:style>
  <w:style w:type="paragraph" w:customStyle="1" w:styleId="Glavnitekst">
    <w:name w:val="Glavni tekst"/>
    <w:basedOn w:val="BodyTextIndent"/>
    <w:rsid w:val="00E84619"/>
    <w:pPr>
      <w:spacing w:after="240" w:line="240" w:lineRule="exact"/>
      <w:ind w:firstLine="0"/>
      <w:jc w:val="both"/>
    </w:pPr>
    <w:rPr>
      <w:rFonts w:ascii="Times New Roman" w:eastAsia="Times New Roman" w:hAnsi="Times New Roman"/>
      <w:bCs w:val="0"/>
      <w:color w:val="auto"/>
      <w:sz w:val="20"/>
      <w:szCs w:val="20"/>
      <w:lang w:val="sr-Latn-CS"/>
    </w:rPr>
  </w:style>
  <w:style w:type="paragraph" w:customStyle="1" w:styleId="EFP2012tekst">
    <w:name w:val="EFP 2012 tekst"/>
    <w:basedOn w:val="Normal"/>
    <w:uiPriority w:val="99"/>
    <w:rsid w:val="00E84619"/>
    <w:pPr>
      <w:ind w:firstLine="709"/>
    </w:pPr>
    <w:rPr>
      <w:rFonts w:ascii="Cambria" w:eastAsia="Constantia" w:hAnsi="Cambria" w:cs="Times New Roman"/>
      <w:color w:val="262626"/>
      <w:sz w:val="21"/>
      <w:lang w:val="sr-Cyrl-CS"/>
    </w:rPr>
  </w:style>
  <w:style w:type="paragraph" w:customStyle="1" w:styleId="EFPNaslov2">
    <w:name w:val="EFP Naslov 2"/>
    <w:basedOn w:val="Normal"/>
    <w:link w:val="EFPNaslov2Char"/>
    <w:rsid w:val="00E84619"/>
    <w:pPr>
      <w:keepNext/>
      <w:keepLines/>
      <w:numPr>
        <w:ilvl w:val="1"/>
        <w:numId w:val="8"/>
      </w:numPr>
      <w:spacing w:before="200" w:after="0"/>
      <w:outlineLvl w:val="1"/>
    </w:pPr>
    <w:rPr>
      <w:rFonts w:ascii="Constantia" w:eastAsia="Times New Roman" w:hAnsi="Constantia" w:cs="Times New Roman"/>
      <w:b/>
      <w:bCs/>
      <w:color w:val="76923C"/>
      <w:sz w:val="21"/>
      <w:szCs w:val="26"/>
      <w:lang w:val="sr-Cyrl-CS"/>
    </w:rPr>
  </w:style>
  <w:style w:type="character" w:customStyle="1" w:styleId="EFPNaslov2Char">
    <w:name w:val="EFP Naslov 2 Char"/>
    <w:link w:val="EFPNaslov2"/>
    <w:rsid w:val="00E84619"/>
    <w:rPr>
      <w:rFonts w:ascii="Constantia" w:eastAsia="Times New Roman" w:hAnsi="Constantia" w:cs="Times New Roman"/>
      <w:b/>
      <w:bCs/>
      <w:color w:val="76923C"/>
      <w:sz w:val="21"/>
      <w:szCs w:val="26"/>
      <w:lang w:val="sr-Cyrl-CS"/>
    </w:rPr>
  </w:style>
  <w:style w:type="table" w:customStyle="1" w:styleId="tabele37">
    <w:name w:val="tabele 37"/>
    <w:basedOn w:val="TableNormal"/>
    <w:next w:val="LightList-Accent3"/>
    <w:uiPriority w:val="61"/>
    <w:rsid w:val="00E84619"/>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6">
    <w:name w:val="Light Shading - Accent 1116"/>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7">
    <w:name w:val="Light Shading - Accent 317"/>
    <w:basedOn w:val="TableNormal"/>
    <w:next w:val="LightShading-Accent3"/>
    <w:uiPriority w:val="60"/>
    <w:rsid w:val="00E84619"/>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8">
    <w:name w:val="Light List - Accent 318"/>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4">
    <w:name w:val="Table Grid14"/>
    <w:basedOn w:val="TableNormal"/>
    <w:next w:val="TableGrid"/>
    <w:uiPriority w:val="39"/>
    <w:rsid w:val="00E84619"/>
    <w:pPr>
      <w:spacing w:after="0" w:line="240" w:lineRule="auto"/>
    </w:pPr>
    <w:rPr>
      <w:rFonts w:ascii="Constantia" w:eastAsia="Constantia" w:hAnsi="Constanti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7">
    <w:name w:val="Light List - Accent 517"/>
    <w:basedOn w:val="TableNormal"/>
    <w:next w:val="LightList-Accent5"/>
    <w:uiPriority w:val="61"/>
    <w:rsid w:val="00E84619"/>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4">
    <w:name w:val="Medium List 1 - Accent 514"/>
    <w:basedOn w:val="TableNormal"/>
    <w:next w:val="MediumList1-Accent5"/>
    <w:uiPriority w:val="65"/>
    <w:rsid w:val="00E84619"/>
    <w:pPr>
      <w:spacing w:after="0" w:line="240" w:lineRule="auto"/>
    </w:pPr>
    <w:rPr>
      <w:rFonts w:ascii="Constantia" w:eastAsia="Constantia" w:hAnsi="Constantia" w:cs="Times New Roman"/>
      <w:color w:val="000000"/>
      <w:sz w:val="20"/>
      <w:szCs w:val="20"/>
    </w:rPr>
    <w:tblPr>
      <w:tblStyleRowBandSize w:val="1"/>
      <w:tblStyleColBandSize w:val="1"/>
      <w:tblBorders>
        <w:top w:val="single" w:sz="8" w:space="0" w:color="8FB08C"/>
        <w:bottom w:val="single" w:sz="8" w:space="0" w:color="8FB08C"/>
      </w:tblBorders>
    </w:tblPr>
    <w:tblStylePr w:type="firstRow">
      <w:rPr>
        <w:rFonts w:ascii="Constantia" w:eastAsia="Times New Roman" w:hAnsi="Constanti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5">
    <w:name w:val="Medium List 1 - Accent 55"/>
    <w:basedOn w:val="TableNormal"/>
    <w:next w:val="MediumList1-Accent5"/>
    <w:uiPriority w:val="65"/>
    <w:rsid w:val="00E84619"/>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Constantia" w:eastAsia="Times New Roman" w:hAnsi="Constant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518">
    <w:name w:val="Light Grid - Accent 518"/>
    <w:basedOn w:val="TableNormal"/>
    <w:next w:val="LightGrid-Accent5"/>
    <w:uiPriority w:val="62"/>
    <w:rsid w:val="00E84619"/>
    <w:pPr>
      <w:spacing w:after="0" w:line="240" w:lineRule="auto"/>
      <w:jc w:val="both"/>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7">
    <w:name w:val="Светло сенчење – наглашавање 117"/>
    <w:basedOn w:val="TableNormal"/>
    <w:uiPriority w:val="60"/>
    <w:rsid w:val="00E84619"/>
    <w:pPr>
      <w:spacing w:after="0" w:line="240" w:lineRule="auto"/>
      <w:jc w:val="both"/>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9">
    <w:name w:val="Light Grid - Accent 59"/>
    <w:basedOn w:val="TableNormal"/>
    <w:next w:val="LightGrid-Accent5"/>
    <w:uiPriority w:val="62"/>
    <w:rsid w:val="00E8461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Tahoma" w:eastAsia="Times New Roman" w:hAnsi="Tahom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Tahoma" w:eastAsia="Times New Roman" w:hAnsi="Tahom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8">
    <w:name w:val="Light Shading - Accent 128"/>
    <w:basedOn w:val="TableNormal"/>
    <w:uiPriority w:val="60"/>
    <w:rsid w:val="00E84619"/>
    <w:pPr>
      <w:spacing w:after="0" w:line="240" w:lineRule="auto"/>
    </w:pPr>
    <w:rPr>
      <w:rFonts w:ascii="Calibri" w:eastAsia="Calibri" w:hAnsi="Calibri"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117">
    <w:name w:val="Light List - Accent 3117"/>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4">
    <w:name w:val="Light List - Accent 3111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24">
    <w:name w:val="Table Grid24"/>
    <w:basedOn w:val="TableNormal"/>
    <w:next w:val="TableGrid"/>
    <w:uiPriority w:val="39"/>
    <w:rsid w:val="00E84619"/>
    <w:pPr>
      <w:spacing w:after="0" w:line="240" w:lineRule="auto"/>
      <w:jc w:val="both"/>
    </w:pPr>
    <w:rPr>
      <w:rFonts w:ascii="Calibri" w:eastAsia="Calibri" w:hAnsi="Calibri"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314">
    <w:name w:val="tabele 314"/>
    <w:basedOn w:val="TableNormal"/>
    <w:next w:val="LightList-Accent3"/>
    <w:uiPriority w:val="61"/>
    <w:rsid w:val="00E84619"/>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7">
    <w:name w:val="Light Shading - Accent 1117"/>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4">
    <w:name w:val="Light Shading - Accent 324"/>
    <w:basedOn w:val="TableNormal"/>
    <w:next w:val="LightShading-Accent3"/>
    <w:uiPriority w:val="60"/>
    <w:rsid w:val="00E84619"/>
    <w:pPr>
      <w:spacing w:after="0" w:line="240" w:lineRule="auto"/>
    </w:pPr>
    <w:rPr>
      <w:rFonts w:ascii="Calibri" w:eastAsia="Calibri" w:hAnsi="Calibri" w:cs="Times New Roman"/>
      <w:color w:val="618889"/>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524">
    <w:name w:val="Light List - Accent 524"/>
    <w:basedOn w:val="TableNormal"/>
    <w:next w:val="LightList-Accent5"/>
    <w:uiPriority w:val="61"/>
    <w:rsid w:val="00E84619"/>
    <w:pPr>
      <w:spacing w:after="0" w:line="240" w:lineRule="auto"/>
    </w:pPr>
    <w:rPr>
      <w:rFonts w:ascii="Calibri" w:eastAsia="Calibri" w:hAnsi="Calibri"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Shading-Accent3114">
    <w:name w:val="Light Shading - Accent 3114"/>
    <w:basedOn w:val="TableNormal"/>
    <w:next w:val="LightShading-Accent3"/>
    <w:uiPriority w:val="60"/>
    <w:rsid w:val="00E84619"/>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4">
    <w:name w:val="Light List - Accent 312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4">
    <w:name w:val="Light List - Accent 5114"/>
    <w:basedOn w:val="TableNormal"/>
    <w:next w:val="LightList-Accent5"/>
    <w:uiPriority w:val="61"/>
    <w:rsid w:val="00E84619"/>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5">
    <w:name w:val="Light Grid - Accent 5115"/>
    <w:basedOn w:val="TableNormal"/>
    <w:next w:val="LightGrid-Accent5"/>
    <w:uiPriority w:val="62"/>
    <w:rsid w:val="00E84619"/>
    <w:pPr>
      <w:spacing w:after="0" w:line="240" w:lineRule="auto"/>
      <w:jc w:val="both"/>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4">
    <w:name w:val="Светло сенчење – наглашавање 1114"/>
    <w:basedOn w:val="TableNormal"/>
    <w:uiPriority w:val="60"/>
    <w:rsid w:val="00E84619"/>
    <w:pPr>
      <w:spacing w:after="0" w:line="240" w:lineRule="auto"/>
      <w:jc w:val="both"/>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5">
    <w:name w:val="Light Grid - Accent 525"/>
    <w:basedOn w:val="TableNormal"/>
    <w:next w:val="LightGrid-Accent5"/>
    <w:uiPriority w:val="62"/>
    <w:rsid w:val="00E8461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Tahoma" w:eastAsia="Times New Roman" w:hAnsi="Tahom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Tahoma" w:eastAsia="Times New Roman" w:hAnsi="Tahom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14">
    <w:name w:val="Light Shading - Accent 1214"/>
    <w:basedOn w:val="TableNormal"/>
    <w:uiPriority w:val="60"/>
    <w:rsid w:val="00E84619"/>
    <w:pPr>
      <w:spacing w:after="0" w:line="240" w:lineRule="auto"/>
    </w:pPr>
    <w:rPr>
      <w:rFonts w:ascii="Calibri" w:eastAsia="Calibri" w:hAnsi="Calibri"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1124">
    <w:name w:val="Light List - Accent 3112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124">
    <w:name w:val="Light Shading - Accent 112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4">
    <w:name w:val="Light Shading - Accent 113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4">
    <w:name w:val="tabele 324"/>
    <w:basedOn w:val="TableNormal"/>
    <w:next w:val="LightList-Accent3"/>
    <w:uiPriority w:val="61"/>
    <w:rsid w:val="00E84619"/>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4">
    <w:name w:val="Light Shading - Accent 114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9">
    <w:name w:val="Light Shading - Accent 339"/>
    <w:basedOn w:val="TableNormal"/>
    <w:next w:val="LightShading-Accent3"/>
    <w:uiPriority w:val="60"/>
    <w:rsid w:val="00E84619"/>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124">
    <w:name w:val="Light Shading - Accent 3124"/>
    <w:basedOn w:val="TableNormal"/>
    <w:next w:val="LightShading-Accent3"/>
    <w:uiPriority w:val="60"/>
    <w:rsid w:val="00E84619"/>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4">
    <w:name w:val="Light List - Accent 313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4">
    <w:name w:val="Light List - Accent 5124"/>
    <w:basedOn w:val="TableNormal"/>
    <w:next w:val="LightList-Accent5"/>
    <w:uiPriority w:val="61"/>
    <w:rsid w:val="00E84619"/>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5">
    <w:name w:val="Light Grid - Accent 5125"/>
    <w:basedOn w:val="TableNormal"/>
    <w:next w:val="LightGrid-Accent5"/>
    <w:uiPriority w:val="62"/>
    <w:rsid w:val="00E8461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5">
    <w:name w:val="Light Grid - Accent 535"/>
    <w:basedOn w:val="TableNormal"/>
    <w:next w:val="LightGrid-Accent5"/>
    <w:uiPriority w:val="62"/>
    <w:rsid w:val="00E8461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154">
    <w:name w:val="Light Shading - Accent 115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5">
    <w:name w:val="Light Shading - Accent 1165"/>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4">
    <w:name w:val="tabele 334"/>
    <w:basedOn w:val="TableNormal"/>
    <w:next w:val="LightList-Accent3"/>
    <w:uiPriority w:val="61"/>
    <w:rsid w:val="00E84619"/>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4">
    <w:name w:val="Light Shading - Accent 117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34">
    <w:name w:val="Light Shading - Accent 3134"/>
    <w:basedOn w:val="TableNormal"/>
    <w:next w:val="LightShading-Accent3"/>
    <w:uiPriority w:val="60"/>
    <w:rsid w:val="00E84619"/>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4">
    <w:name w:val="Light List - Accent 314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4">
    <w:name w:val="Light List - Accent 5134"/>
    <w:basedOn w:val="TableNormal"/>
    <w:next w:val="LightList-Accent5"/>
    <w:uiPriority w:val="61"/>
    <w:rsid w:val="00E84619"/>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5">
    <w:name w:val="Light Grid - Accent 5135"/>
    <w:basedOn w:val="TableNormal"/>
    <w:next w:val="LightGrid-Accent5"/>
    <w:uiPriority w:val="62"/>
    <w:rsid w:val="00E84619"/>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5">
    <w:name w:val="Light Grid - Accent 545"/>
    <w:basedOn w:val="TableNormal"/>
    <w:next w:val="LightGrid-Accent5"/>
    <w:uiPriority w:val="62"/>
    <w:rsid w:val="00E84619"/>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1134">
    <w:name w:val="Light List - Accent 31134"/>
    <w:basedOn w:val="TableNormal"/>
    <w:next w:val="LightList-Accent3"/>
    <w:uiPriority w:val="61"/>
    <w:rsid w:val="00E84619"/>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184">
    <w:name w:val="Light Shading - Accent 118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4">
    <w:name w:val="Light Shading - Accent 11614"/>
    <w:basedOn w:val="TableNormal"/>
    <w:uiPriority w:val="60"/>
    <w:rsid w:val="00E84619"/>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7">
    <w:name w:val="Light Shading - Accent 17"/>
    <w:basedOn w:val="TableNormal"/>
    <w:next w:val="LightShading-Accent1"/>
    <w:uiPriority w:val="60"/>
    <w:rsid w:val="00E84619"/>
    <w:pPr>
      <w:spacing w:after="0" w:line="240" w:lineRule="auto"/>
    </w:pPr>
    <w:rPr>
      <w:rFonts w:ascii="Constantia" w:eastAsia="Constantia" w:hAnsi="Constantia"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6">
    <w:name w:val="No List6"/>
    <w:next w:val="NoList"/>
    <w:uiPriority w:val="99"/>
    <w:semiHidden/>
    <w:unhideWhenUsed/>
    <w:rsid w:val="00E84619"/>
  </w:style>
  <w:style w:type="table" w:customStyle="1" w:styleId="TableGrid33">
    <w:name w:val="Table Grid33"/>
    <w:basedOn w:val="TableNormal"/>
    <w:next w:val="TableGrid"/>
    <w:uiPriority w:val="39"/>
    <w:rsid w:val="00E84619"/>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7">
    <w:name w:val="Grid Table 6 Colorful - Accent 517"/>
    <w:basedOn w:val="TableNormal"/>
    <w:uiPriority w:val="51"/>
    <w:rsid w:val="00E84619"/>
    <w:pPr>
      <w:spacing w:after="0" w:line="240" w:lineRule="auto"/>
    </w:pPr>
    <w:rPr>
      <w:rFonts w:ascii="Constantia" w:eastAsia="Constantia" w:hAnsi="Constantia" w:cs="Times New Roman"/>
      <w:color w:val="2F5496" w:themeColor="accent5" w:themeShade="BF"/>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7Colorful1">
    <w:name w:val="Grid Table 7 Colorful1"/>
    <w:basedOn w:val="TableNormal"/>
    <w:uiPriority w:val="52"/>
    <w:rsid w:val="00E84619"/>
    <w:pPr>
      <w:spacing w:after="0" w:line="240" w:lineRule="auto"/>
    </w:pPr>
    <w:rPr>
      <w:rFonts w:ascii="Constantia" w:eastAsia="Constantia" w:hAnsi="Constantia" w:cs="Times New Roman"/>
      <w:color w:val="000000" w:themeColor="text1"/>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31">
    <w:name w:val="Plain Table 31"/>
    <w:basedOn w:val="TableNormal"/>
    <w:uiPriority w:val="43"/>
    <w:rsid w:val="00E84619"/>
    <w:pPr>
      <w:spacing w:after="0" w:line="240" w:lineRule="auto"/>
    </w:pPr>
    <w:rPr>
      <w:rFonts w:ascii="Constantia" w:eastAsia="Constantia" w:hAnsi="Constantia" w:cs="Times New Roman"/>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E84619"/>
    <w:pPr>
      <w:spacing w:after="0" w:line="240" w:lineRule="auto"/>
    </w:pPr>
    <w:rPr>
      <w:rFonts w:ascii="Constantia" w:eastAsia="Constantia" w:hAnsi="Constantia"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31">
    <w:name w:val="Grid Table 7 Colorful - Accent 31"/>
    <w:basedOn w:val="TableNormal"/>
    <w:uiPriority w:val="52"/>
    <w:rsid w:val="00E84619"/>
    <w:pPr>
      <w:spacing w:after="0" w:line="240" w:lineRule="auto"/>
    </w:pPr>
    <w:rPr>
      <w:rFonts w:ascii="Constantia" w:eastAsia="Constantia" w:hAnsi="Constantia" w:cs="Times New Roman"/>
      <w:color w:val="7B7B7B" w:themeColor="accent3" w:themeShade="BF"/>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21">
    <w:name w:val="Grid Table 21"/>
    <w:basedOn w:val="TableNormal"/>
    <w:uiPriority w:val="47"/>
    <w:rsid w:val="00E84619"/>
    <w:pPr>
      <w:spacing w:after="0" w:line="240" w:lineRule="auto"/>
    </w:pPr>
    <w:rPr>
      <w:rFonts w:ascii="Constantia" w:eastAsia="Constantia" w:hAnsi="Constantia" w:cs="Times New Roman"/>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cimalAligned">
    <w:name w:val="Decimal Aligned"/>
    <w:basedOn w:val="Normal"/>
    <w:uiPriority w:val="40"/>
    <w:qFormat/>
    <w:rsid w:val="00E84619"/>
    <w:pPr>
      <w:tabs>
        <w:tab w:val="decimal" w:pos="360"/>
      </w:tabs>
      <w:spacing w:after="200" w:line="276" w:lineRule="auto"/>
    </w:pPr>
    <w:rPr>
      <w:rFonts w:ascii="Calibri" w:eastAsia="Calibri" w:hAnsi="Calibri" w:cs="Times New Roman"/>
      <w:lang w:eastAsia="ja-JP"/>
    </w:rPr>
  </w:style>
  <w:style w:type="numbering" w:customStyle="1" w:styleId="NoList7">
    <w:name w:val="No List7"/>
    <w:next w:val="NoList"/>
    <w:uiPriority w:val="99"/>
    <w:semiHidden/>
    <w:unhideWhenUsed/>
    <w:rsid w:val="00E84619"/>
  </w:style>
  <w:style w:type="table" w:customStyle="1" w:styleId="LightShading-Accent353">
    <w:name w:val="Light Shading - Accent 353"/>
    <w:basedOn w:val="TableNormal"/>
    <w:next w:val="LightShading-Accent3"/>
    <w:uiPriority w:val="60"/>
    <w:rsid w:val="00E84619"/>
    <w:pPr>
      <w:spacing w:after="0" w:line="240" w:lineRule="auto"/>
    </w:pPr>
    <w:rPr>
      <w:rFonts w:ascii="Calibri" w:eastAsia="Calibri" w:hAnsi="Calibri" w:cs="Times New Roman"/>
      <w:color w:val="76923C"/>
      <w:lang w:val="sr-Latn-R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1">
    <w:name w:val="21"/>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0">
    <w:name w:val="20"/>
    <w:basedOn w:val="TableNormal"/>
    <w:rsid w:val="00E84619"/>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9">
    <w:name w:val="19"/>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8">
    <w:name w:val="18"/>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7">
    <w:name w:val="17"/>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6">
    <w:name w:val="16"/>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5">
    <w:name w:val="15"/>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4">
    <w:name w:val="14"/>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3">
    <w:name w:val="13"/>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20">
    <w:name w:val="12"/>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18">
    <w:name w:val="11"/>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0">
    <w:name w:val="10"/>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9">
    <w:name w:val="9"/>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8">
    <w:name w:val="8"/>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7">
    <w:name w:val="7"/>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6">
    <w:name w:val="6"/>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5">
    <w:name w:val="5"/>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4">
    <w:name w:val="4"/>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30">
    <w:name w:val="3"/>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2">
    <w:name w:val="2"/>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a">
    <w:name w:val="1"/>
    <w:basedOn w:val="TableNormal"/>
    <w:rsid w:val="00E84619"/>
    <w:pPr>
      <w:contextualSpacing/>
    </w:pPr>
    <w:rPr>
      <w:rFonts w:ascii="Calibri" w:eastAsia="Calibri" w:hAnsi="Calibri" w:cs="Calibri"/>
      <w:color w:val="000000"/>
    </w:rPr>
    <w:tblPr>
      <w:tblStyleRowBandSize w:val="1"/>
      <w:tblStyleColBandSize w:val="1"/>
      <w:tblCellMar>
        <w:left w:w="115" w:type="dxa"/>
        <w:right w:w="115" w:type="dxa"/>
      </w:tblCellMar>
    </w:tblPr>
  </w:style>
  <w:style w:type="paragraph" w:customStyle="1" w:styleId="Nabrajanjemera">
    <w:name w:val="Nabrajanje mera"/>
    <w:basedOn w:val="Normal"/>
    <w:qFormat/>
    <w:rsid w:val="00E84619"/>
    <w:pPr>
      <w:numPr>
        <w:numId w:val="9"/>
      </w:numPr>
      <w:spacing w:after="0"/>
      <w:ind w:left="1495"/>
    </w:pPr>
    <w:rPr>
      <w:b/>
      <w:smallCaps/>
      <w:szCs w:val="24"/>
      <w:lang w:val="sr-Cyrl-RS"/>
    </w:rPr>
  </w:style>
  <w:style w:type="character" w:customStyle="1" w:styleId="Nazivmere">
    <w:name w:val="Naziv mere"/>
    <w:basedOn w:val="DefaultParagraphFont"/>
    <w:uiPriority w:val="1"/>
    <w:rsid w:val="00E84619"/>
    <w:rPr>
      <w:rFonts w:asciiTheme="minorHAnsi" w:hAnsiTheme="minorHAnsi"/>
      <w:b w:val="0"/>
      <w:caps/>
      <w:smallCaps w:val="0"/>
      <w:sz w:val="22"/>
    </w:rPr>
  </w:style>
  <w:style w:type="character" w:customStyle="1" w:styleId="tekst">
    <w:name w:val="tekst"/>
    <w:basedOn w:val="DefaultParagraphFont"/>
    <w:uiPriority w:val="1"/>
    <w:rsid w:val="00E84619"/>
    <w:rPr>
      <w:rFonts w:asciiTheme="minorHAnsi" w:hAnsiTheme="minorHAnsi"/>
      <w:sz w:val="22"/>
    </w:rPr>
  </w:style>
  <w:style w:type="table" w:customStyle="1" w:styleId="TableGrid41">
    <w:name w:val="Table Grid41"/>
    <w:basedOn w:val="TableNormal"/>
    <w:next w:val="TableGrid"/>
    <w:uiPriority w:val="39"/>
    <w:rsid w:val="00E84619"/>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sz w:val="20"/>
      <w:szCs w:val="20"/>
      <w:lang w:val="sr-Latn-RS" w:eastAsia="sr-Latn-RS"/>
    </w:rPr>
  </w:style>
  <w:style w:type="paragraph" w:customStyle="1" w:styleId="xl67">
    <w:name w:val="xl67"/>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paragraph" w:customStyle="1" w:styleId="xl68">
    <w:name w:val="xl68"/>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paragraph" w:customStyle="1" w:styleId="xl69">
    <w:name w:val="xl69"/>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jc w:val="right"/>
      <w:textAlignment w:val="center"/>
    </w:pPr>
    <w:rPr>
      <w:rFonts w:ascii="Calibri" w:eastAsia="Times New Roman" w:hAnsi="Calibri" w:cs="Times New Roman"/>
      <w:b/>
      <w:bCs/>
      <w:i/>
      <w:iCs/>
      <w:sz w:val="16"/>
      <w:szCs w:val="16"/>
      <w:lang w:val="sr-Latn-RS" w:eastAsia="sr-Latn-RS"/>
    </w:rPr>
  </w:style>
  <w:style w:type="paragraph" w:customStyle="1" w:styleId="xl70">
    <w:name w:val="xl70"/>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sz w:val="16"/>
      <w:szCs w:val="16"/>
      <w:lang w:val="sr-Latn-RS" w:eastAsia="sr-Latn-RS"/>
    </w:rPr>
  </w:style>
  <w:style w:type="paragraph" w:customStyle="1" w:styleId="xl71">
    <w:name w:val="xl71"/>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16"/>
      <w:szCs w:val="16"/>
      <w:lang w:val="sr-Latn-RS" w:eastAsia="sr-Latn-RS"/>
    </w:rPr>
  </w:style>
  <w:style w:type="paragraph" w:customStyle="1" w:styleId="xl72">
    <w:name w:val="xl72"/>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73">
    <w:name w:val="xl73"/>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74">
    <w:name w:val="xl74"/>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sz w:val="16"/>
      <w:szCs w:val="16"/>
      <w:lang w:val="sr-Latn-RS" w:eastAsia="sr-Latn-RS"/>
    </w:rPr>
  </w:style>
  <w:style w:type="paragraph" w:customStyle="1" w:styleId="xl75">
    <w:name w:val="xl75"/>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color w:val="FF0000"/>
      <w:sz w:val="16"/>
      <w:szCs w:val="16"/>
      <w:lang w:val="sr-Latn-RS" w:eastAsia="sr-Latn-RS"/>
    </w:rPr>
  </w:style>
  <w:style w:type="paragraph" w:customStyle="1" w:styleId="xl76">
    <w:name w:val="xl76"/>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color w:val="FF0000"/>
      <w:sz w:val="16"/>
      <w:szCs w:val="16"/>
      <w:lang w:val="sr-Latn-RS" w:eastAsia="sr-Latn-RS"/>
    </w:rPr>
  </w:style>
  <w:style w:type="paragraph" w:customStyle="1" w:styleId="xl77">
    <w:name w:val="xl77"/>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color w:val="FF0000"/>
      <w:sz w:val="16"/>
      <w:szCs w:val="16"/>
      <w:lang w:val="sr-Latn-RS" w:eastAsia="sr-Latn-RS"/>
    </w:rPr>
  </w:style>
  <w:style w:type="paragraph" w:customStyle="1" w:styleId="xl78">
    <w:name w:val="xl78"/>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color w:val="FF0000"/>
      <w:sz w:val="16"/>
      <w:szCs w:val="16"/>
      <w:lang w:val="sr-Latn-RS" w:eastAsia="sr-Latn-RS"/>
    </w:rPr>
  </w:style>
  <w:style w:type="paragraph" w:customStyle="1" w:styleId="xl79">
    <w:name w:val="xl79"/>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sz w:val="16"/>
      <w:szCs w:val="16"/>
      <w:lang w:val="sr-Latn-RS" w:eastAsia="sr-Latn-RS"/>
    </w:rPr>
  </w:style>
  <w:style w:type="paragraph" w:customStyle="1" w:styleId="xl80">
    <w:name w:val="xl80"/>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sz w:val="18"/>
      <w:szCs w:val="18"/>
      <w:lang w:val="sr-Latn-RS" w:eastAsia="sr-Latn-RS"/>
    </w:rPr>
  </w:style>
  <w:style w:type="paragraph" w:customStyle="1" w:styleId="xl81">
    <w:name w:val="xl81"/>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szCs w:val="24"/>
      <w:lang w:val="sr-Latn-RS" w:eastAsia="sr-Latn-RS"/>
    </w:rPr>
  </w:style>
  <w:style w:type="paragraph" w:customStyle="1" w:styleId="xl82">
    <w:name w:val="xl82"/>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jc w:val="right"/>
      <w:textAlignment w:val="center"/>
    </w:pPr>
    <w:rPr>
      <w:rFonts w:ascii="Calibri" w:eastAsia="Times New Roman" w:hAnsi="Calibri" w:cs="Times New Roman"/>
      <w:b/>
      <w:bCs/>
      <w:sz w:val="18"/>
      <w:szCs w:val="18"/>
      <w:lang w:val="sr-Latn-RS" w:eastAsia="sr-Latn-RS"/>
    </w:rPr>
  </w:style>
  <w:style w:type="paragraph" w:customStyle="1" w:styleId="xl83">
    <w:name w:val="xl83"/>
    <w:basedOn w:val="Normal"/>
    <w:rsid w:val="00E846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Calibri" w:eastAsia="Times New Roman" w:hAnsi="Calibri" w:cs="Times New Roman"/>
      <w:b/>
      <w:bCs/>
      <w:i/>
      <w:iCs/>
      <w:sz w:val="18"/>
      <w:szCs w:val="18"/>
      <w:lang w:val="sr-Latn-RS" w:eastAsia="sr-Latn-RS"/>
    </w:rPr>
  </w:style>
  <w:style w:type="paragraph" w:customStyle="1" w:styleId="xl84">
    <w:name w:val="xl84"/>
    <w:basedOn w:val="Normal"/>
    <w:rsid w:val="00E846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eastAsia="Times New Roman" w:hAnsi="Calibri" w:cs="Times New Roman"/>
      <w:b/>
      <w:bCs/>
      <w:i/>
      <w:iCs/>
      <w:szCs w:val="24"/>
      <w:lang w:val="sr-Latn-RS" w:eastAsia="sr-Latn-RS"/>
    </w:rPr>
  </w:style>
  <w:style w:type="paragraph" w:customStyle="1" w:styleId="xl85">
    <w:name w:val="xl85"/>
    <w:basedOn w:val="Normal"/>
    <w:rsid w:val="00E8461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eastAsia="Times New Roman" w:hAnsi="Calibri" w:cs="Times New Roman"/>
      <w:b/>
      <w:bCs/>
      <w:i/>
      <w:iCs/>
      <w:sz w:val="18"/>
      <w:szCs w:val="18"/>
      <w:lang w:val="sr-Latn-RS" w:eastAsia="sr-Latn-RS"/>
    </w:rPr>
  </w:style>
  <w:style w:type="paragraph" w:customStyle="1" w:styleId="xl86">
    <w:name w:val="xl86"/>
    <w:basedOn w:val="Normal"/>
    <w:rsid w:val="00E84619"/>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rPr>
      <w:rFonts w:ascii="Calibri" w:eastAsia="Times New Roman" w:hAnsi="Calibri" w:cs="Times New Roman"/>
      <w:i/>
      <w:iCs/>
      <w:color w:val="FF0000"/>
      <w:sz w:val="16"/>
      <w:szCs w:val="16"/>
      <w:lang w:val="sr-Latn-RS" w:eastAsia="sr-Latn-RS"/>
    </w:rPr>
  </w:style>
  <w:style w:type="paragraph" w:customStyle="1" w:styleId="xl87">
    <w:name w:val="xl87"/>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88">
    <w:name w:val="xl88"/>
    <w:basedOn w:val="Normal"/>
    <w:rsid w:val="00E84619"/>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89">
    <w:name w:val="xl89"/>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0">
    <w:name w:val="xl90"/>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16"/>
      <w:szCs w:val="16"/>
      <w:lang w:val="sr-Latn-RS" w:eastAsia="sr-Latn-RS"/>
    </w:rPr>
  </w:style>
  <w:style w:type="paragraph" w:customStyle="1" w:styleId="xl91">
    <w:name w:val="xl91"/>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2">
    <w:name w:val="xl92"/>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93">
    <w:name w:val="xl93"/>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paragraph" w:customStyle="1" w:styleId="xl94">
    <w:name w:val="xl94"/>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5">
    <w:name w:val="xl95"/>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16"/>
      <w:szCs w:val="16"/>
      <w:lang w:val="sr-Latn-RS" w:eastAsia="sr-Latn-RS"/>
    </w:rPr>
  </w:style>
  <w:style w:type="paragraph" w:customStyle="1" w:styleId="xl96">
    <w:name w:val="xl96"/>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7">
    <w:name w:val="xl97"/>
    <w:basedOn w:val="Normal"/>
    <w:rsid w:val="00E8461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98">
    <w:name w:val="xl98"/>
    <w:basedOn w:val="Normal"/>
    <w:rsid w:val="00E84619"/>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character" w:customStyle="1" w:styleId="Bodytext0">
    <w:name w:val="Body text_"/>
    <w:basedOn w:val="DefaultParagraphFont"/>
    <w:link w:val="BodyText9"/>
    <w:locked/>
    <w:rsid w:val="00E84619"/>
    <w:rPr>
      <w:sz w:val="19"/>
      <w:szCs w:val="19"/>
      <w:shd w:val="clear" w:color="auto" w:fill="FFFFFF"/>
    </w:rPr>
  </w:style>
  <w:style w:type="paragraph" w:customStyle="1" w:styleId="BodyText9">
    <w:name w:val="Body Text9"/>
    <w:basedOn w:val="Normal"/>
    <w:link w:val="Bodytext0"/>
    <w:rsid w:val="00E84619"/>
    <w:pPr>
      <w:shd w:val="clear" w:color="auto" w:fill="FFFFFF"/>
      <w:spacing w:before="180" w:after="180" w:line="277" w:lineRule="exact"/>
      <w:ind w:hanging="340"/>
    </w:pPr>
    <w:rPr>
      <w:sz w:val="19"/>
      <w:szCs w:val="19"/>
    </w:rPr>
  </w:style>
  <w:style w:type="character" w:customStyle="1" w:styleId="BodytextBold">
    <w:name w:val="Body text + Bold"/>
    <w:basedOn w:val="Bodytext0"/>
    <w:rsid w:val="00E84619"/>
    <w:rPr>
      <w:b/>
      <w:bCs/>
      <w:sz w:val="19"/>
      <w:szCs w:val="19"/>
      <w:shd w:val="clear" w:color="auto" w:fill="FFFFFF"/>
    </w:rPr>
  </w:style>
  <w:style w:type="table" w:customStyle="1" w:styleId="TableGrid311">
    <w:name w:val="Table Grid311"/>
    <w:basedOn w:val="TableNormal"/>
    <w:next w:val="TableGrid"/>
    <w:uiPriority w:val="39"/>
    <w:rsid w:val="00E84619"/>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5">
    <w:name w:val="Grid Table 5 Dark - Accent 55"/>
    <w:basedOn w:val="TableNormal"/>
    <w:uiPriority w:val="50"/>
    <w:rsid w:val="002042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UnresolvedMention1">
    <w:name w:val="Unresolved Mention1"/>
    <w:basedOn w:val="DefaultParagraphFont"/>
    <w:uiPriority w:val="99"/>
    <w:semiHidden/>
    <w:unhideWhenUsed/>
    <w:rsid w:val="00204287"/>
    <w:rPr>
      <w:color w:val="605E5C"/>
      <w:shd w:val="clear" w:color="auto" w:fill="E1DFDD"/>
    </w:rPr>
  </w:style>
  <w:style w:type="table" w:customStyle="1" w:styleId="LightShading-Accent3351">
    <w:name w:val="Light Shading - Accent 3351"/>
    <w:basedOn w:val="TableNormal"/>
    <w:next w:val="LightShading-Accent3"/>
    <w:uiPriority w:val="60"/>
    <w:rsid w:val="00204287"/>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Table6Colorful-Accent62">
    <w:name w:val="List Table 6 Colorful - Accent 62"/>
    <w:basedOn w:val="TableNormal"/>
    <w:uiPriority w:val="51"/>
    <w:rsid w:val="00204287"/>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yperlink2">
    <w:name w:val="Hyperlink2"/>
    <w:basedOn w:val="DefaultParagraphFont"/>
    <w:uiPriority w:val="99"/>
    <w:rsid w:val="00204287"/>
    <w:rPr>
      <w:color w:val="0563C1"/>
      <w:u w:val="single"/>
    </w:rPr>
  </w:style>
  <w:style w:type="character" w:customStyle="1" w:styleId="UnresolvedMention2">
    <w:name w:val="Unresolved Mention2"/>
    <w:basedOn w:val="DefaultParagraphFont"/>
    <w:uiPriority w:val="99"/>
    <w:semiHidden/>
    <w:unhideWhenUsed/>
    <w:rsid w:val="00204287"/>
    <w:rPr>
      <w:color w:val="605E5C"/>
      <w:shd w:val="clear" w:color="auto" w:fill="E1DFDD"/>
    </w:rPr>
  </w:style>
  <w:style w:type="character" w:customStyle="1" w:styleId="UnresolvedMention3">
    <w:name w:val="Unresolved Mention3"/>
    <w:basedOn w:val="DefaultParagraphFont"/>
    <w:uiPriority w:val="99"/>
    <w:semiHidden/>
    <w:unhideWhenUsed/>
    <w:rsid w:val="00204287"/>
    <w:rPr>
      <w:color w:val="605E5C"/>
      <w:shd w:val="clear" w:color="auto" w:fill="E1DFDD"/>
    </w:rPr>
  </w:style>
  <w:style w:type="table" w:customStyle="1" w:styleId="GridTable1Light-Accent15">
    <w:name w:val="Grid Table 1 Light - Accent 15"/>
    <w:basedOn w:val="TableNormal"/>
    <w:uiPriority w:val="46"/>
    <w:rsid w:val="0020428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7">
    <w:name w:val="Table Grid7"/>
    <w:basedOn w:val="TableNormal"/>
    <w:next w:val="TableGrid"/>
    <w:uiPriority w:val="39"/>
    <w:rsid w:val="00B75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3F01A2"/>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1">
    <w:name w:val="Plain Table 41"/>
    <w:basedOn w:val="TableNormal"/>
    <w:uiPriority w:val="44"/>
    <w:rsid w:val="0065728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usnoteIoI">
    <w:name w:val="Fusnote_IoI"/>
    <w:basedOn w:val="FootnoteText"/>
    <w:link w:val="FusnoteIoIChar"/>
    <w:uiPriority w:val="99"/>
    <w:rsid w:val="007C3538"/>
    <w:pPr>
      <w:keepLines/>
      <w:tabs>
        <w:tab w:val="left" w:pos="454"/>
        <w:tab w:val="left" w:pos="907"/>
        <w:tab w:val="left" w:pos="1361"/>
        <w:tab w:val="left" w:pos="1814"/>
        <w:tab w:val="right" w:pos="9072"/>
      </w:tabs>
      <w:spacing w:before="60" w:after="0"/>
      <w:ind w:firstLine="0"/>
    </w:pPr>
    <w:rPr>
      <w:rFonts w:ascii="Times New Roman" w:eastAsia="Calibri" w:hAnsi="Times New Roman" w:cs="Times New Roman"/>
      <w:bCs w:val="0"/>
      <w:noProof/>
      <w:color w:val="auto"/>
      <w:spacing w:val="-2"/>
      <w:sz w:val="14"/>
    </w:rPr>
  </w:style>
  <w:style w:type="character" w:customStyle="1" w:styleId="FusnoteIoIChar">
    <w:name w:val="Fusnote_IoI Char"/>
    <w:link w:val="FusnoteIoI"/>
    <w:uiPriority w:val="99"/>
    <w:locked/>
    <w:rsid w:val="007C3538"/>
    <w:rPr>
      <w:rFonts w:ascii="Times New Roman" w:eastAsia="Calibri" w:hAnsi="Times New Roman" w:cs="Times New Roman"/>
      <w:noProof/>
      <w:spacing w:val="-2"/>
      <w:sz w:val="14"/>
      <w:szCs w:val="20"/>
      <w:lang w:val="sr-Cyrl-CS"/>
    </w:rPr>
  </w:style>
  <w:style w:type="table" w:customStyle="1" w:styleId="LightShading-Accent3352">
    <w:name w:val="Light Shading - Accent 3352"/>
    <w:basedOn w:val="TableNormal"/>
    <w:next w:val="LightShading-Accent3"/>
    <w:uiPriority w:val="60"/>
    <w:rsid w:val="005F26DA"/>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6Colorful-Accent15">
    <w:name w:val="Grid Table 6 Colorful - Accent 15"/>
    <w:basedOn w:val="TableNormal"/>
    <w:next w:val="GridTable6Colorful-Accent1"/>
    <w:uiPriority w:val="51"/>
    <w:rsid w:val="005F26DA"/>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rful-Accent1">
    <w:name w:val="Grid Table 6 Colorful Accent 1"/>
    <w:basedOn w:val="TableNormal"/>
    <w:uiPriority w:val="51"/>
    <w:rsid w:val="005F26DA"/>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wtze">
    <w:name w:val="hwtze"/>
    <w:basedOn w:val="DefaultParagraphFont"/>
    <w:rsid w:val="00506244"/>
  </w:style>
  <w:style w:type="character" w:customStyle="1" w:styleId="rynqvb">
    <w:name w:val="rynqvb"/>
    <w:basedOn w:val="DefaultParagraphFont"/>
    <w:rsid w:val="00506244"/>
  </w:style>
  <w:style w:type="paragraph" w:customStyle="1" w:styleId="Naglasavanjepreglavteksta">
    <w:name w:val="Naglasavanje_pre_glav_teksta"/>
    <w:basedOn w:val="Normal"/>
    <w:rsid w:val="00B66407"/>
    <w:pPr>
      <w:spacing w:before="200" w:after="200"/>
    </w:pPr>
    <w:rPr>
      <w:rFonts w:ascii="Arial" w:eastAsia="Batang" w:hAnsi="Arial" w:cs="Arial"/>
      <w:b/>
      <w:i/>
      <w:color w:val="808080"/>
      <w:sz w:val="18"/>
      <w:szCs w:val="18"/>
      <w:lang w:val="sr-Cyrl-CS" w:eastAsia="x-none"/>
    </w:rPr>
  </w:style>
  <w:style w:type="paragraph" w:customStyle="1" w:styleId="NumPar1">
    <w:name w:val="NumPar 1"/>
    <w:basedOn w:val="Normal"/>
    <w:next w:val="Normal"/>
    <w:link w:val="FootnoteReference"/>
    <w:uiPriority w:val="99"/>
    <w:rsid w:val="00805B73"/>
    <w:pPr>
      <w:numPr>
        <w:numId w:val="28"/>
      </w:numPr>
      <w:spacing w:before="120"/>
    </w:pPr>
    <w:rPr>
      <w:rFonts w:asciiTheme="minorHAnsi" w:hAnsiTheme="minorHAnsi"/>
      <w:sz w:val="22"/>
      <w:vertAlign w:val="superscript"/>
    </w:rPr>
  </w:style>
  <w:style w:type="paragraph" w:customStyle="1" w:styleId="NumPar2">
    <w:name w:val="NumPar 2"/>
    <w:basedOn w:val="Normal"/>
    <w:next w:val="Normal"/>
    <w:rsid w:val="00805B73"/>
    <w:pPr>
      <w:numPr>
        <w:ilvl w:val="1"/>
        <w:numId w:val="28"/>
      </w:numPr>
      <w:spacing w:before="120"/>
    </w:pPr>
    <w:rPr>
      <w:rFonts w:ascii="Tunga" w:eastAsia="Arial Unicode MS" w:hAnsi="Tunga" w:cs="Tunga"/>
      <w:snapToGrid w:val="0"/>
      <w:sz w:val="20"/>
      <w:szCs w:val="20"/>
    </w:rPr>
  </w:style>
  <w:style w:type="paragraph" w:customStyle="1" w:styleId="NumPar3">
    <w:name w:val="NumPar 3"/>
    <w:basedOn w:val="Normal"/>
    <w:next w:val="Normal"/>
    <w:rsid w:val="00805B73"/>
    <w:pPr>
      <w:numPr>
        <w:ilvl w:val="2"/>
        <w:numId w:val="28"/>
      </w:numPr>
      <w:spacing w:before="120"/>
    </w:pPr>
    <w:rPr>
      <w:rFonts w:ascii="Tunga" w:eastAsia="Arial Unicode MS" w:hAnsi="Tunga" w:cs="Tunga"/>
      <w:snapToGrid w:val="0"/>
      <w:sz w:val="20"/>
      <w:szCs w:val="20"/>
    </w:rPr>
  </w:style>
  <w:style w:type="paragraph" w:customStyle="1" w:styleId="NumPar4">
    <w:name w:val="NumPar 4"/>
    <w:basedOn w:val="Normal"/>
    <w:next w:val="Normal"/>
    <w:rsid w:val="00805B73"/>
    <w:pPr>
      <w:numPr>
        <w:ilvl w:val="3"/>
        <w:numId w:val="28"/>
      </w:numPr>
      <w:spacing w:before="120"/>
    </w:pPr>
    <w:rPr>
      <w:rFonts w:ascii="Tunga" w:eastAsia="Arial Unicode MS" w:hAnsi="Tunga" w:cs="Tunga"/>
      <w:snapToGrid w:val="0"/>
      <w:sz w:val="20"/>
      <w:szCs w:val="20"/>
    </w:rPr>
  </w:style>
  <w:style w:type="paragraph" w:customStyle="1" w:styleId="FootnotesrefssChar">
    <w:name w:val="Footnotes refss Char"/>
    <w:aliases w:val="16 Point Char,Superscript 6 Point Char,Footnote Reference Number Char,nota pié di pagina Char,Times 10 Point Char, Exposant 3 Point Char,Footnote symbol Char,Footnote reference number Char"/>
    <w:basedOn w:val="Normal"/>
    <w:uiPriority w:val="99"/>
    <w:rsid w:val="00480BCD"/>
    <w:pPr>
      <w:spacing w:after="160" w:line="240" w:lineRule="exact"/>
      <w:jc w:val="left"/>
    </w:pPr>
    <w:rPr>
      <w:rFonts w:asciiTheme="minorHAnsi" w:hAnsiTheme="minorHAnsi"/>
      <w:sz w:val="22"/>
      <w:vertAlign w:val="superscript"/>
    </w:rPr>
  </w:style>
  <w:style w:type="table" w:customStyle="1" w:styleId="TableGrid8">
    <w:name w:val="Table Grid8"/>
    <w:basedOn w:val="TableNormal"/>
    <w:next w:val="TableGrid"/>
    <w:uiPriority w:val="39"/>
    <w:rsid w:val="000F79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6D0778"/>
  </w:style>
  <w:style w:type="numbering" w:customStyle="1" w:styleId="NoList14">
    <w:name w:val="No List14"/>
    <w:next w:val="NoList"/>
    <w:uiPriority w:val="99"/>
    <w:semiHidden/>
    <w:unhideWhenUsed/>
    <w:rsid w:val="006D0778"/>
  </w:style>
  <w:style w:type="table" w:customStyle="1" w:styleId="TableGrid9">
    <w:name w:val="Table Grid9"/>
    <w:basedOn w:val="TableNormal"/>
    <w:next w:val="TableGrid"/>
    <w:uiPriority w:val="39"/>
    <w:rsid w:val="006D0778"/>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4">
    <w:name w:val="Financial Table4"/>
    <w:basedOn w:val="TableNormal"/>
    <w:uiPriority w:val="99"/>
    <w:rsid w:val="006D0778"/>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3">
    <w:name w:val="Light Shading13"/>
    <w:basedOn w:val="TableNormal"/>
    <w:next w:val="LightShading"/>
    <w:uiPriority w:val="60"/>
    <w:rsid w:val="006D0778"/>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8">
    <w:name w:val="Grid Table 6 Colorful - Accent 518"/>
    <w:basedOn w:val="TableNormal"/>
    <w:next w:val="GridTable6Colorful-Accent540"/>
    <w:uiPriority w:val="51"/>
    <w:rsid w:val="006D0778"/>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9">
    <w:name w:val="Light Shading - Accent 129"/>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4">
    <w:name w:val="Grid Table 6 Colorful - Accent 5114"/>
    <w:basedOn w:val="TableNormal"/>
    <w:uiPriority w:val="51"/>
    <w:rsid w:val="006D0778"/>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5">
    <w:name w:val="Light Shading - Accent 1215"/>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3">
    <w:name w:val="Grid Table 6 Colorful - Accent 113"/>
    <w:basedOn w:val="TableNormal"/>
    <w:next w:val="GridTable6Colorful-Accent130"/>
    <w:uiPriority w:val="51"/>
    <w:rsid w:val="006D0778"/>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4">
    <w:name w:val="Light Shading - Accent 1224"/>
    <w:basedOn w:val="TableNormal"/>
    <w:uiPriority w:val="60"/>
    <w:rsid w:val="006D0778"/>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4">
    <w:name w:val="Grid Table 6 Colorful - Accent 524"/>
    <w:basedOn w:val="TableNormal"/>
    <w:next w:val="GridTable6Colorful-Accent540"/>
    <w:uiPriority w:val="51"/>
    <w:rsid w:val="006D0778"/>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8">
    <w:name w:val="tabele 38"/>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8">
    <w:name w:val="Light Shading - Accent 1118"/>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8">
    <w:name w:val="Light Shading - Accent 38"/>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8">
    <w:name w:val="Light List - Accent 58"/>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8">
    <w:name w:val="Light Shading - Accent 318"/>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9">
    <w:name w:val="Light List - Accent 319"/>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6">
    <w:name w:val="Table Grid16"/>
    <w:basedOn w:val="TableNormal"/>
    <w:next w:val="TableGrid"/>
    <w:uiPriority w:val="59"/>
    <w:rsid w:val="006D0778"/>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8">
    <w:name w:val="Light List - Accent 518"/>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5">
    <w:name w:val="Medium List 1 - Accent 515"/>
    <w:basedOn w:val="TableNormal"/>
    <w:next w:val="MediumList1-Accent5"/>
    <w:uiPriority w:val="65"/>
    <w:rsid w:val="006D0778"/>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6">
    <w:name w:val="Medium List 1 - Accent 56"/>
    <w:basedOn w:val="TableNormal"/>
    <w:next w:val="MediumList1-Accent5"/>
    <w:uiPriority w:val="65"/>
    <w:rsid w:val="006D0778"/>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4">
    <w:name w:val="No List114"/>
    <w:next w:val="NoList"/>
    <w:uiPriority w:val="99"/>
    <w:semiHidden/>
    <w:unhideWhenUsed/>
    <w:rsid w:val="006D0778"/>
  </w:style>
  <w:style w:type="table" w:customStyle="1" w:styleId="LightGrid-Accent519">
    <w:name w:val="Light Grid - Accent 519"/>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80">
    <w:name w:val="Светло сенчење – наглашавање 118"/>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10">
    <w:name w:val="Light Grid - Accent 510"/>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4">
    <w:name w:val="tabele za ifs4"/>
    <w:basedOn w:val="TableNormal"/>
    <w:uiPriority w:val="99"/>
    <w:qFormat/>
    <w:rsid w:val="006D0778"/>
    <w:pPr>
      <w:spacing w:after="0" w:line="240" w:lineRule="auto"/>
    </w:pPr>
    <w:rPr>
      <w:rFonts w:ascii="Cambria Math" w:eastAsia="Calibri" w:hAnsi="Cambria Math" w:cs="Times New Roman"/>
      <w:sz w:val="20"/>
      <w:szCs w:val="20"/>
      <w:lang w:val="en-GB" w:eastAsia="en-GB"/>
    </w:rPr>
    <w:tblPr/>
  </w:style>
  <w:style w:type="table" w:customStyle="1" w:styleId="tabelezaifs14">
    <w:name w:val="tabele za ifs 14"/>
    <w:basedOn w:val="TableNormal"/>
    <w:uiPriority w:val="66"/>
    <w:rsid w:val="006D0778"/>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4">
    <w:name w:val="Colorful List - Accent 14"/>
    <w:basedOn w:val="TableNormal"/>
    <w:next w:val="ColorfulList-Accent1"/>
    <w:uiPriority w:val="72"/>
    <w:rsid w:val="006D0778"/>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4">
    <w:name w:val="No List24"/>
    <w:next w:val="NoList"/>
    <w:uiPriority w:val="99"/>
    <w:semiHidden/>
    <w:unhideWhenUsed/>
    <w:rsid w:val="006D0778"/>
  </w:style>
  <w:style w:type="table" w:customStyle="1" w:styleId="LightList-Accent327">
    <w:name w:val="Light List - Accent 327"/>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8">
    <w:name w:val="Light List - Accent 3118"/>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27">
    <w:name w:val="Light Shading - Accent 1327"/>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5">
    <w:name w:val="Light Shading - Accent 13115"/>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8">
    <w:name w:val="Light Shading - Accent 1328"/>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5">
    <w:name w:val="tabele 315"/>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9">
    <w:name w:val="Light Shading - Accent 1119"/>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5">
    <w:name w:val="Light Shading - Accent 325"/>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5">
    <w:name w:val="Light List - Accent 525"/>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5">
    <w:name w:val="Light Shading - Accent 3115"/>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5">
    <w:name w:val="Light List - Accent 3125"/>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5">
    <w:name w:val="Light List - Accent 5115"/>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6">
    <w:name w:val="Light Grid - Accent 5116"/>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5">
    <w:name w:val="Светло сенчење – наглашавање 1115"/>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6">
    <w:name w:val="Light Grid - Accent 526"/>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4">
    <w:name w:val="Light List - Accent 3214"/>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5">
    <w:name w:val="Light List - Accent 31115"/>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4">
    <w:name w:val="Light Shading - Accent 133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6">
    <w:name w:val="Light Shading - Accent 13116"/>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4">
    <w:name w:val="Light Shading - Accent 1321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5">
    <w:name w:val="Light Shading - Accent 1125"/>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4">
    <w:name w:val="Light Shading - Accent 134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5">
    <w:name w:val="Light Shading - Accent 1135"/>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4">
    <w:name w:val="Light Shading - Accent 135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5">
    <w:name w:val="Light Shading - Accent 1365"/>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4">
    <w:name w:val="Light Shading - Accent 137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5">
    <w:name w:val="tabele 325"/>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5">
    <w:name w:val="Light Shading - Accent 1145"/>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0">
    <w:name w:val="Light Shading - Accent 3310"/>
    <w:basedOn w:val="TableNormal"/>
    <w:next w:val="LightShading-Accent3"/>
    <w:uiPriority w:val="60"/>
    <w:rsid w:val="006D0778"/>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4">
    <w:name w:val="Light List - Accent 534"/>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5">
    <w:name w:val="Light Shading - Accent 3125"/>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5">
    <w:name w:val="Light List - Accent 3135"/>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5">
    <w:name w:val="Light List - Accent 5125"/>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6">
    <w:name w:val="Light Grid - Accent 5126"/>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4">
    <w:name w:val="Светло сенчење – наглашавање 1124"/>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6">
    <w:name w:val="Light Grid - Accent 536"/>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4">
    <w:name w:val="Light List - Accent 3224"/>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5">
    <w:name w:val="Light List - Accent 31125"/>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5">
    <w:name w:val="Light Shading - Accent 1385"/>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4">
    <w:name w:val="Light Shading - Accent 1312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4">
    <w:name w:val="Light Shading - Accent 1322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5">
    <w:name w:val="Light Shading - Accent 1155"/>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5">
    <w:name w:val="Light Shading - Accent 1395"/>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6">
    <w:name w:val="Light Shading - Accent 1166"/>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5">
    <w:name w:val="Light Shading - Accent 13105"/>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4">
    <w:name w:val="Light Shading - Accent 1313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5">
    <w:name w:val="tabele 335"/>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5">
    <w:name w:val="Light Shading - Accent 1175"/>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6">
    <w:name w:val="Light Shading - Accent 346"/>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4">
    <w:name w:val="Light List - Accent 544"/>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5">
    <w:name w:val="Light Shading - Accent 3135"/>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5">
    <w:name w:val="Light List - Accent 3145"/>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5">
    <w:name w:val="Light List - Accent 5135"/>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6">
    <w:name w:val="Light Grid - Accent 5136"/>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4">
    <w:name w:val="Светло сенчење – наглашавање 1134"/>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6">
    <w:name w:val="Light Grid - Accent 546"/>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4">
    <w:name w:val="Light Shading - Accent 1234"/>
    <w:basedOn w:val="TableNormal"/>
    <w:uiPriority w:val="60"/>
    <w:rsid w:val="006D0778"/>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4">
    <w:name w:val="Light List - Accent 3234"/>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5">
    <w:name w:val="Light List - Accent 31135"/>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4">
    <w:name w:val="Light Shading - Accent 1314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4">
    <w:name w:val="Light Shading - Accent 1315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4">
    <w:name w:val="Light Shading - Accent 1323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4">
    <w:name w:val="Light Shading - Accent 1316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4">
    <w:name w:val="Light Shading - Accent 1381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5">
    <w:name w:val="Light Shading - Accent 1185"/>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4">
    <w:name w:val="Light Shading - Accent 1391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5">
    <w:name w:val="Light Shading - Accent 11615"/>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4">
    <w:name w:val="Light Shading - Accent 13101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4">
    <w:name w:val="Light Shading - Accent 1361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4">
    <w:name w:val="Light Shading - Accent 1194"/>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3">
    <w:name w:val="Light Shading - Accent 143"/>
    <w:basedOn w:val="TableNormal"/>
    <w:next w:val="LightShading-Accent1"/>
    <w:uiPriority w:val="60"/>
    <w:rsid w:val="006D0778"/>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4">
    <w:name w:val="Light Shading - Accent 3314"/>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4">
    <w:name w:val="Light Shading - Accent 3324"/>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4">
    <w:name w:val="Light Shading - Accent 3334"/>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4">
    <w:name w:val="Light Shading - Accent 3414"/>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4">
    <w:name w:val="Light Shading - Accent 3424"/>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4">
    <w:name w:val="Light Grid - Accent 5144"/>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4">
    <w:name w:val="Light Grid - Accent 554"/>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4">
    <w:name w:val="Light Grid - Accent 51114"/>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4">
    <w:name w:val="Light Grid - Accent 5214"/>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4">
    <w:name w:val="Light Grid - Accent 51214"/>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4">
    <w:name w:val="Light Grid - Accent 5314"/>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4">
    <w:name w:val="Light Grid - Accent 51314"/>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4">
    <w:name w:val="Light Grid - Accent 5414"/>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4">
    <w:name w:val="Light Shading - Accent 614"/>
    <w:basedOn w:val="TableNormal"/>
    <w:next w:val="LightShading-Accent6"/>
    <w:uiPriority w:val="60"/>
    <w:rsid w:val="006D0778"/>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4">
    <w:name w:val="Grid Table 6 Colorful - Accent 414"/>
    <w:basedOn w:val="TableNormal"/>
    <w:next w:val="GridTable6Colorful-Accent430"/>
    <w:uiPriority w:val="51"/>
    <w:rsid w:val="006D0778"/>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3">
    <w:name w:val="Light Shading - Accent 6113"/>
    <w:basedOn w:val="TableNormal"/>
    <w:next w:val="LightShading-Accent6"/>
    <w:uiPriority w:val="60"/>
    <w:rsid w:val="006D0778"/>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4">
    <w:name w:val="Grid Table 6 Colorful - Accent 314"/>
    <w:basedOn w:val="TableNormal"/>
    <w:next w:val="GridTable6Colorful-Accent330"/>
    <w:uiPriority w:val="51"/>
    <w:rsid w:val="006D0778"/>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3">
    <w:name w:val="Grid Table 4 - Accent 513"/>
    <w:basedOn w:val="TableNormal"/>
    <w:next w:val="GridTable4-Accent530"/>
    <w:uiPriority w:val="49"/>
    <w:rsid w:val="006D0778"/>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3">
    <w:name w:val="Grid Table 5 Dark - Accent 513"/>
    <w:basedOn w:val="TableNormal"/>
    <w:next w:val="GridTable5Dark-Accent530"/>
    <w:uiPriority w:val="50"/>
    <w:rsid w:val="006D0778"/>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40">
    <w:name w:val="ФС4"/>
    <w:basedOn w:val="TableNormal"/>
    <w:uiPriority w:val="99"/>
    <w:rsid w:val="006D0778"/>
    <w:pPr>
      <w:spacing w:after="0" w:line="240" w:lineRule="auto"/>
    </w:pPr>
    <w:rPr>
      <w:rFonts w:ascii="Calibri" w:eastAsia="Calibri" w:hAnsi="Calibri" w:cs="Times New Roman"/>
      <w:sz w:val="20"/>
      <w:szCs w:val="20"/>
    </w:rPr>
    <w:tblPr/>
  </w:style>
  <w:style w:type="table" w:customStyle="1" w:styleId="ListTable6Colorful-Accent313">
    <w:name w:val="List Table 6 Colorful - Accent 313"/>
    <w:basedOn w:val="TableNormal"/>
    <w:next w:val="ListTable6Colorful-Accent330"/>
    <w:uiPriority w:val="51"/>
    <w:rsid w:val="006D0778"/>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3">
    <w:name w:val="Grid Table 1 Light - Accent 113"/>
    <w:basedOn w:val="TableNormal"/>
    <w:next w:val="GridTable1Light-Accent130"/>
    <w:uiPriority w:val="46"/>
    <w:rsid w:val="006D0778"/>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3">
    <w:name w:val="List Table 1 Light - Accent 113"/>
    <w:basedOn w:val="TableNormal"/>
    <w:next w:val="ListTable1Light-Accent130"/>
    <w:uiPriority w:val="46"/>
    <w:rsid w:val="006D0778"/>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3">
    <w:name w:val="List Table 2 - Accent 113"/>
    <w:basedOn w:val="TableNormal"/>
    <w:next w:val="ListTable2-Accent130"/>
    <w:uiPriority w:val="47"/>
    <w:rsid w:val="006D0778"/>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3">
    <w:name w:val="List Table 2 - Accent 513"/>
    <w:basedOn w:val="TableNormal"/>
    <w:next w:val="ListTable2-Accent530"/>
    <w:uiPriority w:val="47"/>
    <w:rsid w:val="006D0778"/>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3">
    <w:name w:val="Grid Table 2 - Accent 513"/>
    <w:basedOn w:val="TableNormal"/>
    <w:next w:val="GridTable2-Accent530"/>
    <w:uiPriority w:val="47"/>
    <w:rsid w:val="006D0778"/>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5">
    <w:name w:val="Table Grid25"/>
    <w:basedOn w:val="TableNormal"/>
    <w:next w:val="TableGrid"/>
    <w:uiPriority w:val="39"/>
    <w:rsid w:val="006D0778"/>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4">
    <w:name w:val="Light Shading - Accent 1244"/>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3">
    <w:name w:val="Grid Table 6 Colorful - Accent 5123"/>
    <w:basedOn w:val="TableNormal"/>
    <w:next w:val="GridTable6Colorful-Accent540"/>
    <w:uiPriority w:val="51"/>
    <w:rsid w:val="006D0778"/>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3">
    <w:name w:val="Grid Table 6 Colorful - Accent 5133"/>
    <w:basedOn w:val="TableNormal"/>
    <w:uiPriority w:val="51"/>
    <w:rsid w:val="006D0778"/>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3">
    <w:name w:val="No List33"/>
    <w:next w:val="NoList"/>
    <w:uiPriority w:val="99"/>
    <w:semiHidden/>
    <w:unhideWhenUsed/>
    <w:rsid w:val="006D0778"/>
  </w:style>
  <w:style w:type="table" w:customStyle="1" w:styleId="TableGrid34">
    <w:name w:val="Table Grid34"/>
    <w:basedOn w:val="TableNormal"/>
    <w:next w:val="TableGrid"/>
    <w:uiPriority w:val="39"/>
    <w:rsid w:val="006D0778"/>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3">
    <w:name w:val="Financial Table13"/>
    <w:basedOn w:val="TableNormal"/>
    <w:uiPriority w:val="99"/>
    <w:rsid w:val="006D0778"/>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3">
    <w:name w:val="Grid Table 6 Colorful - Accent 533"/>
    <w:basedOn w:val="TableNormal"/>
    <w:next w:val="GridTable6Colorful-Accent540"/>
    <w:uiPriority w:val="51"/>
    <w:rsid w:val="006D0778"/>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4">
    <w:name w:val="Light Shading - Accent 1254"/>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3">
    <w:name w:val="Grid Table 6 Colorful - Accent 5143"/>
    <w:basedOn w:val="TableNormal"/>
    <w:uiPriority w:val="51"/>
    <w:rsid w:val="006D0778"/>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3">
    <w:name w:val="Light Shading - Accent 12113"/>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3">
    <w:name w:val="Grid Table 6 Colorful - Accent 51113"/>
    <w:basedOn w:val="TableNormal"/>
    <w:uiPriority w:val="51"/>
    <w:rsid w:val="006D0778"/>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3">
    <w:name w:val="Grid Table 6 Colorful - Accent 123"/>
    <w:basedOn w:val="TableNormal"/>
    <w:next w:val="GridTable6Colorful-Accent130"/>
    <w:uiPriority w:val="51"/>
    <w:rsid w:val="006D0778"/>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3">
    <w:name w:val="Light Shading - Accent 12213"/>
    <w:basedOn w:val="TableNormal"/>
    <w:uiPriority w:val="60"/>
    <w:rsid w:val="006D0778"/>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3">
    <w:name w:val="Grid Table 6 Colorful - Accent 5213"/>
    <w:basedOn w:val="TableNormal"/>
    <w:next w:val="GridTable6Colorful-Accent540"/>
    <w:uiPriority w:val="51"/>
    <w:rsid w:val="006D0778"/>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3">
    <w:name w:val="tabele 343"/>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3">
    <w:name w:val="Light Shading - Accent 11103"/>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4">
    <w:name w:val="Light Shading - Accent 354"/>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3">
    <w:name w:val="Light List - Accent 553"/>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3">
    <w:name w:val="Light Shading - Accent 3143"/>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3">
    <w:name w:val="Light List - Accent 3153"/>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3">
    <w:name w:val="Table Grid113"/>
    <w:basedOn w:val="TableNormal"/>
    <w:next w:val="TableGrid"/>
    <w:uiPriority w:val="59"/>
    <w:rsid w:val="006D0778"/>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3">
    <w:name w:val="Light List - Accent 5143"/>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3">
    <w:name w:val="Medium List 1 - Accent 5113"/>
    <w:basedOn w:val="TableNormal"/>
    <w:next w:val="MediumList1-Accent5"/>
    <w:uiPriority w:val="65"/>
    <w:rsid w:val="006D0778"/>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3">
    <w:name w:val="Medium List 1 - Accent 523"/>
    <w:basedOn w:val="TableNormal"/>
    <w:next w:val="MediumList1-Accent5"/>
    <w:uiPriority w:val="65"/>
    <w:rsid w:val="006D0778"/>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3">
    <w:name w:val="No List1113"/>
    <w:next w:val="NoList"/>
    <w:uiPriority w:val="99"/>
    <w:semiHidden/>
    <w:unhideWhenUsed/>
    <w:rsid w:val="006D0778"/>
  </w:style>
  <w:style w:type="table" w:customStyle="1" w:styleId="LightGrid-Accent5153">
    <w:name w:val="Light Grid - Accent 5153"/>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3">
    <w:name w:val="Светло сенчење – наглашавање 1143"/>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3">
    <w:name w:val="Light Grid - Accent 563"/>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30">
    <w:name w:val="tabele za ifs13"/>
    <w:basedOn w:val="TableNormal"/>
    <w:uiPriority w:val="99"/>
    <w:qFormat/>
    <w:rsid w:val="006D0778"/>
    <w:pPr>
      <w:spacing w:after="0" w:line="240" w:lineRule="auto"/>
    </w:pPr>
    <w:rPr>
      <w:rFonts w:ascii="Cambria Math" w:eastAsia="Calibri" w:hAnsi="Cambria Math" w:cs="Times New Roman"/>
      <w:sz w:val="20"/>
      <w:szCs w:val="20"/>
      <w:lang w:val="en-GB" w:eastAsia="en-GB"/>
    </w:rPr>
    <w:tblPr/>
  </w:style>
  <w:style w:type="table" w:customStyle="1" w:styleId="tabelezaifs113">
    <w:name w:val="tabele za ifs 113"/>
    <w:basedOn w:val="TableNormal"/>
    <w:uiPriority w:val="66"/>
    <w:rsid w:val="006D0778"/>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3">
    <w:name w:val="Colorful List - Accent 113"/>
    <w:basedOn w:val="TableNormal"/>
    <w:next w:val="ColorfulList-Accent1"/>
    <w:uiPriority w:val="72"/>
    <w:rsid w:val="006D0778"/>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3">
    <w:name w:val="No List213"/>
    <w:next w:val="NoList"/>
    <w:uiPriority w:val="99"/>
    <w:semiHidden/>
    <w:unhideWhenUsed/>
    <w:rsid w:val="006D0778"/>
  </w:style>
  <w:style w:type="table" w:customStyle="1" w:styleId="LightList-Accent3243">
    <w:name w:val="Light List - Accent 3243"/>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3">
    <w:name w:val="Light List - Accent 31143"/>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3">
    <w:name w:val="Light Shading - Accent 1317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3">
    <w:name w:val="Light Shading - Accent 1318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3">
    <w:name w:val="Light Shading - Accent 1324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3">
    <w:name w:val="tabele 3113"/>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3">
    <w:name w:val="Light Shading - Accent 11113"/>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3">
    <w:name w:val="Light Shading - Accent 3213"/>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3">
    <w:name w:val="Light List - Accent 5213"/>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3">
    <w:name w:val="Light Shading - Accent 31113"/>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3">
    <w:name w:val="Light List - Accent 31213"/>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3">
    <w:name w:val="Light List - Accent 51113"/>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3">
    <w:name w:val="Light Grid - Accent 51123"/>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3">
    <w:name w:val="Светло сенчење – наглашавање 11113"/>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3">
    <w:name w:val="Light Grid - Accent 5223"/>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3">
    <w:name w:val="Light List - Accent 32113"/>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3">
    <w:name w:val="Light List - Accent 311113"/>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3">
    <w:name w:val="Light Shading - Accent 133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3">
    <w:name w:val="Light Shading - Accent 1311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3">
    <w:name w:val="Light Shading - Accent 1321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3">
    <w:name w:val="Light Shading - Accent 11213"/>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3">
    <w:name w:val="Light Shading - Accent 134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3">
    <w:name w:val="Light Shading - Accent 11313"/>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3">
    <w:name w:val="Light Shading - Accent 135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3">
    <w:name w:val="Light Shading - Accent 1362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3">
    <w:name w:val="Light Shading - Accent 137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3">
    <w:name w:val="tabele 3213"/>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3">
    <w:name w:val="Light Shading - Accent 11413"/>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3">
    <w:name w:val="Light Shading - Accent 3343"/>
    <w:basedOn w:val="TableNormal"/>
    <w:next w:val="LightShading-Accent3"/>
    <w:uiPriority w:val="60"/>
    <w:rsid w:val="006D0778"/>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3">
    <w:name w:val="Light List - Accent 5313"/>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3">
    <w:name w:val="Light Shading - Accent 31213"/>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3">
    <w:name w:val="Light List - Accent 31313"/>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3">
    <w:name w:val="Light List - Accent 51213"/>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3">
    <w:name w:val="Light Grid - Accent 51223"/>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3">
    <w:name w:val="Светло сенчење – наглашавање 11213"/>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3">
    <w:name w:val="Light Grid - Accent 5323"/>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3">
    <w:name w:val="Light List - Accent 32213"/>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3">
    <w:name w:val="Light List - Accent 311213"/>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3">
    <w:name w:val="Light Shading - Accent 1382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3">
    <w:name w:val="Light Shading - Accent 1312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3">
    <w:name w:val="Light Shading - Accent 1322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3">
    <w:name w:val="Light Shading - Accent 11513"/>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3">
    <w:name w:val="Light Shading - Accent 1392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3">
    <w:name w:val="Light Shading - Accent 11623"/>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3">
    <w:name w:val="Light Shading - Accent 13102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3">
    <w:name w:val="Light Shading - Accent 1313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3">
    <w:name w:val="tabele 3313"/>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3">
    <w:name w:val="Light Shading - Accent 11713"/>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3">
    <w:name w:val="Light Shading - Accent 3433"/>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3">
    <w:name w:val="Light List - Accent 5413"/>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3">
    <w:name w:val="Light Shading - Accent 31313"/>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3">
    <w:name w:val="Light List - Accent 31413"/>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3">
    <w:name w:val="Light List - Accent 51313"/>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3">
    <w:name w:val="Light Grid - Accent 51323"/>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3">
    <w:name w:val="Светло сенчење – наглашавање 11313"/>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3">
    <w:name w:val="Light Grid - Accent 5423"/>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3">
    <w:name w:val="Light Shading - Accent 12313"/>
    <w:basedOn w:val="TableNormal"/>
    <w:uiPriority w:val="60"/>
    <w:rsid w:val="006D0778"/>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3">
    <w:name w:val="Light List - Accent 32313"/>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3">
    <w:name w:val="Light List - Accent 311313"/>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3">
    <w:name w:val="Light Shading - Accent 1314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3">
    <w:name w:val="Light Shading - Accent 1315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3">
    <w:name w:val="Light Shading - Accent 1323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3">
    <w:name w:val="Light Shading - Accent 1316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3">
    <w:name w:val="Light Shading - Accent 1381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3">
    <w:name w:val="Light Shading - Accent 11813"/>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3">
    <w:name w:val="Light Shading - Accent 1391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3">
    <w:name w:val="Light Shading - Accent 116113"/>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3">
    <w:name w:val="Light Shading - Accent 13101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3">
    <w:name w:val="Light Shading - Accent 1361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3">
    <w:name w:val="Light Shading - Accent 11913"/>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3">
    <w:name w:val="Light Shading - Accent 33113"/>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3">
    <w:name w:val="Light Shading - Accent 33213"/>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3">
    <w:name w:val="Light Shading - Accent 33313"/>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3">
    <w:name w:val="Light Shading - Accent 34113"/>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3">
    <w:name w:val="Light Shading - Accent 34213"/>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3">
    <w:name w:val="Light Grid - Accent 51413"/>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3">
    <w:name w:val="Light Grid - Accent 5513"/>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3">
    <w:name w:val="Light Grid - Accent 511113"/>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3">
    <w:name w:val="Light Grid - Accent 52113"/>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3">
    <w:name w:val="Light Grid - Accent 512113"/>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3">
    <w:name w:val="Light Grid - Accent 53113"/>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3">
    <w:name w:val="Light Grid - Accent 513113"/>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3">
    <w:name w:val="Light Grid - Accent 54113"/>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3">
    <w:name w:val="Light Shading - Accent 623"/>
    <w:basedOn w:val="TableNormal"/>
    <w:next w:val="LightShading-Accent6"/>
    <w:uiPriority w:val="60"/>
    <w:rsid w:val="006D0778"/>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3">
    <w:name w:val="Grid Table 6 Colorful - Accent 423"/>
    <w:basedOn w:val="TableNormal"/>
    <w:next w:val="GridTable6Colorful-Accent430"/>
    <w:uiPriority w:val="51"/>
    <w:rsid w:val="006D0778"/>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3">
    <w:name w:val="Grid Table 6 Colorful - Accent 323"/>
    <w:basedOn w:val="TableNormal"/>
    <w:next w:val="GridTable6Colorful-Accent330"/>
    <w:uiPriority w:val="51"/>
    <w:rsid w:val="006D0778"/>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3">
    <w:name w:val="Grid Table 4 - Accent 523"/>
    <w:basedOn w:val="TableNormal"/>
    <w:next w:val="GridTable4-Accent530"/>
    <w:uiPriority w:val="49"/>
    <w:rsid w:val="006D0778"/>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3">
    <w:name w:val="Grid Table 5 Dark - Accent 523"/>
    <w:basedOn w:val="TableNormal"/>
    <w:next w:val="GridTable5Dark-Accent530"/>
    <w:uiPriority w:val="50"/>
    <w:rsid w:val="006D0778"/>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30">
    <w:name w:val="ФС13"/>
    <w:basedOn w:val="TableNormal"/>
    <w:uiPriority w:val="99"/>
    <w:rsid w:val="006D0778"/>
    <w:pPr>
      <w:spacing w:after="0" w:line="240" w:lineRule="auto"/>
    </w:pPr>
    <w:rPr>
      <w:rFonts w:ascii="Calibri" w:eastAsia="Calibri" w:hAnsi="Calibri" w:cs="Times New Roman"/>
      <w:sz w:val="20"/>
      <w:szCs w:val="20"/>
    </w:rPr>
    <w:tblPr/>
  </w:style>
  <w:style w:type="table" w:customStyle="1" w:styleId="ListTable6Colorful-Accent323">
    <w:name w:val="List Table 6 Colorful - Accent 323"/>
    <w:basedOn w:val="TableNormal"/>
    <w:next w:val="ListTable6Colorful-Accent330"/>
    <w:uiPriority w:val="51"/>
    <w:rsid w:val="006D0778"/>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3">
    <w:name w:val="Grid Table 1 Light - Accent 123"/>
    <w:basedOn w:val="TableNormal"/>
    <w:next w:val="GridTable1Light-Accent130"/>
    <w:uiPriority w:val="46"/>
    <w:rsid w:val="006D0778"/>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3">
    <w:name w:val="List Table 1 Light - Accent 123"/>
    <w:basedOn w:val="TableNormal"/>
    <w:next w:val="ListTable1Light-Accent130"/>
    <w:uiPriority w:val="46"/>
    <w:rsid w:val="006D0778"/>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3">
    <w:name w:val="List Table 2 - Accent 123"/>
    <w:basedOn w:val="TableNormal"/>
    <w:next w:val="ListTable2-Accent130"/>
    <w:uiPriority w:val="47"/>
    <w:rsid w:val="006D0778"/>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3">
    <w:name w:val="List Table 2 - Accent 523"/>
    <w:basedOn w:val="TableNormal"/>
    <w:next w:val="ListTable2-Accent530"/>
    <w:uiPriority w:val="47"/>
    <w:rsid w:val="006D0778"/>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3">
    <w:name w:val="Grid Table 2 - Accent 523"/>
    <w:basedOn w:val="TableNormal"/>
    <w:next w:val="GridTable2-Accent530"/>
    <w:uiPriority w:val="47"/>
    <w:rsid w:val="006D0778"/>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3">
    <w:name w:val="Grid Table 6 Colorful - Accent 4113"/>
    <w:basedOn w:val="TableNormal"/>
    <w:uiPriority w:val="51"/>
    <w:rsid w:val="006D0778"/>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3">
    <w:name w:val="Grid Table 6 Colorful - Accent 3113"/>
    <w:basedOn w:val="TableNormal"/>
    <w:uiPriority w:val="51"/>
    <w:rsid w:val="006D0778"/>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3">
    <w:name w:val="Table Grid213"/>
    <w:basedOn w:val="TableNormal"/>
    <w:next w:val="TableGrid"/>
    <w:uiPriority w:val="39"/>
    <w:rsid w:val="006D0778"/>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3">
    <w:name w:val="Light Shading - Accent 12413"/>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3">
    <w:name w:val="Light Shading - Accent 12513"/>
    <w:basedOn w:val="TableNormal"/>
    <w:uiPriority w:val="60"/>
    <w:rsid w:val="006D0778"/>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4">
    <w:name w:val="Light Shading4"/>
    <w:basedOn w:val="TableNormal"/>
    <w:next w:val="LightShading"/>
    <w:uiPriority w:val="60"/>
    <w:unhideWhenUsed/>
    <w:rsid w:val="006D077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41">
    <w:name w:val="Grid Table 6 Colorful - Accent 541"/>
    <w:basedOn w:val="TableNormal"/>
    <w:uiPriority w:val="51"/>
    <w:rsid w:val="006D0778"/>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31">
    <w:name w:val="Grid Table 6 Colorful - Accent 131"/>
    <w:basedOn w:val="TableNormal"/>
    <w:uiPriority w:val="51"/>
    <w:rsid w:val="006D0778"/>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8">
    <w:name w:val="Light Shading - Accent 18"/>
    <w:basedOn w:val="TableNormal"/>
    <w:next w:val="LightShading-Accent1"/>
    <w:uiPriority w:val="60"/>
    <w:unhideWhenUsed/>
    <w:rsid w:val="006D0778"/>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5">
    <w:name w:val="Light Shading - Accent 65"/>
    <w:basedOn w:val="TableNormal"/>
    <w:next w:val="LightShading-Accent6"/>
    <w:uiPriority w:val="60"/>
    <w:unhideWhenUsed/>
    <w:rsid w:val="006D0778"/>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31">
    <w:name w:val="Grid Table 6 Colorful - Accent 431"/>
    <w:basedOn w:val="TableNormal"/>
    <w:uiPriority w:val="51"/>
    <w:rsid w:val="006D0778"/>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31">
    <w:name w:val="Grid Table 6 Colorful - Accent 331"/>
    <w:basedOn w:val="TableNormal"/>
    <w:uiPriority w:val="51"/>
    <w:rsid w:val="006D0778"/>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31">
    <w:name w:val="Grid Table 4 - Accent 531"/>
    <w:basedOn w:val="TableNormal"/>
    <w:uiPriority w:val="49"/>
    <w:rsid w:val="006D077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31">
    <w:name w:val="Grid Table 5 Dark - Accent 531"/>
    <w:basedOn w:val="TableNormal"/>
    <w:uiPriority w:val="50"/>
    <w:rsid w:val="006D07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31">
    <w:name w:val="List Table 6 Colorful - Accent 331"/>
    <w:basedOn w:val="TableNormal"/>
    <w:uiPriority w:val="51"/>
    <w:rsid w:val="006D0778"/>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31">
    <w:name w:val="Grid Table 1 Light - Accent 131"/>
    <w:basedOn w:val="TableNormal"/>
    <w:uiPriority w:val="46"/>
    <w:rsid w:val="006D077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31">
    <w:name w:val="List Table 1 Light - Accent 131"/>
    <w:basedOn w:val="TableNormal"/>
    <w:uiPriority w:val="46"/>
    <w:rsid w:val="006D0778"/>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31">
    <w:name w:val="List Table 2 - Accent 131"/>
    <w:basedOn w:val="TableNormal"/>
    <w:uiPriority w:val="47"/>
    <w:rsid w:val="006D0778"/>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31">
    <w:name w:val="List Table 2 - Accent 531"/>
    <w:basedOn w:val="TableNormal"/>
    <w:uiPriority w:val="47"/>
    <w:rsid w:val="006D0778"/>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31">
    <w:name w:val="Grid Table 2 - Accent 531"/>
    <w:basedOn w:val="TableNormal"/>
    <w:uiPriority w:val="47"/>
    <w:rsid w:val="006D0778"/>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222">
    <w:name w:val="Table Grid222"/>
    <w:basedOn w:val="TableNormal"/>
    <w:next w:val="TableGrid"/>
    <w:uiPriority w:val="39"/>
    <w:rsid w:val="006D0778"/>
    <w:pPr>
      <w:spacing w:before="120" w:after="120" w:line="264" w:lineRule="auto"/>
      <w:ind w:left="115" w:right="115"/>
    </w:pPr>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numbering" w:customStyle="1" w:styleId="NoList41">
    <w:name w:val="No List41"/>
    <w:next w:val="NoList"/>
    <w:uiPriority w:val="99"/>
    <w:semiHidden/>
    <w:unhideWhenUsed/>
    <w:rsid w:val="006D0778"/>
  </w:style>
  <w:style w:type="numbering" w:customStyle="1" w:styleId="NoList121">
    <w:name w:val="No List121"/>
    <w:next w:val="NoList"/>
    <w:uiPriority w:val="99"/>
    <w:semiHidden/>
    <w:unhideWhenUsed/>
    <w:rsid w:val="006D0778"/>
  </w:style>
  <w:style w:type="table" w:customStyle="1" w:styleId="TableGrid42">
    <w:name w:val="Table Grid42"/>
    <w:basedOn w:val="TableNormal"/>
    <w:next w:val="TableGrid"/>
    <w:uiPriority w:val="39"/>
    <w:rsid w:val="006D0778"/>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21">
    <w:name w:val="Financial Table21"/>
    <w:basedOn w:val="TableNormal"/>
    <w:uiPriority w:val="99"/>
    <w:rsid w:val="006D0778"/>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11">
    <w:name w:val="Light Shading111"/>
    <w:basedOn w:val="TableNormal"/>
    <w:next w:val="LightShading"/>
    <w:uiPriority w:val="60"/>
    <w:rsid w:val="006D0778"/>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51">
    <w:name w:val="Grid Table 6 Colorful - Accent 5151"/>
    <w:basedOn w:val="TableNormal"/>
    <w:next w:val="GridTable6Colorful-Accent540"/>
    <w:uiPriority w:val="51"/>
    <w:rsid w:val="006D0778"/>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61">
    <w:name w:val="Light Shading - Accent 1261"/>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21">
    <w:name w:val="Grid Table 6 Colorful - Accent 51121"/>
    <w:basedOn w:val="TableNormal"/>
    <w:uiPriority w:val="51"/>
    <w:rsid w:val="006D0778"/>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21">
    <w:name w:val="Light Shading - Accent 12121"/>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11">
    <w:name w:val="Grid Table 6 Colorful - Accent 1111"/>
    <w:basedOn w:val="TableNormal"/>
    <w:next w:val="GridTable6Colorful-Accent130"/>
    <w:uiPriority w:val="51"/>
    <w:rsid w:val="006D0778"/>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21">
    <w:name w:val="Light Shading - Accent 12221"/>
    <w:basedOn w:val="TableNormal"/>
    <w:uiPriority w:val="60"/>
    <w:rsid w:val="006D0778"/>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21">
    <w:name w:val="Grid Table 6 Colorful - Accent 5221"/>
    <w:basedOn w:val="TableNormal"/>
    <w:next w:val="GridTable6Colorful-Accent540"/>
    <w:uiPriority w:val="51"/>
    <w:rsid w:val="006D0778"/>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51">
    <w:name w:val="tabele 351"/>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21">
    <w:name w:val="Light Shading - Accent 111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61">
    <w:name w:val="Light Shading - Accent 36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61">
    <w:name w:val="Light List - Accent 56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51">
    <w:name w:val="Light Shading - Accent 3151"/>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61">
    <w:name w:val="Light List - Accent 316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21">
    <w:name w:val="Table Grid121"/>
    <w:basedOn w:val="TableNormal"/>
    <w:next w:val="TableGrid"/>
    <w:uiPriority w:val="59"/>
    <w:rsid w:val="006D0778"/>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51">
    <w:name w:val="Light List - Accent 5151"/>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21">
    <w:name w:val="Medium List 1 - Accent 5121"/>
    <w:basedOn w:val="TableNormal"/>
    <w:next w:val="MediumList1-Accent5"/>
    <w:uiPriority w:val="65"/>
    <w:rsid w:val="006D0778"/>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olas" w:eastAsia="Times New Roman" w:hAnsi="Consolas"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31">
    <w:name w:val="Medium List 1 - Accent 531"/>
    <w:basedOn w:val="TableNormal"/>
    <w:next w:val="MediumList1-Accent5"/>
    <w:uiPriority w:val="65"/>
    <w:rsid w:val="006D0778"/>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21">
    <w:name w:val="No List1121"/>
    <w:next w:val="NoList"/>
    <w:uiPriority w:val="99"/>
    <w:semiHidden/>
    <w:unhideWhenUsed/>
    <w:rsid w:val="006D0778"/>
  </w:style>
  <w:style w:type="table" w:customStyle="1" w:styleId="LightGrid-Accent5161">
    <w:name w:val="Light Grid - Accent 516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51">
    <w:name w:val="Светло сенчење – наглашавање 1151"/>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71">
    <w:name w:val="Light Grid - Accent 57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21">
    <w:name w:val="tabele za ifs21"/>
    <w:basedOn w:val="TableNormal"/>
    <w:uiPriority w:val="99"/>
    <w:qFormat/>
    <w:rsid w:val="006D0778"/>
    <w:pPr>
      <w:spacing w:after="0" w:line="240" w:lineRule="auto"/>
    </w:pPr>
    <w:rPr>
      <w:rFonts w:ascii="Cambria Math" w:eastAsia="Calibri" w:hAnsi="Cambria Math" w:cs="Times New Roman"/>
      <w:sz w:val="20"/>
      <w:szCs w:val="20"/>
      <w:lang w:val="en-GB" w:eastAsia="en-GB"/>
    </w:rPr>
    <w:tblPr/>
  </w:style>
  <w:style w:type="table" w:customStyle="1" w:styleId="tabelezaifs121">
    <w:name w:val="tabele za ifs 121"/>
    <w:basedOn w:val="TableNormal"/>
    <w:uiPriority w:val="66"/>
    <w:rsid w:val="006D0778"/>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21">
    <w:name w:val="Colorful List - Accent 121"/>
    <w:basedOn w:val="TableNormal"/>
    <w:next w:val="ColorfulList-Accent1"/>
    <w:uiPriority w:val="72"/>
    <w:rsid w:val="006D0778"/>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21">
    <w:name w:val="No List221"/>
    <w:next w:val="NoList"/>
    <w:uiPriority w:val="99"/>
    <w:semiHidden/>
    <w:unhideWhenUsed/>
    <w:rsid w:val="006D0778"/>
  </w:style>
  <w:style w:type="table" w:customStyle="1" w:styleId="LightList-Accent3251">
    <w:name w:val="Light List - Accent 3251"/>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51">
    <w:name w:val="Light List - Accent 3115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91">
    <w:name w:val="Light Shading - Accent 1319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01">
    <w:name w:val="Light Shading - Accent 13110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51">
    <w:name w:val="Light Shading - Accent 1325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21">
    <w:name w:val="tabele 3121"/>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31">
    <w:name w:val="Light Shading - Accent 1113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21">
    <w:name w:val="Light Shading - Accent 322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21">
    <w:name w:val="Light List - Accent 522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21">
    <w:name w:val="Light Shading - Accent 31121"/>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21">
    <w:name w:val="Light List - Accent 3122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21">
    <w:name w:val="Light List - Accent 51121"/>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31">
    <w:name w:val="Light Grid - Accent 5113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21">
    <w:name w:val="Светло сенчење – наглашавање 11121"/>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31">
    <w:name w:val="Light Grid - Accent 523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21">
    <w:name w:val="Light List - Accent 32121"/>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21">
    <w:name w:val="Light List - Accent 31112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21">
    <w:name w:val="Light Shading - Accent 133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21">
    <w:name w:val="Light Shading - Accent 131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21">
    <w:name w:val="Light Shading - Accent 132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21">
    <w:name w:val="Light Shading - Accent 112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21">
    <w:name w:val="Light Shading - Accent 134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21">
    <w:name w:val="Light Shading - Accent 113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21">
    <w:name w:val="Light Shading - Accent 135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31">
    <w:name w:val="Light Shading - Accent 136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21">
    <w:name w:val="Light Shading - Accent 137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21">
    <w:name w:val="tabele 3221"/>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21">
    <w:name w:val="Light Shading - Accent 114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53">
    <w:name w:val="Light Shading - Accent 3353"/>
    <w:basedOn w:val="TableNormal"/>
    <w:next w:val="LightShading-Accent3"/>
    <w:uiPriority w:val="60"/>
    <w:rsid w:val="006D0778"/>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21">
    <w:name w:val="Light List - Accent 532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21">
    <w:name w:val="Light Shading - Accent 31221"/>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21">
    <w:name w:val="Light List - Accent 3132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21">
    <w:name w:val="Light List - Accent 51221"/>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31">
    <w:name w:val="Light Grid - Accent 5123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21">
    <w:name w:val="Светло сенчење – наглашавање 11221"/>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31">
    <w:name w:val="Light Grid - Accent 533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21">
    <w:name w:val="Light List - Accent 32221"/>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21">
    <w:name w:val="Light List - Accent 31122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31">
    <w:name w:val="Light Shading - Accent 138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21">
    <w:name w:val="Light Shading - Accent 1312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21">
    <w:name w:val="Light Shading - Accent 1322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21">
    <w:name w:val="Light Shading - Accent 115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31">
    <w:name w:val="Light Shading - Accent 139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31">
    <w:name w:val="Light Shading - Accent 1163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31">
    <w:name w:val="Light Shading - Accent 1310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21">
    <w:name w:val="Light Shading - Accent 1313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21">
    <w:name w:val="tabele 3321"/>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21">
    <w:name w:val="Light Shading - Accent 117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41">
    <w:name w:val="Light Shading - Accent 344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21">
    <w:name w:val="Light List - Accent 542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21">
    <w:name w:val="Light Shading - Accent 31321"/>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21">
    <w:name w:val="Light List - Accent 3142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21">
    <w:name w:val="Light List - Accent 51321"/>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31">
    <w:name w:val="Light Grid - Accent 5133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21">
    <w:name w:val="Светло сенчење – наглашавање 11321"/>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31">
    <w:name w:val="Light Grid - Accent 543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21">
    <w:name w:val="Light Shading - Accent 12321"/>
    <w:basedOn w:val="TableNormal"/>
    <w:uiPriority w:val="60"/>
    <w:rsid w:val="006D0778"/>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21">
    <w:name w:val="Light List - Accent 32321"/>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21">
    <w:name w:val="Light List - Accent 31132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21">
    <w:name w:val="Light Shading - Accent 1314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21">
    <w:name w:val="Light Shading - Accent 1315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21">
    <w:name w:val="Light Shading - Accent 1323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21">
    <w:name w:val="Light Shading - Accent 1316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21">
    <w:name w:val="Light Shading - Accent 138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21">
    <w:name w:val="Light Shading - Accent 118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21">
    <w:name w:val="Light Shading - Accent 139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21">
    <w:name w:val="Light Shading - Accent 1161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21">
    <w:name w:val="Light Shading - Accent 1310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21">
    <w:name w:val="Light Shading - Accent 136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21">
    <w:name w:val="Light Shading - Accent 119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11">
    <w:name w:val="Light Shading - Accent 1411"/>
    <w:basedOn w:val="TableNormal"/>
    <w:next w:val="LightShading-Accent1"/>
    <w:uiPriority w:val="60"/>
    <w:rsid w:val="006D0778"/>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21">
    <w:name w:val="Light Shading - Accent 3312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21">
    <w:name w:val="Light Shading - Accent 3322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21">
    <w:name w:val="Light Shading - Accent 3332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21">
    <w:name w:val="Light Shading - Accent 3412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21">
    <w:name w:val="Light Shading - Accent 3422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21">
    <w:name w:val="Light Grid - Accent 5142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21">
    <w:name w:val="Light Grid - Accent 552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21">
    <w:name w:val="Light Grid - Accent 51112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21">
    <w:name w:val="Light Grid - Accent 5212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21">
    <w:name w:val="Light Grid - Accent 51212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21">
    <w:name w:val="Light Grid - Accent 5312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21">
    <w:name w:val="Light Grid - Accent 51312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21">
    <w:name w:val="Light Grid - Accent 5412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21">
    <w:name w:val="Light Shading - Accent 6121"/>
    <w:basedOn w:val="TableNormal"/>
    <w:next w:val="LightShading-Accent6"/>
    <w:uiPriority w:val="60"/>
    <w:rsid w:val="006D0778"/>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21">
    <w:name w:val="Grid Table 6 Colorful - Accent 4121"/>
    <w:basedOn w:val="TableNormal"/>
    <w:next w:val="GridTable6Colorful-Accent430"/>
    <w:uiPriority w:val="51"/>
    <w:rsid w:val="006D0778"/>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11">
    <w:name w:val="Light Shading - Accent 61111"/>
    <w:basedOn w:val="TableNormal"/>
    <w:next w:val="LightShading-Accent6"/>
    <w:uiPriority w:val="60"/>
    <w:rsid w:val="006D0778"/>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21">
    <w:name w:val="Grid Table 6 Colorful - Accent 3121"/>
    <w:basedOn w:val="TableNormal"/>
    <w:next w:val="GridTable6Colorful-Accent330"/>
    <w:uiPriority w:val="51"/>
    <w:rsid w:val="006D0778"/>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11">
    <w:name w:val="Grid Table 4 - Accent 5111"/>
    <w:basedOn w:val="TableNormal"/>
    <w:next w:val="GridTable4-Accent530"/>
    <w:uiPriority w:val="49"/>
    <w:rsid w:val="006D0778"/>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11">
    <w:name w:val="Grid Table 5 Dark - Accent 5111"/>
    <w:basedOn w:val="TableNormal"/>
    <w:next w:val="GridTable5Dark-Accent530"/>
    <w:uiPriority w:val="50"/>
    <w:rsid w:val="006D0778"/>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210">
    <w:name w:val="ФС21"/>
    <w:basedOn w:val="TableNormal"/>
    <w:uiPriority w:val="99"/>
    <w:rsid w:val="006D0778"/>
    <w:pPr>
      <w:spacing w:after="0" w:line="240" w:lineRule="auto"/>
    </w:pPr>
    <w:rPr>
      <w:rFonts w:ascii="Calibri" w:eastAsia="Calibri" w:hAnsi="Calibri" w:cs="Times New Roman"/>
      <w:sz w:val="20"/>
      <w:szCs w:val="20"/>
    </w:rPr>
    <w:tblPr/>
  </w:style>
  <w:style w:type="table" w:customStyle="1" w:styleId="ListTable6Colorful-Accent3111">
    <w:name w:val="List Table 6 Colorful - Accent 3111"/>
    <w:basedOn w:val="TableNormal"/>
    <w:next w:val="ListTable6Colorful-Accent330"/>
    <w:uiPriority w:val="51"/>
    <w:rsid w:val="006D0778"/>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11">
    <w:name w:val="Grid Table 1 Light - Accent 1111"/>
    <w:basedOn w:val="TableNormal"/>
    <w:next w:val="GridTable1Light-Accent130"/>
    <w:uiPriority w:val="46"/>
    <w:rsid w:val="006D0778"/>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11">
    <w:name w:val="List Table 1 Light - Accent 1111"/>
    <w:basedOn w:val="TableNormal"/>
    <w:next w:val="ListTable1Light-Accent130"/>
    <w:uiPriority w:val="46"/>
    <w:rsid w:val="006D0778"/>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11">
    <w:name w:val="List Table 2 - Accent 1111"/>
    <w:basedOn w:val="TableNormal"/>
    <w:next w:val="ListTable2-Accent130"/>
    <w:uiPriority w:val="47"/>
    <w:rsid w:val="006D0778"/>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11">
    <w:name w:val="List Table 2 - Accent 5111"/>
    <w:basedOn w:val="TableNormal"/>
    <w:next w:val="ListTable2-Accent530"/>
    <w:uiPriority w:val="47"/>
    <w:rsid w:val="006D0778"/>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11">
    <w:name w:val="Grid Table 2 - Accent 5111"/>
    <w:basedOn w:val="TableNormal"/>
    <w:next w:val="GridTable2-Accent530"/>
    <w:uiPriority w:val="47"/>
    <w:rsid w:val="006D0778"/>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211">
    <w:name w:val="Table Grid2211"/>
    <w:basedOn w:val="TableNormal"/>
    <w:next w:val="TableGrid"/>
    <w:uiPriority w:val="39"/>
    <w:rsid w:val="006D0778"/>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21">
    <w:name w:val="Light Shading - Accent 12421"/>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11">
    <w:name w:val="Grid Table 6 Colorful - Accent 51211"/>
    <w:basedOn w:val="TableNormal"/>
    <w:next w:val="GridTable6Colorful-Accent540"/>
    <w:uiPriority w:val="51"/>
    <w:rsid w:val="006D0778"/>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11">
    <w:name w:val="Grid Table 6 Colorful - Accent 51311"/>
    <w:basedOn w:val="TableNormal"/>
    <w:uiPriority w:val="51"/>
    <w:rsid w:val="006D0778"/>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11">
    <w:name w:val="No List311"/>
    <w:next w:val="NoList"/>
    <w:uiPriority w:val="99"/>
    <w:semiHidden/>
    <w:unhideWhenUsed/>
    <w:rsid w:val="006D0778"/>
  </w:style>
  <w:style w:type="table" w:customStyle="1" w:styleId="TableGrid312">
    <w:name w:val="Table Grid312"/>
    <w:basedOn w:val="TableNormal"/>
    <w:next w:val="TableGrid"/>
    <w:uiPriority w:val="39"/>
    <w:rsid w:val="006D0778"/>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11">
    <w:name w:val="Financial Table111"/>
    <w:basedOn w:val="TableNormal"/>
    <w:uiPriority w:val="99"/>
    <w:rsid w:val="006D0778"/>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11">
    <w:name w:val="Grid Table 6 Colorful - Accent 5311"/>
    <w:basedOn w:val="TableNormal"/>
    <w:next w:val="GridTable6Colorful-Accent540"/>
    <w:uiPriority w:val="51"/>
    <w:rsid w:val="006D0778"/>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21">
    <w:name w:val="Light Shading - Accent 12521"/>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11">
    <w:name w:val="Grid Table 6 Colorful - Accent 51411"/>
    <w:basedOn w:val="TableNormal"/>
    <w:uiPriority w:val="51"/>
    <w:rsid w:val="006D0778"/>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11">
    <w:name w:val="Light Shading - Accent 121111"/>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11">
    <w:name w:val="Grid Table 6 Colorful - Accent 511111"/>
    <w:basedOn w:val="TableNormal"/>
    <w:uiPriority w:val="51"/>
    <w:rsid w:val="006D0778"/>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11">
    <w:name w:val="Grid Table 6 Colorful - Accent 1211"/>
    <w:basedOn w:val="TableNormal"/>
    <w:next w:val="GridTable6Colorful-Accent130"/>
    <w:uiPriority w:val="51"/>
    <w:rsid w:val="006D0778"/>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11">
    <w:name w:val="Light Shading - Accent 122111"/>
    <w:basedOn w:val="TableNormal"/>
    <w:uiPriority w:val="60"/>
    <w:rsid w:val="006D0778"/>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11">
    <w:name w:val="Grid Table 6 Colorful - Accent 52111"/>
    <w:basedOn w:val="TableNormal"/>
    <w:next w:val="GridTable6Colorful-Accent540"/>
    <w:uiPriority w:val="51"/>
    <w:rsid w:val="006D0778"/>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11">
    <w:name w:val="tabele 3411"/>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11">
    <w:name w:val="Light Shading - Accent 11101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11">
    <w:name w:val="Light Shading - Accent 351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11">
    <w:name w:val="Light List - Accent 551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11">
    <w:name w:val="Light Shading - Accent 31411"/>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11">
    <w:name w:val="Light List - Accent 3151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11">
    <w:name w:val="Table Grid1111"/>
    <w:basedOn w:val="TableNormal"/>
    <w:next w:val="TableGrid"/>
    <w:uiPriority w:val="59"/>
    <w:rsid w:val="006D0778"/>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11">
    <w:name w:val="Light List - Accent 51411"/>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11">
    <w:name w:val="Medium List 1 - Accent 51111"/>
    <w:basedOn w:val="TableNormal"/>
    <w:next w:val="MediumList1-Accent5"/>
    <w:uiPriority w:val="65"/>
    <w:rsid w:val="006D0778"/>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olas" w:eastAsia="Times New Roman" w:hAnsi="Consolas"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11">
    <w:name w:val="Medium List 1 - Accent 5211"/>
    <w:basedOn w:val="TableNormal"/>
    <w:next w:val="MediumList1-Accent5"/>
    <w:uiPriority w:val="65"/>
    <w:rsid w:val="006D0778"/>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11">
    <w:name w:val="No List11111"/>
    <w:next w:val="NoList"/>
    <w:uiPriority w:val="99"/>
    <w:semiHidden/>
    <w:unhideWhenUsed/>
    <w:rsid w:val="006D0778"/>
  </w:style>
  <w:style w:type="table" w:customStyle="1" w:styleId="LightGrid-Accent51511">
    <w:name w:val="Light Grid - Accent 5151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11">
    <w:name w:val="Светло сенчење – наглашавање 11411"/>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11">
    <w:name w:val="Light Grid - Accent 561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110">
    <w:name w:val="tabele za ifs111"/>
    <w:basedOn w:val="TableNormal"/>
    <w:uiPriority w:val="99"/>
    <w:qFormat/>
    <w:rsid w:val="006D0778"/>
    <w:pPr>
      <w:spacing w:after="0" w:line="240" w:lineRule="auto"/>
    </w:pPr>
    <w:rPr>
      <w:rFonts w:ascii="Cambria Math" w:eastAsia="Calibri" w:hAnsi="Cambria Math" w:cs="Times New Roman"/>
      <w:sz w:val="20"/>
      <w:szCs w:val="20"/>
      <w:lang w:val="en-GB" w:eastAsia="en-GB"/>
    </w:rPr>
    <w:tblPr/>
  </w:style>
  <w:style w:type="table" w:customStyle="1" w:styleId="tabelezaifs1111">
    <w:name w:val="tabele za ifs 1111"/>
    <w:basedOn w:val="TableNormal"/>
    <w:uiPriority w:val="66"/>
    <w:rsid w:val="006D0778"/>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11">
    <w:name w:val="Colorful List - Accent 1111"/>
    <w:basedOn w:val="TableNormal"/>
    <w:next w:val="ColorfulList-Accent1"/>
    <w:uiPriority w:val="72"/>
    <w:rsid w:val="006D0778"/>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11">
    <w:name w:val="No List2111"/>
    <w:next w:val="NoList"/>
    <w:uiPriority w:val="99"/>
    <w:semiHidden/>
    <w:unhideWhenUsed/>
    <w:rsid w:val="006D0778"/>
  </w:style>
  <w:style w:type="table" w:customStyle="1" w:styleId="LightList-Accent32411">
    <w:name w:val="Light List - Accent 32411"/>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11">
    <w:name w:val="Light List - Accent 31141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11">
    <w:name w:val="Light Shading - Accent 1317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11">
    <w:name w:val="Light Shading - Accent 1318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11">
    <w:name w:val="Light Shading - Accent 1324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11">
    <w:name w:val="tabele 31111"/>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11">
    <w:name w:val="Light Shading - Accent 11111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11">
    <w:name w:val="Light Shading - Accent 3211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11">
    <w:name w:val="Light List - Accent 5211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11">
    <w:name w:val="Light Shading - Accent 311111"/>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11">
    <w:name w:val="Light List - Accent 31211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11">
    <w:name w:val="Light List - Accent 511111"/>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11">
    <w:name w:val="Light Grid - Accent 51121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11">
    <w:name w:val="Светло сенчење – наглашавање 111111"/>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11">
    <w:name w:val="Light Grid - Accent 5221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11">
    <w:name w:val="Light List - Accent 321111"/>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11">
    <w:name w:val="Light List - Accent 311111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11">
    <w:name w:val="Light Shading - Accent 133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11">
    <w:name w:val="Light Shading - Accent 1311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11">
    <w:name w:val="Light Shading - Accent 1321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11">
    <w:name w:val="Light Shading - Accent 11211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11">
    <w:name w:val="Light Shading - Accent 134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11">
    <w:name w:val="Light Shading - Accent 11311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11">
    <w:name w:val="Light Shading - Accent 135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11">
    <w:name w:val="Light Shading - Accent 1362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11">
    <w:name w:val="Light Shading - Accent 137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11">
    <w:name w:val="tabele 32111"/>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11">
    <w:name w:val="Light Shading - Accent 11411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11">
    <w:name w:val="Light Shading - Accent 33411"/>
    <w:basedOn w:val="TableNormal"/>
    <w:next w:val="LightShading-Accent3"/>
    <w:uiPriority w:val="60"/>
    <w:rsid w:val="006D0778"/>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11">
    <w:name w:val="Light List - Accent 5311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11">
    <w:name w:val="Light Shading - Accent 312111"/>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11">
    <w:name w:val="Light List - Accent 31311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11">
    <w:name w:val="Light List - Accent 512111"/>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11">
    <w:name w:val="Light Grid - Accent 51221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11">
    <w:name w:val="Светло сенчење – наглашавање 112111"/>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11">
    <w:name w:val="Light Grid - Accent 5321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11">
    <w:name w:val="Light List - Accent 322111"/>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11">
    <w:name w:val="Light List - Accent 311211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11">
    <w:name w:val="Light Shading - Accent 1382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11">
    <w:name w:val="Light Shading - Accent 1312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11">
    <w:name w:val="Light Shading - Accent 1322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11">
    <w:name w:val="Light Shading - Accent 11511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11">
    <w:name w:val="Light Shading - Accent 1392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11">
    <w:name w:val="Light Shading - Accent 11621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11">
    <w:name w:val="Light Shading - Accent 13102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11">
    <w:name w:val="Light Shading - Accent 1313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11">
    <w:name w:val="tabele 33111"/>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11">
    <w:name w:val="Light Shading - Accent 11711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11">
    <w:name w:val="Light Shading - Accent 3431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11">
    <w:name w:val="Light List - Accent 5411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11">
    <w:name w:val="Light Shading - Accent 313111"/>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11">
    <w:name w:val="Light List - Accent 31411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11">
    <w:name w:val="Light List - Accent 513111"/>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11">
    <w:name w:val="Light Grid - Accent 51321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11">
    <w:name w:val="Светло сенчење – наглашавање 113111"/>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11">
    <w:name w:val="Light Grid - Accent 5421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11">
    <w:name w:val="Light Shading - Accent 123111"/>
    <w:basedOn w:val="TableNormal"/>
    <w:uiPriority w:val="60"/>
    <w:rsid w:val="006D0778"/>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11">
    <w:name w:val="Light List - Accent 323111"/>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11">
    <w:name w:val="Light List - Accent 311311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11">
    <w:name w:val="Light Shading - Accent 1314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11">
    <w:name w:val="Light Shading - Accent 1315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11">
    <w:name w:val="Light Shading - Accent 1323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11">
    <w:name w:val="Light Shading - Accent 1316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11">
    <w:name w:val="Light Shading - Accent 1381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11">
    <w:name w:val="Light Shading - Accent 11811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11">
    <w:name w:val="Light Shading - Accent 1391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11">
    <w:name w:val="Light Shading - Accent 116111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11">
    <w:name w:val="Light Shading - Accent 13101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11">
    <w:name w:val="Light Shading - Accent 1361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11">
    <w:name w:val="Light Shading - Accent 11911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11">
    <w:name w:val="Light Shading - Accent 33111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11">
    <w:name w:val="Light Shading - Accent 33211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11">
    <w:name w:val="Light Shading - Accent 33311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11">
    <w:name w:val="Light Shading - Accent 34111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11">
    <w:name w:val="Light Shading - Accent 34211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11">
    <w:name w:val="Light Grid - Accent 51411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11">
    <w:name w:val="Light Grid - Accent 5511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11">
    <w:name w:val="Light Grid - Accent 511111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11">
    <w:name w:val="Light Grid - Accent 52111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11">
    <w:name w:val="Light Grid - Accent 512111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11">
    <w:name w:val="Light Grid - Accent 53111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11">
    <w:name w:val="Light Grid - Accent 513111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11">
    <w:name w:val="Light Grid - Accent 54111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11">
    <w:name w:val="Light Shading - Accent 6211"/>
    <w:basedOn w:val="TableNormal"/>
    <w:next w:val="LightShading-Accent6"/>
    <w:uiPriority w:val="60"/>
    <w:rsid w:val="006D0778"/>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11">
    <w:name w:val="Grid Table 6 Colorful - Accent 4211"/>
    <w:basedOn w:val="TableNormal"/>
    <w:next w:val="GridTable6Colorful-Accent430"/>
    <w:uiPriority w:val="51"/>
    <w:rsid w:val="006D0778"/>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11">
    <w:name w:val="Grid Table 6 Colorful - Accent 3211"/>
    <w:basedOn w:val="TableNormal"/>
    <w:next w:val="GridTable6Colorful-Accent330"/>
    <w:uiPriority w:val="51"/>
    <w:rsid w:val="006D0778"/>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11">
    <w:name w:val="Grid Table 4 - Accent 5211"/>
    <w:basedOn w:val="TableNormal"/>
    <w:next w:val="GridTable4-Accent530"/>
    <w:uiPriority w:val="49"/>
    <w:rsid w:val="006D0778"/>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11">
    <w:name w:val="Grid Table 5 Dark - Accent 5211"/>
    <w:basedOn w:val="TableNormal"/>
    <w:next w:val="GridTable5Dark-Accent530"/>
    <w:uiPriority w:val="50"/>
    <w:rsid w:val="006D0778"/>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110">
    <w:name w:val="ФС111"/>
    <w:basedOn w:val="TableNormal"/>
    <w:uiPriority w:val="99"/>
    <w:rsid w:val="006D0778"/>
    <w:pPr>
      <w:spacing w:after="0" w:line="240" w:lineRule="auto"/>
    </w:pPr>
    <w:rPr>
      <w:rFonts w:ascii="Calibri" w:eastAsia="Calibri" w:hAnsi="Calibri" w:cs="Times New Roman"/>
      <w:sz w:val="20"/>
      <w:szCs w:val="20"/>
    </w:rPr>
    <w:tblPr/>
  </w:style>
  <w:style w:type="table" w:customStyle="1" w:styleId="ListTable6Colorful-Accent3211">
    <w:name w:val="List Table 6 Colorful - Accent 3211"/>
    <w:basedOn w:val="TableNormal"/>
    <w:next w:val="ListTable6Colorful-Accent330"/>
    <w:uiPriority w:val="51"/>
    <w:rsid w:val="006D0778"/>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11">
    <w:name w:val="Grid Table 1 Light - Accent 1211"/>
    <w:basedOn w:val="TableNormal"/>
    <w:next w:val="GridTable1Light-Accent130"/>
    <w:uiPriority w:val="46"/>
    <w:rsid w:val="006D0778"/>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11">
    <w:name w:val="List Table 1 Light - Accent 1211"/>
    <w:basedOn w:val="TableNormal"/>
    <w:next w:val="ListTable1Light-Accent130"/>
    <w:uiPriority w:val="46"/>
    <w:rsid w:val="006D0778"/>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11">
    <w:name w:val="List Table 2 - Accent 1211"/>
    <w:basedOn w:val="TableNormal"/>
    <w:next w:val="ListTable2-Accent130"/>
    <w:uiPriority w:val="47"/>
    <w:rsid w:val="006D0778"/>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11">
    <w:name w:val="List Table 2 - Accent 5211"/>
    <w:basedOn w:val="TableNormal"/>
    <w:next w:val="ListTable2-Accent530"/>
    <w:uiPriority w:val="47"/>
    <w:rsid w:val="006D0778"/>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11">
    <w:name w:val="Grid Table 2 - Accent 5211"/>
    <w:basedOn w:val="TableNormal"/>
    <w:next w:val="GridTable2-Accent530"/>
    <w:uiPriority w:val="47"/>
    <w:rsid w:val="006D0778"/>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11">
    <w:name w:val="Grid Table 6 Colorful - Accent 41111"/>
    <w:basedOn w:val="TableNormal"/>
    <w:uiPriority w:val="51"/>
    <w:rsid w:val="006D0778"/>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11">
    <w:name w:val="Grid Table 6 Colorful - Accent 31111"/>
    <w:basedOn w:val="TableNormal"/>
    <w:uiPriority w:val="51"/>
    <w:rsid w:val="006D0778"/>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11">
    <w:name w:val="Table Grid2111"/>
    <w:basedOn w:val="TableNormal"/>
    <w:next w:val="TableGrid"/>
    <w:uiPriority w:val="39"/>
    <w:rsid w:val="006D0778"/>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11">
    <w:name w:val="Light Shading - Accent 124111"/>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11">
    <w:name w:val="Light Shading - Accent 125111"/>
    <w:basedOn w:val="TableNormal"/>
    <w:uiPriority w:val="60"/>
    <w:rsid w:val="006D0778"/>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21">
    <w:name w:val="Light Shading21"/>
    <w:basedOn w:val="TableNormal"/>
    <w:next w:val="LightShading"/>
    <w:uiPriority w:val="60"/>
    <w:semiHidden/>
    <w:unhideWhenUsed/>
    <w:rsid w:val="006D077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51">
    <w:name w:val="Light Shading - Accent 151"/>
    <w:basedOn w:val="TableNormal"/>
    <w:next w:val="LightShading-Accent1"/>
    <w:uiPriority w:val="60"/>
    <w:semiHidden/>
    <w:unhideWhenUsed/>
    <w:rsid w:val="006D0778"/>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31">
    <w:name w:val="Light Shading - Accent 631"/>
    <w:basedOn w:val="TableNormal"/>
    <w:next w:val="LightShading-Accent6"/>
    <w:uiPriority w:val="60"/>
    <w:semiHidden/>
    <w:unhideWhenUsed/>
    <w:rsid w:val="006D0778"/>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ListTable1Light-Accent611">
    <w:name w:val="List Table 1 Light - Accent 611"/>
    <w:basedOn w:val="TableNormal"/>
    <w:uiPriority w:val="46"/>
    <w:rsid w:val="006D0778"/>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NoList51">
    <w:name w:val="No List51"/>
    <w:next w:val="NoList"/>
    <w:uiPriority w:val="99"/>
    <w:semiHidden/>
    <w:unhideWhenUsed/>
    <w:rsid w:val="006D0778"/>
  </w:style>
  <w:style w:type="numbering" w:customStyle="1" w:styleId="NoList131">
    <w:name w:val="No List131"/>
    <w:next w:val="NoList"/>
    <w:uiPriority w:val="99"/>
    <w:semiHidden/>
    <w:unhideWhenUsed/>
    <w:rsid w:val="006D0778"/>
  </w:style>
  <w:style w:type="table" w:customStyle="1" w:styleId="TableGrid51">
    <w:name w:val="Table Grid51"/>
    <w:basedOn w:val="TableNormal"/>
    <w:next w:val="TableGrid"/>
    <w:uiPriority w:val="39"/>
    <w:rsid w:val="006D0778"/>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31">
    <w:name w:val="Financial Table31"/>
    <w:basedOn w:val="TableNormal"/>
    <w:uiPriority w:val="99"/>
    <w:rsid w:val="006D0778"/>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21">
    <w:name w:val="Light Shading121"/>
    <w:basedOn w:val="TableNormal"/>
    <w:next w:val="LightShading"/>
    <w:uiPriority w:val="60"/>
    <w:rsid w:val="006D0778"/>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61">
    <w:name w:val="Grid Table 6 Colorful - Accent 5161"/>
    <w:basedOn w:val="TableNormal"/>
    <w:next w:val="GridTable6Colorful-Accent540"/>
    <w:uiPriority w:val="51"/>
    <w:rsid w:val="006D0778"/>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71">
    <w:name w:val="Light Shading - Accent 1271"/>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31">
    <w:name w:val="Grid Table 6 Colorful - Accent 51131"/>
    <w:basedOn w:val="TableNormal"/>
    <w:uiPriority w:val="51"/>
    <w:rsid w:val="006D0778"/>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31">
    <w:name w:val="Light Shading - Accent 12131"/>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21">
    <w:name w:val="Grid Table 6 Colorful - Accent 1121"/>
    <w:basedOn w:val="TableNormal"/>
    <w:next w:val="GridTable6Colorful-Accent130"/>
    <w:uiPriority w:val="51"/>
    <w:rsid w:val="006D0778"/>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31">
    <w:name w:val="Light Shading - Accent 12231"/>
    <w:basedOn w:val="TableNormal"/>
    <w:uiPriority w:val="60"/>
    <w:rsid w:val="006D0778"/>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31">
    <w:name w:val="Grid Table 6 Colorful - Accent 5231"/>
    <w:basedOn w:val="TableNormal"/>
    <w:next w:val="GridTable6Colorful-Accent540"/>
    <w:uiPriority w:val="51"/>
    <w:rsid w:val="006D0778"/>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61">
    <w:name w:val="tabele 361"/>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41">
    <w:name w:val="Light Shading - Accent 1114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71">
    <w:name w:val="Light Shading - Accent 37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71">
    <w:name w:val="Light List - Accent 57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61">
    <w:name w:val="Light Shading - Accent 3161"/>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71">
    <w:name w:val="Light List - Accent 317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31">
    <w:name w:val="Table Grid131"/>
    <w:basedOn w:val="TableNormal"/>
    <w:next w:val="TableGrid"/>
    <w:uiPriority w:val="59"/>
    <w:rsid w:val="006D0778"/>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61">
    <w:name w:val="Light List - Accent 5161"/>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31">
    <w:name w:val="Medium List 1 - Accent 5131"/>
    <w:basedOn w:val="TableNormal"/>
    <w:next w:val="MediumList1-Accent5"/>
    <w:uiPriority w:val="65"/>
    <w:rsid w:val="006D0778"/>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41">
    <w:name w:val="Medium List 1 - Accent 541"/>
    <w:basedOn w:val="TableNormal"/>
    <w:next w:val="MediumList1-Accent5"/>
    <w:uiPriority w:val="65"/>
    <w:rsid w:val="006D0778"/>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31">
    <w:name w:val="No List1131"/>
    <w:next w:val="NoList"/>
    <w:uiPriority w:val="99"/>
    <w:semiHidden/>
    <w:unhideWhenUsed/>
    <w:rsid w:val="006D0778"/>
  </w:style>
  <w:style w:type="table" w:customStyle="1" w:styleId="LightGrid-Accent5171">
    <w:name w:val="Light Grid - Accent 517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61">
    <w:name w:val="Светло сенчење – наглашавање 1161"/>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81">
    <w:name w:val="Light Grid - Accent 58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31">
    <w:name w:val="tabele za ifs31"/>
    <w:basedOn w:val="TableNormal"/>
    <w:uiPriority w:val="99"/>
    <w:qFormat/>
    <w:rsid w:val="006D0778"/>
    <w:pPr>
      <w:spacing w:after="0" w:line="240" w:lineRule="auto"/>
    </w:pPr>
    <w:rPr>
      <w:rFonts w:ascii="Cambria Math" w:eastAsia="Calibri" w:hAnsi="Cambria Math" w:cs="Times New Roman"/>
      <w:sz w:val="20"/>
      <w:szCs w:val="20"/>
      <w:lang w:val="en-GB" w:eastAsia="en-GB"/>
    </w:rPr>
    <w:tblPr/>
  </w:style>
  <w:style w:type="table" w:customStyle="1" w:styleId="tabelezaifs131">
    <w:name w:val="tabele za ifs 131"/>
    <w:basedOn w:val="TableNormal"/>
    <w:uiPriority w:val="66"/>
    <w:rsid w:val="006D0778"/>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31">
    <w:name w:val="Colorful List - Accent 131"/>
    <w:basedOn w:val="TableNormal"/>
    <w:next w:val="ColorfulList-Accent1"/>
    <w:uiPriority w:val="72"/>
    <w:rsid w:val="006D0778"/>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31">
    <w:name w:val="No List231"/>
    <w:next w:val="NoList"/>
    <w:uiPriority w:val="99"/>
    <w:semiHidden/>
    <w:unhideWhenUsed/>
    <w:rsid w:val="006D0778"/>
  </w:style>
  <w:style w:type="table" w:customStyle="1" w:styleId="LightList-Accent3261">
    <w:name w:val="Light List - Accent 3261"/>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61">
    <w:name w:val="Light List - Accent 3116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201">
    <w:name w:val="Light Shading - Accent 1320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31">
    <w:name w:val="Light Shading - Accent 1311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61">
    <w:name w:val="Light Shading - Accent 1326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31">
    <w:name w:val="tabele 3131"/>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51">
    <w:name w:val="Light Shading - Accent 1115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31">
    <w:name w:val="Light Shading - Accent 323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31">
    <w:name w:val="Light List - Accent 523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31">
    <w:name w:val="Light Shading - Accent 31131"/>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31">
    <w:name w:val="Light List - Accent 3123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31">
    <w:name w:val="Light List - Accent 51131"/>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41">
    <w:name w:val="Light Grid - Accent 5114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31">
    <w:name w:val="Светло сенчење – наглашавање 11131"/>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41">
    <w:name w:val="Light Grid - Accent 524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31">
    <w:name w:val="Light List - Accent 32131"/>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31">
    <w:name w:val="Light List - Accent 31113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31">
    <w:name w:val="Light Shading - Accent 133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41">
    <w:name w:val="Light Shading - Accent 13114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31">
    <w:name w:val="Light Shading - Accent 1321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31">
    <w:name w:val="Light Shading - Accent 1123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31">
    <w:name w:val="Light Shading - Accent 134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31">
    <w:name w:val="Light Shading - Accent 1133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31">
    <w:name w:val="Light Shading - Accent 135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41">
    <w:name w:val="Light Shading - Accent 1364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31">
    <w:name w:val="Light Shading - Accent 137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31">
    <w:name w:val="tabele 3231"/>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31">
    <w:name w:val="Light Shading - Accent 1143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61">
    <w:name w:val="Light Shading - Accent 3361"/>
    <w:basedOn w:val="TableNormal"/>
    <w:next w:val="LightShading-Accent3"/>
    <w:uiPriority w:val="60"/>
    <w:rsid w:val="006D0778"/>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31">
    <w:name w:val="Light List - Accent 533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31">
    <w:name w:val="Light Shading - Accent 31231"/>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31">
    <w:name w:val="Light List - Accent 3133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31">
    <w:name w:val="Light List - Accent 51231"/>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41">
    <w:name w:val="Light Grid - Accent 5124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31">
    <w:name w:val="Светло сенчење – наглашавање 11231"/>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41">
    <w:name w:val="Light Grid - Accent 534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31">
    <w:name w:val="Light List - Accent 32231"/>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31">
    <w:name w:val="Light List - Accent 31123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41">
    <w:name w:val="Light Shading - Accent 1384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31">
    <w:name w:val="Light Shading - Accent 1312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31">
    <w:name w:val="Light Shading - Accent 1322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31">
    <w:name w:val="Light Shading - Accent 1153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41">
    <w:name w:val="Light Shading - Accent 1394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41">
    <w:name w:val="Light Shading - Accent 1164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41">
    <w:name w:val="Light Shading - Accent 13104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31">
    <w:name w:val="Light Shading - Accent 1313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31">
    <w:name w:val="tabele 3331"/>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31">
    <w:name w:val="Light Shading - Accent 1173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51">
    <w:name w:val="Light Shading - Accent 345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31">
    <w:name w:val="Light List - Accent 543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31">
    <w:name w:val="Light Shading - Accent 31331"/>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31">
    <w:name w:val="Light List - Accent 3143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31">
    <w:name w:val="Light List - Accent 51331"/>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41">
    <w:name w:val="Light Grid - Accent 5134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31">
    <w:name w:val="Светло сенчење – наглашавање 11331"/>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41">
    <w:name w:val="Light Grid - Accent 544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31">
    <w:name w:val="Light Shading - Accent 12331"/>
    <w:basedOn w:val="TableNormal"/>
    <w:uiPriority w:val="60"/>
    <w:rsid w:val="006D0778"/>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31">
    <w:name w:val="Light List - Accent 32331"/>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31">
    <w:name w:val="Light List - Accent 31133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31">
    <w:name w:val="Light Shading - Accent 1314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31">
    <w:name w:val="Light Shading - Accent 1315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31">
    <w:name w:val="Light Shading - Accent 1323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31">
    <w:name w:val="Light Shading - Accent 1316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31">
    <w:name w:val="Light Shading - Accent 1381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31">
    <w:name w:val="Light Shading - Accent 1183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31">
    <w:name w:val="Light Shading - Accent 1391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31">
    <w:name w:val="Light Shading - Accent 11613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31">
    <w:name w:val="Light Shading - Accent 13101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31">
    <w:name w:val="Light Shading - Accent 1361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31">
    <w:name w:val="Light Shading - Accent 1193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21">
    <w:name w:val="Light Shading - Accent 1421"/>
    <w:basedOn w:val="TableNormal"/>
    <w:next w:val="LightShading-Accent1"/>
    <w:uiPriority w:val="60"/>
    <w:rsid w:val="006D0778"/>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31">
    <w:name w:val="Light Shading - Accent 3313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31">
    <w:name w:val="Light Shading - Accent 3323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31">
    <w:name w:val="Light Shading - Accent 3333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31">
    <w:name w:val="Light Shading - Accent 3413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31">
    <w:name w:val="Light Shading - Accent 3423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31">
    <w:name w:val="Light Grid - Accent 5143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31">
    <w:name w:val="Light Grid - Accent 553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31">
    <w:name w:val="Light Grid - Accent 51113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31">
    <w:name w:val="Light Grid - Accent 5213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31">
    <w:name w:val="Light Grid - Accent 51213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31">
    <w:name w:val="Light Grid - Accent 5313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31">
    <w:name w:val="Light Grid - Accent 51313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31">
    <w:name w:val="Light Grid - Accent 5413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31">
    <w:name w:val="Light Shading - Accent 6131"/>
    <w:basedOn w:val="TableNormal"/>
    <w:next w:val="LightShading-Accent6"/>
    <w:uiPriority w:val="60"/>
    <w:rsid w:val="006D0778"/>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31">
    <w:name w:val="Grid Table 6 Colorful - Accent 4131"/>
    <w:basedOn w:val="TableNormal"/>
    <w:next w:val="GridTable6Colorful-Accent430"/>
    <w:uiPriority w:val="51"/>
    <w:rsid w:val="006D0778"/>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21">
    <w:name w:val="Light Shading - Accent 61121"/>
    <w:basedOn w:val="TableNormal"/>
    <w:next w:val="LightShading-Accent6"/>
    <w:uiPriority w:val="60"/>
    <w:rsid w:val="006D0778"/>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31">
    <w:name w:val="Grid Table 6 Colorful - Accent 3131"/>
    <w:basedOn w:val="TableNormal"/>
    <w:next w:val="GridTable6Colorful-Accent330"/>
    <w:uiPriority w:val="51"/>
    <w:rsid w:val="006D0778"/>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21">
    <w:name w:val="Grid Table 4 - Accent 5121"/>
    <w:basedOn w:val="TableNormal"/>
    <w:next w:val="GridTable4-Accent530"/>
    <w:uiPriority w:val="49"/>
    <w:rsid w:val="006D0778"/>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21">
    <w:name w:val="Grid Table 5 Dark - Accent 5121"/>
    <w:basedOn w:val="TableNormal"/>
    <w:next w:val="GridTable5Dark-Accent530"/>
    <w:uiPriority w:val="50"/>
    <w:rsid w:val="006D0778"/>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31">
    <w:name w:val="ФС31"/>
    <w:basedOn w:val="TableNormal"/>
    <w:uiPriority w:val="99"/>
    <w:rsid w:val="006D0778"/>
    <w:pPr>
      <w:spacing w:after="0" w:line="240" w:lineRule="auto"/>
    </w:pPr>
    <w:rPr>
      <w:rFonts w:ascii="Calibri" w:eastAsia="Calibri" w:hAnsi="Calibri" w:cs="Times New Roman"/>
      <w:sz w:val="20"/>
      <w:szCs w:val="20"/>
    </w:rPr>
    <w:tblPr/>
  </w:style>
  <w:style w:type="table" w:customStyle="1" w:styleId="ListTable6Colorful-Accent3121">
    <w:name w:val="List Table 6 Colorful - Accent 3121"/>
    <w:basedOn w:val="TableNormal"/>
    <w:next w:val="ListTable6Colorful-Accent330"/>
    <w:uiPriority w:val="51"/>
    <w:rsid w:val="006D0778"/>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21">
    <w:name w:val="Grid Table 1 Light - Accent 1121"/>
    <w:basedOn w:val="TableNormal"/>
    <w:next w:val="GridTable1Light-Accent130"/>
    <w:uiPriority w:val="46"/>
    <w:rsid w:val="006D0778"/>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21">
    <w:name w:val="List Table 1 Light - Accent 1121"/>
    <w:basedOn w:val="TableNormal"/>
    <w:next w:val="ListTable1Light-Accent130"/>
    <w:uiPriority w:val="46"/>
    <w:rsid w:val="006D0778"/>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21">
    <w:name w:val="List Table 2 - Accent 1121"/>
    <w:basedOn w:val="TableNormal"/>
    <w:next w:val="ListTable2-Accent130"/>
    <w:uiPriority w:val="47"/>
    <w:rsid w:val="006D0778"/>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21">
    <w:name w:val="List Table 2 - Accent 5121"/>
    <w:basedOn w:val="TableNormal"/>
    <w:next w:val="ListTable2-Accent530"/>
    <w:uiPriority w:val="47"/>
    <w:rsid w:val="006D0778"/>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21">
    <w:name w:val="Grid Table 2 - Accent 5121"/>
    <w:basedOn w:val="TableNormal"/>
    <w:next w:val="GridTable2-Accent530"/>
    <w:uiPriority w:val="47"/>
    <w:rsid w:val="006D0778"/>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31">
    <w:name w:val="Table Grid231"/>
    <w:basedOn w:val="TableNormal"/>
    <w:next w:val="TableGrid"/>
    <w:uiPriority w:val="39"/>
    <w:rsid w:val="006D0778"/>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31">
    <w:name w:val="Light Shading - Accent 12431"/>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21">
    <w:name w:val="Grid Table 6 Colorful - Accent 51221"/>
    <w:basedOn w:val="TableNormal"/>
    <w:next w:val="GridTable6Colorful-Accent540"/>
    <w:uiPriority w:val="51"/>
    <w:rsid w:val="006D0778"/>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21">
    <w:name w:val="Grid Table 6 Colorful - Accent 51321"/>
    <w:basedOn w:val="TableNormal"/>
    <w:uiPriority w:val="51"/>
    <w:rsid w:val="006D0778"/>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21">
    <w:name w:val="No List321"/>
    <w:next w:val="NoList"/>
    <w:uiPriority w:val="99"/>
    <w:semiHidden/>
    <w:unhideWhenUsed/>
    <w:rsid w:val="006D0778"/>
  </w:style>
  <w:style w:type="table" w:customStyle="1" w:styleId="TableGrid321">
    <w:name w:val="Table Grid321"/>
    <w:basedOn w:val="TableNormal"/>
    <w:next w:val="TableGrid"/>
    <w:uiPriority w:val="39"/>
    <w:rsid w:val="006D0778"/>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21">
    <w:name w:val="Financial Table121"/>
    <w:basedOn w:val="TableNormal"/>
    <w:uiPriority w:val="99"/>
    <w:rsid w:val="006D0778"/>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21">
    <w:name w:val="Grid Table 6 Colorful - Accent 5321"/>
    <w:basedOn w:val="TableNormal"/>
    <w:next w:val="GridTable6Colorful-Accent540"/>
    <w:uiPriority w:val="51"/>
    <w:rsid w:val="006D0778"/>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31">
    <w:name w:val="Light Shading - Accent 12531"/>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21">
    <w:name w:val="Grid Table 6 Colorful - Accent 51421"/>
    <w:basedOn w:val="TableNormal"/>
    <w:uiPriority w:val="51"/>
    <w:rsid w:val="006D0778"/>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21">
    <w:name w:val="Light Shading - Accent 121121"/>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21">
    <w:name w:val="Grid Table 6 Colorful - Accent 511121"/>
    <w:basedOn w:val="TableNormal"/>
    <w:uiPriority w:val="51"/>
    <w:rsid w:val="006D0778"/>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21">
    <w:name w:val="Grid Table 6 Colorful - Accent 1221"/>
    <w:basedOn w:val="TableNormal"/>
    <w:next w:val="GridTable6Colorful-Accent130"/>
    <w:uiPriority w:val="51"/>
    <w:rsid w:val="006D0778"/>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21">
    <w:name w:val="Light Shading - Accent 122121"/>
    <w:basedOn w:val="TableNormal"/>
    <w:uiPriority w:val="60"/>
    <w:rsid w:val="006D0778"/>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21">
    <w:name w:val="Grid Table 6 Colorful - Accent 52121"/>
    <w:basedOn w:val="TableNormal"/>
    <w:next w:val="GridTable6Colorful-Accent540"/>
    <w:uiPriority w:val="51"/>
    <w:rsid w:val="006D0778"/>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21">
    <w:name w:val="tabele 3421"/>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21">
    <w:name w:val="Light Shading - Accent 1110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21">
    <w:name w:val="Light Shading - Accent 352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21">
    <w:name w:val="Light List - Accent 552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21">
    <w:name w:val="Light Shading - Accent 31421"/>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21">
    <w:name w:val="Light List - Accent 3152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21">
    <w:name w:val="Table Grid1121"/>
    <w:basedOn w:val="TableNormal"/>
    <w:next w:val="TableGrid"/>
    <w:uiPriority w:val="59"/>
    <w:rsid w:val="006D0778"/>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21">
    <w:name w:val="Light List - Accent 51421"/>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21">
    <w:name w:val="Medium List 1 - Accent 51121"/>
    <w:basedOn w:val="TableNormal"/>
    <w:next w:val="MediumList1-Accent5"/>
    <w:uiPriority w:val="65"/>
    <w:rsid w:val="006D0778"/>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21">
    <w:name w:val="Medium List 1 - Accent 5221"/>
    <w:basedOn w:val="TableNormal"/>
    <w:next w:val="MediumList1-Accent5"/>
    <w:uiPriority w:val="65"/>
    <w:rsid w:val="006D0778"/>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21">
    <w:name w:val="No List11121"/>
    <w:next w:val="NoList"/>
    <w:uiPriority w:val="99"/>
    <w:semiHidden/>
    <w:unhideWhenUsed/>
    <w:rsid w:val="006D0778"/>
  </w:style>
  <w:style w:type="table" w:customStyle="1" w:styleId="LightGrid-Accent51521">
    <w:name w:val="Light Grid - Accent 5152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21">
    <w:name w:val="Светло сенчење – наглашавање 11421"/>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21">
    <w:name w:val="Light Grid - Accent 562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210">
    <w:name w:val="tabele za ifs121"/>
    <w:basedOn w:val="TableNormal"/>
    <w:uiPriority w:val="99"/>
    <w:qFormat/>
    <w:rsid w:val="006D0778"/>
    <w:pPr>
      <w:spacing w:after="0" w:line="240" w:lineRule="auto"/>
    </w:pPr>
    <w:rPr>
      <w:rFonts w:ascii="Cambria Math" w:eastAsia="Calibri" w:hAnsi="Cambria Math" w:cs="Times New Roman"/>
      <w:sz w:val="20"/>
      <w:szCs w:val="20"/>
      <w:lang w:val="en-GB" w:eastAsia="en-GB"/>
    </w:rPr>
    <w:tblPr/>
  </w:style>
  <w:style w:type="table" w:customStyle="1" w:styleId="tabelezaifs1121">
    <w:name w:val="tabele za ifs 1121"/>
    <w:basedOn w:val="TableNormal"/>
    <w:uiPriority w:val="66"/>
    <w:rsid w:val="006D0778"/>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21">
    <w:name w:val="Colorful List - Accent 1121"/>
    <w:basedOn w:val="TableNormal"/>
    <w:next w:val="ColorfulList-Accent1"/>
    <w:uiPriority w:val="72"/>
    <w:rsid w:val="006D0778"/>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21">
    <w:name w:val="No List2121"/>
    <w:next w:val="NoList"/>
    <w:uiPriority w:val="99"/>
    <w:semiHidden/>
    <w:unhideWhenUsed/>
    <w:rsid w:val="006D0778"/>
  </w:style>
  <w:style w:type="table" w:customStyle="1" w:styleId="LightList-Accent32421">
    <w:name w:val="Light List - Accent 32421"/>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21">
    <w:name w:val="Light List - Accent 31142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21">
    <w:name w:val="Light Shading - Accent 1317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21">
    <w:name w:val="Light Shading - Accent 1318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21">
    <w:name w:val="Light Shading - Accent 1324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21">
    <w:name w:val="tabele 31121"/>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21">
    <w:name w:val="Light Shading - Accent 1111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21">
    <w:name w:val="Light Shading - Accent 3212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21">
    <w:name w:val="Light List - Accent 5212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21">
    <w:name w:val="Light Shading - Accent 311121"/>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21">
    <w:name w:val="Light List - Accent 31212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21">
    <w:name w:val="Light List - Accent 511121"/>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21">
    <w:name w:val="Light Grid - Accent 51122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21">
    <w:name w:val="Светло сенчење – наглашавање 111121"/>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21">
    <w:name w:val="Light Grid - Accent 5222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21">
    <w:name w:val="Light List - Accent 321121"/>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21">
    <w:name w:val="Light List - Accent 311112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21">
    <w:name w:val="Light Shading - Accent 133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21">
    <w:name w:val="Light Shading - Accent 1311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21">
    <w:name w:val="Light Shading - Accent 1321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21">
    <w:name w:val="Light Shading - Accent 1121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21">
    <w:name w:val="Light Shading - Accent 134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21">
    <w:name w:val="Light Shading - Accent 1131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21">
    <w:name w:val="Light Shading - Accent 135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21">
    <w:name w:val="Light Shading - Accent 1362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21">
    <w:name w:val="Light Shading - Accent 137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21">
    <w:name w:val="tabele 32121"/>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21">
    <w:name w:val="Light Shading - Accent 1141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21">
    <w:name w:val="Light Shading - Accent 33421"/>
    <w:basedOn w:val="TableNormal"/>
    <w:next w:val="LightShading-Accent3"/>
    <w:uiPriority w:val="60"/>
    <w:rsid w:val="006D0778"/>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21">
    <w:name w:val="Light List - Accent 5312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21">
    <w:name w:val="Light Shading - Accent 312121"/>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21">
    <w:name w:val="Light List - Accent 31312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21">
    <w:name w:val="Light List - Accent 512121"/>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21">
    <w:name w:val="Light Grid - Accent 51222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21">
    <w:name w:val="Светло сенчење – наглашавање 112121"/>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21">
    <w:name w:val="Light Grid - Accent 5322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21">
    <w:name w:val="Light List - Accent 322121"/>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21">
    <w:name w:val="Light List - Accent 311212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21">
    <w:name w:val="Light Shading - Accent 1382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21">
    <w:name w:val="Light Shading - Accent 1312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21">
    <w:name w:val="Light Shading - Accent 1322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21">
    <w:name w:val="Light Shading - Accent 1151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21">
    <w:name w:val="Light Shading - Accent 1392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21">
    <w:name w:val="Light Shading - Accent 1162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21">
    <w:name w:val="Light Shading - Accent 13102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21">
    <w:name w:val="Light Shading - Accent 1313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21">
    <w:name w:val="tabele 33121"/>
    <w:basedOn w:val="TableNormal"/>
    <w:next w:val="LightList-Accent3"/>
    <w:uiPriority w:val="61"/>
    <w:rsid w:val="006D0778"/>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21">
    <w:name w:val="Light Shading - Accent 1171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21">
    <w:name w:val="Light Shading - Accent 3432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21">
    <w:name w:val="Light List - Accent 5412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21">
    <w:name w:val="Light Shading - Accent 313121"/>
    <w:basedOn w:val="TableNormal"/>
    <w:next w:val="LightShading-Accent3"/>
    <w:uiPriority w:val="60"/>
    <w:rsid w:val="006D0778"/>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21">
    <w:name w:val="Light List - Accent 31412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21">
    <w:name w:val="Light List - Accent 513121"/>
    <w:basedOn w:val="TableNormal"/>
    <w:next w:val="LightList-Accent5"/>
    <w:uiPriority w:val="61"/>
    <w:rsid w:val="006D0778"/>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21">
    <w:name w:val="Light Grid - Accent 51322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21">
    <w:name w:val="Светло сенчење – наглашавање 113121"/>
    <w:basedOn w:val="TableNormal"/>
    <w:uiPriority w:val="60"/>
    <w:rsid w:val="006D0778"/>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21">
    <w:name w:val="Light Grid - Accent 5422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21">
    <w:name w:val="Light Shading - Accent 123121"/>
    <w:basedOn w:val="TableNormal"/>
    <w:uiPriority w:val="60"/>
    <w:rsid w:val="006D0778"/>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21">
    <w:name w:val="Light List - Accent 323121"/>
    <w:basedOn w:val="TableNormal"/>
    <w:next w:val="LightList-Accent3"/>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21">
    <w:name w:val="Light List - Accent 3113121"/>
    <w:basedOn w:val="TableNormal"/>
    <w:next w:val="LightList-Accent3"/>
    <w:uiPriority w:val="61"/>
    <w:rsid w:val="006D0778"/>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21">
    <w:name w:val="Light Shading - Accent 1314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21">
    <w:name w:val="Light Shading - Accent 1315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21">
    <w:name w:val="Light Shading - Accent 1323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21">
    <w:name w:val="Light Shading - Accent 1316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21">
    <w:name w:val="Light Shading - Accent 1381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21">
    <w:name w:val="Light Shading - Accent 1181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21">
    <w:name w:val="Light Shading - Accent 1391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21">
    <w:name w:val="Light Shading - Accent 1161121"/>
    <w:basedOn w:val="TableNormal"/>
    <w:uiPriority w:val="60"/>
    <w:rsid w:val="006D0778"/>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21">
    <w:name w:val="Light Shading - Accent 13101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21">
    <w:name w:val="Light Shading - Accent 1361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21">
    <w:name w:val="Light Shading - Accent 119121"/>
    <w:basedOn w:val="TableNormal"/>
    <w:uiPriority w:val="60"/>
    <w:rsid w:val="006D0778"/>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21">
    <w:name w:val="Light Shading - Accent 33112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21">
    <w:name w:val="Light Shading - Accent 33212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21">
    <w:name w:val="Light Shading - Accent 33312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21">
    <w:name w:val="Light Shading - Accent 34112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21">
    <w:name w:val="Light Shading - Accent 34212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21">
    <w:name w:val="Light Grid - Accent 51412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21">
    <w:name w:val="Light Grid - Accent 5512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21">
    <w:name w:val="Light Grid - Accent 511112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21">
    <w:name w:val="Light Grid - Accent 52112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21">
    <w:name w:val="Light Grid - Accent 512112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21">
    <w:name w:val="Light Grid - Accent 53112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21">
    <w:name w:val="Light Grid - Accent 513112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21">
    <w:name w:val="Light Grid - Accent 54112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21">
    <w:name w:val="Light Shading - Accent 6221"/>
    <w:basedOn w:val="TableNormal"/>
    <w:next w:val="LightShading-Accent6"/>
    <w:uiPriority w:val="60"/>
    <w:rsid w:val="006D0778"/>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21">
    <w:name w:val="Grid Table 6 Colorful - Accent 4221"/>
    <w:basedOn w:val="TableNormal"/>
    <w:next w:val="GridTable6Colorful-Accent430"/>
    <w:uiPriority w:val="51"/>
    <w:rsid w:val="006D0778"/>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21">
    <w:name w:val="Grid Table 6 Colorful - Accent 3221"/>
    <w:basedOn w:val="TableNormal"/>
    <w:next w:val="GridTable6Colorful-Accent330"/>
    <w:uiPriority w:val="51"/>
    <w:rsid w:val="006D0778"/>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21">
    <w:name w:val="Grid Table 4 - Accent 5221"/>
    <w:basedOn w:val="TableNormal"/>
    <w:next w:val="GridTable4-Accent530"/>
    <w:uiPriority w:val="49"/>
    <w:rsid w:val="006D0778"/>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21">
    <w:name w:val="Grid Table 5 Dark - Accent 5221"/>
    <w:basedOn w:val="TableNormal"/>
    <w:next w:val="GridTable5Dark-Accent530"/>
    <w:uiPriority w:val="50"/>
    <w:rsid w:val="006D0778"/>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21">
    <w:name w:val="ФС121"/>
    <w:basedOn w:val="TableNormal"/>
    <w:uiPriority w:val="99"/>
    <w:rsid w:val="006D0778"/>
    <w:pPr>
      <w:spacing w:after="0" w:line="240" w:lineRule="auto"/>
    </w:pPr>
    <w:rPr>
      <w:rFonts w:ascii="Calibri" w:eastAsia="Calibri" w:hAnsi="Calibri" w:cs="Times New Roman"/>
      <w:sz w:val="20"/>
      <w:szCs w:val="20"/>
    </w:rPr>
    <w:tblPr/>
  </w:style>
  <w:style w:type="table" w:customStyle="1" w:styleId="ListTable6Colorful-Accent3221">
    <w:name w:val="List Table 6 Colorful - Accent 3221"/>
    <w:basedOn w:val="TableNormal"/>
    <w:next w:val="ListTable6Colorful-Accent330"/>
    <w:uiPriority w:val="51"/>
    <w:rsid w:val="006D0778"/>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21">
    <w:name w:val="Grid Table 1 Light - Accent 1221"/>
    <w:basedOn w:val="TableNormal"/>
    <w:next w:val="GridTable1Light-Accent130"/>
    <w:uiPriority w:val="46"/>
    <w:rsid w:val="006D0778"/>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21">
    <w:name w:val="List Table 1 Light - Accent 1221"/>
    <w:basedOn w:val="TableNormal"/>
    <w:next w:val="ListTable1Light-Accent130"/>
    <w:uiPriority w:val="46"/>
    <w:rsid w:val="006D0778"/>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21">
    <w:name w:val="List Table 2 - Accent 1221"/>
    <w:basedOn w:val="TableNormal"/>
    <w:next w:val="ListTable2-Accent130"/>
    <w:uiPriority w:val="47"/>
    <w:rsid w:val="006D0778"/>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21">
    <w:name w:val="List Table 2 - Accent 5221"/>
    <w:basedOn w:val="TableNormal"/>
    <w:next w:val="ListTable2-Accent530"/>
    <w:uiPriority w:val="47"/>
    <w:rsid w:val="006D0778"/>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21">
    <w:name w:val="Grid Table 2 - Accent 5221"/>
    <w:basedOn w:val="TableNormal"/>
    <w:next w:val="GridTable2-Accent530"/>
    <w:uiPriority w:val="47"/>
    <w:rsid w:val="006D0778"/>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21">
    <w:name w:val="Grid Table 6 Colorful - Accent 41121"/>
    <w:basedOn w:val="TableNormal"/>
    <w:uiPriority w:val="51"/>
    <w:rsid w:val="006D0778"/>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21">
    <w:name w:val="Grid Table 6 Colorful - Accent 31121"/>
    <w:basedOn w:val="TableNormal"/>
    <w:uiPriority w:val="51"/>
    <w:rsid w:val="006D0778"/>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21">
    <w:name w:val="Table Grid2121"/>
    <w:basedOn w:val="TableNormal"/>
    <w:next w:val="TableGrid"/>
    <w:uiPriority w:val="39"/>
    <w:rsid w:val="006D0778"/>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21">
    <w:name w:val="Light Shading - Accent 124121"/>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21">
    <w:name w:val="Light Shading - Accent 125121"/>
    <w:basedOn w:val="TableNormal"/>
    <w:uiPriority w:val="60"/>
    <w:rsid w:val="006D0778"/>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31">
    <w:name w:val="Light Shading31"/>
    <w:basedOn w:val="TableNormal"/>
    <w:next w:val="LightShading"/>
    <w:uiPriority w:val="60"/>
    <w:semiHidden/>
    <w:unhideWhenUsed/>
    <w:rsid w:val="006D077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51">
    <w:name w:val="Grid Table 6 Colorful - Accent 551"/>
    <w:basedOn w:val="TableNormal"/>
    <w:next w:val="GridTable6Colorful-Accent540"/>
    <w:uiPriority w:val="51"/>
    <w:rsid w:val="006D0778"/>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41">
    <w:name w:val="Grid Table 6 Colorful - Accent 141"/>
    <w:basedOn w:val="TableNormal"/>
    <w:next w:val="GridTable6Colorful-Accent130"/>
    <w:uiPriority w:val="51"/>
    <w:rsid w:val="006D0778"/>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61">
    <w:name w:val="Light Shading - Accent 161"/>
    <w:basedOn w:val="TableNormal"/>
    <w:next w:val="LightShading-Accent1"/>
    <w:uiPriority w:val="60"/>
    <w:semiHidden/>
    <w:unhideWhenUsed/>
    <w:rsid w:val="006D0778"/>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41">
    <w:name w:val="Light Shading - Accent 641"/>
    <w:basedOn w:val="TableNormal"/>
    <w:next w:val="LightShading-Accent6"/>
    <w:uiPriority w:val="60"/>
    <w:semiHidden/>
    <w:unhideWhenUsed/>
    <w:rsid w:val="006D0778"/>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41">
    <w:name w:val="Grid Table 6 Colorful - Accent 441"/>
    <w:basedOn w:val="TableNormal"/>
    <w:next w:val="GridTable6Colorful-Accent430"/>
    <w:uiPriority w:val="51"/>
    <w:rsid w:val="006D0778"/>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41">
    <w:name w:val="Grid Table 6 Colorful - Accent 341"/>
    <w:basedOn w:val="TableNormal"/>
    <w:next w:val="GridTable6Colorful-Accent330"/>
    <w:uiPriority w:val="51"/>
    <w:rsid w:val="006D0778"/>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41">
    <w:name w:val="Grid Table 4 - Accent 541"/>
    <w:basedOn w:val="TableNormal"/>
    <w:next w:val="GridTable4-Accent530"/>
    <w:uiPriority w:val="49"/>
    <w:rsid w:val="006D077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41">
    <w:name w:val="Grid Table 5 Dark - Accent 541"/>
    <w:basedOn w:val="TableNormal"/>
    <w:next w:val="GridTable5Dark-Accent530"/>
    <w:uiPriority w:val="50"/>
    <w:rsid w:val="006D07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41">
    <w:name w:val="List Table 6 Colorful - Accent 341"/>
    <w:basedOn w:val="TableNormal"/>
    <w:next w:val="ListTable6Colorful-Accent330"/>
    <w:uiPriority w:val="51"/>
    <w:rsid w:val="006D0778"/>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41">
    <w:name w:val="Grid Table 1 Light - Accent 141"/>
    <w:basedOn w:val="TableNormal"/>
    <w:next w:val="GridTable1Light-Accent130"/>
    <w:uiPriority w:val="46"/>
    <w:rsid w:val="006D077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41">
    <w:name w:val="List Table 1 Light - Accent 141"/>
    <w:basedOn w:val="TableNormal"/>
    <w:next w:val="ListTable1Light-Accent130"/>
    <w:uiPriority w:val="46"/>
    <w:rsid w:val="006D0778"/>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41">
    <w:name w:val="List Table 2 - Accent 141"/>
    <w:basedOn w:val="TableNormal"/>
    <w:next w:val="ListTable2-Accent130"/>
    <w:uiPriority w:val="47"/>
    <w:rsid w:val="006D0778"/>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41">
    <w:name w:val="List Table 2 - Accent 541"/>
    <w:basedOn w:val="TableNormal"/>
    <w:next w:val="ListTable2-Accent530"/>
    <w:uiPriority w:val="47"/>
    <w:rsid w:val="006D0778"/>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41">
    <w:name w:val="Grid Table 2 - Accent 541"/>
    <w:basedOn w:val="TableNormal"/>
    <w:next w:val="GridTable2-Accent530"/>
    <w:uiPriority w:val="47"/>
    <w:rsid w:val="006D0778"/>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ghtShading-Accent3371">
    <w:name w:val="Light Shading - Accent 3371"/>
    <w:basedOn w:val="TableNormal"/>
    <w:next w:val="LightShading-Accent3"/>
    <w:uiPriority w:val="60"/>
    <w:rsid w:val="006D0778"/>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81">
    <w:name w:val="Light Shading - Accent 3381"/>
    <w:basedOn w:val="TableNormal"/>
    <w:next w:val="LightShading-Accent3"/>
    <w:uiPriority w:val="60"/>
    <w:rsid w:val="006D0778"/>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Table6Colorful-Accent611">
    <w:name w:val="List Table 6 Colorful - Accent 611"/>
    <w:basedOn w:val="TableNormal"/>
    <w:uiPriority w:val="51"/>
    <w:rsid w:val="006D0778"/>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61">
    <w:name w:val="Table Grid61"/>
    <w:basedOn w:val="TableNormal"/>
    <w:next w:val="TableGrid"/>
    <w:uiPriority w:val="39"/>
    <w:rsid w:val="006D0778"/>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371">
    <w:name w:val="tabele 371"/>
    <w:basedOn w:val="TableNormal"/>
    <w:next w:val="LightList-Accent3"/>
    <w:uiPriority w:val="61"/>
    <w:rsid w:val="006D0778"/>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61">
    <w:name w:val="Light Shading - Accent 11161"/>
    <w:basedOn w:val="TableNormal"/>
    <w:uiPriority w:val="60"/>
    <w:rsid w:val="006D0778"/>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71">
    <w:name w:val="Light Shading - Accent 3171"/>
    <w:basedOn w:val="TableNormal"/>
    <w:next w:val="LightShading-Accent3"/>
    <w:uiPriority w:val="60"/>
    <w:rsid w:val="006D0778"/>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81">
    <w:name w:val="Light List - Accent 3181"/>
    <w:basedOn w:val="TableNormal"/>
    <w:next w:val="LightList-Accent3"/>
    <w:uiPriority w:val="61"/>
    <w:rsid w:val="006D0778"/>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41">
    <w:name w:val="Table Grid141"/>
    <w:basedOn w:val="TableNormal"/>
    <w:next w:val="TableGrid"/>
    <w:uiPriority w:val="39"/>
    <w:rsid w:val="006D0778"/>
    <w:pPr>
      <w:spacing w:after="0" w:line="240" w:lineRule="auto"/>
    </w:pPr>
    <w:rPr>
      <w:rFonts w:ascii="Constantia" w:eastAsia="Constantia" w:hAnsi="Constanti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71">
    <w:name w:val="Light List - Accent 5171"/>
    <w:basedOn w:val="TableNormal"/>
    <w:next w:val="LightList-Accent5"/>
    <w:uiPriority w:val="61"/>
    <w:rsid w:val="006D0778"/>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41">
    <w:name w:val="Medium List 1 - Accent 5141"/>
    <w:basedOn w:val="TableNormal"/>
    <w:next w:val="MediumList1-Accent5"/>
    <w:uiPriority w:val="65"/>
    <w:rsid w:val="006D0778"/>
    <w:pPr>
      <w:spacing w:after="0" w:line="240" w:lineRule="auto"/>
    </w:pPr>
    <w:rPr>
      <w:rFonts w:ascii="Constantia" w:eastAsia="Constantia" w:hAnsi="Constantia" w:cs="Times New Roman"/>
      <w:color w:val="000000"/>
      <w:sz w:val="20"/>
      <w:szCs w:val="20"/>
    </w:rPr>
    <w:tblPr>
      <w:tblStyleRowBandSize w:val="1"/>
      <w:tblStyleColBandSize w:val="1"/>
      <w:tblBorders>
        <w:top w:val="single" w:sz="8" w:space="0" w:color="8FB08C"/>
        <w:bottom w:val="single" w:sz="8" w:space="0" w:color="8FB08C"/>
      </w:tblBorders>
    </w:tblPr>
    <w:tblStylePr w:type="firstRow">
      <w:rPr>
        <w:rFonts w:ascii="Constantia" w:eastAsia="Times New Roman" w:hAnsi="Constanti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51">
    <w:name w:val="Medium List 1 - Accent 551"/>
    <w:basedOn w:val="TableNormal"/>
    <w:next w:val="MediumList1-Accent5"/>
    <w:uiPriority w:val="65"/>
    <w:rsid w:val="006D0778"/>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Constantia" w:eastAsia="Times New Roman" w:hAnsi="Constant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5181">
    <w:name w:val="Light Grid - Accent 5181"/>
    <w:basedOn w:val="TableNormal"/>
    <w:next w:val="LightGrid-Accent5"/>
    <w:uiPriority w:val="62"/>
    <w:rsid w:val="006D0778"/>
    <w:pPr>
      <w:spacing w:after="0" w:line="240" w:lineRule="auto"/>
      <w:jc w:val="both"/>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71">
    <w:name w:val="Светло сенчење – наглашавање 1171"/>
    <w:basedOn w:val="TableNormal"/>
    <w:uiPriority w:val="60"/>
    <w:rsid w:val="006D0778"/>
    <w:pPr>
      <w:spacing w:after="0" w:line="240" w:lineRule="auto"/>
      <w:jc w:val="both"/>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91">
    <w:name w:val="Light Grid - Accent 59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Tahoma" w:eastAsia="Times New Roman" w:hAnsi="Tahom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Tahoma" w:eastAsia="Times New Roman" w:hAnsi="Tahom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81">
    <w:name w:val="Light Shading - Accent 1281"/>
    <w:basedOn w:val="TableNormal"/>
    <w:uiPriority w:val="60"/>
    <w:rsid w:val="006D0778"/>
    <w:pPr>
      <w:spacing w:after="0" w:line="240" w:lineRule="auto"/>
    </w:pPr>
    <w:rPr>
      <w:rFonts w:ascii="Calibri" w:eastAsia="Calibri" w:hAnsi="Calibri"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1171">
    <w:name w:val="Light List - Accent 31171"/>
    <w:basedOn w:val="TableNormal"/>
    <w:next w:val="LightList-Accent3"/>
    <w:uiPriority w:val="61"/>
    <w:rsid w:val="006D0778"/>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41">
    <w:name w:val="Light List - Accent 311141"/>
    <w:basedOn w:val="TableNormal"/>
    <w:next w:val="LightList-Accent3"/>
    <w:uiPriority w:val="61"/>
    <w:rsid w:val="006D0778"/>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241">
    <w:name w:val="Table Grid241"/>
    <w:basedOn w:val="TableNormal"/>
    <w:next w:val="TableGrid"/>
    <w:uiPriority w:val="39"/>
    <w:rsid w:val="006D0778"/>
    <w:pPr>
      <w:spacing w:after="0" w:line="240" w:lineRule="auto"/>
      <w:jc w:val="both"/>
    </w:pPr>
    <w:rPr>
      <w:rFonts w:ascii="Calibri" w:eastAsia="Calibri" w:hAnsi="Calibri"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3141">
    <w:name w:val="tabele 3141"/>
    <w:basedOn w:val="TableNormal"/>
    <w:next w:val="LightList-Accent3"/>
    <w:uiPriority w:val="61"/>
    <w:rsid w:val="006D0778"/>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71">
    <w:name w:val="Light Shading - Accent 11171"/>
    <w:basedOn w:val="TableNormal"/>
    <w:uiPriority w:val="60"/>
    <w:rsid w:val="006D0778"/>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41">
    <w:name w:val="Light Shading - Accent 3241"/>
    <w:basedOn w:val="TableNormal"/>
    <w:next w:val="LightShading-Accent3"/>
    <w:uiPriority w:val="60"/>
    <w:rsid w:val="006D0778"/>
    <w:pPr>
      <w:spacing w:after="0" w:line="240" w:lineRule="auto"/>
    </w:pPr>
    <w:rPr>
      <w:rFonts w:ascii="Calibri" w:eastAsia="Calibri" w:hAnsi="Calibri" w:cs="Times New Roman"/>
      <w:color w:val="618889"/>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5241">
    <w:name w:val="Light List - Accent 5241"/>
    <w:basedOn w:val="TableNormal"/>
    <w:next w:val="LightList-Accent5"/>
    <w:uiPriority w:val="61"/>
    <w:rsid w:val="006D0778"/>
    <w:pPr>
      <w:spacing w:after="0" w:line="240" w:lineRule="auto"/>
    </w:pPr>
    <w:rPr>
      <w:rFonts w:ascii="Calibri" w:eastAsia="Calibri" w:hAnsi="Calibri"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Shading-Accent31141">
    <w:name w:val="Light Shading - Accent 31141"/>
    <w:basedOn w:val="TableNormal"/>
    <w:next w:val="LightShading-Accent3"/>
    <w:uiPriority w:val="60"/>
    <w:rsid w:val="006D0778"/>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41">
    <w:name w:val="Light List - Accent 31241"/>
    <w:basedOn w:val="TableNormal"/>
    <w:next w:val="LightList-Accent3"/>
    <w:uiPriority w:val="61"/>
    <w:rsid w:val="006D0778"/>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41">
    <w:name w:val="Light List - Accent 51141"/>
    <w:basedOn w:val="TableNormal"/>
    <w:next w:val="LightList-Accent5"/>
    <w:uiPriority w:val="61"/>
    <w:rsid w:val="006D0778"/>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51">
    <w:name w:val="Light Grid - Accent 51151"/>
    <w:basedOn w:val="TableNormal"/>
    <w:next w:val="LightGrid-Accent5"/>
    <w:uiPriority w:val="62"/>
    <w:rsid w:val="006D0778"/>
    <w:pPr>
      <w:spacing w:after="0" w:line="240" w:lineRule="auto"/>
      <w:jc w:val="both"/>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41">
    <w:name w:val="Светло сенчење – наглашавање 11141"/>
    <w:basedOn w:val="TableNormal"/>
    <w:uiPriority w:val="60"/>
    <w:rsid w:val="006D0778"/>
    <w:pPr>
      <w:spacing w:after="0" w:line="240" w:lineRule="auto"/>
      <w:jc w:val="both"/>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51">
    <w:name w:val="Light Grid - Accent 525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Tahoma" w:eastAsia="Times New Roman" w:hAnsi="Tahom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Tahoma" w:eastAsia="Times New Roman" w:hAnsi="Tahom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141">
    <w:name w:val="Light Shading - Accent 12141"/>
    <w:basedOn w:val="TableNormal"/>
    <w:uiPriority w:val="60"/>
    <w:rsid w:val="006D0778"/>
    <w:pPr>
      <w:spacing w:after="0" w:line="240" w:lineRule="auto"/>
    </w:pPr>
    <w:rPr>
      <w:rFonts w:ascii="Calibri" w:eastAsia="Calibri" w:hAnsi="Calibri"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11241">
    <w:name w:val="Light List - Accent 311241"/>
    <w:basedOn w:val="TableNormal"/>
    <w:next w:val="LightList-Accent3"/>
    <w:uiPriority w:val="61"/>
    <w:rsid w:val="006D0778"/>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1241">
    <w:name w:val="Light Shading - Accent 11241"/>
    <w:basedOn w:val="TableNormal"/>
    <w:uiPriority w:val="60"/>
    <w:rsid w:val="006D0778"/>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41">
    <w:name w:val="Light Shading - Accent 11341"/>
    <w:basedOn w:val="TableNormal"/>
    <w:uiPriority w:val="60"/>
    <w:rsid w:val="006D0778"/>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41">
    <w:name w:val="tabele 3241"/>
    <w:basedOn w:val="TableNormal"/>
    <w:next w:val="LightList-Accent3"/>
    <w:uiPriority w:val="61"/>
    <w:rsid w:val="006D0778"/>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41">
    <w:name w:val="Light Shading - Accent 11441"/>
    <w:basedOn w:val="TableNormal"/>
    <w:uiPriority w:val="60"/>
    <w:rsid w:val="006D0778"/>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91">
    <w:name w:val="Light Shading - Accent 3391"/>
    <w:basedOn w:val="TableNormal"/>
    <w:next w:val="LightShading-Accent3"/>
    <w:uiPriority w:val="60"/>
    <w:rsid w:val="006D077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1241">
    <w:name w:val="Light Shading - Accent 31241"/>
    <w:basedOn w:val="TableNormal"/>
    <w:next w:val="LightShading-Accent3"/>
    <w:uiPriority w:val="60"/>
    <w:rsid w:val="006D0778"/>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41">
    <w:name w:val="Light List - Accent 31341"/>
    <w:basedOn w:val="TableNormal"/>
    <w:next w:val="LightList-Accent3"/>
    <w:uiPriority w:val="61"/>
    <w:rsid w:val="006D0778"/>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41">
    <w:name w:val="Light List - Accent 51241"/>
    <w:basedOn w:val="TableNormal"/>
    <w:next w:val="LightList-Accent5"/>
    <w:uiPriority w:val="61"/>
    <w:rsid w:val="006D0778"/>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51">
    <w:name w:val="Light Grid - Accent 5125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51">
    <w:name w:val="Light Grid - Accent 535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1541">
    <w:name w:val="Light Shading - Accent 11541"/>
    <w:basedOn w:val="TableNormal"/>
    <w:uiPriority w:val="60"/>
    <w:rsid w:val="006D0778"/>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51">
    <w:name w:val="Light Shading - Accent 11651"/>
    <w:basedOn w:val="TableNormal"/>
    <w:uiPriority w:val="60"/>
    <w:rsid w:val="006D0778"/>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41">
    <w:name w:val="tabele 3341"/>
    <w:basedOn w:val="TableNormal"/>
    <w:next w:val="LightList-Accent3"/>
    <w:uiPriority w:val="61"/>
    <w:rsid w:val="006D0778"/>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41">
    <w:name w:val="Light Shading - Accent 11741"/>
    <w:basedOn w:val="TableNormal"/>
    <w:uiPriority w:val="60"/>
    <w:rsid w:val="006D0778"/>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341">
    <w:name w:val="Light Shading - Accent 31341"/>
    <w:basedOn w:val="TableNormal"/>
    <w:next w:val="LightShading-Accent3"/>
    <w:uiPriority w:val="60"/>
    <w:rsid w:val="006D0778"/>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41">
    <w:name w:val="Light List - Accent 31441"/>
    <w:basedOn w:val="TableNormal"/>
    <w:next w:val="LightList-Accent3"/>
    <w:uiPriority w:val="61"/>
    <w:rsid w:val="006D0778"/>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41">
    <w:name w:val="Light List - Accent 51341"/>
    <w:basedOn w:val="TableNormal"/>
    <w:next w:val="LightList-Accent5"/>
    <w:uiPriority w:val="61"/>
    <w:rsid w:val="006D0778"/>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51">
    <w:name w:val="Light Grid - Accent 51351"/>
    <w:basedOn w:val="TableNormal"/>
    <w:next w:val="LightGrid-Accent5"/>
    <w:uiPriority w:val="62"/>
    <w:rsid w:val="006D0778"/>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51">
    <w:name w:val="Light Grid - Accent 5451"/>
    <w:basedOn w:val="TableNormal"/>
    <w:next w:val="LightGrid-Accent5"/>
    <w:uiPriority w:val="62"/>
    <w:rsid w:val="006D0778"/>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11341">
    <w:name w:val="Light List - Accent 311341"/>
    <w:basedOn w:val="TableNormal"/>
    <w:next w:val="LightList-Accent3"/>
    <w:uiPriority w:val="61"/>
    <w:rsid w:val="006D0778"/>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1841">
    <w:name w:val="Light Shading - Accent 11841"/>
    <w:basedOn w:val="TableNormal"/>
    <w:uiPriority w:val="60"/>
    <w:rsid w:val="006D0778"/>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41">
    <w:name w:val="Light Shading - Accent 116141"/>
    <w:basedOn w:val="TableNormal"/>
    <w:uiPriority w:val="60"/>
    <w:rsid w:val="006D0778"/>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71">
    <w:name w:val="Light Shading - Accent 171"/>
    <w:basedOn w:val="TableNormal"/>
    <w:next w:val="LightShading-Accent1"/>
    <w:uiPriority w:val="60"/>
    <w:rsid w:val="006D0778"/>
    <w:pPr>
      <w:spacing w:after="0" w:line="240" w:lineRule="auto"/>
    </w:pPr>
    <w:rPr>
      <w:rFonts w:ascii="Constantia" w:eastAsia="Constantia" w:hAnsi="Constantia"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61">
    <w:name w:val="No List61"/>
    <w:next w:val="NoList"/>
    <w:uiPriority w:val="99"/>
    <w:semiHidden/>
    <w:unhideWhenUsed/>
    <w:rsid w:val="006D0778"/>
  </w:style>
  <w:style w:type="table" w:customStyle="1" w:styleId="TableGrid331">
    <w:name w:val="Table Grid331"/>
    <w:basedOn w:val="TableNormal"/>
    <w:next w:val="TableGrid"/>
    <w:uiPriority w:val="39"/>
    <w:rsid w:val="006D0778"/>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71">
    <w:name w:val="Grid Table 6 Colorful - Accent 5171"/>
    <w:basedOn w:val="TableNormal"/>
    <w:uiPriority w:val="51"/>
    <w:rsid w:val="006D0778"/>
    <w:pPr>
      <w:spacing w:after="0" w:line="240" w:lineRule="auto"/>
    </w:pPr>
    <w:rPr>
      <w:rFonts w:ascii="Constantia" w:eastAsia="Constantia" w:hAnsi="Constantia" w:cs="Times New Roman"/>
      <w:color w:val="2F5496" w:themeColor="accent5" w:themeShade="BF"/>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7Colorful11">
    <w:name w:val="Grid Table 7 Colorful11"/>
    <w:basedOn w:val="TableNormal"/>
    <w:uiPriority w:val="52"/>
    <w:rsid w:val="006D0778"/>
    <w:pPr>
      <w:spacing w:after="0" w:line="240" w:lineRule="auto"/>
    </w:pPr>
    <w:rPr>
      <w:rFonts w:ascii="Constantia" w:eastAsia="Constantia" w:hAnsi="Constantia" w:cs="Times New Roman"/>
      <w:color w:val="000000" w:themeColor="text1"/>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311">
    <w:name w:val="Plain Table 311"/>
    <w:basedOn w:val="TableNormal"/>
    <w:uiPriority w:val="43"/>
    <w:rsid w:val="006D0778"/>
    <w:pPr>
      <w:spacing w:after="0" w:line="240" w:lineRule="auto"/>
    </w:pPr>
    <w:rPr>
      <w:rFonts w:ascii="Constantia" w:eastAsia="Constantia" w:hAnsi="Constantia" w:cs="Times New Roman"/>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1">
    <w:name w:val="Plain Table 511"/>
    <w:basedOn w:val="TableNormal"/>
    <w:uiPriority w:val="45"/>
    <w:rsid w:val="006D0778"/>
    <w:pPr>
      <w:spacing w:after="0" w:line="240" w:lineRule="auto"/>
    </w:pPr>
    <w:rPr>
      <w:rFonts w:ascii="Constantia" w:eastAsia="Constantia" w:hAnsi="Constantia"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311">
    <w:name w:val="Grid Table 7 Colorful - Accent 311"/>
    <w:basedOn w:val="TableNormal"/>
    <w:uiPriority w:val="52"/>
    <w:rsid w:val="006D0778"/>
    <w:pPr>
      <w:spacing w:after="0" w:line="240" w:lineRule="auto"/>
    </w:pPr>
    <w:rPr>
      <w:rFonts w:ascii="Constantia" w:eastAsia="Constantia" w:hAnsi="Constantia" w:cs="Times New Roman"/>
      <w:color w:val="7B7B7B" w:themeColor="accent3" w:themeShade="BF"/>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211">
    <w:name w:val="Grid Table 211"/>
    <w:basedOn w:val="TableNormal"/>
    <w:uiPriority w:val="47"/>
    <w:rsid w:val="006D0778"/>
    <w:pPr>
      <w:spacing w:after="0" w:line="240" w:lineRule="auto"/>
    </w:pPr>
    <w:rPr>
      <w:rFonts w:ascii="Constantia" w:eastAsia="Constantia" w:hAnsi="Constantia" w:cs="Times New Roman"/>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71">
    <w:name w:val="No List71"/>
    <w:next w:val="NoList"/>
    <w:uiPriority w:val="99"/>
    <w:semiHidden/>
    <w:unhideWhenUsed/>
    <w:rsid w:val="006D0778"/>
  </w:style>
  <w:style w:type="table" w:customStyle="1" w:styleId="LightShading-Accent3531">
    <w:name w:val="Light Shading - Accent 3531"/>
    <w:basedOn w:val="TableNormal"/>
    <w:next w:val="LightShading-Accent3"/>
    <w:uiPriority w:val="60"/>
    <w:rsid w:val="006D0778"/>
    <w:pPr>
      <w:spacing w:after="0" w:line="240" w:lineRule="auto"/>
    </w:pPr>
    <w:rPr>
      <w:rFonts w:ascii="Calibri" w:eastAsia="Calibri" w:hAnsi="Calibri" w:cs="Times New Roman"/>
      <w:color w:val="76923C"/>
      <w:lang w:val="sr-Latn-R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11">
    <w:name w:val="21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01">
    <w:name w:val="201"/>
    <w:basedOn w:val="TableNormal"/>
    <w:rsid w:val="006D0778"/>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91">
    <w:name w:val="19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81">
    <w:name w:val="18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71">
    <w:name w:val="17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61">
    <w:name w:val="16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51">
    <w:name w:val="15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41">
    <w:name w:val="14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31">
    <w:name w:val="13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210">
    <w:name w:val="12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116">
    <w:name w:val="11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01">
    <w:name w:val="10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91">
    <w:name w:val="9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81">
    <w:name w:val="8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71">
    <w:name w:val="7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61">
    <w:name w:val="6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51">
    <w:name w:val="5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41">
    <w:name w:val="4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310">
    <w:name w:val="31"/>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20">
    <w:name w:val="22"/>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100">
    <w:name w:val="110"/>
    <w:basedOn w:val="TableNormal"/>
    <w:rsid w:val="006D0778"/>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TableGrid411">
    <w:name w:val="Table Grid411"/>
    <w:basedOn w:val="TableNormal"/>
    <w:next w:val="TableGrid"/>
    <w:uiPriority w:val="39"/>
    <w:rsid w:val="006D0778"/>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39"/>
    <w:rsid w:val="006D0778"/>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51">
    <w:name w:val="Grid Table 5 Dark - Accent 551"/>
    <w:basedOn w:val="TableNormal"/>
    <w:uiPriority w:val="50"/>
    <w:rsid w:val="006D07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ghtShading-Accent33511">
    <w:name w:val="Light Shading - Accent 33511"/>
    <w:basedOn w:val="TableNormal"/>
    <w:next w:val="LightShading-Accent3"/>
    <w:uiPriority w:val="60"/>
    <w:rsid w:val="006D0778"/>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Table6Colorful-Accent621">
    <w:name w:val="List Table 6 Colorful - Accent 621"/>
    <w:basedOn w:val="TableNormal"/>
    <w:uiPriority w:val="51"/>
    <w:rsid w:val="006D0778"/>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Accent151">
    <w:name w:val="Grid Table 1 Light - Accent 151"/>
    <w:basedOn w:val="TableNormal"/>
    <w:uiPriority w:val="46"/>
    <w:rsid w:val="006D077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71">
    <w:name w:val="Table Grid71"/>
    <w:basedOn w:val="TableNormal"/>
    <w:next w:val="TableGrid"/>
    <w:uiPriority w:val="39"/>
    <w:rsid w:val="006D0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6D0778"/>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11">
    <w:name w:val="Plain Table 411"/>
    <w:basedOn w:val="TableNormal"/>
    <w:uiPriority w:val="44"/>
    <w:rsid w:val="006D077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ghtShading-Accent33521">
    <w:name w:val="Light Shading - Accent 33521"/>
    <w:basedOn w:val="TableNormal"/>
    <w:next w:val="LightShading-Accent3"/>
    <w:uiPriority w:val="60"/>
    <w:rsid w:val="006D0778"/>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6Colorful-Accent151">
    <w:name w:val="Grid Table 6 Colorful - Accent 151"/>
    <w:basedOn w:val="TableNormal"/>
    <w:next w:val="GridTable6Colorful-Accent1"/>
    <w:uiPriority w:val="51"/>
    <w:rsid w:val="006D0778"/>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6">
    <w:name w:val="Grid Table 6 Colorful - Accent 16"/>
    <w:basedOn w:val="TableNormal"/>
    <w:next w:val="GridTable6Colorful-Accent1"/>
    <w:uiPriority w:val="51"/>
    <w:rsid w:val="006D0778"/>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2214">
    <w:name w:val="Light Shading - Accent 12214"/>
    <w:basedOn w:val="TableNormal"/>
    <w:uiPriority w:val="60"/>
    <w:rsid w:val="006D0778"/>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114">
    <w:name w:val="Light Shading - Accent 12114"/>
    <w:basedOn w:val="TableNormal"/>
    <w:uiPriority w:val="60"/>
    <w:rsid w:val="006D0778"/>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styleId="PlainTable2">
    <w:name w:val="Plain Table 2"/>
    <w:basedOn w:val="TableNormal"/>
    <w:uiPriority w:val="42"/>
    <w:rsid w:val="006D077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9">
    <w:name w:val="No List9"/>
    <w:next w:val="NoList"/>
    <w:uiPriority w:val="99"/>
    <w:semiHidden/>
    <w:unhideWhenUsed/>
    <w:rsid w:val="009B5DE5"/>
  </w:style>
  <w:style w:type="paragraph" w:styleId="TOC6">
    <w:name w:val="toc 6"/>
    <w:basedOn w:val="Normal"/>
    <w:next w:val="Normal"/>
    <w:autoRedefine/>
    <w:uiPriority w:val="39"/>
    <w:unhideWhenUsed/>
    <w:rsid w:val="001B3328"/>
    <w:pPr>
      <w:spacing w:after="100" w:line="259" w:lineRule="auto"/>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1B3328"/>
    <w:pPr>
      <w:spacing w:after="100" w:line="259" w:lineRule="auto"/>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1B3328"/>
    <w:pPr>
      <w:spacing w:after="100" w:line="259" w:lineRule="auto"/>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1B3328"/>
    <w:pPr>
      <w:spacing w:after="100" w:line="259" w:lineRule="auto"/>
      <w:ind w:left="1760"/>
      <w:jc w:val="left"/>
    </w:pPr>
    <w:rPr>
      <w:rFonts w:asciiTheme="minorHAnsi" w:eastAsiaTheme="minorEastAsia"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4277">
      <w:bodyDiv w:val="1"/>
      <w:marLeft w:val="0"/>
      <w:marRight w:val="0"/>
      <w:marTop w:val="0"/>
      <w:marBottom w:val="0"/>
      <w:divBdr>
        <w:top w:val="none" w:sz="0" w:space="0" w:color="auto"/>
        <w:left w:val="none" w:sz="0" w:space="0" w:color="auto"/>
        <w:bottom w:val="none" w:sz="0" w:space="0" w:color="auto"/>
        <w:right w:val="none" w:sz="0" w:space="0" w:color="auto"/>
      </w:divBdr>
    </w:div>
    <w:div w:id="748312666">
      <w:bodyDiv w:val="1"/>
      <w:marLeft w:val="0"/>
      <w:marRight w:val="0"/>
      <w:marTop w:val="0"/>
      <w:marBottom w:val="0"/>
      <w:divBdr>
        <w:top w:val="none" w:sz="0" w:space="0" w:color="auto"/>
        <w:left w:val="none" w:sz="0" w:space="0" w:color="auto"/>
        <w:bottom w:val="none" w:sz="0" w:space="0" w:color="auto"/>
        <w:right w:val="none" w:sz="0" w:space="0" w:color="auto"/>
      </w:divBdr>
    </w:div>
    <w:div w:id="755639195">
      <w:bodyDiv w:val="1"/>
      <w:marLeft w:val="0"/>
      <w:marRight w:val="0"/>
      <w:marTop w:val="0"/>
      <w:marBottom w:val="0"/>
      <w:divBdr>
        <w:top w:val="none" w:sz="0" w:space="0" w:color="auto"/>
        <w:left w:val="none" w:sz="0" w:space="0" w:color="auto"/>
        <w:bottom w:val="none" w:sz="0" w:space="0" w:color="auto"/>
        <w:right w:val="none" w:sz="0" w:space="0" w:color="auto"/>
      </w:divBdr>
    </w:div>
    <w:div w:id="784886753">
      <w:bodyDiv w:val="1"/>
      <w:marLeft w:val="0"/>
      <w:marRight w:val="0"/>
      <w:marTop w:val="0"/>
      <w:marBottom w:val="0"/>
      <w:divBdr>
        <w:top w:val="none" w:sz="0" w:space="0" w:color="auto"/>
        <w:left w:val="none" w:sz="0" w:space="0" w:color="auto"/>
        <w:bottom w:val="none" w:sz="0" w:space="0" w:color="auto"/>
        <w:right w:val="none" w:sz="0" w:space="0" w:color="auto"/>
      </w:divBdr>
    </w:div>
    <w:div w:id="901065476">
      <w:bodyDiv w:val="1"/>
      <w:marLeft w:val="0"/>
      <w:marRight w:val="0"/>
      <w:marTop w:val="0"/>
      <w:marBottom w:val="0"/>
      <w:divBdr>
        <w:top w:val="none" w:sz="0" w:space="0" w:color="auto"/>
        <w:left w:val="none" w:sz="0" w:space="0" w:color="auto"/>
        <w:bottom w:val="none" w:sz="0" w:space="0" w:color="auto"/>
        <w:right w:val="none" w:sz="0" w:space="0" w:color="auto"/>
      </w:divBdr>
    </w:div>
    <w:div w:id="983240602">
      <w:bodyDiv w:val="1"/>
      <w:marLeft w:val="0"/>
      <w:marRight w:val="0"/>
      <w:marTop w:val="0"/>
      <w:marBottom w:val="0"/>
      <w:divBdr>
        <w:top w:val="none" w:sz="0" w:space="0" w:color="auto"/>
        <w:left w:val="none" w:sz="0" w:space="0" w:color="auto"/>
        <w:bottom w:val="none" w:sz="0" w:space="0" w:color="auto"/>
        <w:right w:val="none" w:sz="0" w:space="0" w:color="auto"/>
      </w:divBdr>
    </w:div>
    <w:div w:id="1100565709">
      <w:bodyDiv w:val="1"/>
      <w:marLeft w:val="0"/>
      <w:marRight w:val="0"/>
      <w:marTop w:val="0"/>
      <w:marBottom w:val="0"/>
      <w:divBdr>
        <w:top w:val="none" w:sz="0" w:space="0" w:color="auto"/>
        <w:left w:val="none" w:sz="0" w:space="0" w:color="auto"/>
        <w:bottom w:val="none" w:sz="0" w:space="0" w:color="auto"/>
        <w:right w:val="none" w:sz="0" w:space="0" w:color="auto"/>
      </w:divBdr>
    </w:div>
    <w:div w:id="1144783239">
      <w:bodyDiv w:val="1"/>
      <w:marLeft w:val="0"/>
      <w:marRight w:val="0"/>
      <w:marTop w:val="0"/>
      <w:marBottom w:val="0"/>
      <w:divBdr>
        <w:top w:val="none" w:sz="0" w:space="0" w:color="auto"/>
        <w:left w:val="none" w:sz="0" w:space="0" w:color="auto"/>
        <w:bottom w:val="none" w:sz="0" w:space="0" w:color="auto"/>
        <w:right w:val="none" w:sz="0" w:space="0" w:color="auto"/>
      </w:divBdr>
    </w:div>
    <w:div w:id="1223179149">
      <w:bodyDiv w:val="1"/>
      <w:marLeft w:val="0"/>
      <w:marRight w:val="0"/>
      <w:marTop w:val="0"/>
      <w:marBottom w:val="0"/>
      <w:divBdr>
        <w:top w:val="none" w:sz="0" w:space="0" w:color="auto"/>
        <w:left w:val="none" w:sz="0" w:space="0" w:color="auto"/>
        <w:bottom w:val="none" w:sz="0" w:space="0" w:color="auto"/>
        <w:right w:val="none" w:sz="0" w:space="0" w:color="auto"/>
      </w:divBdr>
    </w:div>
    <w:div w:id="1291940089">
      <w:bodyDiv w:val="1"/>
      <w:marLeft w:val="0"/>
      <w:marRight w:val="0"/>
      <w:marTop w:val="0"/>
      <w:marBottom w:val="0"/>
      <w:divBdr>
        <w:top w:val="none" w:sz="0" w:space="0" w:color="auto"/>
        <w:left w:val="none" w:sz="0" w:space="0" w:color="auto"/>
        <w:bottom w:val="none" w:sz="0" w:space="0" w:color="auto"/>
        <w:right w:val="none" w:sz="0" w:space="0" w:color="auto"/>
      </w:divBdr>
      <w:divsChild>
        <w:div w:id="627316389">
          <w:marLeft w:val="173"/>
          <w:marRight w:val="0"/>
          <w:marTop w:val="0"/>
          <w:marBottom w:val="60"/>
          <w:divBdr>
            <w:top w:val="none" w:sz="0" w:space="0" w:color="auto"/>
            <w:left w:val="none" w:sz="0" w:space="0" w:color="auto"/>
            <w:bottom w:val="none" w:sz="0" w:space="0" w:color="auto"/>
            <w:right w:val="none" w:sz="0" w:space="0" w:color="auto"/>
          </w:divBdr>
        </w:div>
      </w:divsChild>
    </w:div>
    <w:div w:id="1415592691">
      <w:bodyDiv w:val="1"/>
      <w:marLeft w:val="0"/>
      <w:marRight w:val="0"/>
      <w:marTop w:val="0"/>
      <w:marBottom w:val="0"/>
      <w:divBdr>
        <w:top w:val="none" w:sz="0" w:space="0" w:color="auto"/>
        <w:left w:val="none" w:sz="0" w:space="0" w:color="auto"/>
        <w:bottom w:val="none" w:sz="0" w:space="0" w:color="auto"/>
        <w:right w:val="none" w:sz="0" w:space="0" w:color="auto"/>
      </w:divBdr>
    </w:div>
    <w:div w:id="1561137472">
      <w:bodyDiv w:val="1"/>
      <w:marLeft w:val="0"/>
      <w:marRight w:val="0"/>
      <w:marTop w:val="0"/>
      <w:marBottom w:val="0"/>
      <w:divBdr>
        <w:top w:val="none" w:sz="0" w:space="0" w:color="auto"/>
        <w:left w:val="none" w:sz="0" w:space="0" w:color="auto"/>
        <w:bottom w:val="none" w:sz="0" w:space="0" w:color="auto"/>
        <w:right w:val="none" w:sz="0" w:space="0" w:color="auto"/>
      </w:divBdr>
    </w:div>
    <w:div w:id="164615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hyperlink" Target="file:///C:\Users\ognjen.jancic\Dropbox\Dropbox\Makro%20sektor\7.2.%20ERP%202025-2027\tabele\&#1090;&#1072;&#1073;&#1077;&#1083;&#1077;%20&#1074;&#1086;&#1088;&#1076;\2025_ERP_Annex_tables_RS_srpski%20za%20word.xlsx" TargetMode="External"/><Relationship Id="rId21" Type="http://schemas.openxmlformats.org/officeDocument/2006/relationships/chart" Target="charts/chart10.xml"/><Relationship Id="rId34" Type="http://schemas.openxmlformats.org/officeDocument/2006/relationships/image" Target="media/image3.emf"/><Relationship Id="rId42" Type="http://schemas.openxmlformats.org/officeDocument/2006/relationships/hyperlink" Target="file:///C:\Users\ognjen.jancic\Dropbox\Dropbox\Makro%20sektor\7.2.%20ERP%202025-2027\tabele\&#1090;&#1072;&#1073;&#1077;&#1083;&#1077;%20&#1074;&#1086;&#1088;&#1076;\2025_ERP_Annex_tables_RS_srpski%20za%20word.xlsx" TargetMode="External"/><Relationship Id="rId47" Type="http://schemas.openxmlformats.org/officeDocument/2006/relationships/hyperlink" Target="file:///C:\Users\ognjen.jancic\Dropbox\Dropbox\Makro%20sektor\7.2.%20ERP%202025-2027\tabele\&#1090;&#1072;&#1073;&#1077;&#1083;&#1077;%20&#1074;&#1086;&#1088;&#1076;\2025_ERP_Annex_tables_RS_srpski%20za%20word.xlsx" TargetMode="External"/><Relationship Id="rId50" Type="http://schemas.openxmlformats.org/officeDocument/2006/relationships/hyperlink" Target="file:///C:\Users\ognjen.jancic\Dropbox\Dropbox\Makro%20sektor\7.2.%20ERP%202025-2027\tabele\&#1090;&#1072;&#1073;&#1077;&#1083;&#1077;%20&#1074;&#1086;&#1088;&#1076;\2025_ERP_Annex_tables_RS_srpski%20za%20word.xlsx"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png"/><Relationship Id="rId11" Type="http://schemas.openxmlformats.org/officeDocument/2006/relationships/chart" Target="charts/chart2.xml"/><Relationship Id="rId24" Type="http://schemas.openxmlformats.org/officeDocument/2006/relationships/chart" Target="charts/chart13.xml"/><Relationship Id="rId32" Type="http://schemas.openxmlformats.org/officeDocument/2006/relationships/footer" Target="footer4.xml"/><Relationship Id="rId37" Type="http://schemas.openxmlformats.org/officeDocument/2006/relationships/image" Target="media/image6.emf"/><Relationship Id="rId40" Type="http://schemas.openxmlformats.org/officeDocument/2006/relationships/hyperlink" Target="file:///C:\Users\ognjen.jancic\Dropbox\Dropbox\Makro%20sektor\7.2.%20ERP%202025-2027\tabele\&#1090;&#1072;&#1073;&#1077;&#1083;&#1077;%20&#1074;&#1086;&#1088;&#1076;\2025_ERP_Annex_tables_RS_srpski%20za%20word.xlsx" TargetMode="External"/><Relationship Id="rId45" Type="http://schemas.openxmlformats.org/officeDocument/2006/relationships/hyperlink" Target="file:///C:\Users\ognjen.jancic\Dropbox\Dropbox\Makro%20sektor\7.2.%20ERP%202025-2027\tabele\&#1090;&#1072;&#1073;&#1077;&#1083;&#1077;%20&#1074;&#1086;&#1088;&#1076;\2025_ERP_Annex_tables_RS_srpski%20za%20word.xlsx" TargetMode="External"/><Relationship Id="rId53" Type="http://schemas.openxmlformats.org/officeDocument/2006/relationships/hyperlink" Target="https://srbija2027.gov.rs/" TargetMode="External"/><Relationship Id="rId5" Type="http://schemas.openxmlformats.org/officeDocument/2006/relationships/webSettings" Target="webSettings.xml"/><Relationship Id="rId10" Type="http://schemas.openxmlformats.org/officeDocument/2006/relationships/chart" Target="charts/chart1.xml"/><Relationship Id="rId19" Type="http://schemas.openxmlformats.org/officeDocument/2006/relationships/chart" Target="charts/chart8.xml"/><Relationship Id="rId31" Type="http://schemas.openxmlformats.org/officeDocument/2006/relationships/footer" Target="footer3.xml"/><Relationship Id="rId44" Type="http://schemas.openxmlformats.org/officeDocument/2006/relationships/hyperlink" Target="file:///C:\Users\ognjen.jancic\Dropbox\Dropbox\Makro%20sektor\7.2.%20ERP%202025-2027\tabele\&#1090;&#1072;&#1073;&#1077;&#1083;&#1077;%20&#1074;&#1086;&#1088;&#1076;\2025_ERP_Annex_tables_RS_srpski%20za%20word.xlsx" TargetMode="External"/><Relationship Id="rId52" Type="http://schemas.openxmlformats.org/officeDocument/2006/relationships/hyperlink" Target="mailto:ts@transparentnost.org.rs"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5.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8.xml"/><Relationship Id="rId35" Type="http://schemas.openxmlformats.org/officeDocument/2006/relationships/image" Target="media/image4.emf"/><Relationship Id="rId43" Type="http://schemas.openxmlformats.org/officeDocument/2006/relationships/hyperlink" Target="file:///C:\Users\ognjen.jancic\Dropbox\Dropbox\Makro%20sektor\7.2.%20ERP%202025-2027\tabele\&#1090;&#1072;&#1073;&#1077;&#1083;&#1077;%20&#1074;&#1086;&#1088;&#1076;\2025_ERP_Annex_tables_RS_srpski%20za%20word.xlsx" TargetMode="External"/><Relationship Id="rId48" Type="http://schemas.openxmlformats.org/officeDocument/2006/relationships/hyperlink" Target="file:///C:\Users\ognjen.jancic\Dropbox\Dropbox\Makro%20sektor\7.2.%20ERP%202025-2027\tabele\&#1090;&#1072;&#1073;&#1077;&#1083;&#1077;%20&#1074;&#1086;&#1088;&#1076;\2025_ERP_Annex_tables_RS_srpski%20za%20word.xlsx" TargetMode="External"/><Relationship Id="rId56" Type="http://schemas.microsoft.com/office/2016/09/relationships/commentsIds" Target="commentsIds.xml"/><Relationship Id="rId8" Type="http://schemas.openxmlformats.org/officeDocument/2006/relationships/footer" Target="footer1.xml"/><Relationship Id="rId51" Type="http://schemas.openxmlformats.org/officeDocument/2006/relationships/image" Target="media/image7.emf"/><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1.gif"/><Relationship Id="rId25" Type="http://schemas.openxmlformats.org/officeDocument/2006/relationships/chart" Target="charts/chart14.xml"/><Relationship Id="rId33" Type="http://schemas.openxmlformats.org/officeDocument/2006/relationships/image" Target="media/image2.emf"/><Relationship Id="rId38" Type="http://schemas.openxmlformats.org/officeDocument/2006/relationships/hyperlink" Target="file:///C:\Users\ognjen.jancic\Dropbox\Dropbox\Makro%20sektor\7.2.%20ERP%202025-2027\tabele\&#1090;&#1072;&#1073;&#1077;&#1083;&#1077;%20&#1074;&#1086;&#1088;&#1076;\2025_ERP_Annex_tables_RS_srpski%20za%20word.xlsx" TargetMode="External"/><Relationship Id="rId46" Type="http://schemas.openxmlformats.org/officeDocument/2006/relationships/hyperlink" Target="file:///C:\Users\ognjen.jancic\Dropbox\Dropbox\Makro%20sektor\7.2.%20ERP%202025-2027\tabele\&#1090;&#1072;&#1073;&#1077;&#1083;&#1077;%20&#1074;&#1086;&#1088;&#1076;\2025_ERP_Annex_tables_RS_srpski%20za%20word.xlsx" TargetMode="External"/><Relationship Id="rId20" Type="http://schemas.openxmlformats.org/officeDocument/2006/relationships/chart" Target="charts/chart9.xml"/><Relationship Id="rId41" Type="http://schemas.openxmlformats.org/officeDocument/2006/relationships/hyperlink" Target="file:///C:\Users\ognjen.jancic\Dropbox\Dropbox\Makro%20sektor\7.2.%20ERP%202025-2027\tabele\&#1090;&#1072;&#1073;&#1077;&#1083;&#1077;%20&#1074;&#1086;&#1088;&#1076;\2025_ERP_Annex_tables_RS_srpski%20za%20word.xlsx"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image" Target="media/image5.emf"/><Relationship Id="rId49" Type="http://schemas.openxmlformats.org/officeDocument/2006/relationships/hyperlink" Target="file:///C:\Users\ognjen.jancic\Dropbox\Dropbox\Makro%20sektor\7.2.%20ERP%202025-2027\tabele\&#1090;&#1072;&#1073;&#1077;&#1083;&#1077;%20&#1074;&#1086;&#1088;&#1076;\2025_ERP_Annex_tables_RS_srpski%20za%20word.xls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mfin.gov.rs//upload/media/jzsbpL_601ab1585ca02.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rade.ciric\Dropbox\Makro%20sektor\6.2.1%20Fiskalna%202025-2027%20revidirana\Makro%20radni%20fajlovi\GRAFIKONI_MAKRO_maj24.xlsx" TargetMode="Externa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2.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8.xml"/><Relationship Id="rId4" Type="http://schemas.openxmlformats.org/officeDocument/2006/relationships/oleObject" Target="../embeddings/oleObject4.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9.xml"/><Relationship Id="rId4" Type="http://schemas.openxmlformats.org/officeDocument/2006/relationships/oleObject" Target="../embeddings/oleObject5.bin"/></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embeddings/oleObject6.bin"/><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Oliver%20Mini&#263;\Desktop\STRATEGIJA%202025-2027\AZURIRANA\STRAT20233-2025.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ognjen.jancic\AppData\Local\Microsoft\Windows\INetCache\Content.Outlook\0308J1K6\Prilozi.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3.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5.xml"/><Relationship Id="rId1" Type="http://schemas.microsoft.com/office/2011/relationships/chartStyle" Target="style15.xml"/><Relationship Id="rId5" Type="http://schemas.openxmlformats.org/officeDocument/2006/relationships/chartUserShapes" Target="../drawings/drawing11.xml"/><Relationship Id="rId4" Type="http://schemas.openxmlformats.org/officeDocument/2006/relationships/package" Target="../embeddings/Microsoft_Excel_Worksheet4.xlsx"/></Relationships>
</file>

<file path=word/charts/_rels/chart18.xml.rels><?xml version="1.0" encoding="UTF-8" standalone="yes"?>
<Relationships xmlns="http://schemas.openxmlformats.org/package/2006/relationships"><Relationship Id="rId3" Type="http://schemas.openxmlformats.org/officeDocument/2006/relationships/oleObject" Target="file:///C:\Users\rade.ciric\AppData\Local\Microsoft\Windows\INetCache\Content.Outlook\UCLYEONV\Copy%20of%201.2.2%20Calculation.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C:\Users\rade.ciric\Dropbox\Makro%20sektor\6.2.1%20Fiskalna%202025-2027%20revidirana\Makro%20radni%20fajlovi\GRAFIKONI_MAKRO_maj24.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C:\Users\rade.ciric\Dropbox\Makro%20sektor\6.2.1%20Fiskalna%202025-2027%20revidirana\Makro%20radni%20fajlovi\GRAFIKONI_MAKRO_okt24.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rade.ciric\Dropbox\Makro%20sektor\1.%20Baze%20makro\BDP\Projekcija\6.%20BDP%20(dynamic%20fan%20chart).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4.xml"/><Relationship Id="rId4"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5.xml"/><Relationship Id="rId4" Type="http://schemas.openxmlformats.org/officeDocument/2006/relationships/oleObject" Target="../embeddings/oleObject2.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6.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253935185185188E-2"/>
          <c:y val="7.0236607987885669E-2"/>
          <c:w val="0.90740810185185183"/>
          <c:h val="0.66834989589248528"/>
        </c:manualLayout>
      </c:layout>
      <c:barChart>
        <c:barDir val="col"/>
        <c:grouping val="stacked"/>
        <c:varyColors val="0"/>
        <c:ser>
          <c:idx val="0"/>
          <c:order val="0"/>
          <c:tx>
            <c:strRef>
              <c:f>BDP_doprinosi!$R$34</c:f>
              <c:strCache>
                <c:ptCount val="1"/>
                <c:pt idx="0">
                  <c:v>Пољопривреда</c:v>
                </c:pt>
              </c:strCache>
            </c:strRef>
          </c:tx>
          <c:spPr>
            <a:solidFill>
              <a:srgbClr val="10103C"/>
            </a:solidFill>
            <a:ln>
              <a:noFill/>
            </a:ln>
            <a:effectLst/>
          </c:spPr>
          <c:invertIfNegative val="0"/>
          <c:cat>
            <c:numRef>
              <c:f>BDP_doprinosi!$AF$33:$AL$33</c:f>
              <c:numCache>
                <c:formatCode>General</c:formatCode>
                <c:ptCount val="7"/>
                <c:pt idx="0">
                  <c:v>2021</c:v>
                </c:pt>
                <c:pt idx="1">
                  <c:v>2022</c:v>
                </c:pt>
                <c:pt idx="2">
                  <c:v>2023</c:v>
                </c:pt>
                <c:pt idx="3">
                  <c:v>2024</c:v>
                </c:pt>
                <c:pt idx="4">
                  <c:v>2025</c:v>
                </c:pt>
                <c:pt idx="5">
                  <c:v>2026</c:v>
                </c:pt>
                <c:pt idx="6">
                  <c:v>2027</c:v>
                </c:pt>
              </c:numCache>
            </c:numRef>
          </c:cat>
          <c:val>
            <c:numRef>
              <c:f>BDP_doprinosi!$AF$34:$AL$34</c:f>
              <c:numCache>
                <c:formatCode>0.0</c:formatCode>
                <c:ptCount val="7"/>
                <c:pt idx="0">
                  <c:v>-0.12332786204156268</c:v>
                </c:pt>
                <c:pt idx="1">
                  <c:v>-0.3905003996335783</c:v>
                </c:pt>
                <c:pt idx="2">
                  <c:v>0.39724555358175428</c:v>
                </c:pt>
                <c:pt idx="3">
                  <c:v>-0.31260656234371642</c:v>
                </c:pt>
                <c:pt idx="4">
                  <c:v>0.22976030023849123</c:v>
                </c:pt>
                <c:pt idx="5">
                  <c:v>0</c:v>
                </c:pt>
                <c:pt idx="6">
                  <c:v>-2.2092336561393387E-3</c:v>
                </c:pt>
              </c:numCache>
            </c:numRef>
          </c:val>
          <c:extLst>
            <c:ext xmlns:c16="http://schemas.microsoft.com/office/drawing/2014/chart" uri="{C3380CC4-5D6E-409C-BE32-E72D297353CC}">
              <c16:uniqueId val="{00000000-A96C-4FB4-AA9F-6220F26D4EEC}"/>
            </c:ext>
          </c:extLst>
        </c:ser>
        <c:ser>
          <c:idx val="1"/>
          <c:order val="1"/>
          <c:tx>
            <c:strRef>
              <c:f>BDP_doprinosi!$R$35</c:f>
              <c:strCache>
                <c:ptCount val="1"/>
                <c:pt idx="0">
                  <c:v>Индустрија</c:v>
                </c:pt>
              </c:strCache>
            </c:strRef>
          </c:tx>
          <c:spPr>
            <a:solidFill>
              <a:srgbClr val="29489A"/>
            </a:solidFill>
            <a:ln>
              <a:noFill/>
            </a:ln>
            <a:effectLst/>
          </c:spPr>
          <c:invertIfNegative val="0"/>
          <c:cat>
            <c:numRef>
              <c:f>BDP_doprinosi!$AF$33:$AL$33</c:f>
              <c:numCache>
                <c:formatCode>General</c:formatCode>
                <c:ptCount val="7"/>
                <c:pt idx="0">
                  <c:v>2021</c:v>
                </c:pt>
                <c:pt idx="1">
                  <c:v>2022</c:v>
                </c:pt>
                <c:pt idx="2">
                  <c:v>2023</c:v>
                </c:pt>
                <c:pt idx="3">
                  <c:v>2024</c:v>
                </c:pt>
                <c:pt idx="4">
                  <c:v>2025</c:v>
                </c:pt>
                <c:pt idx="5">
                  <c:v>2026</c:v>
                </c:pt>
                <c:pt idx="6">
                  <c:v>2027</c:v>
                </c:pt>
              </c:numCache>
            </c:numRef>
          </c:cat>
          <c:val>
            <c:numRef>
              <c:f>BDP_doprinosi!$AF$35:$AL$35</c:f>
              <c:numCache>
                <c:formatCode>0.0</c:formatCode>
                <c:ptCount val="7"/>
                <c:pt idx="0">
                  <c:v>1.2218163879079065</c:v>
                </c:pt>
                <c:pt idx="1">
                  <c:v>0.81446630973366285</c:v>
                </c:pt>
                <c:pt idx="2">
                  <c:v>0.42758436892858137</c:v>
                </c:pt>
                <c:pt idx="3">
                  <c:v>0.53245571624655363</c:v>
                </c:pt>
                <c:pt idx="4">
                  <c:v>0.80370674150423194</c:v>
                </c:pt>
                <c:pt idx="5">
                  <c:v>0.86398474711704931</c:v>
                </c:pt>
                <c:pt idx="6">
                  <c:v>0.97248515722012063</c:v>
                </c:pt>
              </c:numCache>
            </c:numRef>
          </c:val>
          <c:extLst>
            <c:ext xmlns:c16="http://schemas.microsoft.com/office/drawing/2014/chart" uri="{C3380CC4-5D6E-409C-BE32-E72D297353CC}">
              <c16:uniqueId val="{00000001-A96C-4FB4-AA9F-6220F26D4EEC}"/>
            </c:ext>
          </c:extLst>
        </c:ser>
        <c:ser>
          <c:idx val="2"/>
          <c:order val="2"/>
          <c:tx>
            <c:strRef>
              <c:f>BDP_doprinosi!$R$36</c:f>
              <c:strCache>
                <c:ptCount val="1"/>
                <c:pt idx="0">
                  <c:v>Грађевинарство</c:v>
                </c:pt>
              </c:strCache>
            </c:strRef>
          </c:tx>
          <c:spPr>
            <a:solidFill>
              <a:srgbClr val="2183C4"/>
            </a:solidFill>
            <a:ln>
              <a:noFill/>
            </a:ln>
            <a:effectLst/>
          </c:spPr>
          <c:invertIfNegative val="0"/>
          <c:cat>
            <c:numRef>
              <c:f>BDP_doprinosi!$AF$33:$AL$33</c:f>
              <c:numCache>
                <c:formatCode>General</c:formatCode>
                <c:ptCount val="7"/>
                <c:pt idx="0">
                  <c:v>2021</c:v>
                </c:pt>
                <c:pt idx="1">
                  <c:v>2022</c:v>
                </c:pt>
                <c:pt idx="2">
                  <c:v>2023</c:v>
                </c:pt>
                <c:pt idx="3">
                  <c:v>2024</c:v>
                </c:pt>
                <c:pt idx="4">
                  <c:v>2025</c:v>
                </c:pt>
                <c:pt idx="5">
                  <c:v>2026</c:v>
                </c:pt>
                <c:pt idx="6">
                  <c:v>2027</c:v>
                </c:pt>
              </c:numCache>
            </c:numRef>
          </c:cat>
          <c:val>
            <c:numRef>
              <c:f>BDP_doprinosi!$AF$36:$AL$36</c:f>
              <c:numCache>
                <c:formatCode>0.0</c:formatCode>
                <c:ptCount val="7"/>
                <c:pt idx="0">
                  <c:v>0.8785132427906609</c:v>
                </c:pt>
                <c:pt idx="1">
                  <c:v>-0.51995400260096358</c:v>
                </c:pt>
                <c:pt idx="2">
                  <c:v>0.50184602353374486</c:v>
                </c:pt>
                <c:pt idx="3">
                  <c:v>0.46486332912185474</c:v>
                </c:pt>
                <c:pt idx="4">
                  <c:v>0.42722669197194529</c:v>
                </c:pt>
                <c:pt idx="5">
                  <c:v>0.37128033945180955</c:v>
                </c:pt>
                <c:pt idx="6">
                  <c:v>0.36619430740452452</c:v>
                </c:pt>
              </c:numCache>
            </c:numRef>
          </c:val>
          <c:extLst>
            <c:ext xmlns:c16="http://schemas.microsoft.com/office/drawing/2014/chart" uri="{C3380CC4-5D6E-409C-BE32-E72D297353CC}">
              <c16:uniqueId val="{00000002-A96C-4FB4-AA9F-6220F26D4EEC}"/>
            </c:ext>
          </c:extLst>
        </c:ser>
        <c:ser>
          <c:idx val="3"/>
          <c:order val="3"/>
          <c:tx>
            <c:strRef>
              <c:f>BDP_doprinosi!$R$37</c:f>
              <c:strCache>
                <c:ptCount val="1"/>
                <c:pt idx="0">
                  <c:v>Услуге</c:v>
                </c:pt>
              </c:strCache>
            </c:strRef>
          </c:tx>
          <c:spPr>
            <a:solidFill>
              <a:srgbClr val="51BBE7"/>
            </a:solidFill>
            <a:ln>
              <a:noFill/>
            </a:ln>
            <a:effectLst/>
          </c:spPr>
          <c:invertIfNegative val="0"/>
          <c:cat>
            <c:numRef>
              <c:f>BDP_doprinosi!$AF$33:$AL$33</c:f>
              <c:numCache>
                <c:formatCode>General</c:formatCode>
                <c:ptCount val="7"/>
                <c:pt idx="0">
                  <c:v>2021</c:v>
                </c:pt>
                <c:pt idx="1">
                  <c:v>2022</c:v>
                </c:pt>
                <c:pt idx="2">
                  <c:v>2023</c:v>
                </c:pt>
                <c:pt idx="3">
                  <c:v>2024</c:v>
                </c:pt>
                <c:pt idx="4">
                  <c:v>2025</c:v>
                </c:pt>
                <c:pt idx="5">
                  <c:v>2026</c:v>
                </c:pt>
                <c:pt idx="6">
                  <c:v>2027</c:v>
                </c:pt>
              </c:numCache>
            </c:numRef>
          </c:cat>
          <c:val>
            <c:numRef>
              <c:f>BDP_doprinosi!$AF$37:$AL$37</c:f>
              <c:numCache>
                <c:formatCode>0.0</c:formatCode>
                <c:ptCount val="7"/>
                <c:pt idx="0">
                  <c:v>4.6475232521804202</c:v>
                </c:pt>
                <c:pt idx="1">
                  <c:v>2.2070509475026205</c:v>
                </c:pt>
                <c:pt idx="2">
                  <c:v>2.7753935944784551</c:v>
                </c:pt>
                <c:pt idx="3">
                  <c:v>2.384230656617937</c:v>
                </c:pt>
                <c:pt idx="4">
                  <c:v>2.2084348478350475</c:v>
                </c:pt>
                <c:pt idx="5">
                  <c:v>2.274358276128631</c:v>
                </c:pt>
                <c:pt idx="6">
                  <c:v>2.9885287493091193</c:v>
                </c:pt>
              </c:numCache>
            </c:numRef>
          </c:val>
          <c:extLst>
            <c:ext xmlns:c16="http://schemas.microsoft.com/office/drawing/2014/chart" uri="{C3380CC4-5D6E-409C-BE32-E72D297353CC}">
              <c16:uniqueId val="{00000003-A96C-4FB4-AA9F-6220F26D4EEC}"/>
            </c:ext>
          </c:extLst>
        </c:ser>
        <c:ser>
          <c:idx val="4"/>
          <c:order val="4"/>
          <c:tx>
            <c:strRef>
              <c:f>BDP_doprinosi!$R$38</c:f>
              <c:strCache>
                <c:ptCount val="1"/>
                <c:pt idx="0">
                  <c:v>Нето порези</c:v>
                </c:pt>
              </c:strCache>
            </c:strRef>
          </c:tx>
          <c:spPr>
            <a:solidFill>
              <a:srgbClr val="9ED1E6"/>
            </a:solidFill>
            <a:ln>
              <a:noFill/>
            </a:ln>
            <a:effectLst/>
          </c:spPr>
          <c:invertIfNegative val="0"/>
          <c:cat>
            <c:numRef>
              <c:f>BDP_doprinosi!$AF$33:$AL$33</c:f>
              <c:numCache>
                <c:formatCode>General</c:formatCode>
                <c:ptCount val="7"/>
                <c:pt idx="0">
                  <c:v>2021</c:v>
                </c:pt>
                <c:pt idx="1">
                  <c:v>2022</c:v>
                </c:pt>
                <c:pt idx="2">
                  <c:v>2023</c:v>
                </c:pt>
                <c:pt idx="3">
                  <c:v>2024</c:v>
                </c:pt>
                <c:pt idx="4">
                  <c:v>2025</c:v>
                </c:pt>
                <c:pt idx="5">
                  <c:v>2026</c:v>
                </c:pt>
                <c:pt idx="6">
                  <c:v>2027</c:v>
                </c:pt>
              </c:numCache>
            </c:numRef>
          </c:cat>
          <c:val>
            <c:numRef>
              <c:f>BDP_doprinosi!$AF$38:$AL$38</c:f>
              <c:numCache>
                <c:formatCode>0.0</c:formatCode>
                <c:ptCount val="7"/>
                <c:pt idx="0">
                  <c:v>1.3245271512478285</c:v>
                </c:pt>
                <c:pt idx="1">
                  <c:v>0.51992206841094535</c:v>
                </c:pt>
                <c:pt idx="2">
                  <c:v>-0.25460123616495017</c:v>
                </c:pt>
                <c:pt idx="3">
                  <c:v>0.7</c:v>
                </c:pt>
                <c:pt idx="4">
                  <c:v>0.55437406649441945</c:v>
                </c:pt>
                <c:pt idx="5">
                  <c:v>0.52565002159833563</c:v>
                </c:pt>
                <c:pt idx="6">
                  <c:v>0.63623759444825856</c:v>
                </c:pt>
              </c:numCache>
            </c:numRef>
          </c:val>
          <c:extLst>
            <c:ext xmlns:c16="http://schemas.microsoft.com/office/drawing/2014/chart" uri="{C3380CC4-5D6E-409C-BE32-E72D297353CC}">
              <c16:uniqueId val="{00000004-A96C-4FB4-AA9F-6220F26D4EEC}"/>
            </c:ext>
          </c:extLst>
        </c:ser>
        <c:dLbls>
          <c:showLegendKey val="0"/>
          <c:showVal val="0"/>
          <c:showCatName val="0"/>
          <c:showSerName val="0"/>
          <c:showPercent val="0"/>
          <c:showBubbleSize val="0"/>
        </c:dLbls>
        <c:gapWidth val="60"/>
        <c:overlap val="100"/>
        <c:axId val="1768857792"/>
        <c:axId val="1768858336"/>
      </c:barChart>
      <c:lineChart>
        <c:grouping val="standard"/>
        <c:varyColors val="0"/>
        <c:ser>
          <c:idx val="5"/>
          <c:order val="5"/>
          <c:tx>
            <c:strRef>
              <c:f>BDP_doprinosi!$R$39</c:f>
              <c:strCache>
                <c:ptCount val="1"/>
                <c:pt idx="0">
                  <c:v>Реални раст БДП</c:v>
                </c:pt>
              </c:strCache>
            </c:strRef>
          </c:tx>
          <c:spPr>
            <a:ln w="25400" cap="rnd">
              <a:solidFill>
                <a:srgbClr val="FF0000"/>
              </a:solidFill>
              <a:round/>
            </a:ln>
            <a:effectLst/>
          </c:spPr>
          <c:marker>
            <c:symbol val="none"/>
          </c:marker>
          <c:dLbls>
            <c:spPr>
              <a:noFill/>
              <a:ln>
                <a:noFill/>
              </a:ln>
              <a:effectLst/>
            </c:spPr>
            <c:txPr>
              <a:bodyPr rot="0" spcFirstLastPara="1" vertOverflow="ellipsis" vert="horz" wrap="square" anchor="ctr" anchorCtr="1"/>
              <a:lstStyle/>
              <a:p>
                <a:pPr>
                  <a:defRPr sz="750" b="1" i="0" u="none" strike="noStrike" kern="1200" baseline="0">
                    <a:solidFill>
                      <a:srgbClr val="FF0000"/>
                    </a:solidFill>
                    <a:latin typeface="Times New Roman" panose="02020603050405020304" pitchFamily="18"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BDP_doprinosi!$AF$33:$AL$33</c:f>
              <c:numCache>
                <c:formatCode>General</c:formatCode>
                <c:ptCount val="7"/>
                <c:pt idx="0">
                  <c:v>2021</c:v>
                </c:pt>
                <c:pt idx="1">
                  <c:v>2022</c:v>
                </c:pt>
                <c:pt idx="2">
                  <c:v>2023</c:v>
                </c:pt>
                <c:pt idx="3">
                  <c:v>2024</c:v>
                </c:pt>
                <c:pt idx="4">
                  <c:v>2025</c:v>
                </c:pt>
                <c:pt idx="5">
                  <c:v>2026</c:v>
                </c:pt>
                <c:pt idx="6">
                  <c:v>2027</c:v>
                </c:pt>
              </c:numCache>
            </c:numRef>
          </c:cat>
          <c:val>
            <c:numRef>
              <c:f>BDP_doprinosi!$AF$39:$AL$39</c:f>
              <c:numCache>
                <c:formatCode>0.0</c:formatCode>
                <c:ptCount val="7"/>
                <c:pt idx="0">
                  <c:v>7.9490556418090472</c:v>
                </c:pt>
                <c:pt idx="1">
                  <c:v>2.6309864440884008</c:v>
                </c:pt>
                <c:pt idx="2">
                  <c:v>3.8474723264728401</c:v>
                </c:pt>
                <c:pt idx="3">
                  <c:v>3.7689431396426292</c:v>
                </c:pt>
                <c:pt idx="4">
                  <c:v>4.2235026480441356</c:v>
                </c:pt>
                <c:pt idx="5">
                  <c:v>4.0352733842958255</c:v>
                </c:pt>
                <c:pt idx="6">
                  <c:v>4.9612365747258842</c:v>
                </c:pt>
              </c:numCache>
            </c:numRef>
          </c:val>
          <c:smooth val="0"/>
          <c:extLst>
            <c:ext xmlns:c16="http://schemas.microsoft.com/office/drawing/2014/chart" uri="{C3380CC4-5D6E-409C-BE32-E72D297353CC}">
              <c16:uniqueId val="{00000005-A96C-4FB4-AA9F-6220F26D4EEC}"/>
            </c:ext>
          </c:extLst>
        </c:ser>
        <c:dLbls>
          <c:showLegendKey val="0"/>
          <c:showVal val="0"/>
          <c:showCatName val="0"/>
          <c:showSerName val="0"/>
          <c:showPercent val="0"/>
          <c:showBubbleSize val="0"/>
        </c:dLbls>
        <c:marker val="1"/>
        <c:smooth val="0"/>
        <c:axId val="1768857792"/>
        <c:axId val="1768858336"/>
      </c:lineChart>
      <c:catAx>
        <c:axId val="1768857792"/>
        <c:scaling>
          <c:orientation val="minMax"/>
        </c:scaling>
        <c:delete val="0"/>
        <c:axPos val="b"/>
        <c:numFmt formatCode="General" sourceLinked="1"/>
        <c:majorTickMark val="none"/>
        <c:minorTickMark val="none"/>
        <c:tickLblPos val="low"/>
        <c:spPr>
          <a:noFill/>
          <a:ln w="6350" cap="flat" cmpd="sng" algn="ctr">
            <a:solidFill>
              <a:srgbClr val="898989"/>
            </a:solidFill>
            <a:round/>
          </a:ln>
          <a:effectLst/>
        </c:spPr>
        <c:txPr>
          <a:bodyPr rot="-60000000" spcFirstLastPara="1" vertOverflow="ellipsis" vert="horz" wrap="square" anchor="ctr" anchorCtr="1"/>
          <a:lstStyle/>
          <a:p>
            <a:pPr>
              <a:defRPr sz="750" b="0" i="0" u="none" strike="noStrike" kern="1200" baseline="0">
                <a:solidFill>
                  <a:schemeClr val="tx2"/>
                </a:solidFill>
                <a:latin typeface="Times New Roman" panose="02020603050405020304" pitchFamily="18" charset="0"/>
                <a:ea typeface="+mn-ea"/>
                <a:cs typeface="Arial" panose="020B0604020202020204" pitchFamily="34" charset="0"/>
              </a:defRPr>
            </a:pPr>
            <a:endParaRPr lang="en-US"/>
          </a:p>
        </c:txPr>
        <c:crossAx val="1768858336"/>
        <c:crosses val="autoZero"/>
        <c:auto val="1"/>
        <c:lblAlgn val="ctr"/>
        <c:lblOffset val="100"/>
        <c:noMultiLvlLbl val="0"/>
      </c:catAx>
      <c:valAx>
        <c:axId val="1768858336"/>
        <c:scaling>
          <c:orientation val="minMax"/>
          <c:max val="9"/>
          <c:min val="-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2"/>
                </a:solidFill>
                <a:latin typeface="Times New Roman" panose="02020603050405020304" pitchFamily="18" charset="0"/>
                <a:ea typeface="+mn-ea"/>
                <a:cs typeface="Arial" panose="020B0604020202020204" pitchFamily="34" charset="0"/>
              </a:defRPr>
            </a:pPr>
            <a:endParaRPr lang="en-US"/>
          </a:p>
        </c:txPr>
        <c:crossAx val="1768857792"/>
        <c:crosses val="autoZero"/>
        <c:crossBetween val="between"/>
        <c:majorUnit val="2"/>
      </c:valAx>
      <c:spPr>
        <a:noFill/>
        <a:ln>
          <a:noFill/>
        </a:ln>
        <a:effectLst/>
      </c:spPr>
    </c:plotArea>
    <c:legend>
      <c:legendPos val="b"/>
      <c:layout>
        <c:manualLayout>
          <c:xMode val="edge"/>
          <c:yMode val="edge"/>
          <c:x val="2.9349664625255175E-2"/>
          <c:y val="0.84945769449176611"/>
          <c:w val="0.93586103820355804"/>
          <c:h val="0.1475728752602688"/>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2"/>
              </a:solidFill>
              <a:latin typeface="Times New Roman" panose="02020603050405020304" pitchFamily="18" charset="0"/>
              <a:ea typeface="+mn-ea"/>
              <a:cs typeface="Arial" panose="020B0604020202020204" pitchFamily="34"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750">
          <a:solidFill>
            <a:schemeClr val="tx2"/>
          </a:solidFill>
          <a:latin typeface="+mn-lt"/>
          <a:cs typeface="Arial" panose="020B0604020202020204" pitchFamily="34" charset="0"/>
        </a:defRPr>
      </a:pPr>
      <a:endParaRPr lang="en-US"/>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033714179804967E-2"/>
          <c:y val="3.1105144115050137E-2"/>
          <c:w val="0.86085801063022016"/>
          <c:h val="0.71522333901810664"/>
        </c:manualLayout>
      </c:layout>
      <c:barChart>
        <c:barDir val="col"/>
        <c:grouping val="clustered"/>
        <c:varyColors val="0"/>
        <c:ser>
          <c:idx val="0"/>
          <c:order val="0"/>
          <c:tx>
            <c:strRef>
              <c:f>'мемо 2011-2016'!$D$50</c:f>
              <c:strCache>
                <c:ptCount val="1"/>
                <c:pt idx="0">
                  <c:v>дуг</c:v>
                </c:pt>
              </c:strCache>
            </c:strRef>
          </c:tx>
          <c:spPr>
            <a:solidFill>
              <a:schemeClr val="tx2"/>
            </a:solidFill>
          </c:spPr>
          <c:invertIfNegative val="0"/>
          <c:dLbls>
            <c:numFmt formatCode="#,##0.0" sourceLinked="0"/>
            <c:spPr>
              <a:noFill/>
              <a:ln>
                <a:noFill/>
              </a:ln>
              <a:effectLst/>
            </c:spPr>
            <c:txPr>
              <a:bodyPr/>
              <a:lstStyle/>
              <a:p>
                <a:pPr>
                  <a:defRPr>
                    <a:solidFill>
                      <a:schemeClr val="bg1"/>
                    </a:solidFill>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'мемо 2011-2016'!$J$48:$V$48</c:f>
              <c:numCache>
                <c:formatCode>General</c:formatCode>
                <c:ptCount val="13"/>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numCache>
            </c:numRef>
          </c:cat>
          <c:val>
            <c:numRef>
              <c:f>'мемо 2011-2016'!$J$50:$V$50</c:f>
              <c:numCache>
                <c:formatCode>#,##0.0</c:formatCode>
                <c:ptCount val="13"/>
                <c:pt idx="0">
                  <c:v>68.3698246708542</c:v>
                </c:pt>
                <c:pt idx="1">
                  <c:v>66.204612229090003</c:v>
                </c:pt>
                <c:pt idx="2">
                  <c:v>56.328463654534431</c:v>
                </c:pt>
                <c:pt idx="3" formatCode="0.0">
                  <c:v>52.142562046645665</c:v>
                </c:pt>
                <c:pt idx="4" formatCode="0.0">
                  <c:v>50.517490084354399</c:v>
                </c:pt>
                <c:pt idx="5" formatCode="0.0">
                  <c:v>55.189879391575488</c:v>
                </c:pt>
                <c:pt idx="6" formatCode="0.0">
                  <c:v>54.46703770748725</c:v>
                </c:pt>
                <c:pt idx="7" formatCode="0.0">
                  <c:v>52.901616882676905</c:v>
                </c:pt>
                <c:pt idx="8" formatCode="0.0">
                  <c:v>48.386002589196323</c:v>
                </c:pt>
                <c:pt idx="9" formatCode="General">
                  <c:v>47.9</c:v>
                </c:pt>
                <c:pt idx="10" formatCode="General">
                  <c:v>47.5</c:v>
                </c:pt>
                <c:pt idx="11" formatCode="General">
                  <c:v>47</c:v>
                </c:pt>
                <c:pt idx="12" formatCode="General">
                  <c:v>46.5</c:v>
                </c:pt>
              </c:numCache>
            </c:numRef>
          </c:val>
          <c:extLst>
            <c:ext xmlns:c16="http://schemas.microsoft.com/office/drawing/2014/chart" uri="{C3380CC4-5D6E-409C-BE32-E72D297353CC}">
              <c16:uniqueId val="{00000000-DE73-4AAC-B591-72B3330A9231}"/>
            </c:ext>
          </c:extLst>
        </c:ser>
        <c:dLbls>
          <c:showLegendKey val="0"/>
          <c:showVal val="0"/>
          <c:showCatName val="0"/>
          <c:showSerName val="0"/>
          <c:showPercent val="0"/>
          <c:showBubbleSize val="0"/>
        </c:dLbls>
        <c:gapWidth val="34"/>
        <c:overlap val="50"/>
        <c:axId val="430644800"/>
        <c:axId val="430645584"/>
      </c:barChart>
      <c:lineChart>
        <c:grouping val="standard"/>
        <c:varyColors val="0"/>
        <c:ser>
          <c:idx val="2"/>
          <c:order val="1"/>
          <c:tx>
            <c:strRef>
              <c:f>'мемо 2011-2016'!$D$49</c:f>
              <c:strCache>
                <c:ptCount val="1"/>
                <c:pt idx="0">
                  <c:v>резултат (десна скала)</c:v>
                </c:pt>
              </c:strCache>
            </c:strRef>
          </c:tx>
          <c:spPr>
            <a:ln>
              <a:solidFill>
                <a:srgbClr val="FF0000"/>
              </a:solidFill>
            </a:ln>
          </c:spPr>
          <c:marker>
            <c:symbol val="none"/>
          </c:marker>
          <c:dLbls>
            <c:dLbl>
              <c:idx val="0"/>
              <c:layout>
                <c:manualLayout>
                  <c:x val="-4.4133346613009029E-2"/>
                  <c:y val="-0.182872062867141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73-4AAC-B591-72B3330A9231}"/>
                </c:ext>
              </c:extLst>
            </c:dLbl>
            <c:dLbl>
              <c:idx val="1"/>
              <c:layout>
                <c:manualLayout>
                  <c:x val="-1.2918623503493709E-4"/>
                  <c:y val="9.541776027996045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73-4AAC-B591-72B3330A9231}"/>
                </c:ext>
              </c:extLst>
            </c:dLbl>
            <c:dLbl>
              <c:idx val="2"/>
              <c:layout>
                <c:manualLayout>
                  <c:x val="-2.7120391267855901E-2"/>
                  <c:y val="-4.10593207099112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73-4AAC-B591-72B3330A9231}"/>
                </c:ext>
              </c:extLst>
            </c:dLbl>
            <c:dLbl>
              <c:idx val="3"/>
              <c:layout>
                <c:manualLayout>
                  <c:x val="-2.9741101802715976E-2"/>
                  <c:y val="-3.4801118610173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73-4AAC-B591-72B3330A9231}"/>
                </c:ext>
              </c:extLst>
            </c:dLbl>
            <c:dLbl>
              <c:idx val="4"/>
              <c:layout>
                <c:manualLayout>
                  <c:x val="1.2897678417884782E-2"/>
                  <c:y val="3.9840637450199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73-4AAC-B591-72B3330A9231}"/>
                </c:ext>
              </c:extLst>
            </c:dLbl>
            <c:dLbl>
              <c:idx val="5"/>
              <c:layout>
                <c:manualLayout>
                  <c:x val="-2.2819738030908168E-2"/>
                  <c:y val="-0.246127437195350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73-4AAC-B591-72B3330A9231}"/>
                </c:ext>
              </c:extLst>
            </c:dLbl>
            <c:dLbl>
              <c:idx val="6"/>
              <c:layout>
                <c:manualLayout>
                  <c:x val="-4.8128609256022019E-2"/>
                  <c:y val="-0.100440960504936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E73-4AAC-B591-72B3330A9231}"/>
                </c:ext>
              </c:extLst>
            </c:dLbl>
            <c:dLbl>
              <c:idx val="7"/>
              <c:layout>
                <c:manualLayout>
                  <c:x val="-3.5962383293181688E-2"/>
                  <c:y val="4.472175353080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E73-4AAC-B591-72B3330A9231}"/>
                </c:ext>
              </c:extLst>
            </c:dLbl>
            <c:dLbl>
              <c:idx val="8"/>
              <c:layout>
                <c:manualLayout>
                  <c:x val="-4.6972009384891232E-2"/>
                  <c:y val="-5.4563492063492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E73-4AAC-B591-72B3330A9231}"/>
                </c:ext>
              </c:extLst>
            </c:dLbl>
            <c:dLbl>
              <c:idx val="9"/>
              <c:layout>
                <c:manualLayout>
                  <c:x val="-5.5883746126064102E-2"/>
                  <c:y val="-6.44841269841270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E73-4AAC-B591-72B3330A9231}"/>
                </c:ext>
              </c:extLst>
            </c:dLbl>
            <c:dLbl>
              <c:idx val="10"/>
              <c:layout>
                <c:manualLayout>
                  <c:x val="-5.4676837747560297E-2"/>
                  <c:y val="-4.4642857142857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E73-4AAC-B591-72B3330A9231}"/>
                </c:ext>
              </c:extLst>
            </c:dLbl>
            <c:dLbl>
              <c:idx val="11"/>
              <c:layout>
                <c:manualLayout>
                  <c:x val="-5.0327152912383467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E73-4AAC-B591-72B3330A9231}"/>
                </c:ext>
              </c:extLst>
            </c:dLbl>
            <c:dLbl>
              <c:idx val="12"/>
              <c:layout>
                <c:manualLayout>
                  <c:x val="-3.3551435274922312E-2"/>
                  <c:y val="-3.4722222222222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E73-4AAC-B591-72B3330A9231}"/>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'мемо 2011-2016'!$J$49:$V$49</c:f>
              <c:numCache>
                <c:formatCode>#,##0.0</c:formatCode>
                <c:ptCount val="13"/>
                <c:pt idx="0">
                  <c:v>-3.3187939284991876</c:v>
                </c:pt>
                <c:pt idx="1">
                  <c:v>-1.1493979760759792</c:v>
                </c:pt>
                <c:pt idx="2">
                  <c:v>1.055768609693301</c:v>
                </c:pt>
                <c:pt idx="3" formatCode="0.0">
                  <c:v>0.60940162463873881</c:v>
                </c:pt>
                <c:pt idx="4">
                  <c:v>-0.19603223337184297</c:v>
                </c:pt>
                <c:pt idx="5">
                  <c:v>-7.6817157912618654</c:v>
                </c:pt>
                <c:pt idx="6">
                  <c:v>-3.944488655583605</c:v>
                </c:pt>
                <c:pt idx="7">
                  <c:v>-3.0145096000432612</c:v>
                </c:pt>
                <c:pt idx="8" formatCode="0.0">
                  <c:v>-2.0537459179069328</c:v>
                </c:pt>
                <c:pt idx="9" formatCode="General">
                  <c:v>-2.7</c:v>
                </c:pt>
                <c:pt idx="10" formatCode="General">
                  <c:v>-3</c:v>
                </c:pt>
                <c:pt idx="11" formatCode="General">
                  <c:v>-3</c:v>
                </c:pt>
                <c:pt idx="12" formatCode="General">
                  <c:v>-3</c:v>
                </c:pt>
              </c:numCache>
            </c:numRef>
          </c:val>
          <c:smooth val="1"/>
          <c:extLst>
            <c:ext xmlns:c16="http://schemas.microsoft.com/office/drawing/2014/chart" uri="{C3380CC4-5D6E-409C-BE32-E72D297353CC}">
              <c16:uniqueId val="{0000000E-DE73-4AAC-B591-72B3330A9231}"/>
            </c:ext>
          </c:extLst>
        </c:ser>
        <c:ser>
          <c:idx val="1"/>
          <c:order val="2"/>
          <c:tx>
            <c:strRef>
              <c:f>'мемо 2011-2016'!$D$51</c:f>
              <c:strCache>
                <c:ptCount val="1"/>
                <c:pt idx="0">
                  <c:v>баланс</c:v>
                </c:pt>
              </c:strCache>
            </c:strRef>
          </c:tx>
          <c:spPr>
            <a:ln w="22225">
              <a:solidFill>
                <a:schemeClr val="tx1"/>
              </a:solidFill>
            </a:ln>
          </c:spPr>
          <c:marker>
            <c:symbol val="none"/>
          </c:marker>
          <c:val>
            <c:numRef>
              <c:f>'мемо 2011-2016'!$J$51:$V$51</c:f>
              <c:numCache>
                <c:formatCode>#,##0.0</c:formatCode>
                <c:ptCount val="13"/>
                <c:pt idx="0">
                  <c:v>0</c:v>
                </c:pt>
                <c:pt idx="1">
                  <c:v>0</c:v>
                </c:pt>
                <c:pt idx="2">
                  <c:v>0</c:v>
                </c:pt>
                <c:pt idx="3">
                  <c:v>0</c:v>
                </c:pt>
                <c:pt idx="4">
                  <c:v>0</c:v>
                </c:pt>
                <c:pt idx="5">
                  <c:v>0</c:v>
                </c:pt>
                <c:pt idx="6">
                  <c:v>0</c:v>
                </c:pt>
                <c:pt idx="7">
                  <c:v>0</c:v>
                </c:pt>
                <c:pt idx="8" formatCode="General">
                  <c:v>0</c:v>
                </c:pt>
                <c:pt idx="9" formatCode="General">
                  <c:v>0</c:v>
                </c:pt>
                <c:pt idx="10" formatCode="General">
                  <c:v>0</c:v>
                </c:pt>
                <c:pt idx="11" formatCode="General">
                  <c:v>0</c:v>
                </c:pt>
                <c:pt idx="12" formatCode="General">
                  <c:v>0</c:v>
                </c:pt>
              </c:numCache>
            </c:numRef>
          </c:val>
          <c:smooth val="0"/>
          <c:extLst>
            <c:ext xmlns:c16="http://schemas.microsoft.com/office/drawing/2014/chart" uri="{C3380CC4-5D6E-409C-BE32-E72D297353CC}">
              <c16:uniqueId val="{0000000F-DE73-4AAC-B591-72B3330A9231}"/>
            </c:ext>
          </c:extLst>
        </c:ser>
        <c:dLbls>
          <c:showLegendKey val="0"/>
          <c:showVal val="0"/>
          <c:showCatName val="0"/>
          <c:showSerName val="0"/>
          <c:showPercent val="0"/>
          <c:showBubbleSize val="0"/>
        </c:dLbls>
        <c:marker val="1"/>
        <c:smooth val="0"/>
        <c:axId val="426079336"/>
        <c:axId val="426078160"/>
      </c:lineChart>
      <c:catAx>
        <c:axId val="430644800"/>
        <c:scaling>
          <c:orientation val="minMax"/>
        </c:scaling>
        <c:delete val="0"/>
        <c:axPos val="b"/>
        <c:numFmt formatCode="General" sourceLinked="1"/>
        <c:majorTickMark val="out"/>
        <c:minorTickMark val="none"/>
        <c:tickLblPos val="nextTo"/>
        <c:spPr>
          <a:ln>
            <a:noFill/>
          </a:ln>
        </c:spPr>
        <c:crossAx val="430645584"/>
        <c:crossesAt val="0"/>
        <c:auto val="1"/>
        <c:lblAlgn val="ctr"/>
        <c:lblOffset val="100"/>
        <c:noMultiLvlLbl val="0"/>
      </c:catAx>
      <c:valAx>
        <c:axId val="430645584"/>
        <c:scaling>
          <c:orientation val="minMax"/>
          <c:max val="80"/>
          <c:min val="40"/>
        </c:scaling>
        <c:delete val="0"/>
        <c:axPos val="l"/>
        <c:majorGridlines>
          <c:spPr>
            <a:ln>
              <a:noFill/>
            </a:ln>
          </c:spPr>
        </c:majorGridlines>
        <c:numFmt formatCode="#,##0" sourceLinked="0"/>
        <c:majorTickMark val="out"/>
        <c:minorTickMark val="none"/>
        <c:tickLblPos val="nextTo"/>
        <c:spPr>
          <a:ln>
            <a:noFill/>
          </a:ln>
        </c:spPr>
        <c:crossAx val="430644800"/>
        <c:crosses val="autoZero"/>
        <c:crossBetween val="between"/>
        <c:majorUnit val="5"/>
      </c:valAx>
      <c:valAx>
        <c:axId val="426078160"/>
        <c:scaling>
          <c:orientation val="minMax"/>
        </c:scaling>
        <c:delete val="0"/>
        <c:axPos val="r"/>
        <c:numFmt formatCode="#,##0" sourceLinked="0"/>
        <c:majorTickMark val="out"/>
        <c:minorTickMark val="none"/>
        <c:tickLblPos val="nextTo"/>
        <c:spPr>
          <a:ln>
            <a:noFill/>
          </a:ln>
        </c:spPr>
        <c:crossAx val="426079336"/>
        <c:crosses val="max"/>
        <c:crossBetween val="between"/>
      </c:valAx>
      <c:catAx>
        <c:axId val="426079336"/>
        <c:scaling>
          <c:orientation val="minMax"/>
        </c:scaling>
        <c:delete val="1"/>
        <c:axPos val="b"/>
        <c:majorTickMark val="out"/>
        <c:minorTickMark val="none"/>
        <c:tickLblPos val="nextTo"/>
        <c:crossAx val="426078160"/>
        <c:crosses val="autoZero"/>
        <c:auto val="1"/>
        <c:lblAlgn val="ctr"/>
        <c:lblOffset val="100"/>
        <c:noMultiLvlLbl val="0"/>
      </c:catAx>
      <c:spPr>
        <a:noFill/>
        <a:ln>
          <a:noFill/>
        </a:ln>
      </c:spPr>
    </c:plotArea>
    <c:legend>
      <c:legendPos val="b"/>
      <c:overlay val="0"/>
    </c:legend>
    <c:plotVisOnly val="1"/>
    <c:dispBlanksAs val="gap"/>
    <c:showDLblsOverMax val="0"/>
  </c:chart>
  <c:spPr>
    <a:ln>
      <a:noFill/>
    </a:ln>
  </c:spPr>
  <c:txPr>
    <a:bodyPr/>
    <a:lstStyle/>
    <a:p>
      <a:pPr>
        <a:defRPr sz="900" baseline="0">
          <a:latin typeface="Times New Roman" panose="02020603050405020304" pitchFamily="18" charset="0"/>
        </a:defRPr>
      </a:pPr>
      <a:endParaRPr lang="en-U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694913857576771E-2"/>
          <c:y val="0.12195169524878018"/>
          <c:w val="0.89742630688838176"/>
          <c:h val="0.72252618511373012"/>
        </c:manualLayout>
      </c:layout>
      <c:areaChart>
        <c:grouping val="stacked"/>
        <c:varyColors val="0"/>
        <c:ser>
          <c:idx val="2"/>
          <c:order val="2"/>
          <c:tx>
            <c:strRef>
              <c:f>'Grafikoni, CAB, Karakter'!$G$10</c:f>
              <c:strCache>
                <c:ptCount val="1"/>
                <c:pt idx="0">
                  <c:v>Производни јаз </c:v>
                </c:pt>
              </c:strCache>
            </c:strRef>
          </c:tx>
          <c:spPr>
            <a:solidFill>
              <a:srgbClr val="29489A"/>
            </a:solidFill>
            <a:ln w="9525" cap="rnd" cmpd="sng" algn="ctr">
              <a:solidFill>
                <a:srgbClr val="29489A"/>
              </a:solidFill>
              <a:prstDash val="solid"/>
              <a:round/>
            </a:ln>
            <a:effectLst/>
          </c:spPr>
          <c:cat>
            <c:numRef>
              <c:f>'Grafikoni, CAB, Karakter'!$F$11:$F$23</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('Grafikoni, CAB, Karakter'!$G$11:$G$29,'Grafikoni, CAB, Karakter'!$G$30,'Grafikoni, CAB, Karakter'!$G$31,'Grafikoni, CAB, Karakter'!$G$32,'Grafikoni, CAB, Karakter'!$G$33)</c:f>
              <c:numCache>
                <c:formatCode>#,##0.0</c:formatCode>
                <c:ptCount val="23"/>
                <c:pt idx="0">
                  <c:v>3.4939700056136114E-2</c:v>
                </c:pt>
                <c:pt idx="1">
                  <c:v>-3.3305407298974736</c:v>
                </c:pt>
                <c:pt idx="2">
                  <c:v>1.3050262370980286</c:v>
                </c:pt>
                <c:pt idx="3">
                  <c:v>4.1480120629277737</c:v>
                </c:pt>
                <c:pt idx="4">
                  <c:v>-0.52239416685725348</c:v>
                </c:pt>
                <c:pt idx="5">
                  <c:v>0.41026810927007673</c:v>
                </c:pt>
                <c:pt idx="6">
                  <c:v>0.30816389137498656</c:v>
                </c:pt>
                <c:pt idx="7">
                  <c:v>-4.2047696415254333E-2</c:v>
                </c:pt>
                <c:pt idx="8">
                  <c:v>0.44931713815385776</c:v>
                </c:pt>
                <c:pt idx="9">
                  <c:v>-1.6994305213717809</c:v>
                </c:pt>
                <c:pt idx="10">
                  <c:v>-1.4483637557084184</c:v>
                </c:pt>
                <c:pt idx="11">
                  <c:v>-0.37146480294039352</c:v>
                </c:pt>
                <c:pt idx="12">
                  <c:v>-0.60490750659722714</c:v>
                </c:pt>
                <c:pt idx="13">
                  <c:v>0.84074852090008867</c:v>
                </c:pt>
                <c:pt idx="14">
                  <c:v>2.1005160752801477</c:v>
                </c:pt>
                <c:pt idx="15">
                  <c:v>-2.4229218701431403</c:v>
                </c:pt>
                <c:pt idx="16">
                  <c:v>1.4366579762151328</c:v>
                </c:pt>
                <c:pt idx="17">
                  <c:v>0.16991588223105497</c:v>
                </c:pt>
                <c:pt idx="18">
                  <c:v>5.7502423509462011E-2</c:v>
                </c:pt>
                <c:pt idx="19">
                  <c:v>-0.17380968574343295</c:v>
                </c:pt>
                <c:pt idx="20">
                  <c:v>3.1517516398859306E-3</c:v>
                </c:pt>
                <c:pt idx="21">
                  <c:v>0</c:v>
                </c:pt>
                <c:pt idx="22">
                  <c:v>0.7</c:v>
                </c:pt>
              </c:numCache>
            </c:numRef>
          </c:val>
          <c:extLst>
            <c:ext xmlns:c16="http://schemas.microsoft.com/office/drawing/2014/chart" uri="{C3380CC4-5D6E-409C-BE32-E72D297353CC}">
              <c16:uniqueId val="{00000000-502E-4A13-A9E1-95AB6FAD976F}"/>
            </c:ext>
          </c:extLst>
        </c:ser>
        <c:dLbls>
          <c:showLegendKey val="0"/>
          <c:showVal val="0"/>
          <c:showCatName val="0"/>
          <c:showSerName val="0"/>
          <c:showPercent val="0"/>
          <c:showBubbleSize val="0"/>
        </c:dLbls>
        <c:axId val="342946768"/>
        <c:axId val="410610880"/>
      </c:areaChart>
      <c:lineChart>
        <c:grouping val="standard"/>
        <c:varyColors val="0"/>
        <c:ser>
          <c:idx val="0"/>
          <c:order val="0"/>
          <c:tx>
            <c:strRef>
              <c:f>'Grafikoni, CAB, Karakter'!$H$10</c:f>
              <c:strCache>
                <c:ptCount val="1"/>
                <c:pt idx="0">
                  <c:v>Фискални 
биланс</c:v>
                </c:pt>
              </c:strCache>
            </c:strRef>
          </c:tx>
          <c:spPr>
            <a:ln w="22225" cap="rnd" cmpd="sng" algn="ctr">
              <a:solidFill>
                <a:schemeClr val="accent3">
                  <a:shade val="53000"/>
                  <a:shade val="95000"/>
                  <a:satMod val="105000"/>
                </a:schemeClr>
              </a:solidFill>
              <a:prstDash val="solid"/>
              <a:round/>
            </a:ln>
            <a:effectLst/>
          </c:spPr>
          <c:marker>
            <c:symbol val="none"/>
          </c:marker>
          <c:cat>
            <c:numRef>
              <c:f>('Grafikoni, CAB, Karakter'!$F$11:$F$29,'Grafikoni, CAB, Karakter'!$F$30,'Grafikoni, CAB, Karakter'!$F$31,'Grafikoni, CAB, Karakter'!$F$32,'Grafikoni, CAB, Karakter'!$F$33)</c:f>
              <c:numCache>
                <c:formatCode>General</c:formatCode>
                <c:ptCount val="2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numCache>
            </c:numRef>
          </c:cat>
          <c:val>
            <c:numRef>
              <c:f>('Grafikoni, CAB, Karakter'!$H$11:$H$29,'Grafikoni, CAB, Karakter'!$H$30,'Grafikoni, CAB, Karakter'!$H$31,'Grafikoni, CAB, Karakter'!$H$32,'Grafikoni, CAB, Karakter'!$H$33)</c:f>
              <c:numCache>
                <c:formatCode>#,##0.0</c:formatCode>
                <c:ptCount val="23"/>
                <c:pt idx="0">
                  <c:v>1.097149537133171</c:v>
                </c:pt>
                <c:pt idx="1">
                  <c:v>-1.3625763034532159</c:v>
                </c:pt>
                <c:pt idx="2">
                  <c:v>-1.7163418836484468</c:v>
                </c:pt>
                <c:pt idx="3">
                  <c:v>-2.3843270097170652</c:v>
                </c:pt>
                <c:pt idx="4">
                  <c:v>-4.0064360419983007</c:v>
                </c:pt>
                <c:pt idx="5">
                  <c:v>-4.1670689119148951</c:v>
                </c:pt>
                <c:pt idx="6">
                  <c:v>-4.3498075491803787</c:v>
                </c:pt>
                <c:pt idx="7">
                  <c:v>-6.1793158693056833</c:v>
                </c:pt>
                <c:pt idx="8">
                  <c:v>-4.9362245543274472</c:v>
                </c:pt>
                <c:pt idx="9">
                  <c:v>-5.9449190577246052</c:v>
                </c:pt>
                <c:pt idx="10">
                  <c:v>-3.3187939284991961</c:v>
                </c:pt>
                <c:pt idx="11">
                  <c:v>-1.149397976075984</c:v>
                </c:pt>
                <c:pt idx="12">
                  <c:v>1.0557686096933128</c:v>
                </c:pt>
                <c:pt idx="13">
                  <c:v>0.60940162463875103</c:v>
                </c:pt>
                <c:pt idx="14">
                  <c:v>-0.196032233371843</c:v>
                </c:pt>
                <c:pt idx="15">
                  <c:v>-7.6817157912618725</c:v>
                </c:pt>
                <c:pt idx="16">
                  <c:v>-3.944488655583605</c:v>
                </c:pt>
                <c:pt idx="17">
                  <c:v>-3.0145095743510497</c:v>
                </c:pt>
                <c:pt idx="18">
                  <c:v>-2.0537459179069364</c:v>
                </c:pt>
                <c:pt idx="19">
                  <c:v>-2.7</c:v>
                </c:pt>
                <c:pt idx="20">
                  <c:v>-3</c:v>
                </c:pt>
                <c:pt idx="21">
                  <c:v>-3</c:v>
                </c:pt>
                <c:pt idx="22">
                  <c:v>-3</c:v>
                </c:pt>
              </c:numCache>
            </c:numRef>
          </c:val>
          <c:smooth val="0"/>
          <c:extLst>
            <c:ext xmlns:c16="http://schemas.microsoft.com/office/drawing/2014/chart" uri="{C3380CC4-5D6E-409C-BE32-E72D297353CC}">
              <c16:uniqueId val="{00000001-502E-4A13-A9E1-95AB6FAD976F}"/>
            </c:ext>
          </c:extLst>
        </c:ser>
        <c:ser>
          <c:idx val="1"/>
          <c:order val="1"/>
          <c:tx>
            <c:strRef>
              <c:f>'Grafikoni, CAB, Karakter'!$K$10</c:f>
              <c:strCache>
                <c:ptCount val="1"/>
                <c:pt idx="0">
                  <c:v>Циклично 
прилагођени  фискални биланс</c:v>
                </c:pt>
              </c:strCache>
            </c:strRef>
          </c:tx>
          <c:spPr>
            <a:ln w="22225" cap="rnd" cmpd="sng" algn="ctr">
              <a:solidFill>
                <a:schemeClr val="tx1"/>
              </a:solidFill>
              <a:prstDash val="solid"/>
              <a:round/>
            </a:ln>
            <a:effectLst/>
          </c:spPr>
          <c:marker>
            <c:symbol val="none"/>
          </c:marker>
          <c:cat>
            <c:numRef>
              <c:f>('Grafikoni, CAB, Karakter'!$F$11:$F$29,'Grafikoni, CAB, Karakter'!$F$30,'Grafikoni, CAB, Karakter'!$F$31,'Grafikoni, CAB, Karakter'!$F$32,'Grafikoni, CAB, Karakter'!$F$33)</c:f>
              <c:numCache>
                <c:formatCode>General</c:formatCode>
                <c:ptCount val="2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numCache>
            </c:numRef>
          </c:cat>
          <c:val>
            <c:numRef>
              <c:f>('Grafikoni, CAB, Karakter'!$K$11:$K$29,'Grafikoni, CAB, Karakter'!$K$30,'Grafikoni, CAB, Karakter'!$K$31,'Grafikoni, CAB, Karakter'!$K$32,'Grafikoni, CAB, Karakter'!$K$33)</c:f>
              <c:numCache>
                <c:formatCode>#,##0.0</c:formatCode>
                <c:ptCount val="23"/>
                <c:pt idx="0">
                  <c:v>1.0847517432934535</c:v>
                </c:pt>
                <c:pt idx="1">
                  <c:v>-0.1807871845509228</c:v>
                </c:pt>
                <c:pt idx="2">
                  <c:v>-2.1794095750415892</c:v>
                </c:pt>
                <c:pt idx="3">
                  <c:v>-3.8561827588567557</c:v>
                </c:pt>
                <c:pt idx="4">
                  <c:v>-3.82107282556079</c:v>
                </c:pt>
                <c:pt idx="5">
                  <c:v>-4.3126459898396918</c:v>
                </c:pt>
                <c:pt idx="6">
                  <c:v>-4.4591545781466806</c:v>
                </c:pt>
                <c:pt idx="7">
                  <c:v>-6.1643959166228095</c:v>
                </c:pt>
                <c:pt idx="8">
                  <c:v>-5.0956575557136494</c:v>
                </c:pt>
                <c:pt idx="9">
                  <c:v>-5.3419033130261617</c:v>
                </c:pt>
                <c:pt idx="10">
                  <c:v>-2.8048652107557084</c:v>
                </c:pt>
                <c:pt idx="11">
                  <c:v>-1.0175896308936523</c:v>
                </c:pt>
                <c:pt idx="12">
                  <c:v>1.270410365256208</c:v>
                </c:pt>
                <c:pt idx="13">
                  <c:v>0.31107545651424107</c:v>
                </c:pt>
                <c:pt idx="14">
                  <c:v>-0.94136677306439465</c:v>
                </c:pt>
                <c:pt idx="15">
                  <c:v>-6.8219807108943957</c:v>
                </c:pt>
                <c:pt idx="16">
                  <c:v>-4.4542637646625138</c:v>
                </c:pt>
                <c:pt idx="17">
                  <c:v>-3.0748015080141835</c:v>
                </c:pt>
                <c:pt idx="18">
                  <c:v>-2.0741497333606769</c:v>
                </c:pt>
                <c:pt idx="19">
                  <c:v>-2.6383264124268075</c:v>
                </c:pt>
                <c:pt idx="20">
                  <c:v>-3.0011183486693507</c:v>
                </c:pt>
                <c:pt idx="21">
                  <c:v>-3</c:v>
                </c:pt>
                <c:pt idx="22">
                  <c:v>-3.2483838062106725</c:v>
                </c:pt>
              </c:numCache>
            </c:numRef>
          </c:val>
          <c:smooth val="1"/>
          <c:extLst>
            <c:ext xmlns:c16="http://schemas.microsoft.com/office/drawing/2014/chart" uri="{C3380CC4-5D6E-409C-BE32-E72D297353CC}">
              <c16:uniqueId val="{00000002-502E-4A13-A9E1-95AB6FAD976F}"/>
            </c:ext>
          </c:extLst>
        </c:ser>
        <c:ser>
          <c:idx val="4"/>
          <c:order val="3"/>
          <c:tx>
            <c:strRef>
              <c:f>'Grafikoni, CAB, Karakter'!$N$10</c:f>
              <c:strCache>
                <c:ptCount val="1"/>
                <c:pt idx="0">
                  <c:v>Структурни примарни фискални биланс</c:v>
                </c:pt>
              </c:strCache>
            </c:strRef>
          </c:tx>
          <c:spPr>
            <a:ln w="22225" cap="rnd" cmpd="sng" algn="ctr">
              <a:solidFill>
                <a:srgbClr val="FF0000"/>
              </a:solidFill>
              <a:prstDash val="solid"/>
              <a:round/>
            </a:ln>
            <a:effectLst/>
          </c:spPr>
          <c:marker>
            <c:symbol val="none"/>
          </c:marker>
          <c:cat>
            <c:numRef>
              <c:f>('Grafikoni, CAB, Karakter'!$F$11:$F$29,'Grafikoni, CAB, Karakter'!$F$30,'Grafikoni, CAB, Karakter'!$F$31,'Grafikoni, CAB, Karakter'!$F$32,'Grafikoni, CAB, Karakter'!$F$33)</c:f>
              <c:numCache>
                <c:formatCode>General</c:formatCode>
                <c:ptCount val="2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numCache>
            </c:numRef>
          </c:cat>
          <c:val>
            <c:numRef>
              <c:f>('Grafikoni, CAB, Karakter'!$N$11:$N$29,'Grafikoni, CAB, Karakter'!$N$30,'Grafikoni, CAB, Karakter'!$N$31,'Grafikoni, CAB, Karakter'!$N$32,'Grafikoni, CAB, Karakter'!$N$33)</c:f>
              <c:numCache>
                <c:formatCode>#,##0.0</c:formatCode>
                <c:ptCount val="23"/>
                <c:pt idx="0">
                  <c:v>2.1796124198770381</c:v>
                </c:pt>
                <c:pt idx="1">
                  <c:v>1.6937991843397544</c:v>
                </c:pt>
                <c:pt idx="2">
                  <c:v>-1.3308754596022945</c:v>
                </c:pt>
                <c:pt idx="3">
                  <c:v>-3.393243275541677</c:v>
                </c:pt>
                <c:pt idx="4">
                  <c:v>-3.3060400176263092</c:v>
                </c:pt>
                <c:pt idx="5">
                  <c:v>-3.5061406706314022</c:v>
                </c:pt>
                <c:pt idx="6">
                  <c:v>-3.5523326208334871</c:v>
                </c:pt>
                <c:pt idx="7">
                  <c:v>-4.4795136915114826</c:v>
                </c:pt>
                <c:pt idx="8">
                  <c:v>-2.733227666564376</c:v>
                </c:pt>
                <c:pt idx="9">
                  <c:v>-1.9552266229578894</c:v>
                </c:pt>
                <c:pt idx="10">
                  <c:v>0.86315519347935765</c:v>
                </c:pt>
                <c:pt idx="11">
                  <c:v>1.8489834156859188</c:v>
                </c:pt>
                <c:pt idx="12">
                  <c:v>3.568310073850709</c:v>
                </c:pt>
                <c:pt idx="13">
                  <c:v>2.1956540477013227</c:v>
                </c:pt>
                <c:pt idx="14">
                  <c:v>0.79347978996048951</c:v>
                </c:pt>
                <c:pt idx="15">
                  <c:v>1.8184134432245775</c:v>
                </c:pt>
                <c:pt idx="16">
                  <c:v>1.0862273591028111</c:v>
                </c:pt>
                <c:pt idx="17">
                  <c:v>1.5742664617676576</c:v>
                </c:pt>
                <c:pt idx="18">
                  <c:v>0.15705740066282092</c:v>
                </c:pt>
                <c:pt idx="19">
                  <c:v>-0.36460403044448758</c:v>
                </c:pt>
                <c:pt idx="20">
                  <c:v>-0.28758524798499585</c:v>
                </c:pt>
                <c:pt idx="21">
                  <c:v>0.31768434865640138</c:v>
                </c:pt>
                <c:pt idx="22">
                  <c:v>0.16498999180799423</c:v>
                </c:pt>
              </c:numCache>
            </c:numRef>
          </c:val>
          <c:smooth val="0"/>
          <c:extLst>
            <c:ext xmlns:c16="http://schemas.microsoft.com/office/drawing/2014/chart" uri="{C3380CC4-5D6E-409C-BE32-E72D297353CC}">
              <c16:uniqueId val="{00000003-502E-4A13-A9E1-95AB6FAD976F}"/>
            </c:ext>
          </c:extLst>
        </c:ser>
        <c:ser>
          <c:idx val="3"/>
          <c:order val="4"/>
          <c:tx>
            <c:strRef>
              <c:f>'Grafikoni, CAB, Karakter'!$M$10</c:f>
              <c:strCache>
                <c:ptCount val="1"/>
                <c:pt idx="0">
                  <c:v>Структурни  фискални биланс</c:v>
                </c:pt>
              </c:strCache>
            </c:strRef>
          </c:tx>
          <c:spPr>
            <a:ln w="22225" cap="rnd" cmpd="sng" algn="ctr">
              <a:solidFill>
                <a:schemeClr val="accent6"/>
              </a:solidFill>
              <a:prstDash val="solid"/>
              <a:round/>
            </a:ln>
            <a:effectLst/>
          </c:spPr>
          <c:marker>
            <c:symbol val="none"/>
          </c:marker>
          <c:cat>
            <c:numRef>
              <c:f>('Grafikoni, CAB, Karakter'!$F$11:$F$29,'Grafikoni, CAB, Karakter'!$F$30,'Grafikoni, CAB, Karakter'!$F$31,'Grafikoni, CAB, Karakter'!$F$32,'Grafikoni, CAB, Karakter'!$F$33)</c:f>
              <c:numCache>
                <c:formatCode>General</c:formatCode>
                <c:ptCount val="2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numCache>
            </c:numRef>
          </c:cat>
          <c:val>
            <c:numRef>
              <c:f>('Grafikoni, CAB, Karakter'!$M$11:$M$29,'Grafikoni, CAB, Karakter'!$M$30,'Grafikoni, CAB, Karakter'!$M$31,'Grafikoni, CAB, Karakter'!$M$32,'Grafikoni, CAB, Karakter'!$M$33)</c:f>
              <c:numCache>
                <c:formatCode>#,##0.0</c:formatCode>
                <c:ptCount val="23"/>
                <c:pt idx="0">
                  <c:v>1.2963599412259406</c:v>
                </c:pt>
                <c:pt idx="1">
                  <c:v>0.47668833523708953</c:v>
                </c:pt>
                <c:pt idx="2">
                  <c:v>-1.8554596650373918</c:v>
                </c:pt>
                <c:pt idx="3">
                  <c:v>-3.9124487380849549</c:v>
                </c:pt>
                <c:pt idx="4">
                  <c:v>-3.8904009881670256</c:v>
                </c:pt>
                <c:pt idx="5">
                  <c:v>-4.4249373323431849</c:v>
                </c:pt>
                <c:pt idx="6">
                  <c:v>-4.6613673535308324</c:v>
                </c:pt>
                <c:pt idx="7">
                  <c:v>-6.1190316812176544</c:v>
                </c:pt>
                <c:pt idx="8">
                  <c:v>-4.8373220100000003</c:v>
                </c:pt>
                <c:pt idx="9">
                  <c:v>-4.5081797387132028</c:v>
                </c:pt>
                <c:pt idx="10">
                  <c:v>-2.0037311791871728</c:v>
                </c:pt>
                <c:pt idx="11">
                  <c:v>-0.94310193244440421</c:v>
                </c:pt>
                <c:pt idx="12">
                  <c:v>1.1311284077734454</c:v>
                </c:pt>
                <c:pt idx="13">
                  <c:v>0.16924472971767737</c:v>
                </c:pt>
                <c:pt idx="14">
                  <c:v>-1.1159935036261699</c:v>
                </c:pt>
                <c:pt idx="15">
                  <c:v>-9.245139346118858E-2</c:v>
                </c:pt>
                <c:pt idx="16">
                  <c:v>-0.56589595792512215</c:v>
                </c:pt>
                <c:pt idx="17">
                  <c:v>0.14154996978111223</c:v>
                </c:pt>
                <c:pt idx="18">
                  <c:v>-1.4277273060170026</c:v>
                </c:pt>
                <c:pt idx="19">
                  <c:v>-2.1646040304444876</c:v>
                </c:pt>
                <c:pt idx="20">
                  <c:v>-2.2875852479849956</c:v>
                </c:pt>
                <c:pt idx="21">
                  <c:v>-1.6823156513435986</c:v>
                </c:pt>
                <c:pt idx="22">
                  <c:v>-1.7350100081920059</c:v>
                </c:pt>
              </c:numCache>
            </c:numRef>
          </c:val>
          <c:smooth val="0"/>
          <c:extLst>
            <c:ext xmlns:c16="http://schemas.microsoft.com/office/drawing/2014/chart" uri="{C3380CC4-5D6E-409C-BE32-E72D297353CC}">
              <c16:uniqueId val="{00000004-502E-4A13-A9E1-95AB6FAD976F}"/>
            </c:ext>
          </c:extLst>
        </c:ser>
        <c:dLbls>
          <c:showLegendKey val="0"/>
          <c:showVal val="0"/>
          <c:showCatName val="0"/>
          <c:showSerName val="0"/>
          <c:showPercent val="0"/>
          <c:showBubbleSize val="0"/>
        </c:dLbls>
        <c:marker val="1"/>
        <c:smooth val="0"/>
        <c:axId val="342946768"/>
        <c:axId val="410610880"/>
      </c:lineChart>
      <c:catAx>
        <c:axId val="342946768"/>
        <c:scaling>
          <c:orientation val="minMax"/>
        </c:scaling>
        <c:delete val="0"/>
        <c:axPos val="b"/>
        <c:majorGridlines>
          <c:spPr>
            <a:ln w="9525" cap="flat" cmpd="sng" algn="ctr">
              <a:noFill/>
              <a:prstDash val="sysDot"/>
              <a:round/>
            </a:ln>
            <a:effectLst/>
          </c:spPr>
        </c:majorGridlines>
        <c:numFmt formatCode="General"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rgbClr val="44546A"/>
                </a:solidFill>
                <a:latin typeface="Times New Roman" panose="02020603050405020304" pitchFamily="18" charset="0"/>
                <a:ea typeface="+mn-ea"/>
                <a:cs typeface="+mn-cs"/>
              </a:defRPr>
            </a:pPr>
            <a:endParaRPr lang="en-US"/>
          </a:p>
        </c:txPr>
        <c:crossAx val="410610880"/>
        <c:crosses val="autoZero"/>
        <c:auto val="1"/>
        <c:lblAlgn val="ctr"/>
        <c:lblOffset val="100"/>
        <c:noMultiLvlLbl val="0"/>
      </c:catAx>
      <c:valAx>
        <c:axId val="410610880"/>
        <c:scaling>
          <c:orientation val="minMax"/>
          <c:max val="5"/>
          <c:min val="-9"/>
        </c:scaling>
        <c:delete val="0"/>
        <c:axPos val="l"/>
        <c:majorGridlines>
          <c:spPr>
            <a:ln w="9525" cap="flat" cmpd="sng" algn="ctr">
              <a:noFill/>
              <a:prstDash val="sysDot"/>
              <a:round/>
            </a:ln>
            <a:effectLst/>
          </c:spPr>
        </c:majorGridlines>
        <c:title>
          <c:tx>
            <c:rich>
              <a:bodyPr rot="-5400000" spcFirstLastPara="1" vertOverflow="ellipsis" vert="horz" wrap="square" anchor="ctr" anchorCtr="1"/>
              <a:lstStyle/>
              <a:p>
                <a:pPr>
                  <a:defRPr sz="900" b="0" i="0" u="none" strike="noStrike" kern="1200" baseline="0">
                    <a:solidFill>
                      <a:srgbClr val="44546A"/>
                    </a:solidFill>
                    <a:latin typeface="Times New Roman" panose="02020603050405020304" pitchFamily="18" charset="0"/>
                    <a:ea typeface="+mn-ea"/>
                    <a:cs typeface="+mn-cs"/>
                  </a:defRPr>
                </a:pPr>
                <a:r>
                  <a:rPr lang="sr-Cyrl-CS" sz="900" b="0" baseline="0">
                    <a:solidFill>
                      <a:srgbClr val="44546A"/>
                    </a:solidFill>
                    <a:latin typeface="Times New Roman" panose="02020603050405020304" pitchFamily="18" charset="0"/>
                  </a:rPr>
                  <a:t>% БДП</a:t>
                </a:r>
              </a:p>
            </c:rich>
          </c:tx>
          <c:layout>
            <c:manualLayout>
              <c:xMode val="edge"/>
              <c:yMode val="edge"/>
              <c:x val="1.8249303997202707E-2"/>
              <c:y val="0.3684508161579404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rgbClr val="44546A"/>
                  </a:solidFill>
                  <a:latin typeface="Times New Roman" panose="02020603050405020304" pitchFamily="18" charset="0"/>
                  <a:ea typeface="+mn-ea"/>
                  <a:cs typeface="+mn-cs"/>
                </a:defRPr>
              </a:pPr>
              <a:endParaRPr lang="en-US"/>
            </a:p>
          </c:txPr>
        </c:title>
        <c:numFmt formatCode="#,##0"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rgbClr val="44546A"/>
                </a:solidFill>
                <a:latin typeface="Times New Roman" panose="02020603050405020304" pitchFamily="18" charset="0"/>
                <a:ea typeface="+mn-ea"/>
                <a:cs typeface="+mn-cs"/>
              </a:defRPr>
            </a:pPr>
            <a:endParaRPr lang="en-US"/>
          </a:p>
        </c:txPr>
        <c:crossAx val="342946768"/>
        <c:crosses val="autoZero"/>
        <c:crossBetween val="between"/>
      </c:valAx>
      <c:spPr>
        <a:noFill/>
        <a:ln>
          <a:noFill/>
        </a:ln>
        <a:effectLst/>
      </c:spPr>
    </c:plotArea>
    <c:legend>
      <c:legendPos val="r"/>
      <c:layout>
        <c:manualLayout>
          <c:xMode val="edge"/>
          <c:yMode val="edge"/>
          <c:x val="9.1358234520853523E-2"/>
          <c:y val="0.75151713990296665"/>
          <c:w val="0.90426082068577873"/>
          <c:h val="0.24848286009703333"/>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44546A"/>
              </a:solidFill>
              <a:latin typeface="Times New Roman" panose="02020603050405020304" pitchFamily="18" charset="0"/>
              <a:ea typeface="+mn-ea"/>
              <a:cs typeface="+mn-cs"/>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a:pPr>
      <a:endParaRPr lang="en-US"/>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618440989179343E-2"/>
          <c:y val="5.7086964129483823E-2"/>
          <c:w val="0.91635877205946437"/>
          <c:h val="0.82967423338395085"/>
        </c:manualLayout>
      </c:layout>
      <c:barChart>
        <c:barDir val="col"/>
        <c:grouping val="clustered"/>
        <c:varyColors val="0"/>
        <c:ser>
          <c:idx val="0"/>
          <c:order val="0"/>
          <c:tx>
            <c:strRef>
              <c:f>'Grafikoni, CAB, Karakter'!$O$10</c:f>
              <c:strCache>
                <c:ptCount val="1"/>
                <c:pt idx="0">
                  <c:v>Фискални импулс</c:v>
                </c:pt>
              </c:strCache>
            </c:strRef>
          </c:tx>
          <c:spPr>
            <a:solidFill>
              <a:srgbClr val="29489A"/>
            </a:solidFill>
            <a:ln w="9525" cap="flat" cmpd="sng" algn="ctr">
              <a:solidFill>
                <a:schemeClr val="accent3">
                  <a:shade val="50000"/>
                  <a:shade val="95000"/>
                  <a:satMod val="105000"/>
                </a:schemeClr>
              </a:solidFill>
              <a:prstDash val="solid"/>
              <a:round/>
            </a:ln>
            <a:effectLst/>
          </c:spPr>
          <c:invertIfNegative val="0"/>
          <c:cat>
            <c:numRef>
              <c:f>'Grafikoni, CAB, Karakter'!$F$12:$F$33</c:f>
              <c:numCache>
                <c:formatCode>General</c:formatCode>
                <c:ptCount val="22"/>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numCache>
            </c:numRef>
          </c:cat>
          <c:val>
            <c:numRef>
              <c:f>('Grafikoni, CAB, Karakter'!$O$12:$O$29,'Grafikoni, CAB, Karakter'!$O$30,'Grafikoni, CAB, Karakter'!$O$31,'Grafikoni, CAB, Karakter'!$O$32,'Grafikoni, CAB, Karakter'!$O$33)</c:f>
              <c:numCache>
                <c:formatCode>#,##0.0</c:formatCode>
                <c:ptCount val="22"/>
                <c:pt idx="0">
                  <c:v>0.93168055739280864</c:v>
                </c:pt>
                <c:pt idx="1">
                  <c:v>2.6911490341582338</c:v>
                </c:pt>
                <c:pt idx="2">
                  <c:v>1.682151926706986</c:v>
                </c:pt>
                <c:pt idx="3">
                  <c:v>-0.10026544129340431</c:v>
                </c:pt>
                <c:pt idx="4">
                  <c:v>0.1571374731078361</c:v>
                </c:pt>
                <c:pt idx="5">
                  <c:v>-4.3729482678573905E-2</c:v>
                </c:pt>
                <c:pt idx="6">
                  <c:v>1.174758081467302</c:v>
                </c:pt>
                <c:pt idx="7">
                  <c:v>-1.5333147146386121</c:v>
                </c:pt>
                <c:pt idx="8">
                  <c:v>-0.20261301500717721</c:v>
                </c:pt>
                <c:pt idx="9">
                  <c:v>-2.8509713591816706</c:v>
                </c:pt>
                <c:pt idx="10">
                  <c:v>-1.7124745553258487</c:v>
                </c:pt>
                <c:pt idx="11">
                  <c:v>-1.9330963140968005</c:v>
                </c:pt>
                <c:pt idx="12">
                  <c:v>1.3701072568355852</c:v>
                </c:pt>
                <c:pt idx="13">
                  <c:v>1.3693782539756216</c:v>
                </c:pt>
                <c:pt idx="14">
                  <c:v>5.8792223947308946</c:v>
                </c:pt>
                <c:pt idx="15">
                  <c:v>-2.108975426574049</c:v>
                </c:pt>
                <c:pt idx="16">
                  <c:v>-1.1600554316069425</c:v>
                </c:pt>
                <c:pt idx="17">
                  <c:v>-1.1527199893467848</c:v>
                </c:pt>
                <c:pt idx="18">
                  <c:v>0.34896138574595426</c:v>
                </c:pt>
                <c:pt idx="19">
                  <c:v>0.16279193624254329</c:v>
                </c:pt>
                <c:pt idx="20">
                  <c:v>-1.1183486693508993E-3</c:v>
                </c:pt>
                <c:pt idx="21">
                  <c:v>0.34838380621067233</c:v>
                </c:pt>
              </c:numCache>
            </c:numRef>
          </c:val>
          <c:extLst>
            <c:ext xmlns:c16="http://schemas.microsoft.com/office/drawing/2014/chart" uri="{C3380CC4-5D6E-409C-BE32-E72D297353CC}">
              <c16:uniqueId val="{00000000-4C0C-47C3-8911-31054FAB466D}"/>
            </c:ext>
          </c:extLst>
        </c:ser>
        <c:dLbls>
          <c:showLegendKey val="0"/>
          <c:showVal val="0"/>
          <c:showCatName val="0"/>
          <c:showSerName val="0"/>
          <c:showPercent val="0"/>
          <c:showBubbleSize val="0"/>
        </c:dLbls>
        <c:gapWidth val="41"/>
        <c:overlap val="-12"/>
        <c:axId val="467546320"/>
        <c:axId val="467537360"/>
      </c:barChart>
      <c:lineChart>
        <c:grouping val="standard"/>
        <c:varyColors val="0"/>
        <c:ser>
          <c:idx val="1"/>
          <c:order val="1"/>
          <c:tx>
            <c:strRef>
              <c:f>'Grafikoni, CAB, Karakter'!$G$10</c:f>
              <c:strCache>
                <c:ptCount val="1"/>
                <c:pt idx="0">
                  <c:v>Производни јаз </c:v>
                </c:pt>
              </c:strCache>
            </c:strRef>
          </c:tx>
          <c:spPr>
            <a:ln w="22225" cap="rnd" cmpd="sng" algn="ctr">
              <a:solidFill>
                <a:srgbClr val="FF0000"/>
              </a:solidFill>
              <a:prstDash val="solid"/>
              <a:round/>
            </a:ln>
            <a:effectLst/>
          </c:spPr>
          <c:marker>
            <c:symbol val="none"/>
          </c:marker>
          <c:cat>
            <c:numRef>
              <c:f>('Grafikoni, CAB, Karakter'!$F$12:$F$29,'Grafikoni, CAB, Karakter'!$F$30,'Grafikoni, CAB, Karakter'!$F$31,'Grafikoni, CAB, Karakter'!$F$32,'Grafikoni, CAB, Karakter'!$F$33)</c:f>
              <c:numCache>
                <c:formatCode>General</c:formatCode>
                <c:ptCount val="22"/>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numCache>
            </c:numRef>
          </c:cat>
          <c:val>
            <c:numRef>
              <c:f>('Grafikoni, CAB, Karakter'!$G$12:$G$29,'Grafikoni, CAB, Karakter'!$G$30,'Grafikoni, CAB, Karakter'!$G$31,'Grafikoni, CAB, Karakter'!$G$32,'Grafikoni, CAB, Karakter'!$G$33)</c:f>
              <c:numCache>
                <c:formatCode>#,##0.0</c:formatCode>
                <c:ptCount val="22"/>
                <c:pt idx="0">
                  <c:v>-3.3305407298974736</c:v>
                </c:pt>
                <c:pt idx="1">
                  <c:v>1.3050262370980286</c:v>
                </c:pt>
                <c:pt idx="2">
                  <c:v>4.1480120629277737</c:v>
                </c:pt>
                <c:pt idx="3">
                  <c:v>-0.52239416685725348</c:v>
                </c:pt>
                <c:pt idx="4">
                  <c:v>0.41026810927007673</c:v>
                </c:pt>
                <c:pt idx="5">
                  <c:v>0.30816389137498656</c:v>
                </c:pt>
                <c:pt idx="6">
                  <c:v>-4.2047696415254333E-2</c:v>
                </c:pt>
                <c:pt idx="7">
                  <c:v>0.44931713815385776</c:v>
                </c:pt>
                <c:pt idx="8">
                  <c:v>-1.6994305213717809</c:v>
                </c:pt>
                <c:pt idx="9">
                  <c:v>-1.4483637557084184</c:v>
                </c:pt>
                <c:pt idx="10">
                  <c:v>-0.37146480294039352</c:v>
                </c:pt>
                <c:pt idx="11">
                  <c:v>-0.60490750659722714</c:v>
                </c:pt>
                <c:pt idx="12">
                  <c:v>0.84074852090008867</c:v>
                </c:pt>
                <c:pt idx="13">
                  <c:v>2.1005160752801477</c:v>
                </c:pt>
                <c:pt idx="14">
                  <c:v>-2.4229218701431403</c:v>
                </c:pt>
                <c:pt idx="15">
                  <c:v>1.4366579762151328</c:v>
                </c:pt>
                <c:pt idx="16">
                  <c:v>0.16991588223105497</c:v>
                </c:pt>
                <c:pt idx="17">
                  <c:v>5.7502423509462011E-2</c:v>
                </c:pt>
                <c:pt idx="18">
                  <c:v>-0.17380968574343295</c:v>
                </c:pt>
                <c:pt idx="19">
                  <c:v>3.1517516398859306E-3</c:v>
                </c:pt>
                <c:pt idx="20">
                  <c:v>0</c:v>
                </c:pt>
                <c:pt idx="21">
                  <c:v>0.7</c:v>
                </c:pt>
              </c:numCache>
            </c:numRef>
          </c:val>
          <c:smooth val="1"/>
          <c:extLst>
            <c:ext xmlns:c16="http://schemas.microsoft.com/office/drawing/2014/chart" uri="{C3380CC4-5D6E-409C-BE32-E72D297353CC}">
              <c16:uniqueId val="{00000001-4C0C-47C3-8911-31054FAB466D}"/>
            </c:ext>
          </c:extLst>
        </c:ser>
        <c:dLbls>
          <c:showLegendKey val="0"/>
          <c:showVal val="0"/>
          <c:showCatName val="0"/>
          <c:showSerName val="0"/>
          <c:showPercent val="0"/>
          <c:showBubbleSize val="0"/>
        </c:dLbls>
        <c:marker val="1"/>
        <c:smooth val="0"/>
        <c:axId val="467546320"/>
        <c:axId val="467537360"/>
      </c:lineChart>
      <c:catAx>
        <c:axId val="467546320"/>
        <c:scaling>
          <c:orientation val="minMax"/>
        </c:scaling>
        <c:delete val="0"/>
        <c:axPos val="b"/>
        <c:majorGridlines>
          <c:spPr>
            <a:ln w="9525" cap="flat" cmpd="sng" algn="ctr">
              <a:noFill/>
              <a:prstDash val="solid"/>
              <a:round/>
            </a:ln>
            <a:effectLst/>
          </c:spPr>
        </c:majorGridlines>
        <c:numFmt formatCode="General" sourceLinked="1"/>
        <c:majorTickMark val="out"/>
        <c:minorTickMark val="none"/>
        <c:tickLblPos val="low"/>
        <c:spPr>
          <a:noFill/>
          <a:ln w="6350" cap="flat" cmpd="sng" algn="ctr">
            <a:solidFill>
              <a:srgbClr val="898989"/>
            </a:solidFill>
            <a:prstDash val="solid"/>
            <a:round/>
          </a:ln>
          <a:effectLst/>
        </c:spPr>
        <c:txPr>
          <a:bodyPr rot="-60000000" spcFirstLastPara="1" vertOverflow="ellipsis" vert="horz" wrap="square" anchor="ctr" anchorCtr="1"/>
          <a:lstStyle/>
          <a:p>
            <a:pPr>
              <a:defRPr sz="800" b="0" i="0" u="none" strike="noStrike" kern="1200" baseline="0">
                <a:solidFill>
                  <a:schemeClr val="dk1"/>
                </a:solidFill>
                <a:latin typeface="Times New Roman" panose="02020603050405020304" pitchFamily="18" charset="0"/>
                <a:ea typeface="+mn-ea"/>
                <a:cs typeface="+mn-cs"/>
              </a:defRPr>
            </a:pPr>
            <a:endParaRPr lang="en-US"/>
          </a:p>
        </c:txPr>
        <c:crossAx val="467537360"/>
        <c:crosses val="autoZero"/>
        <c:auto val="1"/>
        <c:lblAlgn val="ctr"/>
        <c:lblOffset val="100"/>
        <c:noMultiLvlLbl val="0"/>
      </c:catAx>
      <c:valAx>
        <c:axId val="467537360"/>
        <c:scaling>
          <c:orientation val="minMax"/>
          <c:min val="-9"/>
        </c:scaling>
        <c:delete val="0"/>
        <c:axPos val="l"/>
        <c:majorGridlines>
          <c:spPr>
            <a:ln w="9525" cap="flat" cmpd="sng" algn="ctr">
              <a:noFill/>
              <a:prstDash val="solid"/>
              <a:round/>
            </a:ln>
            <a:effectLst/>
          </c:spPr>
        </c:majorGridlines>
        <c:title>
          <c:tx>
            <c:rich>
              <a:bodyPr rot="-5400000" spcFirstLastPara="1" vertOverflow="ellipsis" vert="horz" wrap="square" anchor="ctr" anchorCtr="1"/>
              <a:lstStyle/>
              <a:p>
                <a:pPr>
                  <a:defRPr sz="800" b="1" i="0" u="none" strike="noStrike" kern="1200" baseline="0">
                    <a:solidFill>
                      <a:schemeClr val="dk1"/>
                    </a:solidFill>
                    <a:latin typeface="Times New Roman" panose="02020603050405020304" pitchFamily="18" charset="0"/>
                    <a:ea typeface="+mn-ea"/>
                    <a:cs typeface="+mn-cs"/>
                  </a:defRPr>
                </a:pPr>
                <a:r>
                  <a:rPr lang="sr-Cyrl-CS"/>
                  <a:t>% БДП</a:t>
                </a:r>
                <a:endParaRPr lang="en-US"/>
              </a:p>
            </c:rich>
          </c:tx>
          <c:layout>
            <c:manualLayout>
              <c:xMode val="edge"/>
              <c:yMode val="edge"/>
              <c:x val="1.3115297148791293E-2"/>
              <c:y val="0.40264391253882104"/>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dk1"/>
                  </a:solidFill>
                  <a:latin typeface="Times New Roman" panose="02020603050405020304" pitchFamily="18" charset="0"/>
                  <a:ea typeface="+mn-ea"/>
                  <a:cs typeface="+mn-cs"/>
                </a:defRPr>
              </a:pPr>
              <a:endParaRPr lang="en-US"/>
            </a:p>
          </c:txPr>
        </c:title>
        <c:numFmt formatCode="0" sourceLinked="0"/>
        <c:majorTickMark val="out"/>
        <c:minorTickMark val="none"/>
        <c:tickLblPos val="nextTo"/>
        <c:spPr>
          <a:noFill/>
          <a:ln w="3175" cap="flat" cmpd="sng" algn="ctr">
            <a:noFill/>
            <a:prstDash val="solid"/>
            <a:round/>
          </a:ln>
          <a:effectLst/>
        </c:spPr>
        <c:txPr>
          <a:bodyPr rot="-60000000" spcFirstLastPara="1" vertOverflow="ellipsis" vert="horz" wrap="square" anchor="ctr" anchorCtr="1"/>
          <a:lstStyle/>
          <a:p>
            <a:pPr>
              <a:defRPr sz="800" b="0" i="0" u="none" strike="noStrike" kern="1200" baseline="0">
                <a:solidFill>
                  <a:schemeClr val="dk1"/>
                </a:solidFill>
                <a:latin typeface="Times New Roman" panose="02020603050405020304" pitchFamily="18" charset="0"/>
                <a:ea typeface="+mn-ea"/>
                <a:cs typeface="+mn-cs"/>
              </a:defRPr>
            </a:pPr>
            <a:endParaRPr lang="en-US"/>
          </a:p>
        </c:txPr>
        <c:crossAx val="467546320"/>
        <c:crosses val="autoZero"/>
        <c:crossBetween val="between"/>
      </c:valAx>
      <c:spPr>
        <a:noFill/>
        <a:ln>
          <a:noFill/>
        </a:ln>
        <a:effectLst/>
      </c:spPr>
    </c:plotArea>
    <c:legend>
      <c:legendPos val="r"/>
      <c:layout>
        <c:manualLayout>
          <c:xMode val="edge"/>
          <c:yMode val="edge"/>
          <c:x val="0.10575935617028157"/>
          <c:y val="0.82970027594333029"/>
          <c:w val="0.795961068391148"/>
          <c:h val="4.95736562341472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mn-cs"/>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sz="800" baseline="0">
          <a:latin typeface="Times New Roman" panose="02020603050405020304" pitchFamily="18" charset="0"/>
        </a:defRPr>
      </a:pPr>
      <a:endParaRPr lang="en-US"/>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616161716296222E-2"/>
          <c:y val="6.7839909841778262E-2"/>
          <c:w val="0.93476377952755907"/>
          <c:h val="0.89864703352758868"/>
        </c:manualLayout>
      </c:layout>
      <c:scatterChart>
        <c:scatterStyle val="smoothMarker"/>
        <c:varyColors val="0"/>
        <c:ser>
          <c:idx val="1"/>
          <c:order val="0"/>
          <c:spPr>
            <a:ln w="19050" cap="rnd">
              <a:solidFill>
                <a:srgbClr val="FF0000"/>
              </a:solidFill>
              <a:round/>
            </a:ln>
            <a:effectLst/>
          </c:spPr>
          <c:marker>
            <c:symbol val="circle"/>
            <c:size val="6"/>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rnd">
                <a:solidFill>
                  <a:schemeClr val="accent4"/>
                </a:solidFill>
                <a:round/>
              </a:ln>
              <a:effectLst/>
              <a:scene3d>
                <a:camera prst="orthographicFront">
                  <a:rot lat="0" lon="0" rev="0"/>
                </a:camera>
                <a:lightRig rig="threePt" dir="t">
                  <a:rot lat="0" lon="0" rev="1200000"/>
                </a:lightRig>
              </a:scene3d>
              <a:sp3d>
                <a:bevelT w="63500" h="25400"/>
              </a:sp3d>
            </c:spPr>
          </c:marker>
          <c:dLbls>
            <c:dLbl>
              <c:idx val="0"/>
              <c:layout>
                <c:manualLayout>
                  <c:x val="-6.9381423218486976E-2"/>
                  <c:y val="-4.1527671341031656E-2"/>
                </c:manualLayout>
              </c:layout>
              <c:tx>
                <c:rich>
                  <a:bodyPr/>
                  <a:lstStyle/>
                  <a:p>
                    <a:r>
                      <a:rPr lang="en-US"/>
                      <a:t>2006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83-434F-A36A-EF73171E0E44}"/>
                </c:ext>
              </c:extLst>
            </c:dLbl>
            <c:dLbl>
              <c:idx val="1"/>
              <c:layout>
                <c:manualLayout>
                  <c:x val="-2.4016646498707127E-2"/>
                  <c:y val="-3.3977185642662298E-2"/>
                </c:manualLayout>
              </c:layout>
              <c:tx>
                <c:rich>
                  <a:bodyPr/>
                  <a:lstStyle/>
                  <a:p>
                    <a:r>
                      <a:rPr lang="en-US"/>
                      <a:t>2007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83-434F-A36A-EF73171E0E44}"/>
                </c:ext>
              </c:extLst>
            </c:dLbl>
            <c:dLbl>
              <c:idx val="2"/>
              <c:layout>
                <c:manualLayout>
                  <c:x val="-2.8370370630870948E-2"/>
                  <c:y val="-1.453148864866468E-2"/>
                </c:manualLayout>
              </c:layout>
              <c:tx>
                <c:rich>
                  <a:bodyPr/>
                  <a:lstStyle/>
                  <a:p>
                    <a:r>
                      <a:rPr lang="en-US"/>
                      <a:t>2008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83-434F-A36A-EF73171E0E44}"/>
                </c:ext>
              </c:extLst>
            </c:dLbl>
            <c:dLbl>
              <c:idx val="3"/>
              <c:layout>
                <c:manualLayout>
                  <c:x val="-0.13454854074369876"/>
                  <c:y val="-3.2646747537246598E-2"/>
                </c:manualLayout>
              </c:layout>
              <c:tx>
                <c:rich>
                  <a:bodyPr/>
                  <a:lstStyle/>
                  <a:p>
                    <a:r>
                      <a:rPr lang="en-US"/>
                      <a:t>2009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83-434F-A36A-EF73171E0E44}"/>
                </c:ext>
              </c:extLst>
            </c:dLbl>
            <c:dLbl>
              <c:idx val="4"/>
              <c:layout>
                <c:manualLayout>
                  <c:x val="-0.11474619993826693"/>
                  <c:y val="4.8635741754395737E-2"/>
                </c:manualLayout>
              </c:layout>
              <c:tx>
                <c:rich>
                  <a:bodyPr/>
                  <a:lstStyle/>
                  <a:p>
                    <a:r>
                      <a:rPr lang="en-US"/>
                      <a:t>2010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83-434F-A36A-EF73171E0E44}"/>
                </c:ext>
              </c:extLst>
            </c:dLbl>
            <c:dLbl>
              <c:idx val="5"/>
              <c:layout>
                <c:manualLayout>
                  <c:x val="8.0055488329023438E-3"/>
                  <c:y val="-3.0523469547407887E-2"/>
                </c:manualLayout>
              </c:layout>
              <c:tx>
                <c:rich>
                  <a:bodyPr/>
                  <a:lstStyle/>
                  <a:p>
                    <a:r>
                      <a:rPr lang="en-US"/>
                      <a:t>2011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83-434F-A36A-EF73171E0E44}"/>
                </c:ext>
              </c:extLst>
            </c:dLbl>
            <c:dLbl>
              <c:idx val="6"/>
              <c:layout>
                <c:manualLayout>
                  <c:x val="-6.6712906940852856E-2"/>
                  <c:y val="-4.9078157039401084E-2"/>
                </c:manualLayout>
              </c:layout>
              <c:tx>
                <c:rich>
                  <a:bodyPr/>
                  <a:lstStyle/>
                  <a:p>
                    <a:r>
                      <a:rPr lang="en-US"/>
                      <a:t>2012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C83-434F-A36A-EF73171E0E44}"/>
                </c:ext>
              </c:extLst>
            </c:dLbl>
            <c:dLbl>
              <c:idx val="7"/>
              <c:layout>
                <c:manualLayout>
                  <c:x val="1.3486231330586023E-2"/>
                  <c:y val="-1.6118747633412688E-3"/>
                </c:manualLayout>
              </c:layout>
              <c:tx>
                <c:rich>
                  <a:bodyPr/>
                  <a:lstStyle/>
                  <a:p>
                    <a:r>
                      <a:rPr lang="en-US"/>
                      <a:t>2013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C83-434F-A36A-EF73171E0E44}"/>
                </c:ext>
              </c:extLst>
            </c:dLbl>
            <c:dLbl>
              <c:idx val="8"/>
              <c:layout>
                <c:manualLayout>
                  <c:x val="-0.16393145140019624"/>
                  <c:y val="6.0068211812506489E-2"/>
                </c:manualLayout>
              </c:layout>
              <c:tx>
                <c:rich>
                  <a:bodyPr/>
                  <a:lstStyle/>
                  <a:p>
                    <a:r>
                      <a:rPr lang="en-US"/>
                      <a:t>2014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C83-434F-A36A-EF73171E0E44}"/>
                </c:ext>
              </c:extLst>
            </c:dLbl>
            <c:dLbl>
              <c:idx val="9"/>
              <c:layout>
                <c:manualLayout>
                  <c:x val="-5.4327355684405977E-2"/>
                  <c:y val="3.8165916006571952E-2"/>
                </c:manualLayout>
              </c:layout>
              <c:tx>
                <c:rich>
                  <a:bodyPr/>
                  <a:lstStyle/>
                  <a:p>
                    <a:r>
                      <a:rPr lang="en-US"/>
                      <a:t>2015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C83-434F-A36A-EF73171E0E44}"/>
                </c:ext>
              </c:extLst>
            </c:dLbl>
            <c:dLbl>
              <c:idx val="10"/>
              <c:layout>
                <c:manualLayout>
                  <c:x val="-2.1348125735417816E-2"/>
                  <c:y val="7.0193690025747005E-2"/>
                </c:manualLayout>
              </c:layout>
              <c:tx>
                <c:rich>
                  <a:bodyPr/>
                  <a:lstStyle/>
                  <a:p>
                    <a:r>
                      <a:rPr lang="en-US"/>
                      <a:t>2016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C83-434F-A36A-EF73171E0E44}"/>
                </c:ext>
              </c:extLst>
            </c:dLbl>
            <c:dLbl>
              <c:idx val="11"/>
              <c:layout>
                <c:manualLayout>
                  <c:x val="-0.11723069564942167"/>
                  <c:y val="8.2171508222489142E-3"/>
                </c:manualLayout>
              </c:layout>
              <c:tx>
                <c:rich>
                  <a:bodyPr/>
                  <a:lstStyle/>
                  <a:p>
                    <a:r>
                      <a:rPr lang="en-US"/>
                      <a:t>2017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C83-434F-A36A-EF73171E0E44}"/>
                </c:ext>
              </c:extLst>
            </c:dLbl>
            <c:dLbl>
              <c:idx val="12"/>
              <c:layout>
                <c:manualLayout>
                  <c:x val="-8.5392520884291667E-2"/>
                  <c:y val="-2.2410209173716247E-2"/>
                </c:manualLayout>
              </c:layout>
              <c:tx>
                <c:rich>
                  <a:bodyPr/>
                  <a:lstStyle/>
                  <a:p>
                    <a:r>
                      <a:rPr lang="en-US"/>
                      <a:t>2018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C83-434F-A36A-EF73171E0E44}"/>
                </c:ext>
              </c:extLst>
            </c:dLbl>
            <c:dLbl>
              <c:idx val="13"/>
              <c:layout>
                <c:manualLayout>
                  <c:x val="-4.2696274754741539E-2"/>
                  <c:y val="-4.7156292963379649E-2"/>
                </c:manualLayout>
              </c:layout>
              <c:tx>
                <c:rich>
                  <a:bodyPr/>
                  <a:lstStyle/>
                  <a:p>
                    <a:r>
                      <a:rPr lang="en-US"/>
                      <a:t>2019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C83-434F-A36A-EF73171E0E44}"/>
                </c:ext>
              </c:extLst>
            </c:dLbl>
            <c:dLbl>
              <c:idx val="14"/>
              <c:layout>
                <c:manualLayout>
                  <c:x val="-0.12007117913297907"/>
                  <c:y val="6.1965093346382547E-2"/>
                </c:manualLayout>
              </c:layout>
              <c:tx>
                <c:rich>
                  <a:bodyPr rot="0" spcFirstLastPara="1" vertOverflow="ellipsis" vert="horz" wrap="square" lIns="38100" tIns="19050" rIns="38100" bIns="19050" anchor="ctr" anchorCtr="1">
                    <a:noAutofit/>
                  </a:bodyPr>
                  <a:lstStyle/>
                  <a:p>
                    <a:pPr>
                      <a:defRPr sz="800" b="0" i="0" u="none" strike="noStrike" kern="1200" baseline="0">
                        <a:solidFill>
                          <a:srgbClr val="44546A"/>
                        </a:solidFill>
                        <a:latin typeface="Times New Roman" panose="02020603050405020304" pitchFamily="18" charset="0"/>
                        <a:ea typeface="+mn-ea"/>
                        <a:cs typeface="+mn-cs"/>
                      </a:defRPr>
                    </a:pPr>
                    <a:r>
                      <a:rPr lang="en-US" sz="800" baseline="0">
                        <a:latin typeface="Times New Roman" panose="02020603050405020304" pitchFamily="18" charset="0"/>
                      </a:rPr>
                      <a:t>2020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2534352501355245"/>
                      <c:h val="6.2153480814898125E-2"/>
                    </c:manualLayout>
                  </c15:layout>
                </c:ext>
                <c:ext xmlns:c16="http://schemas.microsoft.com/office/drawing/2014/chart" uri="{C3380CC4-5D6E-409C-BE32-E72D297353CC}">
                  <c16:uniqueId val="{0000000E-CC83-434F-A36A-EF73171E0E44}"/>
                </c:ext>
              </c:extLst>
            </c:dLbl>
            <c:dLbl>
              <c:idx val="15"/>
              <c:layout>
                <c:manualLayout>
                  <c:x val="1.0674062867708761E-2"/>
                  <c:y val="-3.2622739847777804E-2"/>
                </c:manualLayout>
              </c:layout>
              <c:tx>
                <c:rich>
                  <a:bodyPr/>
                  <a:lstStyle/>
                  <a:p>
                    <a:r>
                      <a:rPr lang="en-US"/>
                      <a:t>2021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C83-434F-A36A-EF73171E0E44}"/>
                </c:ext>
              </c:extLst>
            </c:dLbl>
            <c:dLbl>
              <c:idx val="16"/>
              <c:layout>
                <c:manualLayout>
                  <c:x val="-5.1434317050597804E-2"/>
                  <c:y val="3.1226658550831701E-2"/>
                </c:manualLayout>
              </c:layout>
              <c:tx>
                <c:rich>
                  <a:bodyPr rot="0" spcFirstLastPara="1" vertOverflow="ellipsis" vert="horz" wrap="square" lIns="38100" tIns="19050" rIns="38100" bIns="19050" anchor="ctr" anchorCtr="1">
                    <a:noAutofit/>
                  </a:bodyPr>
                  <a:lstStyle/>
                  <a:p>
                    <a:pPr>
                      <a:defRPr sz="800" b="0" i="0" u="none" strike="noStrike" kern="1200" baseline="0">
                        <a:solidFill>
                          <a:srgbClr val="44546A"/>
                        </a:solidFill>
                        <a:latin typeface="Times New Roman" panose="02020603050405020304" pitchFamily="18" charset="0"/>
                        <a:ea typeface="+mn-ea"/>
                        <a:cs typeface="+mn-cs"/>
                      </a:defRPr>
                    </a:pPr>
                    <a:r>
                      <a:rPr lang="en-US" sz="800" b="0" baseline="0">
                        <a:latin typeface="Times New Roman" panose="02020603050405020304" pitchFamily="18" charset="0"/>
                      </a:rPr>
                      <a:t>2022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0-CC83-434F-A36A-EF73171E0E44}"/>
                </c:ext>
              </c:extLst>
            </c:dLbl>
            <c:dLbl>
              <c:idx val="17"/>
              <c:layout>
                <c:manualLayout>
                  <c:x val="-0.12593255566144898"/>
                  <c:y val="6.9392173435947621E-3"/>
                </c:manualLayout>
              </c:layout>
              <c:tx>
                <c:rich>
                  <a:bodyPr/>
                  <a:lstStyle/>
                  <a:p>
                    <a:r>
                      <a:rPr lang="en-US"/>
                      <a:t>2023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C83-434F-A36A-EF73171E0E44}"/>
                </c:ext>
              </c:extLst>
            </c:dLbl>
            <c:dLbl>
              <c:idx val="18"/>
              <c:layout>
                <c:manualLayout>
                  <c:x val="-1.3581838921101494E-2"/>
                  <c:y val="-6.9392574557403776E-3"/>
                </c:manualLayout>
              </c:layout>
              <c:tx>
                <c:rich>
                  <a:bodyPr/>
                  <a:lstStyle/>
                  <a:p>
                    <a:r>
                      <a:rPr lang="en-US"/>
                      <a:t>2024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C83-434F-A36A-EF73171E0E4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44546A"/>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'Grafikoni, CAB, Karakter'!$Z$12:$Z$30</c:f>
              <c:numCache>
                <c:formatCode>#,##0.0</c:formatCode>
                <c:ptCount val="19"/>
                <c:pt idx="0">
                  <c:v>-3.3305407298974736</c:v>
                </c:pt>
                <c:pt idx="1">
                  <c:v>1.3050262370980286</c:v>
                </c:pt>
                <c:pt idx="2">
                  <c:v>4.1480120629277737</c:v>
                </c:pt>
                <c:pt idx="3">
                  <c:v>-0.52239416685725348</c:v>
                </c:pt>
                <c:pt idx="4">
                  <c:v>0.41026810927007673</c:v>
                </c:pt>
                <c:pt idx="5">
                  <c:v>0.30816389137498656</c:v>
                </c:pt>
                <c:pt idx="6">
                  <c:v>-4.2047696415254333E-2</c:v>
                </c:pt>
                <c:pt idx="7">
                  <c:v>0.44931713815385776</c:v>
                </c:pt>
                <c:pt idx="8">
                  <c:v>-1.6994305213717809</c:v>
                </c:pt>
                <c:pt idx="9">
                  <c:v>-1.4483637557084184</c:v>
                </c:pt>
                <c:pt idx="10">
                  <c:v>-0.37146480294039352</c:v>
                </c:pt>
                <c:pt idx="11">
                  <c:v>-0.60490750659722714</c:v>
                </c:pt>
                <c:pt idx="12">
                  <c:v>0.84074852090008867</c:v>
                </c:pt>
                <c:pt idx="13">
                  <c:v>2.1005160752801477</c:v>
                </c:pt>
                <c:pt idx="14">
                  <c:v>-2.4229218701431403</c:v>
                </c:pt>
                <c:pt idx="15">
                  <c:v>1.4366579762151328</c:v>
                </c:pt>
                <c:pt idx="16">
                  <c:v>0.16991588223105497</c:v>
                </c:pt>
                <c:pt idx="17">
                  <c:v>5.7502423509462011E-2</c:v>
                </c:pt>
                <c:pt idx="18">
                  <c:v>-0.17380968574343295</c:v>
                </c:pt>
              </c:numCache>
            </c:numRef>
          </c:xVal>
          <c:yVal>
            <c:numRef>
              <c:f>'Grafikoni, CAB, Karakter'!$AA$12:$AA$30</c:f>
              <c:numCache>
                <c:formatCode>#,##0.0</c:formatCode>
                <c:ptCount val="19"/>
                <c:pt idx="0">
                  <c:v>0.93168055739280864</c:v>
                </c:pt>
                <c:pt idx="1">
                  <c:v>2.6911490341582338</c:v>
                </c:pt>
                <c:pt idx="2">
                  <c:v>1.682151926706986</c:v>
                </c:pt>
                <c:pt idx="3">
                  <c:v>-0.10026544129340431</c:v>
                </c:pt>
                <c:pt idx="4">
                  <c:v>0.1571374731078361</c:v>
                </c:pt>
                <c:pt idx="5">
                  <c:v>-4.3729482678573905E-2</c:v>
                </c:pt>
                <c:pt idx="6">
                  <c:v>1.174758081467302</c:v>
                </c:pt>
                <c:pt idx="7">
                  <c:v>-1.5333147146386121</c:v>
                </c:pt>
                <c:pt idx="8">
                  <c:v>-0.20261301500717721</c:v>
                </c:pt>
                <c:pt idx="9">
                  <c:v>-2.8509713591816706</c:v>
                </c:pt>
                <c:pt idx="10">
                  <c:v>-1.7124745553258487</c:v>
                </c:pt>
                <c:pt idx="11">
                  <c:v>-1.9330963140968005</c:v>
                </c:pt>
                <c:pt idx="12">
                  <c:v>1.3701072568355852</c:v>
                </c:pt>
                <c:pt idx="13">
                  <c:v>1.3693782539756216</c:v>
                </c:pt>
                <c:pt idx="14">
                  <c:v>5.8792223947308946</c:v>
                </c:pt>
                <c:pt idx="15">
                  <c:v>-2.108975426574049</c:v>
                </c:pt>
                <c:pt idx="16">
                  <c:v>-1.1600554316069425</c:v>
                </c:pt>
                <c:pt idx="17">
                  <c:v>-1.1527199893467848</c:v>
                </c:pt>
                <c:pt idx="18">
                  <c:v>0.34896138574595426</c:v>
                </c:pt>
              </c:numCache>
            </c:numRef>
          </c:yVal>
          <c:smooth val="1"/>
          <c:extLst>
            <c:ext xmlns:c16="http://schemas.microsoft.com/office/drawing/2014/chart" uri="{C3380CC4-5D6E-409C-BE32-E72D297353CC}">
              <c16:uniqueId val="{00000013-CC83-434F-A36A-EF73171E0E44}"/>
            </c:ext>
          </c:extLst>
        </c:ser>
        <c:dLbls>
          <c:showLegendKey val="0"/>
          <c:showVal val="0"/>
          <c:showCatName val="0"/>
          <c:showSerName val="0"/>
          <c:showPercent val="0"/>
          <c:showBubbleSize val="0"/>
        </c:dLbls>
        <c:axId val="220401872"/>
        <c:axId val="343751600"/>
      </c:scatterChart>
      <c:valAx>
        <c:axId val="220401872"/>
        <c:scaling>
          <c:orientation val="minMax"/>
          <c:min val="-4"/>
        </c:scaling>
        <c:delete val="0"/>
        <c:axPos val="b"/>
        <c:majorGridlines>
          <c:spPr>
            <a:ln w="12700" cap="flat" cmpd="sng" algn="ctr">
              <a:noFill/>
              <a:round/>
            </a:ln>
            <a:effectLst/>
          </c:spPr>
        </c:majorGridlines>
        <c:title>
          <c:tx>
            <c:rich>
              <a:bodyPr rot="0" spcFirstLastPara="1" vertOverflow="ellipsis" vert="horz" wrap="square" anchor="ctr" anchorCtr="1"/>
              <a:lstStyle/>
              <a:p>
                <a:pPr>
                  <a:defRPr sz="900" b="0" i="0" u="none" strike="noStrike" kern="1200" baseline="0">
                    <a:solidFill>
                      <a:srgbClr val="44546A"/>
                    </a:solidFill>
                    <a:latin typeface="Times New Roman" panose="02020603050405020304" pitchFamily="18" charset="0"/>
                    <a:ea typeface="+mn-ea"/>
                    <a:cs typeface="+mn-cs"/>
                  </a:defRPr>
                </a:pPr>
                <a:r>
                  <a:rPr lang="sr-Cyrl-CS" sz="900" b="0" baseline="0">
                    <a:solidFill>
                      <a:srgbClr val="44546A"/>
                    </a:solidFill>
                    <a:latin typeface="Times New Roman" panose="02020603050405020304" pitchFamily="18" charset="0"/>
                  </a:rPr>
                  <a:t>Производни јаз</a:t>
                </a:r>
              </a:p>
            </c:rich>
          </c:tx>
          <c:layout>
            <c:manualLayout>
              <c:xMode val="edge"/>
              <c:yMode val="edge"/>
              <c:x val="0.82932193475815519"/>
              <c:y val="0.56597321446622073"/>
            </c:manualLayout>
          </c:layout>
          <c:overlay val="0"/>
          <c:spPr>
            <a:noFill/>
            <a:ln>
              <a:noFill/>
            </a:ln>
            <a:effectLst/>
          </c:spPr>
        </c:title>
        <c:numFmt formatCode="#,##0" sourceLinked="0"/>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900" b="0" i="0" u="none" strike="noStrike" kern="1200" baseline="0">
                <a:solidFill>
                  <a:srgbClr val="44546A"/>
                </a:solidFill>
                <a:latin typeface="Times New Roman" panose="02020603050405020304" pitchFamily="18" charset="0"/>
                <a:ea typeface="+mn-ea"/>
                <a:cs typeface="+mn-cs"/>
              </a:defRPr>
            </a:pPr>
            <a:endParaRPr lang="en-US"/>
          </a:p>
        </c:txPr>
        <c:crossAx val="343751600"/>
        <c:crosses val="autoZero"/>
        <c:crossBetween val="midCat"/>
      </c:valAx>
      <c:valAx>
        <c:axId val="343751600"/>
        <c:scaling>
          <c:orientation val="minMax"/>
          <c:max val="6.5"/>
          <c:min val="-4"/>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rgbClr val="44546A"/>
                    </a:solidFill>
                    <a:latin typeface="Times New Roman" panose="02020603050405020304" pitchFamily="18" charset="0"/>
                    <a:ea typeface="+mn-ea"/>
                    <a:cs typeface="+mn-cs"/>
                  </a:defRPr>
                </a:pPr>
                <a:r>
                  <a:rPr lang="sr-Cyrl-CS" sz="900" b="0" baseline="0">
                    <a:solidFill>
                      <a:srgbClr val="44546A"/>
                    </a:solidFill>
                    <a:latin typeface="Times New Roman" panose="02020603050405020304" pitchFamily="18" charset="0"/>
                  </a:rPr>
                  <a:t>Фискални импулс</a:t>
                </a:r>
                <a:endParaRPr lang="en-GB" sz="900" b="0" baseline="0">
                  <a:solidFill>
                    <a:srgbClr val="44546A"/>
                  </a:solidFill>
                  <a:latin typeface="Times New Roman" panose="02020603050405020304" pitchFamily="18" charset="0"/>
                </a:endParaRPr>
              </a:p>
            </c:rich>
          </c:tx>
          <c:layout>
            <c:manualLayout>
              <c:xMode val="edge"/>
              <c:yMode val="edge"/>
              <c:x val="2.416097987751531E-3"/>
              <c:y val="0.49974210003786534"/>
            </c:manualLayout>
          </c:layout>
          <c:overlay val="0"/>
          <c:spPr>
            <a:noFill/>
            <a:ln>
              <a:noFill/>
            </a:ln>
            <a:effectLst/>
          </c:spPr>
        </c:title>
        <c:numFmt formatCode="#,##0" sourceLinked="0"/>
        <c:majorTickMark val="none"/>
        <c:minorTickMark val="none"/>
        <c:tickLblPos val="nextTo"/>
        <c:spPr>
          <a:noFill/>
          <a:ln w="9525">
            <a:solidFill>
              <a:srgbClr val="D9D9D9"/>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22040187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latin typeface="Cambria" panose="02040503050406030204" pitchFamily="18" charset="0"/>
        </a:defRPr>
      </a:pPr>
      <a:endParaRPr lang="en-US"/>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368051268925991E-2"/>
          <c:y val="2.4498269896193772E-2"/>
          <c:w val="0.9372012977727866"/>
          <c:h val="0.90122138542350005"/>
        </c:manualLayout>
      </c:layout>
      <c:lineChart>
        <c:grouping val="standard"/>
        <c:varyColors val="0"/>
        <c:ser>
          <c:idx val="0"/>
          <c:order val="0"/>
          <c:spPr>
            <a:ln w="28575" cap="rnd" cmpd="sng" algn="ctr">
              <a:solidFill>
                <a:schemeClr val="accent1">
                  <a:shade val="40000"/>
                  <a:shade val="95000"/>
                  <a:satMod val="105000"/>
                </a:schemeClr>
              </a:solidFill>
              <a:prstDash val="solid"/>
              <a:round/>
            </a:ln>
            <a:effectLst/>
          </c:spPr>
          <c:marker>
            <c:spPr>
              <a:solidFill>
                <a:schemeClr val="accent1">
                  <a:shade val="38000"/>
                </a:schemeClr>
              </a:solidFill>
              <a:ln w="9525" cap="flat" cmpd="sng" algn="ctr">
                <a:solidFill>
                  <a:schemeClr val="accent1">
                    <a:shade val="38000"/>
                    <a:shade val="95000"/>
                    <a:satMod val="105000"/>
                  </a:schemeClr>
                </a:solidFill>
                <a:prstDash val="solid"/>
                <a:round/>
              </a:ln>
              <a:effectLst/>
            </c:spPr>
          </c:marker>
          <c:dLbls>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'uticaj promene kursa'!$H$50:$R$50</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'uticaj promene kursa'!$H$50:$Q$50</c:f>
              <c:numCache>
                <c:formatCode>General</c:formatCode>
                <c:ptCount val="10"/>
                <c:pt idx="0">
                  <c:v>2017</c:v>
                </c:pt>
                <c:pt idx="1">
                  <c:v>2018</c:v>
                </c:pt>
                <c:pt idx="2">
                  <c:v>2019</c:v>
                </c:pt>
                <c:pt idx="3">
                  <c:v>2020</c:v>
                </c:pt>
                <c:pt idx="4">
                  <c:v>2021</c:v>
                </c:pt>
                <c:pt idx="5">
                  <c:v>2022</c:v>
                </c:pt>
                <c:pt idx="6">
                  <c:v>2023</c:v>
                </c:pt>
                <c:pt idx="7">
                  <c:v>2024</c:v>
                </c:pt>
                <c:pt idx="8">
                  <c:v>2025</c:v>
                </c:pt>
                <c:pt idx="9">
                  <c:v>2026</c:v>
                </c:pt>
              </c:numCache>
            </c:numRef>
          </c:val>
          <c:smooth val="0"/>
          <c:extLst>
            <c:ext xmlns:c16="http://schemas.microsoft.com/office/drawing/2014/chart" uri="{C3380CC4-5D6E-409C-BE32-E72D297353CC}">
              <c16:uniqueId val="{00000000-E44B-4C7D-93D9-2F107296D0D3}"/>
            </c:ext>
          </c:extLst>
        </c:ser>
        <c:ser>
          <c:idx val="1"/>
          <c:order val="1"/>
          <c:spPr>
            <a:ln w="28575" cap="rnd" cmpd="sng" algn="ctr">
              <a:solidFill>
                <a:schemeClr val="accent1">
                  <a:shade val="51000"/>
                  <a:shade val="95000"/>
                  <a:satMod val="105000"/>
                </a:schemeClr>
              </a:solidFill>
              <a:prstDash val="solid"/>
              <a:round/>
            </a:ln>
            <a:effectLst/>
          </c:spPr>
          <c:marker>
            <c:symbol val="diamond"/>
            <c:size val="10"/>
            <c:spPr>
              <a:solidFill>
                <a:schemeClr val="accent1">
                  <a:shade val="45000"/>
                </a:schemeClr>
              </a:solidFill>
              <a:ln w="9525" cap="flat" cmpd="sng" algn="ctr">
                <a:solidFill>
                  <a:schemeClr val="accent1">
                    <a:shade val="45000"/>
                    <a:shade val="95000"/>
                    <a:satMod val="105000"/>
                  </a:schemeClr>
                </a:solidFill>
                <a:prstDash val="solid"/>
                <a:round/>
              </a:ln>
              <a:effectLst/>
            </c:spPr>
          </c:marker>
          <c:dLbls>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'uticaj promene kursa'!$H$50:$R$50</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'uticaj promene kursa'!$H$51:$R$51</c:f>
              <c:numCache>
                <c:formatCode>#,##0.0</c:formatCode>
                <c:ptCount val="11"/>
                <c:pt idx="0">
                  <c:v>55.53345468353281</c:v>
                </c:pt>
                <c:pt idx="1">
                  <c:v>51.441092072350671</c:v>
                </c:pt>
                <c:pt idx="2">
                  <c:v>49.66530402514654</c:v>
                </c:pt>
                <c:pt idx="3">
                  <c:v>54.401541878454651</c:v>
                </c:pt>
                <c:pt idx="4">
                  <c:v>53.881197963213388</c:v>
                </c:pt>
                <c:pt idx="5">
                  <c:v>52.420124041721209</c:v>
                </c:pt>
                <c:pt idx="6">
                  <c:v>48.041062113397061</c:v>
                </c:pt>
                <c:pt idx="7">
                  <c:v>47.458964621404704</c:v>
                </c:pt>
                <c:pt idx="8">
                  <c:v>46.997657706772344</c:v>
                </c:pt>
                <c:pt idx="9">
                  <c:v>46.460300779916849</c:v>
                </c:pt>
                <c:pt idx="10">
                  <c:v>46.039196865895306</c:v>
                </c:pt>
              </c:numCache>
            </c:numRef>
          </c:val>
          <c:smooth val="0"/>
          <c:extLst>
            <c:ext xmlns:c16="http://schemas.microsoft.com/office/drawing/2014/chart" uri="{C3380CC4-5D6E-409C-BE32-E72D297353CC}">
              <c16:uniqueId val="{00000001-E44B-4C7D-93D9-2F107296D0D3}"/>
            </c:ext>
          </c:extLst>
        </c:ser>
        <c:ser>
          <c:idx val="2"/>
          <c:order val="2"/>
          <c:spPr>
            <a:ln w="28575" cap="rnd" cmpd="sng" algn="ctr">
              <a:solidFill>
                <a:schemeClr val="accent1">
                  <a:shade val="62000"/>
                  <a:shade val="95000"/>
                  <a:satMod val="105000"/>
                </a:schemeClr>
              </a:solidFill>
              <a:prstDash val="solid"/>
              <a:round/>
            </a:ln>
            <a:effectLst/>
          </c:spPr>
          <c:marker>
            <c:symbol val="none"/>
          </c:marker>
          <c:cat>
            <c:numRef>
              <c:f>'uticaj promene kursa'!$H$50:$R$50</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'uticaj promene kursa'!$H$52:$R$52</c:f>
              <c:numCache>
                <c:formatCode>#,##0.0</c:formatCode>
                <c:ptCount val="11"/>
                <c:pt idx="0">
                  <c:v>55.53345468353281</c:v>
                </c:pt>
                <c:pt idx="1">
                  <c:v>51.441092072350671</c:v>
                </c:pt>
                <c:pt idx="2">
                  <c:v>49.66530402514654</c:v>
                </c:pt>
                <c:pt idx="3">
                  <c:v>54.401541878454651</c:v>
                </c:pt>
                <c:pt idx="4">
                  <c:v>53.881197963213388</c:v>
                </c:pt>
                <c:pt idx="5">
                  <c:v>52.420124041721209</c:v>
                </c:pt>
                <c:pt idx="6">
                  <c:v>48.041062113397061</c:v>
                </c:pt>
                <c:pt idx="7">
                  <c:v>48.208816262422893</c:v>
                </c:pt>
                <c:pt idx="8">
                  <c:v>47.749620230080701</c:v>
                </c:pt>
                <c:pt idx="9">
                  <c:v>47.203665592395524</c:v>
                </c:pt>
                <c:pt idx="10">
                  <c:v>46.766616176376445</c:v>
                </c:pt>
              </c:numCache>
            </c:numRef>
          </c:val>
          <c:smooth val="0"/>
          <c:extLst>
            <c:ext xmlns:c16="http://schemas.microsoft.com/office/drawing/2014/chart" uri="{C3380CC4-5D6E-409C-BE32-E72D297353CC}">
              <c16:uniqueId val="{00000002-E44B-4C7D-93D9-2F107296D0D3}"/>
            </c:ext>
          </c:extLst>
        </c:ser>
        <c:ser>
          <c:idx val="3"/>
          <c:order val="3"/>
          <c:spPr>
            <a:ln w="28575" cap="rnd" cmpd="sng" algn="ctr">
              <a:solidFill>
                <a:schemeClr val="accent1">
                  <a:shade val="73000"/>
                  <a:shade val="95000"/>
                  <a:satMod val="105000"/>
                </a:schemeClr>
              </a:solidFill>
              <a:prstDash val="solid"/>
              <a:round/>
            </a:ln>
            <a:effectLst/>
          </c:spPr>
          <c:marker>
            <c:symbol val="none"/>
          </c:marker>
          <c:cat>
            <c:numRef>
              <c:f>'uticaj promene kursa'!$H$50:$R$50</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'uticaj promene kursa'!$H$53:$R$53</c:f>
              <c:numCache>
                <c:formatCode>#,##0.0</c:formatCode>
                <c:ptCount val="11"/>
                <c:pt idx="0">
                  <c:v>55.53345468353281</c:v>
                </c:pt>
                <c:pt idx="1">
                  <c:v>51.441092072350671</c:v>
                </c:pt>
                <c:pt idx="2">
                  <c:v>49.66530402514654</c:v>
                </c:pt>
                <c:pt idx="3">
                  <c:v>54.401541878454651</c:v>
                </c:pt>
                <c:pt idx="4">
                  <c:v>53.881197963213388</c:v>
                </c:pt>
                <c:pt idx="5">
                  <c:v>52.420124041721209</c:v>
                </c:pt>
                <c:pt idx="6">
                  <c:v>48.041062113397061</c:v>
                </c:pt>
                <c:pt idx="7">
                  <c:v>48.958667903441096</c:v>
                </c:pt>
                <c:pt idx="8">
                  <c:v>48.501582753389059</c:v>
                </c:pt>
                <c:pt idx="9">
                  <c:v>47.947030404874191</c:v>
                </c:pt>
                <c:pt idx="10">
                  <c:v>47.494035486857591</c:v>
                </c:pt>
              </c:numCache>
            </c:numRef>
          </c:val>
          <c:smooth val="0"/>
          <c:extLst>
            <c:ext xmlns:c16="http://schemas.microsoft.com/office/drawing/2014/chart" uri="{C3380CC4-5D6E-409C-BE32-E72D297353CC}">
              <c16:uniqueId val="{00000003-E44B-4C7D-93D9-2F107296D0D3}"/>
            </c:ext>
          </c:extLst>
        </c:ser>
        <c:ser>
          <c:idx val="4"/>
          <c:order val="4"/>
          <c:spPr>
            <a:ln w="28575" cap="rnd" cmpd="sng" algn="ctr">
              <a:solidFill>
                <a:schemeClr val="accent1">
                  <a:shade val="83000"/>
                  <a:shade val="95000"/>
                  <a:satMod val="105000"/>
                </a:schemeClr>
              </a:solidFill>
              <a:prstDash val="solid"/>
              <a:round/>
            </a:ln>
            <a:effectLst/>
          </c:spPr>
          <c:marker>
            <c:symbol val="none"/>
          </c:marker>
          <c:cat>
            <c:numRef>
              <c:f>'uticaj promene kursa'!$H$50:$R$50</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'uticaj promene kursa'!$H$54:$R$54</c:f>
              <c:numCache>
                <c:formatCode>#,##0.0</c:formatCode>
                <c:ptCount val="11"/>
                <c:pt idx="0">
                  <c:v>55.53345468353281</c:v>
                </c:pt>
                <c:pt idx="1">
                  <c:v>51.441092072350671</c:v>
                </c:pt>
                <c:pt idx="2">
                  <c:v>49.66530402514654</c:v>
                </c:pt>
                <c:pt idx="3">
                  <c:v>54.401541878454651</c:v>
                </c:pt>
                <c:pt idx="4">
                  <c:v>53.881197963213388</c:v>
                </c:pt>
                <c:pt idx="5">
                  <c:v>52.420124041721209</c:v>
                </c:pt>
                <c:pt idx="6">
                  <c:v>48.041062113397061</c:v>
                </c:pt>
                <c:pt idx="7">
                  <c:v>49.708519544459293</c:v>
                </c:pt>
                <c:pt idx="8">
                  <c:v>49.253545276697416</c:v>
                </c:pt>
                <c:pt idx="9">
                  <c:v>48.690395217352858</c:v>
                </c:pt>
                <c:pt idx="10">
                  <c:v>48.221454797338751</c:v>
                </c:pt>
              </c:numCache>
            </c:numRef>
          </c:val>
          <c:smooth val="0"/>
          <c:extLst>
            <c:ext xmlns:c16="http://schemas.microsoft.com/office/drawing/2014/chart" uri="{C3380CC4-5D6E-409C-BE32-E72D297353CC}">
              <c16:uniqueId val="{00000004-E44B-4C7D-93D9-2F107296D0D3}"/>
            </c:ext>
          </c:extLst>
        </c:ser>
        <c:ser>
          <c:idx val="5"/>
          <c:order val="5"/>
          <c:spPr>
            <a:ln w="28575" cap="rnd" cmpd="sng" algn="ctr">
              <a:solidFill>
                <a:schemeClr val="accent1">
                  <a:shade val="94000"/>
                  <a:shade val="95000"/>
                  <a:satMod val="105000"/>
                </a:schemeClr>
              </a:solidFill>
              <a:prstDash val="solid"/>
              <a:round/>
            </a:ln>
            <a:effectLst/>
          </c:spPr>
          <c:marker>
            <c:symbol val="none"/>
          </c:marker>
          <c:cat>
            <c:numRef>
              <c:f>'uticaj promene kursa'!$H$50:$R$50</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'uticaj promene kursa'!$H$55:$R$55</c:f>
              <c:numCache>
                <c:formatCode>#,##0.0</c:formatCode>
                <c:ptCount val="11"/>
                <c:pt idx="0">
                  <c:v>55.53345468353281</c:v>
                </c:pt>
                <c:pt idx="1">
                  <c:v>51.441092072350671</c:v>
                </c:pt>
                <c:pt idx="2">
                  <c:v>49.66530402514654</c:v>
                </c:pt>
                <c:pt idx="3">
                  <c:v>54.401541878454651</c:v>
                </c:pt>
                <c:pt idx="4">
                  <c:v>53.881197963213388</c:v>
                </c:pt>
                <c:pt idx="5">
                  <c:v>52.420124041721209</c:v>
                </c:pt>
                <c:pt idx="6">
                  <c:v>48.041062113397061</c:v>
                </c:pt>
                <c:pt idx="7">
                  <c:v>50.458371185477482</c:v>
                </c:pt>
                <c:pt idx="8">
                  <c:v>50.00550780000578</c:v>
                </c:pt>
                <c:pt idx="9">
                  <c:v>49.433760029831539</c:v>
                </c:pt>
                <c:pt idx="10">
                  <c:v>48.94887410781989</c:v>
                </c:pt>
              </c:numCache>
            </c:numRef>
          </c:val>
          <c:smooth val="0"/>
          <c:extLst>
            <c:ext xmlns:c16="http://schemas.microsoft.com/office/drawing/2014/chart" uri="{C3380CC4-5D6E-409C-BE32-E72D297353CC}">
              <c16:uniqueId val="{00000005-E44B-4C7D-93D9-2F107296D0D3}"/>
            </c:ext>
          </c:extLst>
        </c:ser>
        <c:ser>
          <c:idx val="6"/>
          <c:order val="6"/>
          <c:spPr>
            <a:ln w="28575" cap="rnd" cmpd="sng" algn="ctr">
              <a:solidFill>
                <a:schemeClr val="accent1">
                  <a:tint val="95000"/>
                  <a:shade val="95000"/>
                  <a:satMod val="105000"/>
                </a:schemeClr>
              </a:solidFill>
              <a:prstDash val="solid"/>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6-E44B-4C7D-93D9-2F107296D0D3}"/>
                </c:ext>
              </c:extLst>
            </c:dLbl>
            <c:dLbl>
              <c:idx val="1"/>
              <c:delete val="1"/>
              <c:extLst>
                <c:ext xmlns:c15="http://schemas.microsoft.com/office/drawing/2012/chart" uri="{CE6537A1-D6FC-4f65-9D91-7224C49458BB}"/>
                <c:ext xmlns:c16="http://schemas.microsoft.com/office/drawing/2014/chart" uri="{C3380CC4-5D6E-409C-BE32-E72D297353CC}">
                  <c16:uniqueId val="{00000007-E44B-4C7D-93D9-2F107296D0D3}"/>
                </c:ext>
              </c:extLst>
            </c:dLbl>
            <c:dLbl>
              <c:idx val="2"/>
              <c:delete val="1"/>
              <c:extLst>
                <c:ext xmlns:c15="http://schemas.microsoft.com/office/drawing/2012/chart" uri="{CE6537A1-D6FC-4f65-9D91-7224C49458BB}"/>
                <c:ext xmlns:c16="http://schemas.microsoft.com/office/drawing/2014/chart" uri="{C3380CC4-5D6E-409C-BE32-E72D297353CC}">
                  <c16:uniqueId val="{00000008-E44B-4C7D-93D9-2F107296D0D3}"/>
                </c:ext>
              </c:extLst>
            </c:dLbl>
            <c:dLbl>
              <c:idx val="3"/>
              <c:delete val="1"/>
              <c:extLst>
                <c:ext xmlns:c15="http://schemas.microsoft.com/office/drawing/2012/chart" uri="{CE6537A1-D6FC-4f65-9D91-7224C49458BB}"/>
                <c:ext xmlns:c16="http://schemas.microsoft.com/office/drawing/2014/chart" uri="{C3380CC4-5D6E-409C-BE32-E72D297353CC}">
                  <c16:uniqueId val="{00000009-E44B-4C7D-93D9-2F107296D0D3}"/>
                </c:ext>
              </c:extLst>
            </c:dLbl>
            <c:dLbl>
              <c:idx val="4"/>
              <c:delete val="1"/>
              <c:extLst>
                <c:ext xmlns:c15="http://schemas.microsoft.com/office/drawing/2012/chart" uri="{CE6537A1-D6FC-4f65-9D91-7224C49458BB}"/>
                <c:ext xmlns:c16="http://schemas.microsoft.com/office/drawing/2014/chart" uri="{C3380CC4-5D6E-409C-BE32-E72D297353CC}">
                  <c16:uniqueId val="{0000000A-E44B-4C7D-93D9-2F107296D0D3}"/>
                </c:ext>
              </c:extLst>
            </c:dLbl>
            <c:dLbl>
              <c:idx val="5"/>
              <c:delete val="1"/>
              <c:extLst>
                <c:ext xmlns:c15="http://schemas.microsoft.com/office/drawing/2012/chart" uri="{CE6537A1-D6FC-4f65-9D91-7224C49458BB}"/>
                <c:ext xmlns:c16="http://schemas.microsoft.com/office/drawing/2014/chart" uri="{C3380CC4-5D6E-409C-BE32-E72D297353CC}">
                  <c16:uniqueId val="{0000000B-E44B-4C7D-93D9-2F107296D0D3}"/>
                </c:ext>
              </c:extLst>
            </c:dLbl>
            <c:dLbl>
              <c:idx val="6"/>
              <c:delete val="1"/>
              <c:extLst>
                <c:ext xmlns:c15="http://schemas.microsoft.com/office/drawing/2012/chart" uri="{CE6537A1-D6FC-4f65-9D91-7224C49458BB}"/>
                <c:ext xmlns:c16="http://schemas.microsoft.com/office/drawing/2014/chart" uri="{C3380CC4-5D6E-409C-BE32-E72D297353CC}">
                  <c16:uniqueId val="{0000000C-E44B-4C7D-93D9-2F107296D0D3}"/>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'uticaj promene kursa'!$H$50:$R$50</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'uticaj promene kursa'!$H$56:$R$56</c:f>
              <c:numCache>
                <c:formatCode>#,##0.0</c:formatCode>
                <c:ptCount val="11"/>
                <c:pt idx="0">
                  <c:v>55.53345468353281</c:v>
                </c:pt>
                <c:pt idx="1">
                  <c:v>51.441092072350671</c:v>
                </c:pt>
                <c:pt idx="2">
                  <c:v>49.66530402514654</c:v>
                </c:pt>
                <c:pt idx="3">
                  <c:v>54.401541878454651</c:v>
                </c:pt>
                <c:pt idx="4">
                  <c:v>53.881197963213388</c:v>
                </c:pt>
                <c:pt idx="5">
                  <c:v>52.420124041721209</c:v>
                </c:pt>
                <c:pt idx="6">
                  <c:v>48.041062113397061</c:v>
                </c:pt>
                <c:pt idx="7">
                  <c:v>51.208222826495678</c:v>
                </c:pt>
                <c:pt idx="8">
                  <c:v>50.757470323314138</c:v>
                </c:pt>
                <c:pt idx="9">
                  <c:v>50.177124842310214</c:v>
                </c:pt>
                <c:pt idx="10">
                  <c:v>49.676293418301029</c:v>
                </c:pt>
              </c:numCache>
            </c:numRef>
          </c:val>
          <c:smooth val="0"/>
          <c:extLst>
            <c:ext xmlns:c16="http://schemas.microsoft.com/office/drawing/2014/chart" uri="{C3380CC4-5D6E-409C-BE32-E72D297353CC}">
              <c16:uniqueId val="{0000000D-E44B-4C7D-93D9-2F107296D0D3}"/>
            </c:ext>
          </c:extLst>
        </c:ser>
        <c:ser>
          <c:idx val="7"/>
          <c:order val="7"/>
          <c:spPr>
            <a:ln w="28575" cap="rnd" cmpd="sng" algn="ctr">
              <a:solidFill>
                <a:schemeClr val="accent1">
                  <a:tint val="84000"/>
                  <a:shade val="95000"/>
                  <a:satMod val="105000"/>
                </a:schemeClr>
              </a:solidFill>
              <a:prstDash val="solid"/>
              <a:round/>
            </a:ln>
            <a:effectLst/>
          </c:spPr>
          <c:marker>
            <c:symbol val="none"/>
          </c:marker>
          <c:cat>
            <c:numRef>
              <c:f>'uticaj promene kursa'!$H$50:$R$50</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'uticaj promene kursa'!$H$57:$R$57</c:f>
              <c:numCache>
                <c:formatCode>#,##0.0</c:formatCode>
                <c:ptCount val="11"/>
                <c:pt idx="0">
                  <c:v>55.53345468353281</c:v>
                </c:pt>
                <c:pt idx="1">
                  <c:v>51.441092072350671</c:v>
                </c:pt>
                <c:pt idx="2">
                  <c:v>49.66530402514654</c:v>
                </c:pt>
                <c:pt idx="3">
                  <c:v>54.401541878454651</c:v>
                </c:pt>
                <c:pt idx="4">
                  <c:v>53.881197963213388</c:v>
                </c:pt>
                <c:pt idx="5">
                  <c:v>52.420124041721209</c:v>
                </c:pt>
                <c:pt idx="6">
                  <c:v>48.041062113397061</c:v>
                </c:pt>
                <c:pt idx="7">
                  <c:v>46.709112980386507</c:v>
                </c:pt>
                <c:pt idx="8">
                  <c:v>46.245695183463987</c:v>
                </c:pt>
                <c:pt idx="9">
                  <c:v>45.716935967438182</c:v>
                </c:pt>
                <c:pt idx="10">
                  <c:v>45.31177755541416</c:v>
                </c:pt>
              </c:numCache>
            </c:numRef>
          </c:val>
          <c:smooth val="0"/>
          <c:extLst>
            <c:ext xmlns:c16="http://schemas.microsoft.com/office/drawing/2014/chart" uri="{C3380CC4-5D6E-409C-BE32-E72D297353CC}">
              <c16:uniqueId val="{0000000E-E44B-4C7D-93D9-2F107296D0D3}"/>
            </c:ext>
          </c:extLst>
        </c:ser>
        <c:ser>
          <c:idx val="8"/>
          <c:order val="8"/>
          <c:spPr>
            <a:ln w="28575" cap="rnd" cmpd="sng" algn="ctr">
              <a:solidFill>
                <a:schemeClr val="accent1">
                  <a:tint val="74000"/>
                  <a:shade val="95000"/>
                  <a:satMod val="105000"/>
                </a:schemeClr>
              </a:solidFill>
              <a:prstDash val="solid"/>
              <a:round/>
            </a:ln>
            <a:effectLst/>
          </c:spPr>
          <c:marker>
            <c:symbol val="none"/>
          </c:marker>
          <c:cat>
            <c:numRef>
              <c:f>'uticaj promene kursa'!$H$50:$R$50</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'uticaj promene kursa'!$H$58:$R$58</c:f>
              <c:numCache>
                <c:formatCode>#,##0.0</c:formatCode>
                <c:ptCount val="11"/>
                <c:pt idx="0">
                  <c:v>55.53345468353281</c:v>
                </c:pt>
                <c:pt idx="1">
                  <c:v>51.441092072350671</c:v>
                </c:pt>
                <c:pt idx="2">
                  <c:v>49.66530402514654</c:v>
                </c:pt>
                <c:pt idx="3">
                  <c:v>54.401541878454651</c:v>
                </c:pt>
                <c:pt idx="4">
                  <c:v>53.881197963213388</c:v>
                </c:pt>
                <c:pt idx="5">
                  <c:v>52.420124041721209</c:v>
                </c:pt>
                <c:pt idx="6">
                  <c:v>48.041062113397061</c:v>
                </c:pt>
                <c:pt idx="7">
                  <c:v>45.959261339368304</c:v>
                </c:pt>
                <c:pt idx="8">
                  <c:v>45.493732660155629</c:v>
                </c:pt>
                <c:pt idx="9">
                  <c:v>44.973571154959515</c:v>
                </c:pt>
                <c:pt idx="10">
                  <c:v>44.584358244933007</c:v>
                </c:pt>
              </c:numCache>
            </c:numRef>
          </c:val>
          <c:smooth val="0"/>
          <c:extLst>
            <c:ext xmlns:c16="http://schemas.microsoft.com/office/drawing/2014/chart" uri="{C3380CC4-5D6E-409C-BE32-E72D297353CC}">
              <c16:uniqueId val="{0000000F-E44B-4C7D-93D9-2F107296D0D3}"/>
            </c:ext>
          </c:extLst>
        </c:ser>
        <c:ser>
          <c:idx val="9"/>
          <c:order val="9"/>
          <c:spPr>
            <a:ln w="28575" cap="rnd" cmpd="sng" algn="ctr">
              <a:solidFill>
                <a:schemeClr val="accent1">
                  <a:tint val="63000"/>
                  <a:shade val="95000"/>
                  <a:satMod val="105000"/>
                </a:schemeClr>
              </a:solidFill>
              <a:prstDash val="solid"/>
              <a:round/>
            </a:ln>
            <a:effectLst/>
          </c:spPr>
          <c:marker>
            <c:symbol val="none"/>
          </c:marker>
          <c:cat>
            <c:numRef>
              <c:f>'uticaj promene kursa'!$H$50:$R$50</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'uticaj promene kursa'!$H$59:$R$59</c:f>
              <c:numCache>
                <c:formatCode>#,##0.0</c:formatCode>
                <c:ptCount val="11"/>
                <c:pt idx="0">
                  <c:v>55.53345468353281</c:v>
                </c:pt>
                <c:pt idx="1">
                  <c:v>51.441092072350671</c:v>
                </c:pt>
                <c:pt idx="2">
                  <c:v>49.66530402514654</c:v>
                </c:pt>
                <c:pt idx="3">
                  <c:v>54.401541878454651</c:v>
                </c:pt>
                <c:pt idx="4">
                  <c:v>53.881197963213388</c:v>
                </c:pt>
                <c:pt idx="5">
                  <c:v>52.420124041721209</c:v>
                </c:pt>
                <c:pt idx="6">
                  <c:v>48.041062113397061</c:v>
                </c:pt>
                <c:pt idx="7">
                  <c:v>45.209409698350115</c:v>
                </c:pt>
                <c:pt idx="8">
                  <c:v>44.741770136847272</c:v>
                </c:pt>
                <c:pt idx="9">
                  <c:v>44.230206342480841</c:v>
                </c:pt>
                <c:pt idx="10">
                  <c:v>43.856938934451854</c:v>
                </c:pt>
              </c:numCache>
            </c:numRef>
          </c:val>
          <c:smooth val="0"/>
          <c:extLst>
            <c:ext xmlns:c16="http://schemas.microsoft.com/office/drawing/2014/chart" uri="{C3380CC4-5D6E-409C-BE32-E72D297353CC}">
              <c16:uniqueId val="{00000010-E44B-4C7D-93D9-2F107296D0D3}"/>
            </c:ext>
          </c:extLst>
        </c:ser>
        <c:ser>
          <c:idx val="10"/>
          <c:order val="10"/>
          <c:spPr>
            <a:ln w="28575" cap="rnd" cmpd="sng" algn="ctr">
              <a:solidFill>
                <a:schemeClr val="accent1">
                  <a:tint val="52000"/>
                  <a:shade val="95000"/>
                  <a:satMod val="105000"/>
                </a:schemeClr>
              </a:solidFill>
              <a:prstDash val="solid"/>
              <a:round/>
            </a:ln>
            <a:effectLst/>
          </c:spPr>
          <c:marker>
            <c:symbol val="none"/>
          </c:marker>
          <c:cat>
            <c:numRef>
              <c:f>'uticaj promene kursa'!$H$50:$R$50</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'uticaj promene kursa'!$H$60:$R$60</c:f>
              <c:numCache>
                <c:formatCode>#,##0.0</c:formatCode>
                <c:ptCount val="11"/>
                <c:pt idx="0">
                  <c:v>55.53345468353281</c:v>
                </c:pt>
                <c:pt idx="1">
                  <c:v>51.441092072350671</c:v>
                </c:pt>
                <c:pt idx="2">
                  <c:v>49.66530402514654</c:v>
                </c:pt>
                <c:pt idx="3">
                  <c:v>54.401541878454651</c:v>
                </c:pt>
                <c:pt idx="4">
                  <c:v>53.881197963213388</c:v>
                </c:pt>
                <c:pt idx="5">
                  <c:v>52.420124041721209</c:v>
                </c:pt>
                <c:pt idx="6">
                  <c:v>48.041062113397061</c:v>
                </c:pt>
                <c:pt idx="7">
                  <c:v>44.459558057331918</c:v>
                </c:pt>
                <c:pt idx="8">
                  <c:v>43.989807613538922</c:v>
                </c:pt>
                <c:pt idx="9">
                  <c:v>43.486841530002181</c:v>
                </c:pt>
                <c:pt idx="10">
                  <c:v>43.129519623970715</c:v>
                </c:pt>
              </c:numCache>
            </c:numRef>
          </c:val>
          <c:smooth val="0"/>
          <c:extLst>
            <c:ext xmlns:c16="http://schemas.microsoft.com/office/drawing/2014/chart" uri="{C3380CC4-5D6E-409C-BE32-E72D297353CC}">
              <c16:uniqueId val="{00000011-E44B-4C7D-93D9-2F107296D0D3}"/>
            </c:ext>
          </c:extLst>
        </c:ser>
        <c:ser>
          <c:idx val="11"/>
          <c:order val="11"/>
          <c:spPr>
            <a:ln w="28575" cap="rnd" cmpd="sng" algn="ctr">
              <a:solidFill>
                <a:schemeClr val="accent1">
                  <a:tint val="41000"/>
                  <a:shade val="95000"/>
                  <a:satMod val="105000"/>
                </a:schemeClr>
              </a:solidFill>
              <a:prstDash val="solid"/>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2-E44B-4C7D-93D9-2F107296D0D3}"/>
                </c:ext>
              </c:extLst>
            </c:dLbl>
            <c:dLbl>
              <c:idx val="1"/>
              <c:delete val="1"/>
              <c:extLst>
                <c:ext xmlns:c15="http://schemas.microsoft.com/office/drawing/2012/chart" uri="{CE6537A1-D6FC-4f65-9D91-7224C49458BB}"/>
                <c:ext xmlns:c16="http://schemas.microsoft.com/office/drawing/2014/chart" uri="{C3380CC4-5D6E-409C-BE32-E72D297353CC}">
                  <c16:uniqueId val="{00000013-E44B-4C7D-93D9-2F107296D0D3}"/>
                </c:ext>
              </c:extLst>
            </c:dLbl>
            <c:dLbl>
              <c:idx val="2"/>
              <c:delete val="1"/>
              <c:extLst>
                <c:ext xmlns:c15="http://schemas.microsoft.com/office/drawing/2012/chart" uri="{CE6537A1-D6FC-4f65-9D91-7224C49458BB}"/>
                <c:ext xmlns:c16="http://schemas.microsoft.com/office/drawing/2014/chart" uri="{C3380CC4-5D6E-409C-BE32-E72D297353CC}">
                  <c16:uniqueId val="{00000014-E44B-4C7D-93D9-2F107296D0D3}"/>
                </c:ext>
              </c:extLst>
            </c:dLbl>
            <c:dLbl>
              <c:idx val="3"/>
              <c:delete val="1"/>
              <c:extLst>
                <c:ext xmlns:c15="http://schemas.microsoft.com/office/drawing/2012/chart" uri="{CE6537A1-D6FC-4f65-9D91-7224C49458BB}"/>
                <c:ext xmlns:c16="http://schemas.microsoft.com/office/drawing/2014/chart" uri="{C3380CC4-5D6E-409C-BE32-E72D297353CC}">
                  <c16:uniqueId val="{00000015-E44B-4C7D-93D9-2F107296D0D3}"/>
                </c:ext>
              </c:extLst>
            </c:dLbl>
            <c:dLbl>
              <c:idx val="4"/>
              <c:delete val="1"/>
              <c:extLst>
                <c:ext xmlns:c15="http://schemas.microsoft.com/office/drawing/2012/chart" uri="{CE6537A1-D6FC-4f65-9D91-7224C49458BB}"/>
                <c:ext xmlns:c16="http://schemas.microsoft.com/office/drawing/2014/chart" uri="{C3380CC4-5D6E-409C-BE32-E72D297353CC}">
                  <c16:uniqueId val="{00000016-E44B-4C7D-93D9-2F107296D0D3}"/>
                </c:ext>
              </c:extLst>
            </c:dLbl>
            <c:dLbl>
              <c:idx val="5"/>
              <c:delete val="1"/>
              <c:extLst>
                <c:ext xmlns:c15="http://schemas.microsoft.com/office/drawing/2012/chart" uri="{CE6537A1-D6FC-4f65-9D91-7224C49458BB}"/>
                <c:ext xmlns:c16="http://schemas.microsoft.com/office/drawing/2014/chart" uri="{C3380CC4-5D6E-409C-BE32-E72D297353CC}">
                  <c16:uniqueId val="{00000017-E44B-4C7D-93D9-2F107296D0D3}"/>
                </c:ext>
              </c:extLst>
            </c:dLbl>
            <c:dLbl>
              <c:idx val="6"/>
              <c:delete val="1"/>
              <c:extLst>
                <c:ext xmlns:c15="http://schemas.microsoft.com/office/drawing/2012/chart" uri="{CE6537A1-D6FC-4f65-9D91-7224C49458BB}"/>
                <c:ext xmlns:c16="http://schemas.microsoft.com/office/drawing/2014/chart" uri="{C3380CC4-5D6E-409C-BE32-E72D297353CC}">
                  <c16:uniqueId val="{00000018-E44B-4C7D-93D9-2F107296D0D3}"/>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'uticaj promene kursa'!$H$50:$R$50</c:f>
              <c:numCache>
                <c:formatCode>General</c:formatCode>
                <c:ptCount val="11"/>
                <c:pt idx="0">
                  <c:v>2017</c:v>
                </c:pt>
                <c:pt idx="1">
                  <c:v>2018</c:v>
                </c:pt>
                <c:pt idx="2">
                  <c:v>2019</c:v>
                </c:pt>
                <c:pt idx="3">
                  <c:v>2020</c:v>
                </c:pt>
                <c:pt idx="4">
                  <c:v>2021</c:v>
                </c:pt>
                <c:pt idx="5">
                  <c:v>2022</c:v>
                </c:pt>
                <c:pt idx="6">
                  <c:v>2023</c:v>
                </c:pt>
                <c:pt idx="7">
                  <c:v>2024</c:v>
                </c:pt>
                <c:pt idx="8">
                  <c:v>2025</c:v>
                </c:pt>
                <c:pt idx="9">
                  <c:v>2026</c:v>
                </c:pt>
                <c:pt idx="10">
                  <c:v>2027</c:v>
                </c:pt>
              </c:numCache>
            </c:numRef>
          </c:cat>
          <c:val>
            <c:numRef>
              <c:f>'uticaj promene kursa'!$H$61:$R$61</c:f>
              <c:numCache>
                <c:formatCode>#,##0.0</c:formatCode>
                <c:ptCount val="11"/>
                <c:pt idx="0">
                  <c:v>55.53345468353281</c:v>
                </c:pt>
                <c:pt idx="1">
                  <c:v>51.441092072350671</c:v>
                </c:pt>
                <c:pt idx="2">
                  <c:v>49.66530402514654</c:v>
                </c:pt>
                <c:pt idx="3">
                  <c:v>54.401541878454651</c:v>
                </c:pt>
                <c:pt idx="4">
                  <c:v>53.881197963213388</c:v>
                </c:pt>
                <c:pt idx="5">
                  <c:v>52.420124041721209</c:v>
                </c:pt>
                <c:pt idx="6">
                  <c:v>48.041062113397061</c:v>
                </c:pt>
                <c:pt idx="7">
                  <c:v>43.709706416313729</c:v>
                </c:pt>
                <c:pt idx="8">
                  <c:v>43.23784509023055</c:v>
                </c:pt>
                <c:pt idx="9">
                  <c:v>42.743476717523507</c:v>
                </c:pt>
                <c:pt idx="10">
                  <c:v>42.402100313489569</c:v>
                </c:pt>
              </c:numCache>
            </c:numRef>
          </c:val>
          <c:smooth val="0"/>
          <c:extLst>
            <c:ext xmlns:c16="http://schemas.microsoft.com/office/drawing/2014/chart" uri="{C3380CC4-5D6E-409C-BE32-E72D297353CC}">
              <c16:uniqueId val="{00000019-E44B-4C7D-93D9-2F107296D0D3}"/>
            </c:ext>
          </c:extLst>
        </c:ser>
        <c:dLbls>
          <c:showLegendKey val="0"/>
          <c:showVal val="0"/>
          <c:showCatName val="0"/>
          <c:showSerName val="0"/>
          <c:showPercent val="0"/>
          <c:showBubbleSize val="0"/>
        </c:dLbls>
        <c:marker val="1"/>
        <c:smooth val="0"/>
        <c:axId val="75069312"/>
        <c:axId val="75070848"/>
      </c:lineChart>
      <c:catAx>
        <c:axId val="75069312"/>
        <c:scaling>
          <c:orientation val="minMax"/>
        </c:scaling>
        <c:delete val="0"/>
        <c:axPos val="b"/>
        <c:majorGridlines>
          <c:spPr>
            <a:ln w="9525" cap="flat" cmpd="sng" algn="ctr">
              <a:noFill/>
              <a:prstDash val="solid"/>
              <a:round/>
            </a:ln>
            <a:effectLst/>
          </c:spPr>
        </c:majorGridlines>
        <c:minorGridlines>
          <c:spPr>
            <a:ln w="9525" cap="flat" cmpd="sng" algn="ctr">
              <a:noFill/>
              <a:prstDash val="solid"/>
              <a:round/>
            </a:ln>
            <a:effectLst/>
          </c:spPr>
        </c:minorGridlines>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5400000" spcFirstLastPara="1" vertOverflow="ellipsis" wrap="square" anchor="ctr" anchorCtr="1"/>
          <a:lstStyle/>
          <a:p>
            <a:pPr>
              <a:defRPr sz="700" b="0" i="0" u="none" strike="noStrike" kern="1200" baseline="0">
                <a:solidFill>
                  <a:schemeClr val="tx1"/>
                </a:solidFill>
                <a:latin typeface="Times New Roman" panose="02020603050405020304" pitchFamily="18" charset="0"/>
                <a:ea typeface="+mn-ea"/>
                <a:cs typeface="+mn-cs"/>
              </a:defRPr>
            </a:pPr>
            <a:endParaRPr lang="en-US"/>
          </a:p>
        </c:txPr>
        <c:crossAx val="75070848"/>
        <c:crosses val="autoZero"/>
        <c:auto val="0"/>
        <c:lblAlgn val="ctr"/>
        <c:lblOffset val="100"/>
        <c:noMultiLvlLbl val="0"/>
      </c:catAx>
      <c:valAx>
        <c:axId val="75070848"/>
        <c:scaling>
          <c:orientation val="minMax"/>
          <c:max val="60"/>
          <c:min val="40"/>
        </c:scaling>
        <c:delete val="0"/>
        <c:axPos val="l"/>
        <c:majorGridlines>
          <c:spPr>
            <a:ln w="9525" cap="flat" cmpd="sng" algn="ctr">
              <a:noFill/>
              <a:prstDash val="solid"/>
              <a:round/>
            </a:ln>
            <a:effectLst/>
          </c:spPr>
        </c:majorGridlines>
        <c:numFmt formatCode="#,##0.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mn-cs"/>
              </a:defRPr>
            </a:pPr>
            <a:endParaRPr lang="en-US"/>
          </a:p>
        </c:txPr>
        <c:crossAx val="75069312"/>
        <c:crosses val="autoZero"/>
        <c:crossBetween val="between"/>
        <c:majorUnit val="5"/>
        <c:minorUnit val="2"/>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rot="5400000" vert="horz"/>
    <a:lstStyle/>
    <a:p>
      <a:pPr>
        <a:defRPr sz="700"/>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'[Prilozi.xlsx]Ucesce ind duga'!$B$3:$B$12</c:f>
              <c:strCache>
                <c:ptCount val="10"/>
                <c:pt idx="0">
                  <c:v>2015</c:v>
                </c:pt>
                <c:pt idx="1">
                  <c:v>2016</c:v>
                </c:pt>
                <c:pt idx="2">
                  <c:v>2017</c:v>
                </c:pt>
                <c:pt idx="3">
                  <c:v>2018</c:v>
                </c:pt>
                <c:pt idx="4">
                  <c:v>2019</c:v>
                </c:pt>
                <c:pt idx="5">
                  <c:v>2020</c:v>
                </c:pt>
                <c:pt idx="6">
                  <c:v>2021</c:v>
                </c:pt>
                <c:pt idx="7">
                  <c:v>2022</c:v>
                </c:pt>
                <c:pt idx="8">
                  <c:v>2023</c:v>
                </c:pt>
                <c:pt idx="9">
                  <c:v>30.09.2024.</c:v>
                </c:pt>
              </c:strCache>
            </c:strRef>
          </c:cat>
          <c:val>
            <c:numRef>
              <c:f>'[Prilozi.xlsx]Ucesce ind duga'!$G$3:$G$12</c:f>
              <c:numCache>
                <c:formatCode>0.0%</c:formatCode>
                <c:ptCount val="10"/>
                <c:pt idx="0">
                  <c:v>9.4899104808150933E-2</c:v>
                </c:pt>
                <c:pt idx="1">
                  <c:v>8.5111910741428626E-2</c:v>
                </c:pt>
                <c:pt idx="2">
                  <c:v>7.4846461096448672E-2</c:v>
                </c:pt>
                <c:pt idx="3">
                  <c:v>6.5330701534005345E-2</c:v>
                </c:pt>
                <c:pt idx="4">
                  <c:v>6.1105887904304074E-2</c:v>
                </c:pt>
                <c:pt idx="5">
                  <c:v>5.2600687485065384E-2</c:v>
                </c:pt>
                <c:pt idx="6">
                  <c:v>4.5373884092513889E-2</c:v>
                </c:pt>
                <c:pt idx="7">
                  <c:v>4.5966213245846536E-2</c:v>
                </c:pt>
                <c:pt idx="8">
                  <c:v>4.9875474153556594E-2</c:v>
                </c:pt>
                <c:pt idx="9">
                  <c:v>4.6769709774268878E-2</c:v>
                </c:pt>
              </c:numCache>
            </c:numRef>
          </c:val>
          <c:smooth val="0"/>
          <c:extLst>
            <c:ext xmlns:c16="http://schemas.microsoft.com/office/drawing/2014/chart" uri="{C3380CC4-5D6E-409C-BE32-E72D297353CC}">
              <c16:uniqueId val="{00000000-0F43-4F9D-81D9-0ABC77213F05}"/>
            </c:ext>
          </c:extLst>
        </c:ser>
        <c:dLbls>
          <c:dLblPos val="t"/>
          <c:showLegendKey val="0"/>
          <c:showVal val="1"/>
          <c:showCatName val="0"/>
          <c:showSerName val="0"/>
          <c:showPercent val="0"/>
          <c:showBubbleSize val="0"/>
        </c:dLbls>
        <c:smooth val="0"/>
        <c:axId val="271573488"/>
        <c:axId val="271586384"/>
      </c:lineChart>
      <c:catAx>
        <c:axId val="27157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1586384"/>
        <c:crosses val="autoZero"/>
        <c:auto val="1"/>
        <c:lblAlgn val="ctr"/>
        <c:lblOffset val="100"/>
        <c:noMultiLvlLbl val="0"/>
      </c:catAx>
      <c:valAx>
        <c:axId val="27158638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715734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13110157707132"/>
          <c:y val="5.8201058201058198E-2"/>
          <c:w val="0.86649486784459939"/>
          <c:h val="0.599145940090822"/>
        </c:manualLayout>
      </c:layout>
      <c:barChart>
        <c:barDir val="col"/>
        <c:grouping val="clustered"/>
        <c:varyColors val="0"/>
        <c:ser>
          <c:idx val="0"/>
          <c:order val="0"/>
          <c:tx>
            <c:strRef>
              <c:f>Гаранције!$C$53</c:f>
              <c:strCache>
                <c:ptCount val="1"/>
                <c:pt idx="0">
                  <c:v>Укупна отплата по основу гаранција (главница + камата)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Гаранције!$B$54:$B$63</c:f>
              <c:strCache>
                <c:ptCount val="10"/>
                <c:pt idx="0">
                  <c:v>2015</c:v>
                </c:pt>
                <c:pt idx="1">
                  <c:v>2016</c:v>
                </c:pt>
                <c:pt idx="2">
                  <c:v>2017</c:v>
                </c:pt>
                <c:pt idx="3">
                  <c:v>2018</c:v>
                </c:pt>
                <c:pt idx="4">
                  <c:v>2019</c:v>
                </c:pt>
                <c:pt idx="5">
                  <c:v>2020</c:v>
                </c:pt>
                <c:pt idx="6">
                  <c:v>2021</c:v>
                </c:pt>
                <c:pt idx="7">
                  <c:v>2022</c:v>
                </c:pt>
                <c:pt idx="8">
                  <c:v>2023</c:v>
                </c:pt>
                <c:pt idx="9">
                  <c:v>30.09.2024</c:v>
                </c:pt>
              </c:strCache>
            </c:strRef>
          </c:cat>
          <c:val>
            <c:numRef>
              <c:f>Гаранције!$C$54:$C$63</c:f>
              <c:numCache>
                <c:formatCode>#,##0.0</c:formatCode>
                <c:ptCount val="10"/>
                <c:pt idx="0">
                  <c:v>47.2</c:v>
                </c:pt>
                <c:pt idx="1">
                  <c:v>55.3</c:v>
                </c:pt>
                <c:pt idx="2">
                  <c:v>36.700000000000003</c:v>
                </c:pt>
                <c:pt idx="3">
                  <c:v>26</c:v>
                </c:pt>
                <c:pt idx="4">
                  <c:v>17.100000000000001</c:v>
                </c:pt>
                <c:pt idx="5">
                  <c:v>13.2</c:v>
                </c:pt>
                <c:pt idx="6">
                  <c:v>12.9</c:v>
                </c:pt>
                <c:pt idx="7">
                  <c:v>23.3</c:v>
                </c:pt>
                <c:pt idx="8" formatCode="0.0">
                  <c:v>33.74</c:v>
                </c:pt>
                <c:pt idx="9" formatCode="General">
                  <c:v>28.6</c:v>
                </c:pt>
              </c:numCache>
            </c:numRef>
          </c:val>
          <c:extLst>
            <c:ext xmlns:c16="http://schemas.microsoft.com/office/drawing/2014/chart" uri="{C3380CC4-5D6E-409C-BE32-E72D297353CC}">
              <c16:uniqueId val="{00000000-B776-4489-82E8-7E095A156E41}"/>
            </c:ext>
          </c:extLst>
        </c:ser>
        <c:ser>
          <c:idx val="1"/>
          <c:order val="1"/>
          <c:tx>
            <c:strRef>
              <c:f>Гаранције!$D$53</c:f>
              <c:strCache>
                <c:ptCount val="1"/>
                <c:pt idx="0">
                  <c:v>Отплата гаранција (главница) укључена у расходе (утиче на дефицит) </c:v>
                </c:pt>
              </c:strCache>
            </c:strRef>
          </c:tx>
          <c:spPr>
            <a:solidFill>
              <a:srgbClr val="FF0000"/>
            </a:solidFill>
            <a:ln>
              <a:noFill/>
            </a:ln>
            <a:effectLst/>
          </c:spPr>
          <c:invertIfNegative val="0"/>
          <c:cat>
            <c:strRef>
              <c:f>Гаранције!$B$54:$B$63</c:f>
              <c:strCache>
                <c:ptCount val="10"/>
                <c:pt idx="0">
                  <c:v>2015</c:v>
                </c:pt>
                <c:pt idx="1">
                  <c:v>2016</c:v>
                </c:pt>
                <c:pt idx="2">
                  <c:v>2017</c:v>
                </c:pt>
                <c:pt idx="3">
                  <c:v>2018</c:v>
                </c:pt>
                <c:pt idx="4">
                  <c:v>2019</c:v>
                </c:pt>
                <c:pt idx="5">
                  <c:v>2020</c:v>
                </c:pt>
                <c:pt idx="6">
                  <c:v>2021</c:v>
                </c:pt>
                <c:pt idx="7">
                  <c:v>2022</c:v>
                </c:pt>
                <c:pt idx="8">
                  <c:v>2023</c:v>
                </c:pt>
                <c:pt idx="9">
                  <c:v>30.09.2024</c:v>
                </c:pt>
              </c:strCache>
            </c:strRef>
          </c:cat>
          <c:val>
            <c:numRef>
              <c:f>Гаранције!$D$54:$D$63</c:f>
              <c:numCache>
                <c:formatCode>#,##0.0</c:formatCode>
                <c:ptCount val="10"/>
                <c:pt idx="0">
                  <c:v>30.099999999999998</c:v>
                </c:pt>
                <c:pt idx="1">
                  <c:v>39.116</c:v>
                </c:pt>
                <c:pt idx="2">
                  <c:v>28.8</c:v>
                </c:pt>
                <c:pt idx="3">
                  <c:v>19.727</c:v>
                </c:pt>
                <c:pt idx="4">
                  <c:v>10.8</c:v>
                </c:pt>
                <c:pt idx="5">
                  <c:v>7.5</c:v>
                </c:pt>
                <c:pt idx="6">
                  <c:v>7.7</c:v>
                </c:pt>
                <c:pt idx="7">
                  <c:v>17.744700000000002</c:v>
                </c:pt>
                <c:pt idx="8" formatCode="General">
                  <c:v>23.8</c:v>
                </c:pt>
                <c:pt idx="9" formatCode="General">
                  <c:v>20.3</c:v>
                </c:pt>
              </c:numCache>
            </c:numRef>
          </c:val>
          <c:extLst>
            <c:ext xmlns:c16="http://schemas.microsoft.com/office/drawing/2014/chart" uri="{C3380CC4-5D6E-409C-BE32-E72D297353CC}">
              <c16:uniqueId val="{00000001-B776-4489-82E8-7E095A156E41}"/>
            </c:ext>
          </c:extLst>
        </c:ser>
        <c:dLbls>
          <c:showLegendKey val="0"/>
          <c:showVal val="0"/>
          <c:showCatName val="0"/>
          <c:showSerName val="0"/>
          <c:showPercent val="0"/>
          <c:showBubbleSize val="0"/>
        </c:dLbls>
        <c:gapWidth val="100"/>
        <c:overlap val="-24"/>
        <c:axId val="499205263"/>
        <c:axId val="499199855"/>
        <c:extLst>
          <c:ext xmlns:c15="http://schemas.microsoft.com/office/drawing/2012/chart" uri="{02D57815-91ED-43cb-92C2-25804820EDAC}">
            <c15:filteredBarSeries>
              <c15:ser>
                <c:idx val="2"/>
                <c:order val="2"/>
                <c:tx>
                  <c:strRef>
                    <c:extLst>
                      <c:ext uri="{02D57815-91ED-43cb-92C2-25804820EDAC}">
                        <c15:formulaRef>
                          <c15:sqref>Гаранције!$E$53</c15:sqref>
                        </c15:formulaRef>
                      </c:ext>
                    </c:extLst>
                    <c:strCache>
                      <c:ptCount val="1"/>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extLst>
                      <c:ext uri="{02D57815-91ED-43cb-92C2-25804820EDAC}">
                        <c15:formulaRef>
                          <c15:sqref>Гаранције!$B$54:$B$63</c15:sqref>
                        </c15:formulaRef>
                      </c:ext>
                    </c:extLst>
                    <c:strCache>
                      <c:ptCount val="10"/>
                      <c:pt idx="0">
                        <c:v>2015</c:v>
                      </c:pt>
                      <c:pt idx="1">
                        <c:v>2016</c:v>
                      </c:pt>
                      <c:pt idx="2">
                        <c:v>2017</c:v>
                      </c:pt>
                      <c:pt idx="3">
                        <c:v>2018</c:v>
                      </c:pt>
                      <c:pt idx="4">
                        <c:v>2019</c:v>
                      </c:pt>
                      <c:pt idx="5">
                        <c:v>2020</c:v>
                      </c:pt>
                      <c:pt idx="6">
                        <c:v>2021</c:v>
                      </c:pt>
                      <c:pt idx="7">
                        <c:v>2022</c:v>
                      </c:pt>
                      <c:pt idx="8">
                        <c:v>2023</c:v>
                      </c:pt>
                      <c:pt idx="9">
                        <c:v>30.09.2024</c:v>
                      </c:pt>
                    </c:strCache>
                  </c:strRef>
                </c:cat>
                <c:val>
                  <c:numRef>
                    <c:extLst>
                      <c:ext uri="{02D57815-91ED-43cb-92C2-25804820EDAC}">
                        <c15:formulaRef>
                          <c15:sqref>Гаранције!$E$54:$E$62</c15:sqref>
                        </c15:formulaRef>
                      </c:ext>
                    </c:extLst>
                    <c:numCache>
                      <c:formatCode>General</c:formatCode>
                      <c:ptCount val="9"/>
                    </c:numCache>
                  </c:numRef>
                </c:val>
                <c:extLst>
                  <c:ext xmlns:c16="http://schemas.microsoft.com/office/drawing/2014/chart" uri="{C3380CC4-5D6E-409C-BE32-E72D297353CC}">
                    <c16:uniqueId val="{00000002-B776-4489-82E8-7E095A156E41}"/>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Гаранције!$F$53</c15:sqref>
                        </c15:formulaRef>
                      </c:ext>
                    </c:extLst>
                    <c:strCache>
                      <c:ptCount val="1"/>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extLst xmlns:c15="http://schemas.microsoft.com/office/drawing/2012/chart">
                      <c:ext xmlns:c15="http://schemas.microsoft.com/office/drawing/2012/chart" uri="{02D57815-91ED-43cb-92C2-25804820EDAC}">
                        <c15:formulaRef>
                          <c15:sqref>Гаранције!$B$54:$B$63</c15:sqref>
                        </c15:formulaRef>
                      </c:ext>
                    </c:extLst>
                    <c:strCache>
                      <c:ptCount val="10"/>
                      <c:pt idx="0">
                        <c:v>2015</c:v>
                      </c:pt>
                      <c:pt idx="1">
                        <c:v>2016</c:v>
                      </c:pt>
                      <c:pt idx="2">
                        <c:v>2017</c:v>
                      </c:pt>
                      <c:pt idx="3">
                        <c:v>2018</c:v>
                      </c:pt>
                      <c:pt idx="4">
                        <c:v>2019</c:v>
                      </c:pt>
                      <c:pt idx="5">
                        <c:v>2020</c:v>
                      </c:pt>
                      <c:pt idx="6">
                        <c:v>2021</c:v>
                      </c:pt>
                      <c:pt idx="7">
                        <c:v>2022</c:v>
                      </c:pt>
                      <c:pt idx="8">
                        <c:v>2023</c:v>
                      </c:pt>
                      <c:pt idx="9">
                        <c:v>30.09.2024</c:v>
                      </c:pt>
                    </c:strCache>
                  </c:strRef>
                </c:cat>
                <c:val>
                  <c:numRef>
                    <c:extLst xmlns:c15="http://schemas.microsoft.com/office/drawing/2012/chart">
                      <c:ext xmlns:c15="http://schemas.microsoft.com/office/drawing/2012/chart" uri="{02D57815-91ED-43cb-92C2-25804820EDAC}">
                        <c15:formulaRef>
                          <c15:sqref>Гаранције!$F$54:$F$62</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3-B776-4489-82E8-7E095A156E41}"/>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Гаранције!$G$53</c15:sqref>
                        </c15:formulaRef>
                      </c:ext>
                    </c:extLst>
                    <c:strCache>
                      <c:ptCount val="1"/>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extLst xmlns:c15="http://schemas.microsoft.com/office/drawing/2012/chart">
                      <c:ext xmlns:c15="http://schemas.microsoft.com/office/drawing/2012/chart" uri="{02D57815-91ED-43cb-92C2-25804820EDAC}">
                        <c15:formulaRef>
                          <c15:sqref>Гаранције!$B$54:$B$63</c15:sqref>
                        </c15:formulaRef>
                      </c:ext>
                    </c:extLst>
                    <c:strCache>
                      <c:ptCount val="10"/>
                      <c:pt idx="0">
                        <c:v>2015</c:v>
                      </c:pt>
                      <c:pt idx="1">
                        <c:v>2016</c:v>
                      </c:pt>
                      <c:pt idx="2">
                        <c:v>2017</c:v>
                      </c:pt>
                      <c:pt idx="3">
                        <c:v>2018</c:v>
                      </c:pt>
                      <c:pt idx="4">
                        <c:v>2019</c:v>
                      </c:pt>
                      <c:pt idx="5">
                        <c:v>2020</c:v>
                      </c:pt>
                      <c:pt idx="6">
                        <c:v>2021</c:v>
                      </c:pt>
                      <c:pt idx="7">
                        <c:v>2022</c:v>
                      </c:pt>
                      <c:pt idx="8">
                        <c:v>2023</c:v>
                      </c:pt>
                      <c:pt idx="9">
                        <c:v>30.09.2024</c:v>
                      </c:pt>
                    </c:strCache>
                  </c:strRef>
                </c:cat>
                <c:val>
                  <c:numRef>
                    <c:extLst xmlns:c15="http://schemas.microsoft.com/office/drawing/2012/chart">
                      <c:ext xmlns:c15="http://schemas.microsoft.com/office/drawing/2012/chart" uri="{02D57815-91ED-43cb-92C2-25804820EDAC}">
                        <c15:formulaRef>
                          <c15:sqref>Гаранције!$G$54:$G$62</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4-B776-4489-82E8-7E095A156E41}"/>
                  </c:ext>
                </c:extLst>
              </c15:ser>
            </c15:filteredBarSeries>
          </c:ext>
        </c:extLst>
      </c:barChart>
      <c:catAx>
        <c:axId val="49920526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mn-cs"/>
              </a:defRPr>
            </a:pPr>
            <a:endParaRPr lang="en-US"/>
          </a:p>
        </c:txPr>
        <c:crossAx val="499199855"/>
        <c:crosses val="autoZero"/>
        <c:auto val="1"/>
        <c:lblAlgn val="ctr"/>
        <c:lblOffset val="100"/>
        <c:noMultiLvlLbl val="0"/>
      </c:catAx>
      <c:valAx>
        <c:axId val="499199855"/>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mn-cs"/>
                  </a:defRPr>
                </a:pPr>
                <a:r>
                  <a:rPr lang="sr-Cyrl-RS" b="0" baseline="0">
                    <a:latin typeface="Times New Roman" panose="02020603050405020304" pitchFamily="18" charset="0"/>
                  </a:rPr>
                  <a:t>млрд</a:t>
                </a:r>
                <a:r>
                  <a:rPr lang="sr-Cyrl-RS" sz="900" b="0" i="0" u="none" strike="noStrike" kern="1200" baseline="0">
                    <a:solidFill>
                      <a:srgbClr val="44546A"/>
                    </a:solidFill>
                    <a:latin typeface="Times New Roman" panose="02020603050405020304" pitchFamily="18" charset="0"/>
                    <a:ea typeface="+mn-ea"/>
                    <a:cs typeface="+mn-cs"/>
                  </a:rPr>
                  <a:t> </a:t>
                </a:r>
                <a:r>
                  <a:rPr lang="sr-Cyrl-RS" baseline="0">
                    <a:latin typeface="Times New Roman" panose="02020603050405020304" pitchFamily="18" charset="0"/>
                  </a:rPr>
                  <a:t>динара</a:t>
                </a:r>
                <a:endParaRPr lang="en-US" baseline="0">
                  <a:latin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Times New Roman" panose="02020603050405020304" pitchFamily="18"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mn-cs"/>
              </a:defRPr>
            </a:pPr>
            <a:endParaRPr lang="en-US"/>
          </a:p>
        </c:txPr>
        <c:crossAx val="499205263"/>
        <c:crosses val="autoZero"/>
        <c:crossBetween val="between"/>
      </c:valAx>
      <c:spPr>
        <a:noFill/>
        <a:ln>
          <a:noFill/>
        </a:ln>
        <a:effectLst/>
      </c:spPr>
    </c:plotArea>
    <c:legend>
      <c:legendPos val="b"/>
      <c:layout>
        <c:manualLayout>
          <c:xMode val="edge"/>
          <c:yMode val="edge"/>
          <c:x val="0.18974790238523531"/>
          <c:y val="0.81722784651918512"/>
          <c:w val="0.62050419522952938"/>
          <c:h val="0.150851839627830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033714179804967E-2"/>
          <c:y val="6.0313404132223677E-2"/>
          <c:w val="0.86085801063022016"/>
          <c:h val="0.65628920384951883"/>
        </c:manualLayout>
      </c:layout>
      <c:barChart>
        <c:barDir val="col"/>
        <c:grouping val="clustered"/>
        <c:varyColors val="0"/>
        <c:ser>
          <c:idx val="0"/>
          <c:order val="0"/>
          <c:tx>
            <c:strRef>
              <c:f>grafikoni!$E$50</c:f>
              <c:strCache>
                <c:ptCount val="1"/>
                <c:pt idx="0">
                  <c:v>јавни дуг - основни сценарио</c:v>
                </c:pt>
              </c:strCache>
            </c:strRef>
          </c:tx>
          <c:spPr>
            <a:solidFill>
              <a:schemeClr val="accent1">
                <a:lumMod val="50000"/>
              </a:schemeClr>
            </a:solidFill>
            <a:ln w="9525" cap="flat" cmpd="sng" algn="ctr">
              <a:solidFill>
                <a:schemeClr val="accent6">
                  <a:shade val="50000"/>
                  <a:shade val="95000"/>
                  <a:satMod val="105000"/>
                </a:schemeClr>
              </a:solidFill>
              <a:prstDash val="solid"/>
              <a:round/>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grafikoni!$F$48:$I$48</c:f>
              <c:numCache>
                <c:formatCode>General</c:formatCode>
                <c:ptCount val="4"/>
                <c:pt idx="0">
                  <c:v>2024</c:v>
                </c:pt>
                <c:pt idx="1">
                  <c:v>2025</c:v>
                </c:pt>
                <c:pt idx="2">
                  <c:v>2026</c:v>
                </c:pt>
                <c:pt idx="3">
                  <c:v>2027</c:v>
                </c:pt>
              </c:numCache>
            </c:numRef>
          </c:cat>
          <c:val>
            <c:numRef>
              <c:f>grafikoni!$F$50:$I$50</c:f>
              <c:numCache>
                <c:formatCode>#,##0.0</c:formatCode>
                <c:ptCount val="4"/>
                <c:pt idx="0">
                  <c:v>47.858964621404702</c:v>
                </c:pt>
                <c:pt idx="1">
                  <c:v>47.497657706772344</c:v>
                </c:pt>
                <c:pt idx="2">
                  <c:v>46.960300779916849</c:v>
                </c:pt>
                <c:pt idx="3">
                  <c:v>46.539196865895306</c:v>
                </c:pt>
              </c:numCache>
            </c:numRef>
          </c:val>
          <c:extLst>
            <c:ext xmlns:c16="http://schemas.microsoft.com/office/drawing/2014/chart" uri="{C3380CC4-5D6E-409C-BE32-E72D297353CC}">
              <c16:uniqueId val="{00000000-7B38-4D81-BD7D-FAB9D6BA5039}"/>
            </c:ext>
          </c:extLst>
        </c:ser>
        <c:ser>
          <c:idx val="1"/>
          <c:order val="1"/>
          <c:tx>
            <c:strRef>
              <c:f>grafikoni!$E$52</c:f>
              <c:strCache>
                <c:ptCount val="1"/>
                <c:pt idx="0">
                  <c:v>јавни дуг - алтернативни сценарио</c:v>
                </c:pt>
              </c:strCache>
            </c:strRef>
          </c:tx>
          <c:spPr>
            <a:solidFill>
              <a:srgbClr val="FF4747"/>
            </a:solidFill>
            <a:ln w="9525" cap="flat" cmpd="sng" algn="ctr">
              <a:solidFill>
                <a:schemeClr val="accent6">
                  <a:shade val="50000"/>
                  <a:shade val="95000"/>
                  <a:satMod val="105000"/>
                </a:schemeClr>
              </a:solidFill>
              <a:prstDash val="solid"/>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grafikoni!$F$48:$I$48</c:f>
              <c:numCache>
                <c:formatCode>General</c:formatCode>
                <c:ptCount val="4"/>
                <c:pt idx="0">
                  <c:v>2024</c:v>
                </c:pt>
                <c:pt idx="1">
                  <c:v>2025</c:v>
                </c:pt>
                <c:pt idx="2">
                  <c:v>2026</c:v>
                </c:pt>
                <c:pt idx="3">
                  <c:v>2027</c:v>
                </c:pt>
              </c:numCache>
            </c:numRef>
          </c:cat>
          <c:val>
            <c:numRef>
              <c:f>grafikoni!$F$52:$I$52</c:f>
              <c:numCache>
                <c:formatCode>#,##0.0</c:formatCode>
                <c:ptCount val="4"/>
                <c:pt idx="0">
                  <c:v>47.858964621404702</c:v>
                </c:pt>
                <c:pt idx="1">
                  <c:v>48.121302927047239</c:v>
                </c:pt>
                <c:pt idx="2">
                  <c:v>48.287051956697525</c:v>
                </c:pt>
                <c:pt idx="3">
                  <c:v>49.028894151597768</c:v>
                </c:pt>
              </c:numCache>
            </c:numRef>
          </c:val>
          <c:extLst>
            <c:ext xmlns:c16="http://schemas.microsoft.com/office/drawing/2014/chart" uri="{C3380CC4-5D6E-409C-BE32-E72D297353CC}">
              <c16:uniqueId val="{00000001-7B38-4D81-BD7D-FAB9D6BA5039}"/>
            </c:ext>
          </c:extLst>
        </c:ser>
        <c:dLbls>
          <c:showLegendKey val="0"/>
          <c:showVal val="0"/>
          <c:showCatName val="0"/>
          <c:showSerName val="0"/>
          <c:showPercent val="0"/>
          <c:showBubbleSize val="0"/>
        </c:dLbls>
        <c:gapWidth val="150"/>
        <c:axId val="221799760"/>
        <c:axId val="221800152"/>
      </c:barChart>
      <c:lineChart>
        <c:grouping val="standard"/>
        <c:varyColors val="0"/>
        <c:ser>
          <c:idx val="2"/>
          <c:order val="2"/>
          <c:tx>
            <c:strRef>
              <c:f>grafikoni!$E$49</c:f>
              <c:strCache>
                <c:ptCount val="1"/>
                <c:pt idx="0">
                  <c:v>дефицит (десна скала) - основни сценарио</c:v>
                </c:pt>
              </c:strCache>
            </c:strRef>
          </c:tx>
          <c:spPr>
            <a:ln w="47625" cap="rnd" cmpd="sng" algn="ctr">
              <a:solidFill>
                <a:schemeClr val="tx1"/>
              </a:solidFill>
              <a:prstDash val="solid"/>
              <a:round/>
            </a:ln>
            <a:effectLst/>
          </c:spPr>
          <c:marker>
            <c:spPr>
              <a:solidFill>
                <a:schemeClr val="tx1"/>
              </a:solidFill>
              <a:ln w="9525" cap="flat" cmpd="sng" algn="ctr">
                <a:solidFill>
                  <a:schemeClr val="tx1"/>
                </a:solidFill>
                <a:prstDash val="solid"/>
                <a:round/>
              </a:ln>
              <a:effectLst/>
            </c:spPr>
          </c:marker>
          <c:dPt>
            <c:idx val="1"/>
            <c:bubble3D val="0"/>
            <c:extLst>
              <c:ext xmlns:c16="http://schemas.microsoft.com/office/drawing/2014/chart" uri="{C3380CC4-5D6E-409C-BE32-E72D297353CC}">
                <c16:uniqueId val="{00000002-7B38-4D81-BD7D-FAB9D6BA5039}"/>
              </c:ext>
            </c:extLst>
          </c:dPt>
          <c:dLbls>
            <c:dLbl>
              <c:idx val="0"/>
              <c:delete val="1"/>
              <c:extLst>
                <c:ext xmlns:c15="http://schemas.microsoft.com/office/drawing/2012/chart" uri="{CE6537A1-D6FC-4f65-9D91-7224C49458BB}"/>
                <c:ext xmlns:c16="http://schemas.microsoft.com/office/drawing/2014/chart" uri="{C3380CC4-5D6E-409C-BE32-E72D297353CC}">
                  <c16:uniqueId val="{00000003-7B38-4D81-BD7D-FAB9D6BA5039}"/>
                </c:ext>
              </c:extLst>
            </c:dLbl>
            <c:dLbl>
              <c:idx val="1"/>
              <c:layout>
                <c:manualLayout>
                  <c:x val="-1.7729577404247006E-3"/>
                  <c:y val="-4.83607789850028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B38-4D81-BD7D-FAB9D6BA5039}"/>
                </c:ext>
              </c:extLst>
            </c:dLbl>
            <c:dLbl>
              <c:idx val="2"/>
              <c:layout>
                <c:manualLayout>
                  <c:x val="7.358924893024216E-17"/>
                  <c:y val="-3.93756381595243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38-4D81-BD7D-FAB9D6BA5039}"/>
                </c:ext>
              </c:extLst>
            </c:dLbl>
            <c:dLbl>
              <c:idx val="3"/>
              <c:layout>
                <c:manualLayout>
                  <c:x val="-4.014005402155932E-3"/>
                  <c:y val="-3.6900360069064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B38-4D81-BD7D-FAB9D6BA50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prstDash val="solid"/>
                      <a:round/>
                    </a:ln>
                    <a:effectLst/>
                  </c:spPr>
                </c15:leaderLines>
              </c:ext>
            </c:extLst>
          </c:dLbls>
          <c:cat>
            <c:numRef>
              <c:f>grafikoni!$F$48:$I$48</c:f>
              <c:numCache>
                <c:formatCode>General</c:formatCode>
                <c:ptCount val="4"/>
                <c:pt idx="0">
                  <c:v>2024</c:v>
                </c:pt>
                <c:pt idx="1">
                  <c:v>2025</c:v>
                </c:pt>
                <c:pt idx="2">
                  <c:v>2026</c:v>
                </c:pt>
                <c:pt idx="3">
                  <c:v>2027</c:v>
                </c:pt>
              </c:numCache>
            </c:numRef>
          </c:cat>
          <c:val>
            <c:numRef>
              <c:f>grafikoni!$F$49:$I$49</c:f>
              <c:numCache>
                <c:formatCode>#,##0.0</c:formatCode>
                <c:ptCount val="4"/>
                <c:pt idx="0">
                  <c:v>-2.7</c:v>
                </c:pt>
                <c:pt idx="1">
                  <c:v>-3</c:v>
                </c:pt>
                <c:pt idx="2">
                  <c:v>-3</c:v>
                </c:pt>
                <c:pt idx="3">
                  <c:v>-3</c:v>
                </c:pt>
              </c:numCache>
            </c:numRef>
          </c:val>
          <c:smooth val="0"/>
          <c:extLst>
            <c:ext xmlns:c16="http://schemas.microsoft.com/office/drawing/2014/chart" uri="{C3380CC4-5D6E-409C-BE32-E72D297353CC}">
              <c16:uniqueId val="{00000006-7B38-4D81-BD7D-FAB9D6BA5039}"/>
            </c:ext>
          </c:extLst>
        </c:ser>
        <c:ser>
          <c:idx val="3"/>
          <c:order val="3"/>
          <c:tx>
            <c:strRef>
              <c:f>grafikoni!$E$51</c:f>
              <c:strCache>
                <c:ptCount val="1"/>
                <c:pt idx="0">
                  <c:v>дефицит (десна скала) - алтернативни сценарио</c:v>
                </c:pt>
              </c:strCache>
            </c:strRef>
          </c:tx>
          <c:spPr>
            <a:ln w="47625" cap="rnd" cmpd="sng" algn="ctr">
              <a:solidFill>
                <a:schemeClr val="accent1">
                  <a:lumMod val="40000"/>
                  <a:lumOff val="60000"/>
                </a:schemeClr>
              </a:solidFill>
              <a:prstDash val="solid"/>
              <a:round/>
            </a:ln>
            <a:effectLst/>
          </c:spPr>
          <c:marker>
            <c:symbol val="diamond"/>
            <c:size val="9"/>
            <c:spPr>
              <a:solidFill>
                <a:schemeClr val="accent1">
                  <a:lumMod val="40000"/>
                  <a:lumOff val="60000"/>
                </a:schemeClr>
              </a:solidFill>
              <a:ln w="9525" cap="flat" cmpd="sng" algn="ctr">
                <a:solidFill>
                  <a:schemeClr val="accent1">
                    <a:lumMod val="40000"/>
                    <a:lumOff val="60000"/>
                  </a:schemeClr>
                </a:solidFill>
                <a:prstDash val="solid"/>
                <a:round/>
              </a:ln>
              <a:effectLst/>
            </c:spPr>
          </c:marker>
          <c:dLbls>
            <c:dLbl>
              <c:idx val="0"/>
              <c:layout>
                <c:manualLayout>
                  <c:x val="2.5217119764646538E-3"/>
                  <c:y val="-4.4805366338978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38-4D81-BD7D-FAB9D6BA5039}"/>
                </c:ext>
              </c:extLst>
            </c:dLbl>
            <c:dLbl>
              <c:idx val="1"/>
              <c:layout>
                <c:manualLayout>
                  <c:x val="-5.6309858460480379E-3"/>
                  <c:y val="5.87853728328604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B38-4D81-BD7D-FAB9D6BA5039}"/>
                </c:ext>
              </c:extLst>
            </c:dLbl>
            <c:dLbl>
              <c:idx val="2"/>
              <c:layout>
                <c:manualLayout>
                  <c:x val="-9.7230589123246409E-3"/>
                  <c:y val="5.00401811991696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B38-4D81-BD7D-FAB9D6BA5039}"/>
                </c:ext>
              </c:extLst>
            </c:dLbl>
            <c:dLbl>
              <c:idx val="3"/>
              <c:layout>
                <c:manualLayout>
                  <c:x val="-2.922164326427769E-3"/>
                  <c:y val="7.70936656561036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B38-4D81-BD7D-FAB9D6BA5039}"/>
                </c:ext>
              </c:extLst>
            </c:dLbl>
            <c:dLbl>
              <c:idx val="4"/>
              <c:layout>
                <c:manualLayout>
                  <c:x val="-3.7342767295597629E-2"/>
                  <c:y val="-6.6401062416998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B38-4D81-BD7D-FAB9D6BA503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grafikoni!$F$48:$I$48</c:f>
              <c:numCache>
                <c:formatCode>General</c:formatCode>
                <c:ptCount val="4"/>
                <c:pt idx="0">
                  <c:v>2024</c:v>
                </c:pt>
                <c:pt idx="1">
                  <c:v>2025</c:v>
                </c:pt>
                <c:pt idx="2">
                  <c:v>2026</c:v>
                </c:pt>
                <c:pt idx="3">
                  <c:v>2027</c:v>
                </c:pt>
              </c:numCache>
            </c:numRef>
          </c:cat>
          <c:val>
            <c:numRef>
              <c:f>grafikoni!$F$51:$I$51</c:f>
              <c:numCache>
                <c:formatCode>#,##0.0</c:formatCode>
                <c:ptCount val="4"/>
                <c:pt idx="0">
                  <c:v>-2.7</c:v>
                </c:pt>
                <c:pt idx="1">
                  <c:v>-3.4454410320346782</c:v>
                </c:pt>
                <c:pt idx="2">
                  <c:v>-3.8240702482335167</c:v>
                </c:pt>
                <c:pt idx="3">
                  <c:v>-4.4227456385031942</c:v>
                </c:pt>
              </c:numCache>
            </c:numRef>
          </c:val>
          <c:smooth val="0"/>
          <c:extLst>
            <c:ext xmlns:c16="http://schemas.microsoft.com/office/drawing/2014/chart" uri="{C3380CC4-5D6E-409C-BE32-E72D297353CC}">
              <c16:uniqueId val="{0000000C-7B38-4D81-BD7D-FAB9D6BA5039}"/>
            </c:ext>
          </c:extLst>
        </c:ser>
        <c:dLbls>
          <c:showLegendKey val="0"/>
          <c:showVal val="0"/>
          <c:showCatName val="0"/>
          <c:showSerName val="0"/>
          <c:showPercent val="0"/>
          <c:showBubbleSize val="0"/>
        </c:dLbls>
        <c:marker val="1"/>
        <c:smooth val="0"/>
        <c:axId val="221800936"/>
        <c:axId val="221800544"/>
      </c:lineChart>
      <c:catAx>
        <c:axId val="221799760"/>
        <c:scaling>
          <c:orientation val="minMax"/>
        </c:scaling>
        <c:delete val="0"/>
        <c:axPos val="b"/>
        <c:numFmt formatCode="General"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221800152"/>
        <c:crosses val="autoZero"/>
        <c:auto val="1"/>
        <c:lblAlgn val="ctr"/>
        <c:lblOffset val="100"/>
        <c:noMultiLvlLbl val="0"/>
      </c:catAx>
      <c:valAx>
        <c:axId val="221800152"/>
        <c:scaling>
          <c:orientation val="minMax"/>
          <c:max val="70"/>
        </c:scaling>
        <c:delete val="0"/>
        <c:axPos val="l"/>
        <c:majorGridlines>
          <c:spPr>
            <a:ln w="9525" cap="flat" cmpd="sng" algn="ctr">
              <a:noFill/>
              <a:prstDash val="solid"/>
              <a:round/>
            </a:ln>
            <a:effectLst/>
          </c:spPr>
        </c:majorGridlines>
        <c:numFmt formatCode="#,##0.0"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221799760"/>
        <c:crosses val="autoZero"/>
        <c:crossBetween val="between"/>
      </c:valAx>
      <c:valAx>
        <c:axId val="221800544"/>
        <c:scaling>
          <c:orientation val="minMax"/>
        </c:scaling>
        <c:delete val="0"/>
        <c:axPos val="r"/>
        <c:numFmt formatCode="#,##0.0"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221800936"/>
        <c:crosses val="max"/>
        <c:crossBetween val="between"/>
      </c:valAx>
      <c:catAx>
        <c:axId val="221800936"/>
        <c:scaling>
          <c:orientation val="minMax"/>
        </c:scaling>
        <c:delete val="1"/>
        <c:axPos val="b"/>
        <c:numFmt formatCode="General" sourceLinked="1"/>
        <c:majorTickMark val="out"/>
        <c:minorTickMark val="none"/>
        <c:tickLblPos val="nextTo"/>
        <c:crossAx val="221800544"/>
        <c:crosses val="autoZero"/>
        <c:auto val="1"/>
        <c:lblAlgn val="ctr"/>
        <c:lblOffset val="100"/>
        <c:noMultiLvlLbl val="0"/>
      </c:catAx>
      <c:spPr>
        <a:solidFill>
          <a:sysClr val="window" lastClr="FFFFFF"/>
        </a:solidFill>
        <a:ln>
          <a:noFill/>
        </a:ln>
        <a:effectLst/>
      </c:spPr>
    </c:plotArea>
    <c:legend>
      <c:legendPos val="b"/>
      <c:layout>
        <c:manualLayout>
          <c:xMode val="edge"/>
          <c:yMode val="edge"/>
          <c:x val="2.9179570479681619E-2"/>
          <c:y val="0.8101512510936133"/>
          <c:w val="0.93825420315954267"/>
          <c:h val="0.130817465601766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sz="900" baseline="0">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84965551181101"/>
          <c:y val="2.4922118380062305E-2"/>
          <c:w val="0.73914468503937003"/>
          <c:h val="0.71945397012289347"/>
        </c:manualLayout>
      </c:layout>
      <c:lineChart>
        <c:grouping val="standard"/>
        <c:varyColors val="0"/>
        <c:ser>
          <c:idx val="0"/>
          <c:order val="0"/>
          <c:tx>
            <c:strRef>
              <c:f>'Sheet 1'!$B$33</c:f>
              <c:strCache>
                <c:ptCount val="1"/>
                <c:pt idx="0">
                  <c:v>Реформски сценарио</c:v>
                </c:pt>
              </c:strCache>
            </c:strRef>
          </c:tx>
          <c:spPr>
            <a:ln w="28575" cap="rnd">
              <a:solidFill>
                <a:schemeClr val="accent1"/>
              </a:solidFill>
              <a:round/>
            </a:ln>
            <a:effectLst/>
          </c:spPr>
          <c:marker>
            <c:symbol val="none"/>
          </c:marker>
          <c:dLbls>
            <c:dLbl>
              <c:idx val="6"/>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58-475C-B2FF-01309786C4FB}"/>
                </c:ext>
              </c:extLst>
            </c:dLbl>
            <c:dLbl>
              <c:idx val="7"/>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58-475C-B2FF-01309786C4FB}"/>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 1'!$C$32:$J$32</c:f>
              <c:numCache>
                <c:formatCode>General</c:formatCode>
                <c:ptCount val="8"/>
                <c:pt idx="0">
                  <c:v>2019</c:v>
                </c:pt>
                <c:pt idx="1">
                  <c:v>2020</c:v>
                </c:pt>
                <c:pt idx="2">
                  <c:v>2021</c:v>
                </c:pt>
                <c:pt idx="3">
                  <c:v>2022</c:v>
                </c:pt>
                <c:pt idx="4">
                  <c:v>2023</c:v>
                </c:pt>
                <c:pt idx="5">
                  <c:v>2024</c:v>
                </c:pt>
                <c:pt idx="6">
                  <c:v>2025</c:v>
                </c:pt>
                <c:pt idx="7">
                  <c:v>2026</c:v>
                </c:pt>
              </c:numCache>
            </c:numRef>
          </c:cat>
          <c:val>
            <c:numRef>
              <c:f>'Sheet 1'!$C$33:$J$33</c:f>
              <c:numCache>
                <c:formatCode>0.0%</c:formatCode>
                <c:ptCount val="8"/>
                <c:pt idx="0">
                  <c:v>0.39530910592454122</c:v>
                </c:pt>
                <c:pt idx="1">
                  <c:v>0.39000827570179963</c:v>
                </c:pt>
                <c:pt idx="2">
                  <c:v>0.45160124890438819</c:v>
                </c:pt>
                <c:pt idx="3">
                  <c:v>0.43729272386267604</c:v>
                </c:pt>
                <c:pt idx="4">
                  <c:v>0.44621456350243199</c:v>
                </c:pt>
                <c:pt idx="5">
                  <c:v>0.45365377651569405</c:v>
                </c:pt>
                <c:pt idx="6">
                  <c:v>0.49773122678536585</c:v>
                </c:pt>
                <c:pt idx="7">
                  <c:v>0.50026295750222194</c:v>
                </c:pt>
              </c:numCache>
            </c:numRef>
          </c:val>
          <c:smooth val="0"/>
          <c:extLst>
            <c:ext xmlns:c16="http://schemas.microsoft.com/office/drawing/2014/chart" uri="{C3380CC4-5D6E-409C-BE32-E72D297353CC}">
              <c16:uniqueId val="{00000002-5A58-475C-B2FF-01309786C4FB}"/>
            </c:ext>
          </c:extLst>
        </c:ser>
        <c:ser>
          <c:idx val="1"/>
          <c:order val="1"/>
          <c:tx>
            <c:strRef>
              <c:f>'Sheet 1'!$B$34</c:f>
              <c:strCache>
                <c:ptCount val="1"/>
                <c:pt idx="0">
                  <c:v>Основни сценарио</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 1'!$C$32:$J$32</c:f>
              <c:numCache>
                <c:formatCode>General</c:formatCode>
                <c:ptCount val="8"/>
                <c:pt idx="0">
                  <c:v>2019</c:v>
                </c:pt>
                <c:pt idx="1">
                  <c:v>2020</c:v>
                </c:pt>
                <c:pt idx="2">
                  <c:v>2021</c:v>
                </c:pt>
                <c:pt idx="3">
                  <c:v>2022</c:v>
                </c:pt>
                <c:pt idx="4">
                  <c:v>2023</c:v>
                </c:pt>
                <c:pt idx="5">
                  <c:v>2024</c:v>
                </c:pt>
                <c:pt idx="6">
                  <c:v>2025</c:v>
                </c:pt>
                <c:pt idx="7">
                  <c:v>2026</c:v>
                </c:pt>
              </c:numCache>
            </c:numRef>
          </c:cat>
          <c:val>
            <c:numRef>
              <c:f>'Sheet 1'!$C$34:$J$34</c:f>
              <c:numCache>
                <c:formatCode>0.0%</c:formatCode>
                <c:ptCount val="8"/>
                <c:pt idx="0">
                  <c:v>0.39530910592454122</c:v>
                </c:pt>
                <c:pt idx="1">
                  <c:v>0.39000827570179963</c:v>
                </c:pt>
                <c:pt idx="2">
                  <c:v>0.45160124890438819</c:v>
                </c:pt>
                <c:pt idx="3">
                  <c:v>0.43729272386267604</c:v>
                </c:pt>
                <c:pt idx="4">
                  <c:v>0.44621456350243199</c:v>
                </c:pt>
                <c:pt idx="5">
                  <c:v>0.45365377651569405</c:v>
                </c:pt>
                <c:pt idx="6">
                  <c:v>0.45995158409459447</c:v>
                </c:pt>
                <c:pt idx="7">
                  <c:v>0.46535196003538187</c:v>
                </c:pt>
              </c:numCache>
            </c:numRef>
          </c:val>
          <c:smooth val="0"/>
          <c:extLst>
            <c:ext xmlns:c16="http://schemas.microsoft.com/office/drawing/2014/chart" uri="{C3380CC4-5D6E-409C-BE32-E72D297353CC}">
              <c16:uniqueId val="{00000003-5A58-475C-B2FF-01309786C4FB}"/>
            </c:ext>
          </c:extLst>
        </c:ser>
        <c:dLbls>
          <c:showLegendKey val="0"/>
          <c:showVal val="0"/>
          <c:showCatName val="0"/>
          <c:showSerName val="0"/>
          <c:showPercent val="0"/>
          <c:showBubbleSize val="0"/>
        </c:dLbls>
        <c:marker val="1"/>
        <c:smooth val="0"/>
        <c:axId val="1167201088"/>
        <c:axId val="1167198592"/>
      </c:lineChart>
      <c:scatterChart>
        <c:scatterStyle val="lineMarker"/>
        <c:varyColors val="0"/>
        <c:ser>
          <c:idx val="2"/>
          <c:order val="2"/>
          <c:tx>
            <c:strRef>
              <c:f>'Sheet 1'!$B$35</c:f>
              <c:strCache>
                <c:ptCount val="1"/>
                <c:pt idx="0">
                  <c:v>Доња граница утицаја на БДП</c:v>
                </c:pt>
              </c:strCache>
            </c:strRef>
          </c:tx>
          <c:spPr>
            <a:ln w="25400" cap="rnd">
              <a:noFill/>
              <a:round/>
            </a:ln>
            <a:effectLst/>
          </c:spPr>
          <c:marker>
            <c:symbol val="circle"/>
            <c:size val="6"/>
            <c:spPr>
              <a:solidFill>
                <a:srgbClr val="FF00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yVal>
            <c:numRef>
              <c:f>'Sheet 1'!$C$35:$J$35</c:f>
              <c:numCache>
                <c:formatCode>General</c:formatCode>
                <c:ptCount val="8"/>
                <c:pt idx="7">
                  <c:v>6.7000000000000004E-2</c:v>
                </c:pt>
              </c:numCache>
            </c:numRef>
          </c:yVal>
          <c:smooth val="0"/>
          <c:extLst>
            <c:ext xmlns:c16="http://schemas.microsoft.com/office/drawing/2014/chart" uri="{C3380CC4-5D6E-409C-BE32-E72D297353CC}">
              <c16:uniqueId val="{00000004-5A58-475C-B2FF-01309786C4FB}"/>
            </c:ext>
          </c:extLst>
        </c:ser>
        <c:ser>
          <c:idx val="3"/>
          <c:order val="3"/>
          <c:tx>
            <c:strRef>
              <c:f>'Sheet 1'!$B$36</c:f>
              <c:strCache>
                <c:ptCount val="1"/>
                <c:pt idx="0">
                  <c:v>Горња граница утицаја на БДП</c:v>
                </c:pt>
              </c:strCache>
            </c:strRef>
          </c:tx>
          <c:spPr>
            <a:ln w="25400" cap="rnd">
              <a:noFill/>
              <a:round/>
            </a:ln>
            <a:effectLst/>
          </c:spPr>
          <c:marker>
            <c:symbol val="circle"/>
            <c:size val="6"/>
            <c:spPr>
              <a:solidFill>
                <a:schemeClr val="accent6"/>
              </a:solidFill>
              <a:ln w="9525">
                <a:noFill/>
              </a:ln>
              <a:effectLst/>
            </c:spPr>
          </c:marker>
          <c:dLbls>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58-475C-B2FF-01309786C4FB}"/>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yVal>
            <c:numRef>
              <c:f>'Sheet 1'!$C$36:$J$36</c:f>
              <c:numCache>
                <c:formatCode>General</c:formatCode>
                <c:ptCount val="8"/>
                <c:pt idx="7">
                  <c:v>0.13700000000000001</c:v>
                </c:pt>
              </c:numCache>
            </c:numRef>
          </c:yVal>
          <c:smooth val="0"/>
          <c:extLst>
            <c:ext xmlns:c16="http://schemas.microsoft.com/office/drawing/2014/chart" uri="{C3380CC4-5D6E-409C-BE32-E72D297353CC}">
              <c16:uniqueId val="{00000006-5A58-475C-B2FF-01309786C4FB}"/>
            </c:ext>
          </c:extLst>
        </c:ser>
        <c:dLbls>
          <c:showLegendKey val="0"/>
          <c:showVal val="0"/>
          <c:showCatName val="0"/>
          <c:showSerName val="0"/>
          <c:showPercent val="0"/>
          <c:showBubbleSize val="0"/>
        </c:dLbls>
        <c:axId val="1167194016"/>
        <c:axId val="1167187360"/>
      </c:scatterChart>
      <c:catAx>
        <c:axId val="116720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67198592"/>
        <c:crosses val="autoZero"/>
        <c:auto val="1"/>
        <c:lblAlgn val="ctr"/>
        <c:lblOffset val="100"/>
        <c:noMultiLvlLbl val="0"/>
      </c:catAx>
      <c:valAx>
        <c:axId val="1167198592"/>
        <c:scaling>
          <c:orientation val="minMax"/>
          <c:max val="0.60000000000000009"/>
          <c:min val="0.30000000000000004"/>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sz="700">
                    <a:latin typeface="Times New Roman" panose="02020603050405020304" pitchFamily="18" charset="0"/>
                    <a:cs typeface="Times New Roman" panose="02020603050405020304" pitchFamily="18" charset="0"/>
                  </a:rPr>
                  <a:t>Учешће приватног сектра у БДП (у%)</a:t>
                </a:r>
                <a:endParaRPr lang="en-US" sz="700">
                  <a:latin typeface="Times New Roman" panose="02020603050405020304" pitchFamily="18" charset="0"/>
                  <a:cs typeface="Times New Roman" panose="02020603050405020304" pitchFamily="18" charset="0"/>
                </a:endParaRPr>
              </a:p>
            </c:rich>
          </c:tx>
          <c:layout>
            <c:manualLayout>
              <c:xMode val="edge"/>
              <c:yMode val="edge"/>
              <c:x val="1.6619340551181104E-2"/>
              <c:y val="3.5194642725734047E-2"/>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67201088"/>
        <c:crosses val="autoZero"/>
        <c:crossBetween val="between"/>
        <c:majorUnit val="5.000000000000001E-2"/>
      </c:valAx>
      <c:valAx>
        <c:axId val="1167187360"/>
        <c:scaling>
          <c:orientation val="minMax"/>
        </c:scaling>
        <c:delete val="0"/>
        <c:axPos val="r"/>
        <c:title>
          <c:tx>
            <c:rich>
              <a:bodyPr rot="540000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Cyrl-RS" sz="700">
                    <a:latin typeface="Times New Roman" panose="02020603050405020304" pitchFamily="18" charset="0"/>
                    <a:cs typeface="Times New Roman" panose="02020603050405020304" pitchFamily="18" charset="0"/>
                  </a:rPr>
                  <a:t>Утицај реформи</a:t>
                </a:r>
                <a:r>
                  <a:rPr lang="sr-Cyrl-RS" sz="700" baseline="0">
                    <a:latin typeface="Times New Roman" panose="02020603050405020304" pitchFamily="18" charset="0"/>
                    <a:cs typeface="Times New Roman" panose="02020603050405020304" pitchFamily="18" charset="0"/>
                  </a:rPr>
                  <a:t> на раст БДП (у п.п.) </a:t>
                </a:r>
                <a:endParaRPr lang="en-US" sz="700">
                  <a:latin typeface="Times New Roman" panose="02020603050405020304" pitchFamily="18" charset="0"/>
                  <a:cs typeface="Times New Roman" panose="02020603050405020304" pitchFamily="18" charset="0"/>
                </a:endParaRPr>
              </a:p>
            </c:rich>
          </c:tx>
          <c:layout>
            <c:manualLayout>
              <c:xMode val="edge"/>
              <c:yMode val="edge"/>
              <c:x val="0.95190624999999995"/>
              <c:y val="9.2520911521573792E-3"/>
            </c:manualLayout>
          </c:layout>
          <c:overlay val="0"/>
          <c:spPr>
            <a:noFill/>
            <a:ln>
              <a:noFill/>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67194016"/>
        <c:crosses val="max"/>
        <c:crossBetween val="midCat"/>
      </c:valAx>
      <c:valAx>
        <c:axId val="1167194016"/>
        <c:scaling>
          <c:orientation val="minMax"/>
        </c:scaling>
        <c:delete val="1"/>
        <c:axPos val="b"/>
        <c:majorTickMark val="out"/>
        <c:minorTickMark val="none"/>
        <c:tickLblPos val="nextTo"/>
        <c:crossAx val="1167187360"/>
        <c:crosses val="autoZero"/>
        <c:crossBetween val="midCat"/>
      </c:valAx>
      <c:spPr>
        <a:noFill/>
        <a:ln>
          <a:noFill/>
        </a:ln>
        <a:effectLst/>
      </c:spPr>
    </c:plotArea>
    <c:legend>
      <c:legendPos val="b"/>
      <c:legendEntry>
        <c:idx val="0"/>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253935185185188E-2"/>
          <c:y val="4.6197089947089945E-2"/>
          <c:w val="0.90740810185185183"/>
          <c:h val="0.69238921957671962"/>
        </c:manualLayout>
      </c:layout>
      <c:barChart>
        <c:barDir val="col"/>
        <c:grouping val="stacked"/>
        <c:varyColors val="0"/>
        <c:ser>
          <c:idx val="2"/>
          <c:order val="0"/>
          <c:tx>
            <c:strRef>
              <c:f>BDP_doprinosi!$R$8</c:f>
              <c:strCache>
                <c:ptCount val="1"/>
                <c:pt idx="0">
                  <c:v>Приватна потрошња</c:v>
                </c:pt>
              </c:strCache>
            </c:strRef>
          </c:tx>
          <c:spPr>
            <a:solidFill>
              <a:srgbClr val="10103C"/>
            </a:solidFill>
            <a:ln>
              <a:noFill/>
            </a:ln>
            <a:effectLst/>
          </c:spPr>
          <c:invertIfNegative val="0"/>
          <c:cat>
            <c:numRef>
              <c:f>BDP_doprinosi!$AE$6:$AL$6</c:f>
              <c:numCache>
                <c:formatCode>General</c:formatCode>
                <c:ptCount val="7"/>
                <c:pt idx="0">
                  <c:v>2021</c:v>
                </c:pt>
                <c:pt idx="1">
                  <c:v>2022</c:v>
                </c:pt>
                <c:pt idx="2">
                  <c:v>2023</c:v>
                </c:pt>
                <c:pt idx="3">
                  <c:v>2024</c:v>
                </c:pt>
                <c:pt idx="4">
                  <c:v>2025</c:v>
                </c:pt>
                <c:pt idx="5">
                  <c:v>2026</c:v>
                </c:pt>
                <c:pt idx="6">
                  <c:v>2027</c:v>
                </c:pt>
              </c:numCache>
              <c:extLst/>
            </c:numRef>
          </c:cat>
          <c:val>
            <c:numRef>
              <c:f>BDP_doprinosi!$AE$8:$AL$8</c:f>
              <c:numCache>
                <c:formatCode>0.0</c:formatCode>
                <c:ptCount val="7"/>
                <c:pt idx="0">
                  <c:v>4.9855144939129037</c:v>
                </c:pt>
                <c:pt idx="1">
                  <c:v>2.2066920500920113</c:v>
                </c:pt>
                <c:pt idx="2">
                  <c:v>0.33183102897687944</c:v>
                </c:pt>
                <c:pt idx="3">
                  <c:v>2.8380089567087738</c:v>
                </c:pt>
                <c:pt idx="4">
                  <c:v>2.6027349496918468</c:v>
                </c:pt>
                <c:pt idx="5">
                  <c:v>2.0421889228859427</c:v>
                </c:pt>
                <c:pt idx="6">
                  <c:v>1.8350608094368033</c:v>
                </c:pt>
              </c:numCache>
              <c:extLst/>
            </c:numRef>
          </c:val>
          <c:extLst>
            <c:ext xmlns:c16="http://schemas.microsoft.com/office/drawing/2014/chart" uri="{C3380CC4-5D6E-409C-BE32-E72D297353CC}">
              <c16:uniqueId val="{00000000-EA75-4A12-8B82-1596A1206ABB}"/>
            </c:ext>
          </c:extLst>
        </c:ser>
        <c:ser>
          <c:idx val="3"/>
          <c:order val="1"/>
          <c:tx>
            <c:strRef>
              <c:f>BDP_doprinosi!$R$9</c:f>
              <c:strCache>
                <c:ptCount val="1"/>
                <c:pt idx="0">
                  <c:v>Државна потрошња</c:v>
                </c:pt>
              </c:strCache>
            </c:strRef>
          </c:tx>
          <c:spPr>
            <a:solidFill>
              <a:srgbClr val="29489A"/>
            </a:solidFill>
            <a:ln>
              <a:noFill/>
            </a:ln>
            <a:effectLst/>
          </c:spPr>
          <c:invertIfNegative val="0"/>
          <c:cat>
            <c:numRef>
              <c:f>BDP_doprinosi!$AE$6:$AL$6</c:f>
              <c:numCache>
                <c:formatCode>General</c:formatCode>
                <c:ptCount val="7"/>
                <c:pt idx="0">
                  <c:v>2021</c:v>
                </c:pt>
                <c:pt idx="1">
                  <c:v>2022</c:v>
                </c:pt>
                <c:pt idx="2">
                  <c:v>2023</c:v>
                </c:pt>
                <c:pt idx="3">
                  <c:v>2024</c:v>
                </c:pt>
                <c:pt idx="4">
                  <c:v>2025</c:v>
                </c:pt>
                <c:pt idx="5">
                  <c:v>2026</c:v>
                </c:pt>
                <c:pt idx="6">
                  <c:v>2027</c:v>
                </c:pt>
              </c:numCache>
              <c:extLst/>
            </c:numRef>
          </c:cat>
          <c:val>
            <c:numRef>
              <c:f>BDP_doprinosi!$AE$9:$AL$9</c:f>
              <c:numCache>
                <c:formatCode>0.0</c:formatCode>
                <c:ptCount val="7"/>
                <c:pt idx="0">
                  <c:v>0.80633949006526828</c:v>
                </c:pt>
                <c:pt idx="1">
                  <c:v>0.24535717484312647</c:v>
                </c:pt>
                <c:pt idx="2">
                  <c:v>-0.44215128061637587</c:v>
                </c:pt>
                <c:pt idx="3">
                  <c:v>0.5396159959686283</c:v>
                </c:pt>
                <c:pt idx="4">
                  <c:v>0.38747322681066226</c:v>
                </c:pt>
                <c:pt idx="5">
                  <c:v>0.3803308631828145</c:v>
                </c:pt>
                <c:pt idx="6">
                  <c:v>0.33391463823559087</c:v>
                </c:pt>
              </c:numCache>
              <c:extLst/>
            </c:numRef>
          </c:val>
          <c:extLst>
            <c:ext xmlns:c16="http://schemas.microsoft.com/office/drawing/2014/chart" uri="{C3380CC4-5D6E-409C-BE32-E72D297353CC}">
              <c16:uniqueId val="{00000001-EA75-4A12-8B82-1596A1206ABB}"/>
            </c:ext>
          </c:extLst>
        </c:ser>
        <c:ser>
          <c:idx val="1"/>
          <c:order val="2"/>
          <c:tx>
            <c:strRef>
              <c:f>BDP_doprinosi!$R$10</c:f>
              <c:strCache>
                <c:ptCount val="1"/>
                <c:pt idx="0">
                  <c:v>Инвестиције</c:v>
                </c:pt>
              </c:strCache>
            </c:strRef>
          </c:tx>
          <c:spPr>
            <a:solidFill>
              <a:srgbClr val="2183C4"/>
            </a:solidFill>
            <a:ln>
              <a:noFill/>
            </a:ln>
            <a:effectLst/>
          </c:spPr>
          <c:invertIfNegative val="0"/>
          <c:cat>
            <c:numRef>
              <c:f>BDP_doprinosi!$AE$6:$AL$6</c:f>
              <c:numCache>
                <c:formatCode>General</c:formatCode>
                <c:ptCount val="7"/>
                <c:pt idx="0">
                  <c:v>2021</c:v>
                </c:pt>
                <c:pt idx="1">
                  <c:v>2022</c:v>
                </c:pt>
                <c:pt idx="2">
                  <c:v>2023</c:v>
                </c:pt>
                <c:pt idx="3">
                  <c:v>2024</c:v>
                </c:pt>
                <c:pt idx="4">
                  <c:v>2025</c:v>
                </c:pt>
                <c:pt idx="5">
                  <c:v>2026</c:v>
                </c:pt>
                <c:pt idx="6">
                  <c:v>2027</c:v>
                </c:pt>
              </c:numCache>
              <c:extLst/>
            </c:numRef>
          </c:cat>
          <c:val>
            <c:numRef>
              <c:f>BDP_doprinosi!$AE$10:$AL$10</c:f>
              <c:numCache>
                <c:formatCode>0.0</c:formatCode>
                <c:ptCount val="7"/>
                <c:pt idx="0">
                  <c:v>3.1469786984236165</c:v>
                </c:pt>
                <c:pt idx="1">
                  <c:v>0.5017158770996798</c:v>
                </c:pt>
                <c:pt idx="2">
                  <c:v>2.3213659464193923</c:v>
                </c:pt>
                <c:pt idx="3">
                  <c:v>2.2401409499740748</c:v>
                </c:pt>
                <c:pt idx="4">
                  <c:v>1.9783294058775911</c:v>
                </c:pt>
                <c:pt idx="5">
                  <c:v>1.9910612003078265</c:v>
                </c:pt>
                <c:pt idx="6">
                  <c:v>1.911843798362221</c:v>
                </c:pt>
              </c:numCache>
              <c:extLst/>
            </c:numRef>
          </c:val>
          <c:extLst>
            <c:ext xmlns:c16="http://schemas.microsoft.com/office/drawing/2014/chart" uri="{C3380CC4-5D6E-409C-BE32-E72D297353CC}">
              <c16:uniqueId val="{00000002-EA75-4A12-8B82-1596A1206ABB}"/>
            </c:ext>
          </c:extLst>
        </c:ser>
        <c:ser>
          <c:idx val="0"/>
          <c:order val="3"/>
          <c:tx>
            <c:strRef>
              <c:f>BDP_doprinosi!$R$11</c:f>
              <c:strCache>
                <c:ptCount val="1"/>
                <c:pt idx="0">
                  <c:v>Нето извоз</c:v>
                </c:pt>
              </c:strCache>
            </c:strRef>
          </c:tx>
          <c:spPr>
            <a:solidFill>
              <a:srgbClr val="51BBE7"/>
            </a:solidFill>
            <a:ln>
              <a:noFill/>
            </a:ln>
            <a:effectLst/>
          </c:spPr>
          <c:invertIfNegative val="0"/>
          <c:cat>
            <c:numRef>
              <c:f>BDP_doprinosi!$AE$6:$AL$6</c:f>
              <c:numCache>
                <c:formatCode>General</c:formatCode>
                <c:ptCount val="7"/>
                <c:pt idx="0">
                  <c:v>2021</c:v>
                </c:pt>
                <c:pt idx="1">
                  <c:v>2022</c:v>
                </c:pt>
                <c:pt idx="2">
                  <c:v>2023</c:v>
                </c:pt>
                <c:pt idx="3">
                  <c:v>2024</c:v>
                </c:pt>
                <c:pt idx="4">
                  <c:v>2025</c:v>
                </c:pt>
                <c:pt idx="5">
                  <c:v>2026</c:v>
                </c:pt>
                <c:pt idx="6">
                  <c:v>2027</c:v>
                </c:pt>
              </c:numCache>
              <c:extLst/>
            </c:numRef>
          </c:cat>
          <c:val>
            <c:numRef>
              <c:f>BDP_doprinosi!$AE$11:$AL$11</c:f>
              <c:numCache>
                <c:formatCode>0.0</c:formatCode>
                <c:ptCount val="7"/>
                <c:pt idx="0">
                  <c:v>-0.16502558242154691</c:v>
                </c:pt>
                <c:pt idx="1">
                  <c:v>-0.77659463953919172</c:v>
                </c:pt>
                <c:pt idx="2">
                  <c:v>2.8186404350303107</c:v>
                </c:pt>
                <c:pt idx="3">
                  <c:v>-2.5346390870821311</c:v>
                </c:pt>
                <c:pt idx="4">
                  <c:v>-0.85589776983835286</c:v>
                </c:pt>
                <c:pt idx="5">
                  <c:v>-0.48334199442912079</c:v>
                </c:pt>
                <c:pt idx="6">
                  <c:v>0.96700298187008515</c:v>
                </c:pt>
              </c:numCache>
              <c:extLst/>
            </c:numRef>
          </c:val>
          <c:extLst>
            <c:ext xmlns:c16="http://schemas.microsoft.com/office/drawing/2014/chart" uri="{C3380CC4-5D6E-409C-BE32-E72D297353CC}">
              <c16:uniqueId val="{00000003-EA75-4A12-8B82-1596A1206ABB}"/>
            </c:ext>
          </c:extLst>
        </c:ser>
        <c:ser>
          <c:idx val="4"/>
          <c:order val="4"/>
          <c:tx>
            <c:strRef>
              <c:f>BDP_doprinosi!$R$12</c:f>
              <c:strCache>
                <c:ptCount val="1"/>
                <c:pt idx="0">
                  <c:v>Промена у залихама</c:v>
                </c:pt>
              </c:strCache>
            </c:strRef>
          </c:tx>
          <c:spPr>
            <a:solidFill>
              <a:srgbClr val="9ED1E6"/>
            </a:solidFill>
            <a:ln>
              <a:noFill/>
            </a:ln>
            <a:effectLst/>
          </c:spPr>
          <c:invertIfNegative val="0"/>
          <c:cat>
            <c:numRef>
              <c:f>BDP_doprinosi!$AE$6:$AL$6</c:f>
              <c:numCache>
                <c:formatCode>General</c:formatCode>
                <c:ptCount val="7"/>
                <c:pt idx="0">
                  <c:v>2021</c:v>
                </c:pt>
                <c:pt idx="1">
                  <c:v>2022</c:v>
                </c:pt>
                <c:pt idx="2">
                  <c:v>2023</c:v>
                </c:pt>
                <c:pt idx="3">
                  <c:v>2024</c:v>
                </c:pt>
                <c:pt idx="4">
                  <c:v>2025</c:v>
                </c:pt>
                <c:pt idx="5">
                  <c:v>2026</c:v>
                </c:pt>
                <c:pt idx="6">
                  <c:v>2027</c:v>
                </c:pt>
              </c:numCache>
              <c:extLst/>
            </c:numRef>
          </c:cat>
          <c:val>
            <c:numRef>
              <c:f>BDP_doprinosi!$AE$12:$AL$12</c:f>
              <c:numCache>
                <c:formatCode>0.0</c:formatCode>
                <c:ptCount val="7"/>
                <c:pt idx="0">
                  <c:v>-0.82475029626915608</c:v>
                </c:pt>
                <c:pt idx="1">
                  <c:v>0.45381595902653044</c:v>
                </c:pt>
                <c:pt idx="2">
                  <c:v>-1.1822141759975731</c:v>
                </c:pt>
                <c:pt idx="3">
                  <c:v>0.6668731844306689</c:v>
                </c:pt>
                <c:pt idx="4">
                  <c:v>4.7360187458251768E-2</c:v>
                </c:pt>
                <c:pt idx="5">
                  <c:v>4.4761008052521221E-2</c:v>
                </c:pt>
                <c:pt idx="6">
                  <c:v>-4.7822227904700733E-2</c:v>
                </c:pt>
              </c:numCache>
              <c:extLst/>
            </c:numRef>
          </c:val>
          <c:extLst>
            <c:ext xmlns:c16="http://schemas.microsoft.com/office/drawing/2014/chart" uri="{C3380CC4-5D6E-409C-BE32-E72D297353CC}">
              <c16:uniqueId val="{00000004-EA75-4A12-8B82-1596A1206ABB}"/>
            </c:ext>
          </c:extLst>
        </c:ser>
        <c:dLbls>
          <c:showLegendKey val="0"/>
          <c:showVal val="0"/>
          <c:showCatName val="0"/>
          <c:showSerName val="0"/>
          <c:showPercent val="0"/>
          <c:showBubbleSize val="0"/>
        </c:dLbls>
        <c:gapWidth val="60"/>
        <c:overlap val="100"/>
        <c:axId val="1768857248"/>
        <c:axId val="1768855072"/>
      </c:barChart>
      <c:lineChart>
        <c:grouping val="standard"/>
        <c:varyColors val="0"/>
        <c:ser>
          <c:idx val="5"/>
          <c:order val="5"/>
          <c:tx>
            <c:strRef>
              <c:f>BDP_doprinosi!$R$13</c:f>
              <c:strCache>
                <c:ptCount val="1"/>
                <c:pt idx="0">
                  <c:v>Реални раст БДП</c:v>
                </c:pt>
              </c:strCache>
            </c:strRef>
          </c:tx>
          <c:spPr>
            <a:ln w="25400" cap="rnd">
              <a:solidFill>
                <a:srgbClr val="FF0000"/>
              </a:solidFill>
              <a:round/>
            </a:ln>
            <a:effectLst/>
          </c:spPr>
          <c:marker>
            <c:symbol val="none"/>
          </c:marker>
          <c:dLbls>
            <c:dLbl>
              <c:idx val="0"/>
              <c:layout>
                <c:manualLayout>
                  <c:x val="-6.1053514144065325E-2"/>
                  <c:y val="-9.50454004119647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26-4228-889E-E635990F2AFC}"/>
                </c:ext>
              </c:extLst>
            </c:dLbl>
            <c:dLbl>
              <c:idx val="1"/>
              <c:layout>
                <c:manualLayout>
                  <c:x val="-5.1794254884806067E-2"/>
                  <c:y val="-0.1334752659074354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26-4228-889E-E635990F2AFC}"/>
                </c:ext>
              </c:extLst>
            </c:dLbl>
            <c:dLbl>
              <c:idx val="2"/>
              <c:layout>
                <c:manualLayout>
                  <c:x val="-7.0312773403324633E-2"/>
                  <c:y val="-0.1719051314029062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26-4228-889E-E635990F2AFC}"/>
                </c:ext>
              </c:extLst>
            </c:dLbl>
            <c:dLbl>
              <c:idx val="3"/>
              <c:layout>
                <c:manualLayout>
                  <c:x val="-6.1053514144065325E-2"/>
                  <c:y val="-0.2103349968983770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26-4228-889E-E635990F2AFC}"/>
                </c:ext>
              </c:extLst>
            </c:dLbl>
            <c:dLbl>
              <c:idx val="4"/>
              <c:layout>
                <c:manualLayout>
                  <c:x val="-6.1053514144065409E-2"/>
                  <c:y val="-0.1060253619820992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26-4228-889E-E635990F2AFC}"/>
                </c:ext>
              </c:extLst>
            </c:dLbl>
            <c:spPr>
              <a:noFill/>
              <a:ln>
                <a:noFill/>
              </a:ln>
              <a:effectLst/>
            </c:spPr>
            <c:txPr>
              <a:bodyPr rot="0" spcFirstLastPara="1" vertOverflow="ellipsis" vert="horz" wrap="square" anchor="ctr" anchorCtr="1"/>
              <a:lstStyle/>
              <a:p>
                <a:pPr>
                  <a:defRPr sz="750" b="1" i="0" u="none" strike="noStrike" kern="1200" baseline="0">
                    <a:solidFill>
                      <a:srgbClr val="FF0000"/>
                    </a:solidFill>
                    <a:latin typeface="Times New Roman" panose="02020603050405020304" pitchFamily="18"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BDP_doprinosi!$AE$6:$AL$6</c:f>
              <c:numCache>
                <c:formatCode>General</c:formatCode>
                <c:ptCount val="7"/>
                <c:pt idx="0">
                  <c:v>2021</c:v>
                </c:pt>
                <c:pt idx="1">
                  <c:v>2022</c:v>
                </c:pt>
                <c:pt idx="2">
                  <c:v>2023</c:v>
                </c:pt>
                <c:pt idx="3">
                  <c:v>2024</c:v>
                </c:pt>
                <c:pt idx="4">
                  <c:v>2025</c:v>
                </c:pt>
                <c:pt idx="5">
                  <c:v>2026</c:v>
                </c:pt>
                <c:pt idx="6">
                  <c:v>2027</c:v>
                </c:pt>
              </c:numCache>
              <c:extLst/>
            </c:numRef>
          </c:cat>
          <c:val>
            <c:numRef>
              <c:f>BDP_doprinosi!$AE$13:$AL$13</c:f>
              <c:numCache>
                <c:formatCode>0.0</c:formatCode>
                <c:ptCount val="7"/>
                <c:pt idx="0">
                  <c:v>7.9490568037111009</c:v>
                </c:pt>
                <c:pt idx="1">
                  <c:v>2.6309864215221368</c:v>
                </c:pt>
                <c:pt idx="2">
                  <c:v>3.8474719538126321</c:v>
                </c:pt>
                <c:pt idx="3">
                  <c:v>3.8</c:v>
                </c:pt>
                <c:pt idx="4">
                  <c:v>4.2</c:v>
                </c:pt>
                <c:pt idx="5">
                  <c:v>4</c:v>
                </c:pt>
                <c:pt idx="6">
                  <c:v>5</c:v>
                </c:pt>
              </c:numCache>
              <c:extLst/>
            </c:numRef>
          </c:val>
          <c:smooth val="0"/>
          <c:extLst>
            <c:ext xmlns:c16="http://schemas.microsoft.com/office/drawing/2014/chart" uri="{C3380CC4-5D6E-409C-BE32-E72D297353CC}">
              <c16:uniqueId val="{00000005-EA75-4A12-8B82-1596A1206ABB}"/>
            </c:ext>
          </c:extLst>
        </c:ser>
        <c:dLbls>
          <c:showLegendKey val="0"/>
          <c:showVal val="0"/>
          <c:showCatName val="0"/>
          <c:showSerName val="0"/>
          <c:showPercent val="0"/>
          <c:showBubbleSize val="0"/>
        </c:dLbls>
        <c:marker val="1"/>
        <c:smooth val="0"/>
        <c:axId val="1768857248"/>
        <c:axId val="1768855072"/>
      </c:lineChart>
      <c:catAx>
        <c:axId val="1768857248"/>
        <c:scaling>
          <c:orientation val="minMax"/>
        </c:scaling>
        <c:delete val="0"/>
        <c:axPos val="b"/>
        <c:numFmt formatCode="General" sourceLinked="1"/>
        <c:majorTickMark val="none"/>
        <c:minorTickMark val="none"/>
        <c:tickLblPos val="low"/>
        <c:spPr>
          <a:noFill/>
          <a:ln w="6350" cap="flat" cmpd="sng" algn="ctr">
            <a:solidFill>
              <a:srgbClr val="898989"/>
            </a:solidFill>
            <a:round/>
          </a:ln>
          <a:effectLst/>
        </c:spPr>
        <c:txPr>
          <a:bodyPr rot="-60000000" spcFirstLastPara="1" vertOverflow="ellipsis" vert="horz" wrap="square" anchor="ctr" anchorCtr="1"/>
          <a:lstStyle/>
          <a:p>
            <a:pPr>
              <a:defRPr sz="750" b="0" i="0" u="none" strike="noStrike" kern="1200" baseline="0">
                <a:solidFill>
                  <a:schemeClr val="tx2"/>
                </a:solidFill>
                <a:latin typeface="Times New Roman" panose="02020603050405020304" pitchFamily="18" charset="0"/>
                <a:ea typeface="+mn-ea"/>
                <a:cs typeface="Arial" panose="020B0604020202020204" pitchFamily="34" charset="0"/>
              </a:defRPr>
            </a:pPr>
            <a:endParaRPr lang="en-US"/>
          </a:p>
        </c:txPr>
        <c:crossAx val="1768855072"/>
        <c:crosses val="autoZero"/>
        <c:auto val="1"/>
        <c:lblAlgn val="ctr"/>
        <c:lblOffset val="100"/>
        <c:noMultiLvlLbl val="0"/>
      </c:catAx>
      <c:valAx>
        <c:axId val="1768855072"/>
        <c:scaling>
          <c:orientation val="minMax"/>
          <c:min val="-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2"/>
                </a:solidFill>
                <a:latin typeface="Times New Roman" panose="02020603050405020304" pitchFamily="18" charset="0"/>
                <a:ea typeface="+mn-ea"/>
                <a:cs typeface="Arial" panose="020B0604020202020204" pitchFamily="34" charset="0"/>
              </a:defRPr>
            </a:pPr>
            <a:endParaRPr lang="en-US"/>
          </a:p>
        </c:txPr>
        <c:crossAx val="1768857248"/>
        <c:crosses val="autoZero"/>
        <c:crossBetween val="between"/>
      </c:valAx>
      <c:spPr>
        <a:noFill/>
        <a:ln>
          <a:noFill/>
        </a:ln>
        <a:effectLst/>
      </c:spPr>
    </c:plotArea>
    <c:legend>
      <c:legendPos val="b"/>
      <c:layout>
        <c:manualLayout>
          <c:xMode val="edge"/>
          <c:yMode val="edge"/>
          <c:x val="0"/>
          <c:y val="0.83244109195402283"/>
          <c:w val="1"/>
          <c:h val="0.16755890804597701"/>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2"/>
              </a:solidFill>
              <a:latin typeface="Times New Roman" panose="02020603050405020304" pitchFamily="18" charset="0"/>
              <a:ea typeface="+mn-ea"/>
              <a:cs typeface="Arial" panose="020B0604020202020204" pitchFamily="34"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750">
          <a:solidFill>
            <a:schemeClr val="tx2"/>
          </a:solidFill>
          <a:latin typeface="+mn-lt"/>
          <a:cs typeface="Arial" panose="020B0604020202020204" pitchFamily="34" charset="0"/>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253890798861412E-2"/>
          <c:y val="0.12259765625000001"/>
          <c:w val="0.90740810185185183"/>
          <c:h val="0.55332899305555561"/>
        </c:manualLayout>
      </c:layout>
      <c:barChart>
        <c:barDir val="col"/>
        <c:grouping val="stacked"/>
        <c:varyColors val="0"/>
        <c:ser>
          <c:idx val="2"/>
          <c:order val="1"/>
          <c:tx>
            <c:strRef>
              <c:f>'потенцијални BDP'!$D$5</c:f>
              <c:strCache>
                <c:ptCount val="1"/>
                <c:pt idx="0">
                  <c:v>Допринос фактора рада, п.п.</c:v>
                </c:pt>
              </c:strCache>
            </c:strRef>
          </c:tx>
          <c:spPr>
            <a:solidFill>
              <a:srgbClr val="10103C"/>
            </a:solidFill>
            <a:ln>
              <a:noFill/>
            </a:ln>
            <a:effectLst/>
          </c:spPr>
          <c:invertIfNegative val="0"/>
          <c:cat>
            <c:numRef>
              <c:f>'потенцијални BDP'!$B$14:$B$18</c:f>
              <c:numCache>
                <c:formatCode>General</c:formatCode>
                <c:ptCount val="5"/>
                <c:pt idx="0">
                  <c:v>2023</c:v>
                </c:pt>
                <c:pt idx="1">
                  <c:v>2024</c:v>
                </c:pt>
                <c:pt idx="2">
                  <c:v>2025</c:v>
                </c:pt>
                <c:pt idx="3">
                  <c:v>2026</c:v>
                </c:pt>
                <c:pt idx="4">
                  <c:v>2027</c:v>
                </c:pt>
              </c:numCache>
            </c:numRef>
          </c:cat>
          <c:val>
            <c:numRef>
              <c:f>'потенцијални BDP'!$D$14:$D$18</c:f>
              <c:numCache>
                <c:formatCode>0.0</c:formatCode>
                <c:ptCount val="5"/>
                <c:pt idx="0">
                  <c:v>0.75785409701585982</c:v>
                </c:pt>
                <c:pt idx="1">
                  <c:v>0.75734754324752851</c:v>
                </c:pt>
                <c:pt idx="2">
                  <c:v>0.56563013064137913</c:v>
                </c:pt>
                <c:pt idx="3">
                  <c:v>0.51530138875533704</c:v>
                </c:pt>
                <c:pt idx="4">
                  <c:v>0.43322461127278555</c:v>
                </c:pt>
              </c:numCache>
            </c:numRef>
          </c:val>
          <c:extLst>
            <c:ext xmlns:c16="http://schemas.microsoft.com/office/drawing/2014/chart" uri="{C3380CC4-5D6E-409C-BE32-E72D297353CC}">
              <c16:uniqueId val="{00000000-4849-4DC5-80AF-15B86441DB71}"/>
            </c:ext>
          </c:extLst>
        </c:ser>
        <c:ser>
          <c:idx val="1"/>
          <c:order val="2"/>
          <c:tx>
            <c:strRef>
              <c:f>'потенцијални BDP'!$E$5</c:f>
              <c:strCache>
                <c:ptCount val="1"/>
                <c:pt idx="0">
                  <c:v>Допринос капитала, п.п.</c:v>
                </c:pt>
              </c:strCache>
            </c:strRef>
          </c:tx>
          <c:spPr>
            <a:solidFill>
              <a:srgbClr val="29489A"/>
            </a:solidFill>
            <a:ln>
              <a:noFill/>
            </a:ln>
            <a:effectLst/>
          </c:spPr>
          <c:invertIfNegative val="0"/>
          <c:cat>
            <c:numRef>
              <c:f>'потенцијални BDP'!$B$14:$B$18</c:f>
              <c:numCache>
                <c:formatCode>General</c:formatCode>
                <c:ptCount val="5"/>
                <c:pt idx="0">
                  <c:v>2023</c:v>
                </c:pt>
                <c:pt idx="1">
                  <c:v>2024</c:v>
                </c:pt>
                <c:pt idx="2">
                  <c:v>2025</c:v>
                </c:pt>
                <c:pt idx="3">
                  <c:v>2026</c:v>
                </c:pt>
                <c:pt idx="4">
                  <c:v>2027</c:v>
                </c:pt>
              </c:numCache>
            </c:numRef>
          </c:cat>
          <c:val>
            <c:numRef>
              <c:f>'потенцијални BDP'!$E$14:$E$18</c:f>
              <c:numCache>
                <c:formatCode>0.0</c:formatCode>
                <c:ptCount val="5"/>
                <c:pt idx="0">
                  <c:v>1.6616053399226458</c:v>
                </c:pt>
                <c:pt idx="1">
                  <c:v>1.8440653836107743</c:v>
                </c:pt>
                <c:pt idx="2">
                  <c:v>1.9486397777409556</c:v>
                </c:pt>
                <c:pt idx="3">
                  <c:v>2.0334896181511097</c:v>
                </c:pt>
                <c:pt idx="4">
                  <c:v>2.0855185057317405</c:v>
                </c:pt>
              </c:numCache>
            </c:numRef>
          </c:val>
          <c:extLst>
            <c:ext xmlns:c16="http://schemas.microsoft.com/office/drawing/2014/chart" uri="{C3380CC4-5D6E-409C-BE32-E72D297353CC}">
              <c16:uniqueId val="{00000001-4849-4DC5-80AF-15B86441DB71}"/>
            </c:ext>
          </c:extLst>
        </c:ser>
        <c:ser>
          <c:idx val="3"/>
          <c:order val="3"/>
          <c:tx>
            <c:strRef>
              <c:f>'потенцијални BDP'!$F$5</c:f>
              <c:strCache>
                <c:ptCount val="1"/>
                <c:pt idx="0">
                  <c:v>ТФП, п.п.</c:v>
                </c:pt>
              </c:strCache>
            </c:strRef>
          </c:tx>
          <c:spPr>
            <a:solidFill>
              <a:srgbClr val="51BBE7"/>
            </a:solidFill>
            <a:ln>
              <a:noFill/>
            </a:ln>
            <a:effectLst/>
          </c:spPr>
          <c:invertIfNegative val="0"/>
          <c:cat>
            <c:numRef>
              <c:f>'потенцијални BDP'!$B$14:$B$18</c:f>
              <c:numCache>
                <c:formatCode>General</c:formatCode>
                <c:ptCount val="5"/>
                <c:pt idx="0">
                  <c:v>2023</c:v>
                </c:pt>
                <c:pt idx="1">
                  <c:v>2024</c:v>
                </c:pt>
                <c:pt idx="2">
                  <c:v>2025</c:v>
                </c:pt>
                <c:pt idx="3">
                  <c:v>2026</c:v>
                </c:pt>
                <c:pt idx="4">
                  <c:v>2027</c:v>
                </c:pt>
              </c:numCache>
            </c:numRef>
          </c:cat>
          <c:val>
            <c:numRef>
              <c:f>'потенцијални BDP'!$F$14:$F$18</c:f>
              <c:numCache>
                <c:formatCode>0.0</c:formatCode>
                <c:ptCount val="5"/>
                <c:pt idx="0">
                  <c:v>1.5446839629835762</c:v>
                </c:pt>
                <c:pt idx="1">
                  <c:v>1.4117272984149343</c:v>
                </c:pt>
                <c:pt idx="2">
                  <c:v>1.553052549374049</c:v>
                </c:pt>
                <c:pt idx="3">
                  <c:v>1.5572220880842322</c:v>
                </c:pt>
                <c:pt idx="4">
                  <c:v>1.5903046929206779</c:v>
                </c:pt>
              </c:numCache>
            </c:numRef>
          </c:val>
          <c:extLst>
            <c:ext xmlns:c16="http://schemas.microsoft.com/office/drawing/2014/chart" uri="{C3380CC4-5D6E-409C-BE32-E72D297353CC}">
              <c16:uniqueId val="{00000002-4849-4DC5-80AF-15B86441DB71}"/>
            </c:ext>
          </c:extLst>
        </c:ser>
        <c:dLbls>
          <c:showLegendKey val="0"/>
          <c:showVal val="0"/>
          <c:showCatName val="0"/>
          <c:showSerName val="0"/>
          <c:showPercent val="0"/>
          <c:showBubbleSize val="0"/>
        </c:dLbls>
        <c:gapWidth val="60"/>
        <c:overlap val="100"/>
        <c:axId val="1961428144"/>
        <c:axId val="1961437392"/>
      </c:barChart>
      <c:lineChart>
        <c:grouping val="standard"/>
        <c:varyColors val="0"/>
        <c:ser>
          <c:idx val="0"/>
          <c:order val="0"/>
          <c:tx>
            <c:strRef>
              <c:f>'потенцијални BDP'!$C$5</c:f>
              <c:strCache>
                <c:ptCount val="1"/>
                <c:pt idx="0">
                  <c:v>Раст потенцијалног БДП, %</c:v>
                </c:pt>
              </c:strCache>
            </c:strRef>
          </c:tx>
          <c:spPr>
            <a:ln w="28575" cap="rnd">
              <a:solidFill>
                <a:srgbClr val="FF0000"/>
              </a:solidFill>
              <a:round/>
            </a:ln>
            <a:effectLst/>
          </c:spPr>
          <c:marker>
            <c:symbol val="none"/>
          </c:marker>
          <c:cat>
            <c:numRef>
              <c:f>'потенцијални BDP'!$B$14:$B$18</c:f>
              <c:numCache>
                <c:formatCode>General</c:formatCode>
                <c:ptCount val="5"/>
                <c:pt idx="0">
                  <c:v>2023</c:v>
                </c:pt>
                <c:pt idx="1">
                  <c:v>2024</c:v>
                </c:pt>
                <c:pt idx="2">
                  <c:v>2025</c:v>
                </c:pt>
                <c:pt idx="3">
                  <c:v>2026</c:v>
                </c:pt>
                <c:pt idx="4">
                  <c:v>2027</c:v>
                </c:pt>
              </c:numCache>
            </c:numRef>
          </c:cat>
          <c:val>
            <c:numRef>
              <c:f>'потенцијални BDP'!$C$14:$C$18</c:f>
              <c:numCache>
                <c:formatCode>0.0</c:formatCode>
                <c:ptCount val="5"/>
                <c:pt idx="0">
                  <c:v>3.9641433999220821</c:v>
                </c:pt>
                <c:pt idx="1">
                  <c:v>4.0131402252732373</c:v>
                </c:pt>
                <c:pt idx="2">
                  <c:v>4.0673224577563838</c:v>
                </c:pt>
                <c:pt idx="3">
                  <c:v>4.1060130949906792</c:v>
                </c:pt>
                <c:pt idx="4">
                  <c:v>4.1090478099252037</c:v>
                </c:pt>
              </c:numCache>
            </c:numRef>
          </c:val>
          <c:smooth val="0"/>
          <c:extLst>
            <c:ext xmlns:c16="http://schemas.microsoft.com/office/drawing/2014/chart" uri="{C3380CC4-5D6E-409C-BE32-E72D297353CC}">
              <c16:uniqueId val="{00000003-4849-4DC5-80AF-15B86441DB71}"/>
            </c:ext>
          </c:extLst>
        </c:ser>
        <c:dLbls>
          <c:showLegendKey val="0"/>
          <c:showVal val="0"/>
          <c:showCatName val="0"/>
          <c:showSerName val="0"/>
          <c:showPercent val="0"/>
          <c:showBubbleSize val="0"/>
        </c:dLbls>
        <c:marker val="1"/>
        <c:smooth val="0"/>
        <c:axId val="1961428144"/>
        <c:axId val="1961437392"/>
      </c:lineChart>
      <c:catAx>
        <c:axId val="1961428144"/>
        <c:scaling>
          <c:orientation val="minMax"/>
        </c:scaling>
        <c:delete val="0"/>
        <c:axPos val="b"/>
        <c:numFmt formatCode="General" sourceLinked="1"/>
        <c:majorTickMark val="none"/>
        <c:minorTickMark val="none"/>
        <c:tickLblPos val="low"/>
        <c:spPr>
          <a:noFill/>
          <a:ln w="6350" cap="flat" cmpd="sng" algn="ctr">
            <a:solidFill>
              <a:srgbClr val="898989"/>
            </a:solidFill>
            <a:round/>
          </a:ln>
          <a:effectLst/>
        </c:spPr>
        <c:txPr>
          <a:bodyPr rot="-60000000" spcFirstLastPara="1" vertOverflow="ellipsis" vert="horz" wrap="square" anchor="ctr" anchorCtr="1"/>
          <a:lstStyle/>
          <a:p>
            <a:pPr>
              <a:defRPr sz="750" b="0" i="0" u="none" strike="noStrike" kern="1200" baseline="0">
                <a:solidFill>
                  <a:schemeClr val="tx2"/>
                </a:solidFill>
                <a:latin typeface="Times New Roman" panose="02020603050405020304" pitchFamily="18" charset="0"/>
                <a:ea typeface="+mn-ea"/>
                <a:cs typeface="Arial" panose="020B0604020202020204" pitchFamily="34" charset="0"/>
              </a:defRPr>
            </a:pPr>
            <a:endParaRPr lang="en-US"/>
          </a:p>
        </c:txPr>
        <c:crossAx val="1961437392"/>
        <c:crossesAt val="0"/>
        <c:auto val="1"/>
        <c:lblAlgn val="ctr"/>
        <c:lblOffset val="100"/>
        <c:noMultiLvlLbl val="0"/>
      </c:catAx>
      <c:valAx>
        <c:axId val="1961437392"/>
        <c:scaling>
          <c:orientation val="minMax"/>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2"/>
                </a:solidFill>
                <a:latin typeface="Times New Roman" panose="02020603050405020304" pitchFamily="18" charset="0"/>
                <a:ea typeface="+mn-ea"/>
                <a:cs typeface="Arial" panose="020B0604020202020204" pitchFamily="34" charset="0"/>
              </a:defRPr>
            </a:pPr>
            <a:endParaRPr lang="en-US"/>
          </a:p>
        </c:txPr>
        <c:crossAx val="1961428144"/>
        <c:crosses val="autoZero"/>
        <c:crossBetween val="between"/>
        <c:majorUnit val="1"/>
        <c:minorUnit val="0.2"/>
      </c:valAx>
      <c:spPr>
        <a:noFill/>
        <a:ln>
          <a:noFill/>
        </a:ln>
        <a:effectLst/>
      </c:spPr>
    </c:plotArea>
    <c:legend>
      <c:legendPos val="b"/>
      <c:layout>
        <c:manualLayout>
          <c:xMode val="edge"/>
          <c:yMode val="edge"/>
          <c:x val="1.4346234889652889E-3"/>
          <c:y val="0.79209678819444451"/>
          <c:w val="0.99827437063324831"/>
          <c:h val="0.19444878472222224"/>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2"/>
              </a:solidFill>
              <a:latin typeface="Times New Roman" panose="02020603050405020304" pitchFamily="18" charset="0"/>
              <a:ea typeface="+mn-ea"/>
              <a:cs typeface="Arial" panose="020B0604020202020204" pitchFamily="34"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750">
          <a:solidFill>
            <a:schemeClr val="tx2"/>
          </a:solidFill>
          <a:latin typeface="+mn-lt"/>
          <a:cs typeface="Arial" panose="020B0604020202020204" pitchFamily="34" charset="0"/>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'Yearly GDP chart fan'!$AE$16</c:f>
              <c:strCache>
                <c:ptCount val="1"/>
                <c:pt idx="0">
                  <c:v>Baza</c:v>
                </c:pt>
              </c:strCache>
            </c:strRef>
          </c:tx>
          <c:spPr>
            <a:noFill/>
            <a:ln>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fan'!$AE$17:$AE$25</c:f>
              <c:numCache>
                <c:formatCode>0.00</c:formatCode>
                <c:ptCount val="8"/>
                <c:pt idx="0">
                  <c:v>-0.95002358986207014</c:v>
                </c:pt>
                <c:pt idx="1">
                  <c:v>7.9490568037111018</c:v>
                </c:pt>
                <c:pt idx="2">
                  <c:v>2.6309864215221239</c:v>
                </c:pt>
                <c:pt idx="3">
                  <c:v>3.8474719538126294</c:v>
                </c:pt>
                <c:pt idx="4">
                  <c:v>2.6999999999999997</c:v>
                </c:pt>
                <c:pt idx="5">
                  <c:v>2.5666666666666673</c:v>
                </c:pt>
                <c:pt idx="6">
                  <c:v>1.8333333333333328</c:v>
                </c:pt>
                <c:pt idx="7">
                  <c:v>2.2999999999999998</c:v>
                </c:pt>
              </c:numCache>
              <c:extLst/>
            </c:numRef>
          </c:val>
          <c:extLst>
            <c:ext xmlns:c16="http://schemas.microsoft.com/office/drawing/2014/chart" uri="{C3380CC4-5D6E-409C-BE32-E72D297353CC}">
              <c16:uniqueId val="{00000000-E281-4DD0-89D7-876AFFB4AF47}"/>
            </c:ext>
          </c:extLst>
        </c:ser>
        <c:ser>
          <c:idx val="1"/>
          <c:order val="1"/>
          <c:tx>
            <c:strRef>
              <c:f>'Yearly GDP chart fan'!$AF$16</c:f>
              <c:strCache>
                <c:ptCount val="1"/>
                <c:pt idx="0">
                  <c:v>Lower 10</c:v>
                </c:pt>
              </c:strCache>
            </c:strRef>
          </c:tx>
          <c:spPr>
            <a:solidFill>
              <a:srgbClr val="C00000">
                <a:alpha val="1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fan'!$AF$17:$AF$25</c:f>
              <c:numCache>
                <c:formatCode>0.00</c:formatCode>
                <c:ptCount val="8"/>
                <c:pt idx="0">
                  <c:v>0</c:v>
                </c:pt>
                <c:pt idx="1">
                  <c:v>0</c:v>
                </c:pt>
                <c:pt idx="2">
                  <c:v>0</c:v>
                </c:pt>
                <c:pt idx="3" formatCode="0.0000">
                  <c:v>0</c:v>
                </c:pt>
                <c:pt idx="4" formatCode="0.0000">
                  <c:v>0.20952380952380967</c:v>
                </c:pt>
                <c:pt idx="5" formatCode="0.0000">
                  <c:v>0.31111111111111089</c:v>
                </c:pt>
                <c:pt idx="6" formatCode="0.0000">
                  <c:v>0.41269841269841279</c:v>
                </c:pt>
                <c:pt idx="7" formatCode="0.0000">
                  <c:v>0.51428571428571423</c:v>
                </c:pt>
              </c:numCache>
              <c:extLst/>
            </c:numRef>
          </c:val>
          <c:extLst>
            <c:ext xmlns:c16="http://schemas.microsoft.com/office/drawing/2014/chart" uri="{C3380CC4-5D6E-409C-BE32-E72D297353CC}">
              <c16:uniqueId val="{00000001-E281-4DD0-89D7-876AFFB4AF47}"/>
            </c:ext>
          </c:extLst>
        </c:ser>
        <c:ser>
          <c:idx val="2"/>
          <c:order val="2"/>
          <c:tx>
            <c:strRef>
              <c:f>'Yearly GDP chart fan'!$AG$16</c:f>
              <c:strCache>
                <c:ptCount val="1"/>
                <c:pt idx="0">
                  <c:v>Lower 9</c:v>
                </c:pt>
              </c:strCache>
            </c:strRef>
          </c:tx>
          <c:spPr>
            <a:solidFill>
              <a:srgbClr val="C00000">
                <a:alpha val="2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fan'!$AG$17:$AG$25</c:f>
              <c:numCache>
                <c:formatCode>0.00</c:formatCode>
                <c:ptCount val="8"/>
                <c:pt idx="0">
                  <c:v>0</c:v>
                </c:pt>
                <c:pt idx="1">
                  <c:v>0</c:v>
                </c:pt>
                <c:pt idx="2">
                  <c:v>0</c:v>
                </c:pt>
                <c:pt idx="3" formatCode="0.0000">
                  <c:v>0</c:v>
                </c:pt>
                <c:pt idx="4" formatCode="0.0000">
                  <c:v>0.18740740740740724</c:v>
                </c:pt>
                <c:pt idx="5" formatCode="0.0000">
                  <c:v>0.27827160493827163</c:v>
                </c:pt>
                <c:pt idx="6" formatCode="0.0000">
                  <c:v>0.36913580246913602</c:v>
                </c:pt>
                <c:pt idx="7" formatCode="0.0000">
                  <c:v>0.45999999999999996</c:v>
                </c:pt>
              </c:numCache>
              <c:extLst/>
            </c:numRef>
          </c:val>
          <c:extLst>
            <c:ext xmlns:c16="http://schemas.microsoft.com/office/drawing/2014/chart" uri="{C3380CC4-5D6E-409C-BE32-E72D297353CC}">
              <c16:uniqueId val="{00000002-E281-4DD0-89D7-876AFFB4AF47}"/>
            </c:ext>
          </c:extLst>
        </c:ser>
        <c:ser>
          <c:idx val="3"/>
          <c:order val="3"/>
          <c:tx>
            <c:strRef>
              <c:f>'Yearly GDP chart fan'!$AH$16</c:f>
              <c:strCache>
                <c:ptCount val="1"/>
                <c:pt idx="0">
                  <c:v>Lower 8</c:v>
                </c:pt>
              </c:strCache>
            </c:strRef>
          </c:tx>
          <c:spPr>
            <a:solidFill>
              <a:srgbClr val="C00000">
                <a:alpha val="3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fan'!$AH$17:$AH$25</c:f>
              <c:numCache>
                <c:formatCode>0.00</c:formatCode>
                <c:ptCount val="8"/>
                <c:pt idx="0">
                  <c:v>0</c:v>
                </c:pt>
                <c:pt idx="1">
                  <c:v>0</c:v>
                </c:pt>
                <c:pt idx="2">
                  <c:v>0</c:v>
                </c:pt>
                <c:pt idx="3" formatCode="0.0000">
                  <c:v>0</c:v>
                </c:pt>
                <c:pt idx="4" formatCode="0.0000">
                  <c:v>0.16529100529100527</c:v>
                </c:pt>
                <c:pt idx="5" formatCode="0.0000">
                  <c:v>0.24543209876543193</c:v>
                </c:pt>
                <c:pt idx="6" formatCode="0.0000">
                  <c:v>0.32557319223985903</c:v>
                </c:pt>
                <c:pt idx="7" formatCode="0.0000">
                  <c:v>0.40571428571428569</c:v>
                </c:pt>
              </c:numCache>
              <c:extLst/>
            </c:numRef>
          </c:val>
          <c:extLst>
            <c:ext xmlns:c16="http://schemas.microsoft.com/office/drawing/2014/chart" uri="{C3380CC4-5D6E-409C-BE32-E72D297353CC}">
              <c16:uniqueId val="{00000003-E281-4DD0-89D7-876AFFB4AF47}"/>
            </c:ext>
          </c:extLst>
        </c:ser>
        <c:ser>
          <c:idx val="4"/>
          <c:order val="4"/>
          <c:tx>
            <c:strRef>
              <c:f>'Yearly GDP chart fan'!$AI$16</c:f>
              <c:strCache>
                <c:ptCount val="1"/>
                <c:pt idx="0">
                  <c:v>Lower 7</c:v>
                </c:pt>
              </c:strCache>
            </c:strRef>
          </c:tx>
          <c:spPr>
            <a:solidFill>
              <a:srgbClr val="C00000">
                <a:alpha val="4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fan'!$AI$17:$AI$25</c:f>
              <c:numCache>
                <c:formatCode>0.00</c:formatCode>
                <c:ptCount val="8"/>
                <c:pt idx="0">
                  <c:v>0</c:v>
                </c:pt>
                <c:pt idx="1">
                  <c:v>0</c:v>
                </c:pt>
                <c:pt idx="2">
                  <c:v>0</c:v>
                </c:pt>
                <c:pt idx="3" formatCode="0.0000">
                  <c:v>0</c:v>
                </c:pt>
                <c:pt idx="4" formatCode="0.0000">
                  <c:v>0.14317460317460329</c:v>
                </c:pt>
                <c:pt idx="5" formatCode="0.0000">
                  <c:v>0.21259259259259267</c:v>
                </c:pt>
                <c:pt idx="6" formatCode="0.0000">
                  <c:v>0.28201058201058204</c:v>
                </c:pt>
                <c:pt idx="7" formatCode="0.0000">
                  <c:v>0.35142857142857142</c:v>
                </c:pt>
              </c:numCache>
              <c:extLst/>
            </c:numRef>
          </c:val>
          <c:extLst>
            <c:ext xmlns:c16="http://schemas.microsoft.com/office/drawing/2014/chart" uri="{C3380CC4-5D6E-409C-BE32-E72D297353CC}">
              <c16:uniqueId val="{00000004-E281-4DD0-89D7-876AFFB4AF47}"/>
            </c:ext>
          </c:extLst>
        </c:ser>
        <c:ser>
          <c:idx val="5"/>
          <c:order val="5"/>
          <c:tx>
            <c:strRef>
              <c:f>'Yearly GDP chart fan'!$AJ$16</c:f>
              <c:strCache>
                <c:ptCount val="1"/>
                <c:pt idx="0">
                  <c:v>Lower 6</c:v>
                </c:pt>
              </c:strCache>
            </c:strRef>
          </c:tx>
          <c:spPr>
            <a:solidFill>
              <a:srgbClr val="C00000">
                <a:alpha val="5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fan'!$AJ$17:$AJ$25</c:f>
              <c:numCache>
                <c:formatCode>0.00</c:formatCode>
                <c:ptCount val="8"/>
                <c:pt idx="0">
                  <c:v>0</c:v>
                </c:pt>
                <c:pt idx="1">
                  <c:v>0</c:v>
                </c:pt>
                <c:pt idx="2">
                  <c:v>0</c:v>
                </c:pt>
                <c:pt idx="3" formatCode="0.0000">
                  <c:v>0</c:v>
                </c:pt>
                <c:pt idx="4" formatCode="0.0000">
                  <c:v>0.12105820105820086</c:v>
                </c:pt>
                <c:pt idx="5" formatCode="0.0000">
                  <c:v>0.17975308641975296</c:v>
                </c:pt>
                <c:pt idx="6" formatCode="0.0000">
                  <c:v>0.23844797178130506</c:v>
                </c:pt>
                <c:pt idx="7" formatCode="0.0000">
                  <c:v>0.29714285714285715</c:v>
                </c:pt>
              </c:numCache>
              <c:extLst/>
            </c:numRef>
          </c:val>
          <c:extLst>
            <c:ext xmlns:c16="http://schemas.microsoft.com/office/drawing/2014/chart" uri="{C3380CC4-5D6E-409C-BE32-E72D297353CC}">
              <c16:uniqueId val="{00000005-E281-4DD0-89D7-876AFFB4AF47}"/>
            </c:ext>
          </c:extLst>
        </c:ser>
        <c:ser>
          <c:idx val="6"/>
          <c:order val="6"/>
          <c:tx>
            <c:strRef>
              <c:f>'Yearly GDP chart fan'!$AK$16</c:f>
              <c:strCache>
                <c:ptCount val="1"/>
                <c:pt idx="0">
                  <c:v>Lower 5</c:v>
                </c:pt>
              </c:strCache>
            </c:strRef>
          </c:tx>
          <c:spPr>
            <a:solidFill>
              <a:srgbClr val="C00000">
                <a:alpha val="6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fan'!$AK$17:$AK$25</c:f>
              <c:numCache>
                <c:formatCode>0.00</c:formatCode>
                <c:ptCount val="8"/>
                <c:pt idx="0">
                  <c:v>0</c:v>
                </c:pt>
                <c:pt idx="1">
                  <c:v>0</c:v>
                </c:pt>
                <c:pt idx="2">
                  <c:v>0</c:v>
                </c:pt>
                <c:pt idx="3" formatCode="0.0000">
                  <c:v>0</c:v>
                </c:pt>
                <c:pt idx="4" formatCode="0.0000">
                  <c:v>9.8941798941798886E-2</c:v>
                </c:pt>
                <c:pt idx="5" formatCode="0.0000">
                  <c:v>0.1469135802469137</c:v>
                </c:pt>
                <c:pt idx="6" formatCode="0.0000">
                  <c:v>0.19488536155202807</c:v>
                </c:pt>
                <c:pt idx="7" formatCode="0.0000">
                  <c:v>0.24285714285714288</c:v>
                </c:pt>
              </c:numCache>
              <c:extLst/>
            </c:numRef>
          </c:val>
          <c:extLst>
            <c:ext xmlns:c16="http://schemas.microsoft.com/office/drawing/2014/chart" uri="{C3380CC4-5D6E-409C-BE32-E72D297353CC}">
              <c16:uniqueId val="{00000006-E281-4DD0-89D7-876AFFB4AF47}"/>
            </c:ext>
          </c:extLst>
        </c:ser>
        <c:ser>
          <c:idx val="7"/>
          <c:order val="7"/>
          <c:tx>
            <c:strRef>
              <c:f>'Yearly GDP chart fan'!$AL$16</c:f>
              <c:strCache>
                <c:ptCount val="1"/>
                <c:pt idx="0">
                  <c:v>Lower 4</c:v>
                </c:pt>
              </c:strCache>
            </c:strRef>
          </c:tx>
          <c:spPr>
            <a:solidFill>
              <a:srgbClr val="C00000">
                <a:alpha val="7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fan'!$AL$17:$AL$25</c:f>
              <c:numCache>
                <c:formatCode>0.00</c:formatCode>
                <c:ptCount val="8"/>
                <c:pt idx="0">
                  <c:v>0</c:v>
                </c:pt>
                <c:pt idx="1">
                  <c:v>0</c:v>
                </c:pt>
                <c:pt idx="2">
                  <c:v>0</c:v>
                </c:pt>
                <c:pt idx="3" formatCode="0.0000">
                  <c:v>0</c:v>
                </c:pt>
                <c:pt idx="4" formatCode="0.0000">
                  <c:v>7.6825396825396908E-2</c:v>
                </c:pt>
                <c:pt idx="5" formatCode="0.0000">
                  <c:v>0.11407407407407399</c:v>
                </c:pt>
                <c:pt idx="6" formatCode="0.0000">
                  <c:v>0.15132275132275153</c:v>
                </c:pt>
                <c:pt idx="7" formatCode="0.0000">
                  <c:v>0.18857142857142861</c:v>
                </c:pt>
              </c:numCache>
              <c:extLst/>
            </c:numRef>
          </c:val>
          <c:extLst>
            <c:ext xmlns:c16="http://schemas.microsoft.com/office/drawing/2014/chart" uri="{C3380CC4-5D6E-409C-BE32-E72D297353CC}">
              <c16:uniqueId val="{00000007-E281-4DD0-89D7-876AFFB4AF47}"/>
            </c:ext>
          </c:extLst>
        </c:ser>
        <c:ser>
          <c:idx val="8"/>
          <c:order val="8"/>
          <c:tx>
            <c:strRef>
              <c:f>'Yearly GDP chart fan'!$AM$16</c:f>
              <c:strCache>
                <c:ptCount val="1"/>
                <c:pt idx="0">
                  <c:v>Lower 3</c:v>
                </c:pt>
              </c:strCache>
            </c:strRef>
          </c:tx>
          <c:spPr>
            <a:solidFill>
              <a:srgbClr val="C00000">
                <a:alpha val="8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fan'!$AM$17:$AM$25</c:f>
              <c:numCache>
                <c:formatCode>0.00</c:formatCode>
                <c:ptCount val="8"/>
                <c:pt idx="0">
                  <c:v>0</c:v>
                </c:pt>
                <c:pt idx="1">
                  <c:v>0</c:v>
                </c:pt>
                <c:pt idx="2">
                  <c:v>0</c:v>
                </c:pt>
                <c:pt idx="3" formatCode="0.0000">
                  <c:v>0</c:v>
                </c:pt>
                <c:pt idx="4" formatCode="0.0000">
                  <c:v>5.4708994708994929E-2</c:v>
                </c:pt>
                <c:pt idx="5" formatCode="0.0000">
                  <c:v>8.1234567901234733E-2</c:v>
                </c:pt>
                <c:pt idx="6" formatCode="0.0000">
                  <c:v>0.10776014109347454</c:v>
                </c:pt>
                <c:pt idx="7" formatCode="0.0000">
                  <c:v>0.13428571428571434</c:v>
                </c:pt>
              </c:numCache>
              <c:extLst/>
            </c:numRef>
          </c:val>
          <c:extLst>
            <c:ext xmlns:c16="http://schemas.microsoft.com/office/drawing/2014/chart" uri="{C3380CC4-5D6E-409C-BE32-E72D297353CC}">
              <c16:uniqueId val="{00000008-E281-4DD0-89D7-876AFFB4AF47}"/>
            </c:ext>
          </c:extLst>
        </c:ser>
        <c:ser>
          <c:idx val="9"/>
          <c:order val="9"/>
          <c:tx>
            <c:strRef>
              <c:f>'Yearly GDP chart fan'!$AN$16</c:f>
              <c:strCache>
                <c:ptCount val="1"/>
                <c:pt idx="0">
                  <c:v>Lower 2</c:v>
                </c:pt>
              </c:strCache>
            </c:strRef>
          </c:tx>
          <c:spPr>
            <a:solidFill>
              <a:srgbClr val="C00000">
                <a:alpha val="9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fan'!$AN$17:$AN$25</c:f>
              <c:numCache>
                <c:formatCode>0.00</c:formatCode>
                <c:ptCount val="8"/>
                <c:pt idx="0">
                  <c:v>0</c:v>
                </c:pt>
                <c:pt idx="1">
                  <c:v>0</c:v>
                </c:pt>
                <c:pt idx="2">
                  <c:v>0</c:v>
                </c:pt>
                <c:pt idx="3" formatCode="0.0000">
                  <c:v>0</c:v>
                </c:pt>
                <c:pt idx="4" formatCode="0.0000">
                  <c:v>3.2592592592592506E-2</c:v>
                </c:pt>
                <c:pt idx="5" formatCode="0.0000">
                  <c:v>4.8395061728395028E-2</c:v>
                </c:pt>
                <c:pt idx="6" formatCode="0.0000">
                  <c:v>6.419753086419755E-2</c:v>
                </c:pt>
                <c:pt idx="7" formatCode="0.0000">
                  <c:v>8.0000000000000071E-2</c:v>
                </c:pt>
              </c:numCache>
              <c:extLst/>
            </c:numRef>
          </c:val>
          <c:extLst>
            <c:ext xmlns:c16="http://schemas.microsoft.com/office/drawing/2014/chart" uri="{C3380CC4-5D6E-409C-BE32-E72D297353CC}">
              <c16:uniqueId val="{00000009-E281-4DD0-89D7-876AFFB4AF47}"/>
            </c:ext>
          </c:extLst>
        </c:ser>
        <c:ser>
          <c:idx val="10"/>
          <c:order val="10"/>
          <c:tx>
            <c:strRef>
              <c:f>'Yearly GDP chart fan'!$AO$16</c:f>
              <c:strCache>
                <c:ptCount val="1"/>
                <c:pt idx="0">
                  <c:v>Lower 1</c:v>
                </c:pt>
              </c:strCache>
            </c:strRef>
          </c:tx>
          <c:spPr>
            <a:solidFill>
              <a:srgbClr val="C00000"/>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fan'!$AO$17:$AO$25</c:f>
              <c:numCache>
                <c:formatCode>0.00</c:formatCode>
                <c:ptCount val="8"/>
                <c:pt idx="0">
                  <c:v>0</c:v>
                </c:pt>
                <c:pt idx="1">
                  <c:v>0</c:v>
                </c:pt>
                <c:pt idx="2">
                  <c:v>0</c:v>
                </c:pt>
                <c:pt idx="3" formatCode="0.0000">
                  <c:v>0</c:v>
                </c:pt>
                <c:pt idx="4" formatCode="0.0000">
                  <c:v>1.0476190476190528E-2</c:v>
                </c:pt>
                <c:pt idx="5" formatCode="0.0000">
                  <c:v>1.5555555555555323E-2</c:v>
                </c:pt>
                <c:pt idx="6" formatCode="0.0000">
                  <c:v>2.0634920634920562E-2</c:v>
                </c:pt>
                <c:pt idx="7" formatCode="0.0000">
                  <c:v>2.5714285714285801E-2</c:v>
                </c:pt>
              </c:numCache>
              <c:extLst/>
            </c:numRef>
          </c:val>
          <c:extLst>
            <c:ext xmlns:c16="http://schemas.microsoft.com/office/drawing/2014/chart" uri="{C3380CC4-5D6E-409C-BE32-E72D297353CC}">
              <c16:uniqueId val="{0000000A-E281-4DD0-89D7-876AFFB4AF47}"/>
            </c:ext>
          </c:extLst>
        </c:ser>
        <c:ser>
          <c:idx val="11"/>
          <c:order val="11"/>
          <c:tx>
            <c:strRef>
              <c:f>'Yearly GDP chart fan'!$AP$16</c:f>
              <c:strCache>
                <c:ptCount val="1"/>
                <c:pt idx="0">
                  <c:v>Upper 1</c:v>
                </c:pt>
              </c:strCache>
            </c:strRef>
          </c:tx>
          <c:spPr>
            <a:solidFill>
              <a:srgbClr val="C00000"/>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fan'!$AP$17:$AP$25</c:f>
              <c:numCache>
                <c:formatCode>0.0000</c:formatCode>
                <c:ptCount val="8"/>
                <c:pt idx="0">
                  <c:v>0</c:v>
                </c:pt>
                <c:pt idx="1">
                  <c:v>0</c:v>
                </c:pt>
                <c:pt idx="2">
                  <c:v>0</c:v>
                </c:pt>
                <c:pt idx="3">
                  <c:v>0</c:v>
                </c:pt>
                <c:pt idx="4">
                  <c:v>1.2380952380952159E-2</c:v>
                </c:pt>
                <c:pt idx="5">
                  <c:v>1.7460317460317398E-2</c:v>
                </c:pt>
                <c:pt idx="6">
                  <c:v>2.2539682539682637E-2</c:v>
                </c:pt>
                <c:pt idx="7">
                  <c:v>2.7619047619047876E-2</c:v>
                </c:pt>
              </c:numCache>
              <c:extLst/>
            </c:numRef>
          </c:val>
          <c:extLst>
            <c:ext xmlns:c16="http://schemas.microsoft.com/office/drawing/2014/chart" uri="{C3380CC4-5D6E-409C-BE32-E72D297353CC}">
              <c16:uniqueId val="{0000000B-E281-4DD0-89D7-876AFFB4AF47}"/>
            </c:ext>
          </c:extLst>
        </c:ser>
        <c:ser>
          <c:idx val="12"/>
          <c:order val="12"/>
          <c:tx>
            <c:strRef>
              <c:f>'Yearly GDP chart fan'!$AQ$16</c:f>
              <c:strCache>
                <c:ptCount val="1"/>
                <c:pt idx="0">
                  <c:v>Upper 2</c:v>
                </c:pt>
              </c:strCache>
            </c:strRef>
          </c:tx>
          <c:spPr>
            <a:solidFill>
              <a:srgbClr val="C00000">
                <a:alpha val="9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fan'!$AQ$17:$AQ$25</c:f>
              <c:numCache>
                <c:formatCode>0.0000</c:formatCode>
                <c:ptCount val="8"/>
                <c:pt idx="0">
                  <c:v>0</c:v>
                </c:pt>
                <c:pt idx="1">
                  <c:v>0</c:v>
                </c:pt>
                <c:pt idx="2">
                  <c:v>0</c:v>
                </c:pt>
                <c:pt idx="3">
                  <c:v>0</c:v>
                </c:pt>
                <c:pt idx="4">
                  <c:v>3.8518518518518619E-2</c:v>
                </c:pt>
                <c:pt idx="5">
                  <c:v>5.4320987654320696E-2</c:v>
                </c:pt>
                <c:pt idx="6">
                  <c:v>7.0123456790123662E-2</c:v>
                </c:pt>
                <c:pt idx="7">
                  <c:v>8.5925925925925739E-2</c:v>
                </c:pt>
              </c:numCache>
              <c:extLst/>
            </c:numRef>
          </c:val>
          <c:extLst>
            <c:ext xmlns:c16="http://schemas.microsoft.com/office/drawing/2014/chart" uri="{C3380CC4-5D6E-409C-BE32-E72D297353CC}">
              <c16:uniqueId val="{0000000C-E281-4DD0-89D7-876AFFB4AF47}"/>
            </c:ext>
          </c:extLst>
        </c:ser>
        <c:ser>
          <c:idx val="13"/>
          <c:order val="13"/>
          <c:tx>
            <c:strRef>
              <c:f>'Yearly GDP chart fan'!$AR$16</c:f>
              <c:strCache>
                <c:ptCount val="1"/>
                <c:pt idx="0">
                  <c:v>Upper 3</c:v>
                </c:pt>
              </c:strCache>
            </c:strRef>
          </c:tx>
          <c:spPr>
            <a:solidFill>
              <a:srgbClr val="C00000">
                <a:alpha val="8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fan'!$AR$17:$AR$25</c:f>
              <c:numCache>
                <c:formatCode>0.0000</c:formatCode>
                <c:ptCount val="8"/>
                <c:pt idx="0">
                  <c:v>0</c:v>
                </c:pt>
                <c:pt idx="1">
                  <c:v>0</c:v>
                </c:pt>
                <c:pt idx="2">
                  <c:v>0</c:v>
                </c:pt>
                <c:pt idx="3">
                  <c:v>0</c:v>
                </c:pt>
                <c:pt idx="4">
                  <c:v>6.4656084656084634E-2</c:v>
                </c:pt>
                <c:pt idx="5">
                  <c:v>9.1181657848324882E-2</c:v>
                </c:pt>
                <c:pt idx="6">
                  <c:v>0.11770723104056469</c:v>
                </c:pt>
                <c:pt idx="7">
                  <c:v>0.14423280423280449</c:v>
                </c:pt>
              </c:numCache>
              <c:extLst/>
            </c:numRef>
          </c:val>
          <c:extLst>
            <c:ext xmlns:c16="http://schemas.microsoft.com/office/drawing/2014/chart" uri="{C3380CC4-5D6E-409C-BE32-E72D297353CC}">
              <c16:uniqueId val="{0000000D-E281-4DD0-89D7-876AFFB4AF47}"/>
            </c:ext>
          </c:extLst>
        </c:ser>
        <c:ser>
          <c:idx val="14"/>
          <c:order val="14"/>
          <c:tx>
            <c:strRef>
              <c:f>'Yearly GDP chart fan'!$AS$16</c:f>
              <c:strCache>
                <c:ptCount val="1"/>
                <c:pt idx="0">
                  <c:v>Upper 4</c:v>
                </c:pt>
              </c:strCache>
            </c:strRef>
          </c:tx>
          <c:spPr>
            <a:solidFill>
              <a:srgbClr val="C00000">
                <a:alpha val="7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fan'!$AS$17:$AS$25</c:f>
              <c:numCache>
                <c:formatCode>0.0000</c:formatCode>
                <c:ptCount val="8"/>
                <c:pt idx="0">
                  <c:v>0</c:v>
                </c:pt>
                <c:pt idx="1">
                  <c:v>0</c:v>
                </c:pt>
                <c:pt idx="2">
                  <c:v>0</c:v>
                </c:pt>
                <c:pt idx="3">
                  <c:v>0</c:v>
                </c:pt>
                <c:pt idx="4">
                  <c:v>9.0793650793651093E-2</c:v>
                </c:pt>
                <c:pt idx="5">
                  <c:v>0.12804232804232818</c:v>
                </c:pt>
                <c:pt idx="6">
                  <c:v>0.16529100529100571</c:v>
                </c:pt>
                <c:pt idx="7">
                  <c:v>0.20253968253968235</c:v>
                </c:pt>
              </c:numCache>
              <c:extLst/>
            </c:numRef>
          </c:val>
          <c:extLst>
            <c:ext xmlns:c16="http://schemas.microsoft.com/office/drawing/2014/chart" uri="{C3380CC4-5D6E-409C-BE32-E72D297353CC}">
              <c16:uniqueId val="{0000000E-E281-4DD0-89D7-876AFFB4AF47}"/>
            </c:ext>
          </c:extLst>
        </c:ser>
        <c:ser>
          <c:idx val="15"/>
          <c:order val="15"/>
          <c:tx>
            <c:strRef>
              <c:f>'Yearly GDP chart fan'!$AT$16</c:f>
              <c:strCache>
                <c:ptCount val="1"/>
                <c:pt idx="0">
                  <c:v>Upper 5</c:v>
                </c:pt>
              </c:strCache>
            </c:strRef>
          </c:tx>
          <c:spPr>
            <a:solidFill>
              <a:srgbClr val="C00000">
                <a:alpha val="6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fan'!$AT$17:$AT$25</c:f>
              <c:numCache>
                <c:formatCode>0.0000</c:formatCode>
                <c:ptCount val="8"/>
                <c:pt idx="0">
                  <c:v>0</c:v>
                </c:pt>
                <c:pt idx="1">
                  <c:v>0</c:v>
                </c:pt>
                <c:pt idx="2">
                  <c:v>0</c:v>
                </c:pt>
                <c:pt idx="3">
                  <c:v>0</c:v>
                </c:pt>
                <c:pt idx="4">
                  <c:v>0.11693121693121711</c:v>
                </c:pt>
                <c:pt idx="5">
                  <c:v>0.16490299823633148</c:v>
                </c:pt>
                <c:pt idx="6">
                  <c:v>0.21287477954144585</c:v>
                </c:pt>
                <c:pt idx="7">
                  <c:v>0.2608465608465611</c:v>
                </c:pt>
              </c:numCache>
              <c:extLst/>
            </c:numRef>
          </c:val>
          <c:extLst>
            <c:ext xmlns:c16="http://schemas.microsoft.com/office/drawing/2014/chart" uri="{C3380CC4-5D6E-409C-BE32-E72D297353CC}">
              <c16:uniqueId val="{0000000F-E281-4DD0-89D7-876AFFB4AF47}"/>
            </c:ext>
          </c:extLst>
        </c:ser>
        <c:ser>
          <c:idx val="16"/>
          <c:order val="16"/>
          <c:tx>
            <c:strRef>
              <c:f>'Yearly GDP chart fan'!$AU$16</c:f>
              <c:strCache>
                <c:ptCount val="1"/>
                <c:pt idx="0">
                  <c:v>Upper 6</c:v>
                </c:pt>
              </c:strCache>
            </c:strRef>
          </c:tx>
          <c:spPr>
            <a:solidFill>
              <a:srgbClr val="C00000">
                <a:alpha val="5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fan'!$AU$17:$AU$25</c:f>
              <c:numCache>
                <c:formatCode>0.0000</c:formatCode>
                <c:ptCount val="8"/>
                <c:pt idx="0">
                  <c:v>0</c:v>
                </c:pt>
                <c:pt idx="1">
                  <c:v>0</c:v>
                </c:pt>
                <c:pt idx="2">
                  <c:v>0</c:v>
                </c:pt>
                <c:pt idx="3">
                  <c:v>0</c:v>
                </c:pt>
                <c:pt idx="4">
                  <c:v>0.14306878306878268</c:v>
                </c:pt>
                <c:pt idx="5">
                  <c:v>0.20176366843033477</c:v>
                </c:pt>
                <c:pt idx="6">
                  <c:v>0.26045855379188687</c:v>
                </c:pt>
                <c:pt idx="7">
                  <c:v>0.31915343915343897</c:v>
                </c:pt>
              </c:numCache>
              <c:extLst/>
            </c:numRef>
          </c:val>
          <c:extLst>
            <c:ext xmlns:c16="http://schemas.microsoft.com/office/drawing/2014/chart" uri="{C3380CC4-5D6E-409C-BE32-E72D297353CC}">
              <c16:uniqueId val="{00000010-E281-4DD0-89D7-876AFFB4AF47}"/>
            </c:ext>
          </c:extLst>
        </c:ser>
        <c:ser>
          <c:idx val="17"/>
          <c:order val="17"/>
          <c:tx>
            <c:strRef>
              <c:f>'Yearly GDP chart fan'!$AV$16</c:f>
              <c:strCache>
                <c:ptCount val="1"/>
                <c:pt idx="0">
                  <c:v>Upper 7</c:v>
                </c:pt>
              </c:strCache>
            </c:strRef>
          </c:tx>
          <c:spPr>
            <a:solidFill>
              <a:srgbClr val="C00000">
                <a:alpha val="4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fan'!$AV$17:$AV$25</c:f>
              <c:numCache>
                <c:formatCode>0.0000</c:formatCode>
                <c:ptCount val="8"/>
                <c:pt idx="0">
                  <c:v>0</c:v>
                </c:pt>
                <c:pt idx="1">
                  <c:v>0</c:v>
                </c:pt>
                <c:pt idx="2">
                  <c:v>0</c:v>
                </c:pt>
                <c:pt idx="3">
                  <c:v>0</c:v>
                </c:pt>
                <c:pt idx="4">
                  <c:v>0.16920634920634914</c:v>
                </c:pt>
                <c:pt idx="5">
                  <c:v>0.23862433862433896</c:v>
                </c:pt>
                <c:pt idx="6">
                  <c:v>0.3080423280423279</c:v>
                </c:pt>
                <c:pt idx="7">
                  <c:v>0.37746031746031772</c:v>
                </c:pt>
              </c:numCache>
              <c:extLst/>
            </c:numRef>
          </c:val>
          <c:extLst>
            <c:ext xmlns:c16="http://schemas.microsoft.com/office/drawing/2014/chart" uri="{C3380CC4-5D6E-409C-BE32-E72D297353CC}">
              <c16:uniqueId val="{00000011-E281-4DD0-89D7-876AFFB4AF47}"/>
            </c:ext>
          </c:extLst>
        </c:ser>
        <c:ser>
          <c:idx val="18"/>
          <c:order val="18"/>
          <c:tx>
            <c:strRef>
              <c:f>'Yearly GDP chart fan'!$AW$16</c:f>
              <c:strCache>
                <c:ptCount val="1"/>
                <c:pt idx="0">
                  <c:v>Upper 8</c:v>
                </c:pt>
              </c:strCache>
            </c:strRef>
          </c:tx>
          <c:spPr>
            <a:solidFill>
              <a:srgbClr val="C00000">
                <a:alpha val="3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fan'!$AW$17:$AW$25</c:f>
              <c:numCache>
                <c:formatCode>0.0000</c:formatCode>
                <c:ptCount val="8"/>
                <c:pt idx="0">
                  <c:v>0</c:v>
                </c:pt>
                <c:pt idx="1">
                  <c:v>0</c:v>
                </c:pt>
                <c:pt idx="2">
                  <c:v>0</c:v>
                </c:pt>
                <c:pt idx="3">
                  <c:v>0</c:v>
                </c:pt>
                <c:pt idx="4">
                  <c:v>0.1953439153439156</c:v>
                </c:pt>
                <c:pt idx="5">
                  <c:v>0.27548500881834226</c:v>
                </c:pt>
                <c:pt idx="6">
                  <c:v>0.35562610229276892</c:v>
                </c:pt>
                <c:pt idx="7">
                  <c:v>0.43576719576719558</c:v>
                </c:pt>
              </c:numCache>
              <c:extLst/>
            </c:numRef>
          </c:val>
          <c:extLst>
            <c:ext xmlns:c16="http://schemas.microsoft.com/office/drawing/2014/chart" uri="{C3380CC4-5D6E-409C-BE32-E72D297353CC}">
              <c16:uniqueId val="{00000012-E281-4DD0-89D7-876AFFB4AF47}"/>
            </c:ext>
          </c:extLst>
        </c:ser>
        <c:ser>
          <c:idx val="19"/>
          <c:order val="19"/>
          <c:tx>
            <c:strRef>
              <c:f>'Yearly GDP chart fan'!$AX$16</c:f>
              <c:strCache>
                <c:ptCount val="1"/>
                <c:pt idx="0">
                  <c:v>Upper 9</c:v>
                </c:pt>
              </c:strCache>
            </c:strRef>
          </c:tx>
          <c:spPr>
            <a:solidFill>
              <a:srgbClr val="C00000">
                <a:alpha val="2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fan'!$AX$17:$AX$25</c:f>
              <c:numCache>
                <c:formatCode>0.0000</c:formatCode>
                <c:ptCount val="8"/>
                <c:pt idx="0">
                  <c:v>0</c:v>
                </c:pt>
                <c:pt idx="1">
                  <c:v>0</c:v>
                </c:pt>
                <c:pt idx="2">
                  <c:v>0</c:v>
                </c:pt>
                <c:pt idx="3">
                  <c:v>0</c:v>
                </c:pt>
                <c:pt idx="4">
                  <c:v>0.22148148148148117</c:v>
                </c:pt>
                <c:pt idx="5">
                  <c:v>0.31234567901234556</c:v>
                </c:pt>
                <c:pt idx="6">
                  <c:v>0.40320987654320994</c:v>
                </c:pt>
                <c:pt idx="7">
                  <c:v>0.49407407407407433</c:v>
                </c:pt>
              </c:numCache>
              <c:extLst/>
            </c:numRef>
          </c:val>
          <c:extLst>
            <c:ext xmlns:c16="http://schemas.microsoft.com/office/drawing/2014/chart" uri="{C3380CC4-5D6E-409C-BE32-E72D297353CC}">
              <c16:uniqueId val="{00000013-E281-4DD0-89D7-876AFFB4AF47}"/>
            </c:ext>
          </c:extLst>
        </c:ser>
        <c:ser>
          <c:idx val="20"/>
          <c:order val="20"/>
          <c:tx>
            <c:strRef>
              <c:f>'Yearly GDP chart fan'!$AY$16</c:f>
              <c:strCache>
                <c:ptCount val="1"/>
                <c:pt idx="0">
                  <c:v>Upper 10</c:v>
                </c:pt>
              </c:strCache>
            </c:strRef>
          </c:tx>
          <c:spPr>
            <a:solidFill>
              <a:srgbClr val="C00000">
                <a:alpha val="10000"/>
              </a:srgbClr>
            </a:solidFill>
            <a:ln w="25400">
              <a:noFill/>
            </a:ln>
            <a:effectLst/>
          </c:spPr>
          <c:cat>
            <c:numRef>
              <c:f>'Yearly GDP chart fan'!$C$17:$C$25</c:f>
              <c:numCache>
                <c:formatCode>General</c:formatCode>
                <c:ptCount val="8"/>
                <c:pt idx="0">
                  <c:v>2020</c:v>
                </c:pt>
                <c:pt idx="1">
                  <c:v>2021</c:v>
                </c:pt>
                <c:pt idx="2">
                  <c:v>2022</c:v>
                </c:pt>
                <c:pt idx="3">
                  <c:v>2023</c:v>
                </c:pt>
                <c:pt idx="4">
                  <c:v>2024</c:v>
                </c:pt>
                <c:pt idx="5">
                  <c:v>2025</c:v>
                </c:pt>
                <c:pt idx="6">
                  <c:v>2026</c:v>
                </c:pt>
                <c:pt idx="7">
                  <c:v>2027</c:v>
                </c:pt>
              </c:numCache>
              <c:extLst/>
            </c:numRef>
          </c:cat>
          <c:val>
            <c:numRef>
              <c:f>'Yearly GDP chart fan'!$AY$17:$AY$25</c:f>
              <c:numCache>
                <c:formatCode>0.0000</c:formatCode>
                <c:ptCount val="8"/>
                <c:pt idx="0">
                  <c:v>0</c:v>
                </c:pt>
                <c:pt idx="1">
                  <c:v>0</c:v>
                </c:pt>
                <c:pt idx="2">
                  <c:v>0</c:v>
                </c:pt>
                <c:pt idx="3">
                  <c:v>0</c:v>
                </c:pt>
                <c:pt idx="4">
                  <c:v>0.24761904761904763</c:v>
                </c:pt>
                <c:pt idx="5">
                  <c:v>0.34920634920634885</c:v>
                </c:pt>
                <c:pt idx="6">
                  <c:v>0.45079365079365097</c:v>
                </c:pt>
                <c:pt idx="7">
                  <c:v>0.55238095238095219</c:v>
                </c:pt>
              </c:numCache>
              <c:extLst/>
            </c:numRef>
          </c:val>
          <c:extLst>
            <c:ext xmlns:c16="http://schemas.microsoft.com/office/drawing/2014/chart" uri="{C3380CC4-5D6E-409C-BE32-E72D297353CC}">
              <c16:uniqueId val="{00000014-E281-4DD0-89D7-876AFFB4AF47}"/>
            </c:ext>
          </c:extLst>
        </c:ser>
        <c:dLbls>
          <c:showLegendKey val="0"/>
          <c:showVal val="0"/>
          <c:showCatName val="0"/>
          <c:showSerName val="0"/>
          <c:showPercent val="0"/>
          <c:showBubbleSize val="0"/>
        </c:dLbls>
        <c:axId val="136355472"/>
        <c:axId val="136350480"/>
      </c:areaChart>
      <c:lineChart>
        <c:grouping val="standard"/>
        <c:varyColors val="0"/>
        <c:ser>
          <c:idx val="21"/>
          <c:order val="21"/>
          <c:tx>
            <c:strRef>
              <c:f>'Yearly GDP chart fan'!$J$16</c:f>
              <c:strCache>
                <c:ptCount val="1"/>
                <c:pt idx="0">
                  <c:v>Kombinovana</c:v>
                </c:pt>
              </c:strCache>
            </c:strRef>
          </c:tx>
          <c:spPr>
            <a:ln w="12700" cap="rnd">
              <a:solidFill>
                <a:schemeClr val="tx1"/>
              </a:solidFill>
              <a:round/>
            </a:ln>
            <a:effectLst/>
          </c:spPr>
          <c:marker>
            <c:symbol val="none"/>
          </c:marker>
          <c:dLbls>
            <c:dLbl>
              <c:idx val="0"/>
              <c:layout>
                <c:manualLayout>
                  <c:x val="-0.10577573636628755"/>
                  <c:y val="7.388699054126515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281-4DD0-89D7-876AFFB4AF4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8"/>
              <c:pt idx="0">
                <c:v>2020</c:v>
              </c:pt>
              <c:pt idx="1">
                <c:v>2021</c:v>
              </c:pt>
              <c:pt idx="2">
                <c:v>2022</c:v>
              </c:pt>
              <c:pt idx="3">
                <c:v>2023</c:v>
              </c:pt>
              <c:pt idx="4">
                <c:v>2024</c:v>
              </c:pt>
              <c:pt idx="5">
                <c:v>2025</c:v>
              </c:pt>
              <c:pt idx="6">
                <c:v>2026</c:v>
              </c:pt>
              <c:pt idx="7">
                <c:v>2027</c:v>
              </c:pt>
              <c:extLst>
                <c:ext xmlns:c15="http://schemas.microsoft.com/office/drawing/2012/chart" uri="{02D57815-91ED-43cb-92C2-25804820EDAC}">
                  <c15:autoCat val="1"/>
                </c:ext>
              </c:extLst>
            </c:strLit>
          </c:cat>
          <c:val>
            <c:numRef>
              <c:f>'Yearly GDP chart fan'!$J$17:$J$25</c:f>
              <c:numCache>
                <c:formatCode>0.0</c:formatCode>
                <c:ptCount val="8"/>
                <c:pt idx="0">
                  <c:v>-0.95002358986207014</c:v>
                </c:pt>
                <c:pt idx="1">
                  <c:v>7.9490568037111018</c:v>
                </c:pt>
                <c:pt idx="2">
                  <c:v>2.6309864215221239</c:v>
                </c:pt>
                <c:pt idx="3">
                  <c:v>3.8474719538126294</c:v>
                </c:pt>
                <c:pt idx="4">
                  <c:v>3.8</c:v>
                </c:pt>
                <c:pt idx="5">
                  <c:v>4.2</c:v>
                </c:pt>
                <c:pt idx="6">
                  <c:v>4</c:v>
                </c:pt>
                <c:pt idx="7">
                  <c:v>5</c:v>
                </c:pt>
              </c:numCache>
              <c:extLst/>
            </c:numRef>
          </c:val>
          <c:smooth val="0"/>
          <c:extLst>
            <c:ext xmlns:c16="http://schemas.microsoft.com/office/drawing/2014/chart" uri="{C3380CC4-5D6E-409C-BE32-E72D297353CC}">
              <c16:uniqueId val="{00000016-E281-4DD0-89D7-876AFFB4AF47}"/>
            </c:ext>
          </c:extLst>
        </c:ser>
        <c:dLbls>
          <c:showLegendKey val="0"/>
          <c:showVal val="0"/>
          <c:showCatName val="0"/>
          <c:showSerName val="0"/>
          <c:showPercent val="0"/>
          <c:showBubbleSize val="0"/>
        </c:dLbls>
        <c:marker val="1"/>
        <c:smooth val="0"/>
        <c:axId val="136355472"/>
        <c:axId val="136350480"/>
      </c:lineChart>
      <c:catAx>
        <c:axId val="136355472"/>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b" anchorCtr="0"/>
          <a:lstStyle/>
          <a:p>
            <a:pPr>
              <a:defRPr sz="700" b="0" i="0" u="none" strike="noStrike" kern="1200" baseline="0">
                <a:solidFill>
                  <a:schemeClr val="tx2"/>
                </a:solidFill>
                <a:latin typeface="Times New Roman" panose="02020603050405020304" pitchFamily="18" charset="0"/>
                <a:ea typeface="+mn-ea"/>
                <a:cs typeface="+mn-cs"/>
              </a:defRPr>
            </a:pPr>
            <a:endParaRPr lang="en-US"/>
          </a:p>
        </c:txPr>
        <c:crossAx val="136350480"/>
        <c:crosses val="autoZero"/>
        <c:auto val="1"/>
        <c:lblAlgn val="ctr"/>
        <c:lblOffset val="100"/>
        <c:noMultiLvlLbl val="0"/>
      </c:catAx>
      <c:valAx>
        <c:axId val="13635048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2"/>
                </a:solidFill>
                <a:latin typeface="Times New Roman" panose="02020603050405020304" pitchFamily="18" charset="0"/>
                <a:ea typeface="+mn-ea"/>
                <a:cs typeface="+mn-cs"/>
              </a:defRPr>
            </a:pPr>
            <a:endParaRPr lang="en-US"/>
          </a:p>
        </c:txPr>
        <c:crossAx val="136355472"/>
        <c:crosses val="autoZero"/>
        <c:crossBetween val="between"/>
        <c:majorUnit val="2"/>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38435239489954"/>
          <c:y val="6.842061127661922E-2"/>
          <c:w val="0.858350771542297"/>
          <c:h val="0.89994549266247381"/>
        </c:manualLayout>
      </c:layout>
      <c:barChart>
        <c:barDir val="col"/>
        <c:grouping val="clustered"/>
        <c:varyColors val="0"/>
        <c:ser>
          <c:idx val="0"/>
          <c:order val="0"/>
          <c:tx>
            <c:v>Фискални резултат</c:v>
          </c:tx>
          <c:spPr>
            <a:solidFill>
              <a:schemeClr val="accent1">
                <a:shade val="76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('Quaterly, Yearly'!$CQ$7:$CX$8,'Quaterly, Yearly'!$CY$7:$CY$8,'Quaterly, Yearly'!$CZ$7:$CZ$8)</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('Quaterly, Yearly'!$CQ$78:$CW$78,'Quaterly, Yearly'!$CX$78,'Quaterly, Yearly'!$CY$78,'Quaterly, Yearly'!$CZ$78)</c:f>
              <c:numCache>
                <c:formatCode>#,##0.00</c:formatCode>
                <c:ptCount val="10"/>
                <c:pt idx="0">
                  <c:v>-3.3187939284991961</c:v>
                </c:pt>
                <c:pt idx="1">
                  <c:v>-1.149397976075984</c:v>
                </c:pt>
                <c:pt idx="2">
                  <c:v>1.0557686096933128</c:v>
                </c:pt>
                <c:pt idx="3">
                  <c:v>0.60940162463875103</c:v>
                </c:pt>
                <c:pt idx="4">
                  <c:v>-0.196032233371843</c:v>
                </c:pt>
                <c:pt idx="5">
                  <c:v>-7.6817157912618725</c:v>
                </c:pt>
                <c:pt idx="6">
                  <c:v>-3.944488655583605</c:v>
                </c:pt>
                <c:pt idx="7">
                  <c:v>-3.0145095743510497</c:v>
                </c:pt>
                <c:pt idx="8">
                  <c:v>-2.0537459179069364</c:v>
                </c:pt>
                <c:pt idx="9">
                  <c:v>-2.7</c:v>
                </c:pt>
              </c:numCache>
            </c:numRef>
          </c:val>
          <c:extLst>
            <c:ext xmlns:c16="http://schemas.microsoft.com/office/drawing/2014/chart" uri="{C3380CC4-5D6E-409C-BE32-E72D297353CC}">
              <c16:uniqueId val="{00000000-1770-4C10-90F2-2166773604DB}"/>
            </c:ext>
          </c:extLst>
        </c:ser>
        <c:ser>
          <c:idx val="1"/>
          <c:order val="1"/>
          <c:tx>
            <c:v>Примарни фискални резултат</c:v>
          </c:tx>
          <c:spPr>
            <a:solidFill>
              <a:schemeClr val="accent1">
                <a:tint val="77000"/>
              </a:schemeClr>
            </a:solidFill>
            <a:ln>
              <a:noFill/>
            </a:ln>
            <a:effectLst/>
          </c:spPr>
          <c:invertIfNegative val="0"/>
          <c:dLbls>
            <c:dLbl>
              <c:idx val="0"/>
              <c:layout>
                <c:manualLayout>
                  <c:x val="1.132097084431951E-2"/>
                  <c:y val="-2.72338077899149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70-4C10-90F2-2166773604DB}"/>
                </c:ext>
              </c:extLst>
            </c:dLbl>
            <c:dLbl>
              <c:idx val="1"/>
              <c:layout>
                <c:manualLayout>
                  <c:x val="-3.2073297015369011E-3"/>
                  <c:y val="-1.4142497880723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70-4C10-90F2-2166773604DB}"/>
                </c:ext>
              </c:extLst>
            </c:dLbl>
            <c:dLbl>
              <c:idx val="2"/>
              <c:layout>
                <c:manualLayout>
                  <c:x val="-2.4176209155354405E-3"/>
                  <c:y val="-6.6515202784357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70-4C10-90F2-2166773604DB}"/>
                </c:ext>
              </c:extLst>
            </c:dLbl>
            <c:dLbl>
              <c:idx val="3"/>
              <c:layout>
                <c:manualLayout>
                  <c:x val="2.6858041798127055E-3"/>
                  <c:y val="3.62947391256674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770-4C10-90F2-2166773604DB}"/>
                </c:ext>
              </c:extLst>
            </c:dLbl>
            <c:dLbl>
              <c:idx val="4"/>
              <c:layout>
                <c:manualLayout>
                  <c:x val="-3.9217883120591336E-3"/>
                  <c:y val="-1.0898089645081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770-4C10-90F2-2166773604DB}"/>
                </c:ext>
              </c:extLst>
            </c:dLbl>
            <c:dLbl>
              <c:idx val="5"/>
              <c:layout>
                <c:manualLayout>
                  <c:x val="1.8183368791494724E-3"/>
                  <c:y val="-1.3434844974070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770-4C10-90F2-2166773604DB}"/>
                </c:ext>
              </c:extLst>
            </c:dLbl>
            <c:dLbl>
              <c:idx val="6"/>
              <c:layout>
                <c:manualLayout>
                  <c:x val="1.3735038279346209E-2"/>
                  <c:y val="-1.3118834822906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770-4C10-90F2-2166773604DB}"/>
                </c:ext>
              </c:extLst>
            </c:dLbl>
            <c:dLbl>
              <c:idx val="7"/>
              <c:layout>
                <c:manualLayout>
                  <c:x val="1.9834639029877463E-2"/>
                  <c:y val="-8.47013624652181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770-4C10-90F2-2166773604DB}"/>
                </c:ext>
              </c:extLst>
            </c:dLbl>
            <c:dLbl>
              <c:idx val="8"/>
              <c:layout>
                <c:manualLayout>
                  <c:x val="5.4635722476333764E-3"/>
                  <c:y val="8.77652046118210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770-4C10-90F2-2166773604DB}"/>
                </c:ext>
              </c:extLst>
            </c:dLbl>
            <c:dLbl>
              <c:idx val="9"/>
              <c:layout>
                <c:manualLayout>
                  <c:x val="4.366405527357735E-3"/>
                  <c:y val="6.30301398829895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770-4C10-90F2-2166773604DB}"/>
                </c:ext>
              </c:extLst>
            </c:dLbl>
            <c:dLbl>
              <c:idx val="10"/>
              <c:layout>
                <c:manualLayout>
                  <c:x val="-3.1357910371513177E-2"/>
                  <c:y val="-1.50580624660600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770-4C10-90F2-2166773604DB}"/>
                </c:ext>
              </c:extLst>
            </c:dLbl>
            <c:dLbl>
              <c:idx val="11"/>
              <c:layout>
                <c:manualLayout>
                  <c:x val="-4.746385337205393E-2"/>
                  <c:y val="-2.50967707767667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770-4C10-90F2-2166773604DB}"/>
                </c:ext>
              </c:extLst>
            </c:dLbl>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('Quaterly, Yearly'!$CQ$7:$CX$8,'Quaterly, Yearly'!$CY$7:$CY$8,'Quaterly, Yearly'!$CZ$7:$CZ$8)</c:f>
              <c:strCache>
                <c:ptCount val="10"/>
                <c:pt idx="0">
                  <c:v>2015</c:v>
                </c:pt>
                <c:pt idx="1">
                  <c:v>2016</c:v>
                </c:pt>
                <c:pt idx="2">
                  <c:v>2017</c:v>
                </c:pt>
                <c:pt idx="3">
                  <c:v>2018</c:v>
                </c:pt>
                <c:pt idx="4">
                  <c:v>2019</c:v>
                </c:pt>
                <c:pt idx="5">
                  <c:v>2020</c:v>
                </c:pt>
                <c:pt idx="6">
                  <c:v>2021</c:v>
                </c:pt>
                <c:pt idx="7">
                  <c:v>2022</c:v>
                </c:pt>
                <c:pt idx="8">
                  <c:v>2023</c:v>
                </c:pt>
                <c:pt idx="9">
                  <c:v>2024</c:v>
                </c:pt>
              </c:strCache>
            </c:strRef>
          </c:cat>
          <c:val>
            <c:numRef>
              <c:f>('Quaterly, Yearly'!$CQ$79:$CW$79,'Quaterly, Yearly'!$CX$79,'Quaterly, Yearly'!$CY$79,'Quaterly, Yearly'!$CZ$79)</c:f>
              <c:numCache>
                <c:formatCode>#,##0.00</c:formatCode>
                <c:ptCount val="10"/>
                <c:pt idx="0">
                  <c:v>-0.4519075558326654</c:v>
                </c:pt>
                <c:pt idx="1">
                  <c:v>1.6426873720543391</c:v>
                </c:pt>
                <c:pt idx="2">
                  <c:v>3.4929502757705762</c:v>
                </c:pt>
                <c:pt idx="3">
                  <c:v>2.6358109426223959</c:v>
                </c:pt>
                <c:pt idx="4">
                  <c:v>1.7134410602148162</c:v>
                </c:pt>
                <c:pt idx="5">
                  <c:v>-5.7708509545761064</c:v>
                </c:pt>
                <c:pt idx="6">
                  <c:v>-2.2923653385556717</c:v>
                </c:pt>
                <c:pt idx="7">
                  <c:v>-1.5817930823645041</c:v>
                </c:pt>
                <c:pt idx="8">
                  <c:v>-0.46896121122711304</c:v>
                </c:pt>
                <c:pt idx="9">
                  <c:v>-0.9</c:v>
                </c:pt>
              </c:numCache>
            </c:numRef>
          </c:val>
          <c:extLst>
            <c:ext xmlns:c16="http://schemas.microsoft.com/office/drawing/2014/chart" uri="{C3380CC4-5D6E-409C-BE32-E72D297353CC}">
              <c16:uniqueId val="{0000000D-1770-4C10-90F2-2166773604DB}"/>
            </c:ext>
          </c:extLst>
        </c:ser>
        <c:dLbls>
          <c:showLegendKey val="0"/>
          <c:showVal val="0"/>
          <c:showCatName val="0"/>
          <c:showSerName val="0"/>
          <c:showPercent val="0"/>
          <c:showBubbleSize val="0"/>
        </c:dLbls>
        <c:gapWidth val="150"/>
        <c:axId val="522006368"/>
        <c:axId val="522006928"/>
      </c:barChart>
      <c:catAx>
        <c:axId val="522006368"/>
        <c:scaling>
          <c:orientation val="minMax"/>
        </c:scaling>
        <c:delete val="0"/>
        <c:axPos val="b"/>
        <c:numFmt formatCode="General" sourceLinked="1"/>
        <c:majorTickMark val="out"/>
        <c:minorTickMark val="none"/>
        <c:tickLblPos val="high"/>
        <c:spPr>
          <a:noFill/>
          <a:ln w="12700" cap="flat" cmpd="sng" algn="ctr">
            <a:solidFill>
              <a:schemeClr val="tx1">
                <a:lumMod val="50000"/>
                <a:lumOff val="50000"/>
              </a:schemeClr>
            </a:solidFill>
            <a:prstDash val="sysDash"/>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522006928"/>
        <c:crosses val="autoZero"/>
        <c:auto val="1"/>
        <c:lblAlgn val="ctr"/>
        <c:lblOffset val="100"/>
        <c:noMultiLvlLbl val="0"/>
      </c:catAx>
      <c:valAx>
        <c:axId val="522006928"/>
        <c:scaling>
          <c:orientation val="minMax"/>
          <c:max val="5"/>
          <c:min val="-10"/>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r>
                  <a:rPr lang="en-US" sz="800" baseline="0">
                    <a:latin typeface="Times New Roman" panose="02020603050405020304" pitchFamily="18" charset="0"/>
                  </a:rPr>
                  <a:t>% </a:t>
                </a:r>
                <a:r>
                  <a:rPr lang="sr-Cyrl-RS" sz="800" baseline="0">
                    <a:latin typeface="Times New Roman" panose="02020603050405020304" pitchFamily="18" charset="0"/>
                  </a:rPr>
                  <a:t>БДП</a:t>
                </a:r>
                <a:endParaRPr lang="en-US" sz="800" baseline="0">
                  <a:latin typeface="Times New Roman" panose="02020603050405020304" pitchFamily="18" charset="0"/>
                </a:endParaRPr>
              </a:p>
            </c:rich>
          </c:tx>
          <c:layout>
            <c:manualLayout>
              <c:xMode val="edge"/>
              <c:yMode val="edge"/>
              <c:x val="1.4466593066470506E-2"/>
              <c:y val="0.4837105111889353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522006368"/>
        <c:crosses val="autoZero"/>
        <c:crossBetween val="between"/>
      </c:valAx>
      <c:spPr>
        <a:noFill/>
        <a:ln>
          <a:noFill/>
        </a:ln>
        <a:effectLst/>
      </c:spPr>
    </c:plotArea>
    <c:legend>
      <c:legendPos val="b"/>
      <c:layout>
        <c:manualLayout>
          <c:xMode val="edge"/>
          <c:yMode val="edge"/>
          <c:x val="9.0216144034627258E-2"/>
          <c:y val="0.85964268485130946"/>
          <c:w val="0.51810891150797223"/>
          <c:h val="0.1152205361251488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latin typeface="Georgia" panose="02040502050405020303"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365624101421595E-2"/>
          <c:y val="4.2394333542179731E-2"/>
          <c:w val="0.93008776452994879"/>
          <c:h val="0.8718835976133309"/>
        </c:manualLayout>
      </c:layout>
      <c:barChart>
        <c:barDir val="bar"/>
        <c:grouping val="clustered"/>
        <c:varyColors val="0"/>
        <c:ser>
          <c:idx val="0"/>
          <c:order val="0"/>
          <c:spPr>
            <a:solidFill>
              <a:schemeClr val="accent1"/>
            </a:solidFill>
            <a:ln>
              <a:solidFill>
                <a:srgbClr val="FF0000"/>
              </a:solidFill>
            </a:ln>
            <a:effectLst/>
          </c:spPr>
          <c:invertIfNegative val="0"/>
          <c:dPt>
            <c:idx val="0"/>
            <c:invertIfNegative val="0"/>
            <c:bubble3D val="0"/>
            <c:spPr>
              <a:noFill/>
              <a:ln>
                <a:solidFill>
                  <a:srgbClr val="FF0000"/>
                </a:solidFill>
              </a:ln>
              <a:effectLst/>
            </c:spPr>
            <c:extLst>
              <c:ext xmlns:c16="http://schemas.microsoft.com/office/drawing/2014/chart" uri="{C3380CC4-5D6E-409C-BE32-E72D297353CC}">
                <c16:uniqueId val="{00000001-C070-4523-8796-D34885F0E865}"/>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C070-4523-8796-D34885F0E865}"/>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C070-4523-8796-D34885F0E865}"/>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C070-4523-8796-D34885F0E865}"/>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9-C070-4523-8796-D34885F0E865}"/>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B-C070-4523-8796-D34885F0E865}"/>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D-C070-4523-8796-D34885F0E865}"/>
              </c:ext>
            </c:extLst>
          </c:dPt>
          <c:dPt>
            <c:idx val="7"/>
            <c:invertIfNegative val="0"/>
            <c:bubble3D val="0"/>
            <c:spPr>
              <a:noFill/>
              <a:ln>
                <a:solidFill>
                  <a:srgbClr val="FF0000"/>
                </a:solidFill>
              </a:ln>
              <a:effectLst/>
            </c:spPr>
            <c:extLst>
              <c:ext xmlns:c16="http://schemas.microsoft.com/office/drawing/2014/chart" uri="{C3380CC4-5D6E-409C-BE32-E72D297353CC}">
                <c16:uniqueId val="{0000000F-C070-4523-8796-D34885F0E865}"/>
              </c:ext>
            </c:extLst>
          </c:dPt>
          <c:dPt>
            <c:idx val="8"/>
            <c:invertIfNegative val="0"/>
            <c:bubble3D val="0"/>
            <c:spPr>
              <a:noFill/>
              <a:ln>
                <a:solidFill>
                  <a:srgbClr val="FF0000"/>
                </a:solidFill>
              </a:ln>
              <a:effectLst/>
            </c:spPr>
            <c:extLst>
              <c:ext xmlns:c16="http://schemas.microsoft.com/office/drawing/2014/chart" uri="{C3380CC4-5D6E-409C-BE32-E72D297353CC}">
                <c16:uniqueId val="{00000011-C070-4523-8796-D34885F0E865}"/>
              </c:ext>
            </c:extLst>
          </c:dPt>
          <c:dPt>
            <c:idx val="9"/>
            <c:invertIfNegative val="0"/>
            <c:bubble3D val="0"/>
            <c:spPr>
              <a:noFill/>
              <a:ln>
                <a:solidFill>
                  <a:srgbClr val="FF0000"/>
                </a:solidFill>
              </a:ln>
              <a:effectLst/>
            </c:spPr>
            <c:extLst>
              <c:ext xmlns:c16="http://schemas.microsoft.com/office/drawing/2014/chart" uri="{C3380CC4-5D6E-409C-BE32-E72D297353CC}">
                <c16:uniqueId val="{00000013-C070-4523-8796-D34885F0E865}"/>
              </c:ext>
            </c:extLst>
          </c:dPt>
          <c:dPt>
            <c:idx val="10"/>
            <c:invertIfNegative val="0"/>
            <c:bubble3D val="0"/>
            <c:spPr>
              <a:noFill/>
              <a:ln>
                <a:solidFill>
                  <a:srgbClr val="FF0000"/>
                </a:solidFill>
              </a:ln>
              <a:effectLst/>
            </c:spPr>
            <c:extLst>
              <c:ext xmlns:c16="http://schemas.microsoft.com/office/drawing/2014/chart" uri="{C3380CC4-5D6E-409C-BE32-E72D297353CC}">
                <c16:uniqueId val="{00000015-C070-4523-8796-D34885F0E865}"/>
              </c:ext>
            </c:extLst>
          </c:dPt>
          <c:dPt>
            <c:idx val="11"/>
            <c:invertIfNegative val="0"/>
            <c:bubble3D val="0"/>
            <c:spPr>
              <a:noFill/>
              <a:ln>
                <a:solidFill>
                  <a:srgbClr val="FF0000"/>
                </a:solidFill>
              </a:ln>
              <a:effectLst/>
            </c:spPr>
            <c:extLst>
              <c:ext xmlns:c16="http://schemas.microsoft.com/office/drawing/2014/chart" uri="{C3380CC4-5D6E-409C-BE32-E72D297353CC}">
                <c16:uniqueId val="{00000017-C070-4523-8796-D34885F0E865}"/>
              </c:ext>
            </c:extLst>
          </c:dPt>
          <c:dPt>
            <c:idx val="12"/>
            <c:invertIfNegative val="0"/>
            <c:bubble3D val="0"/>
            <c:spPr>
              <a:noFill/>
              <a:ln>
                <a:solidFill>
                  <a:srgbClr val="FF0000"/>
                </a:solidFill>
              </a:ln>
              <a:effectLst/>
            </c:spPr>
            <c:extLst>
              <c:ext xmlns:c16="http://schemas.microsoft.com/office/drawing/2014/chart" uri="{C3380CC4-5D6E-409C-BE32-E72D297353CC}">
                <c16:uniqueId val="{00000019-C070-4523-8796-D34885F0E865}"/>
              </c:ext>
            </c:extLst>
          </c:dPt>
          <c:dPt>
            <c:idx val="13"/>
            <c:invertIfNegative val="0"/>
            <c:bubble3D val="0"/>
            <c:spPr>
              <a:noFill/>
              <a:ln>
                <a:solidFill>
                  <a:srgbClr val="FF0000"/>
                </a:solidFill>
              </a:ln>
              <a:effectLst/>
            </c:spPr>
            <c:extLst>
              <c:ext xmlns:c16="http://schemas.microsoft.com/office/drawing/2014/chart" uri="{C3380CC4-5D6E-409C-BE32-E72D297353CC}">
                <c16:uniqueId val="{0000001B-C070-4523-8796-D34885F0E865}"/>
              </c:ext>
            </c:extLst>
          </c:dPt>
          <c:dPt>
            <c:idx val="14"/>
            <c:invertIfNegative val="0"/>
            <c:bubble3D val="0"/>
            <c:spPr>
              <a:noFill/>
              <a:ln>
                <a:solidFill>
                  <a:srgbClr val="FF0000"/>
                </a:solidFill>
              </a:ln>
              <a:effectLst/>
            </c:spPr>
            <c:extLst>
              <c:ext xmlns:c16="http://schemas.microsoft.com/office/drawing/2014/chart" uri="{C3380CC4-5D6E-409C-BE32-E72D297353CC}">
                <c16:uniqueId val="{0000001D-C070-4523-8796-D34885F0E865}"/>
              </c:ext>
            </c:extLst>
          </c:dPt>
          <c:dPt>
            <c:idx val="15"/>
            <c:invertIfNegative val="0"/>
            <c:bubble3D val="0"/>
            <c:spPr>
              <a:noFill/>
              <a:ln>
                <a:solidFill>
                  <a:srgbClr val="FF0000"/>
                </a:solidFill>
              </a:ln>
              <a:effectLst/>
            </c:spPr>
            <c:extLst>
              <c:ext xmlns:c16="http://schemas.microsoft.com/office/drawing/2014/chart" uri="{C3380CC4-5D6E-409C-BE32-E72D297353CC}">
                <c16:uniqueId val="{0000001F-C070-4523-8796-D34885F0E865}"/>
              </c:ext>
            </c:extLst>
          </c:dPt>
          <c:dPt>
            <c:idx val="16"/>
            <c:invertIfNegative val="0"/>
            <c:bubble3D val="0"/>
            <c:spPr>
              <a:solidFill>
                <a:schemeClr val="accent1"/>
              </a:solidFill>
              <a:ln>
                <a:noFill/>
              </a:ln>
              <a:effectLst/>
            </c:spPr>
            <c:extLst>
              <c:ext xmlns:c16="http://schemas.microsoft.com/office/drawing/2014/chart" uri="{C3380CC4-5D6E-409C-BE32-E72D297353CC}">
                <c16:uniqueId val="{00000021-C070-4523-8796-D34885F0E865}"/>
              </c:ext>
            </c:extLst>
          </c:dPt>
          <c:dPt>
            <c:idx val="17"/>
            <c:invertIfNegative val="0"/>
            <c:bubble3D val="0"/>
            <c:spPr>
              <a:noFill/>
              <a:ln>
                <a:solidFill>
                  <a:srgbClr val="FF0000"/>
                </a:solidFill>
              </a:ln>
              <a:effectLst/>
            </c:spPr>
            <c:extLst>
              <c:ext xmlns:c16="http://schemas.microsoft.com/office/drawing/2014/chart" uri="{C3380CC4-5D6E-409C-BE32-E72D297353CC}">
                <c16:uniqueId val="{00000023-C070-4523-8796-D34885F0E865}"/>
              </c:ext>
            </c:extLst>
          </c:dPt>
          <c:dPt>
            <c:idx val="18"/>
            <c:invertIfNegative val="0"/>
            <c:bubble3D val="0"/>
            <c:spPr>
              <a:noFill/>
              <a:ln>
                <a:solidFill>
                  <a:srgbClr val="FF0000"/>
                </a:solidFill>
              </a:ln>
              <a:effectLst/>
            </c:spPr>
            <c:extLst>
              <c:ext xmlns:c16="http://schemas.microsoft.com/office/drawing/2014/chart" uri="{C3380CC4-5D6E-409C-BE32-E72D297353CC}">
                <c16:uniqueId val="{00000025-C070-4523-8796-D34885F0E865}"/>
              </c:ext>
            </c:extLst>
          </c:dPt>
          <c:dLbls>
            <c:dLbl>
              <c:idx val="0"/>
              <c:delete val="1"/>
              <c:extLst>
                <c:ext xmlns:c15="http://schemas.microsoft.com/office/drawing/2012/chart" uri="{CE6537A1-D6FC-4f65-9D91-7224C49458BB}"/>
                <c:ext xmlns:c16="http://schemas.microsoft.com/office/drawing/2014/chart" uri="{C3380CC4-5D6E-409C-BE32-E72D297353CC}">
                  <c16:uniqueId val="{00000001-C070-4523-8796-D34885F0E865}"/>
                </c:ext>
              </c:extLst>
            </c:dLbl>
            <c:dLbl>
              <c:idx val="2"/>
              <c:layout>
                <c:manualLayout>
                  <c:x val="8.5013885261219797E-3"/>
                  <c:y val="-2.55633793516350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70-4523-8796-D34885F0E865}"/>
                </c:ext>
              </c:extLst>
            </c:dLbl>
            <c:dLbl>
              <c:idx val="7"/>
              <c:layout>
                <c:manualLayout>
                  <c:x val="0.16144745998608212"/>
                  <c:y val="-6.406132890333890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070-4523-8796-D34885F0E865}"/>
                </c:ext>
              </c:extLst>
            </c:dLbl>
            <c:dLbl>
              <c:idx val="8"/>
              <c:layout>
                <c:manualLayout>
                  <c:x val="4.5292960509372655E-2"/>
                  <c:y val="6.0497109655207899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070-4523-8796-D34885F0E865}"/>
                </c:ext>
              </c:extLst>
            </c:dLbl>
            <c:dLbl>
              <c:idx val="9"/>
              <c:layout>
                <c:manualLayout>
                  <c:x val="0.18083695810873965"/>
                  <c:y val="-3.49429466974237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070-4523-8796-D34885F0E865}"/>
                </c:ext>
              </c:extLst>
            </c:dLbl>
            <c:dLbl>
              <c:idx val="10"/>
              <c:layout>
                <c:manualLayout>
                  <c:x val="0.2700069589422408"/>
                  <c:y val="-2.76869654998614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070-4523-8796-D34885F0E865}"/>
                </c:ext>
              </c:extLst>
            </c:dLbl>
            <c:dLbl>
              <c:idx val="11"/>
              <c:layout>
                <c:manualLayout>
                  <c:x val="0.25887265135699372"/>
                  <c:y val="-5.53739309997218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070-4523-8796-D34885F0E865}"/>
                </c:ext>
              </c:extLst>
            </c:dLbl>
            <c:dLbl>
              <c:idx val="12"/>
              <c:layout>
                <c:manualLayout>
                  <c:x val="0.2282535246768475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070-4523-8796-D34885F0E865}"/>
                </c:ext>
              </c:extLst>
            </c:dLbl>
            <c:dLbl>
              <c:idx val="13"/>
              <c:layout>
                <c:manualLayout>
                  <c:x val="0.21433542101600567"/>
                  <c:y val="-2.76869654998614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C070-4523-8796-D34885F0E865}"/>
                </c:ext>
              </c:extLst>
            </c:dLbl>
            <c:dLbl>
              <c:idx val="14"/>
              <c:layout>
                <c:manualLayout>
                  <c:x val="-6.50195343536129E-3"/>
                  <c:y val="2.76869654998609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C070-4523-8796-D34885F0E865}"/>
                </c:ext>
              </c:extLst>
            </c:dLbl>
            <c:dLbl>
              <c:idx val="15"/>
              <c:layout>
                <c:manualLayout>
                  <c:x val="0.19703129353423104"/>
                  <c:y val="-3.20306644516694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C070-4523-8796-D34885F0E865}"/>
                </c:ext>
              </c:extLst>
            </c:dLbl>
            <c:dLbl>
              <c:idx val="16"/>
              <c:layout>
                <c:manualLayout>
                  <c:x val="-8.0971677127456426E-3"/>
                  <c:y val="-2.25676867495748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C070-4523-8796-D34885F0E865}"/>
                </c:ext>
              </c:extLst>
            </c:dLbl>
            <c:dLbl>
              <c:idx val="17"/>
              <c:layout>
                <c:manualLayout>
                  <c:x val="9.1858037578288101E-2"/>
                  <c:y val="-1.2689712594793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C070-4523-8796-D34885F0E865}"/>
                </c:ext>
              </c:extLst>
            </c:dLbl>
            <c:dLbl>
              <c:idx val="18"/>
              <c:layout>
                <c:manualLayout>
                  <c:x val="-3.6988695828470293E-3"/>
                  <c:y val="2.30499437976400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C070-4523-8796-D34885F0E86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Sheet1!$E$31:$E$49</c:f>
              <c:strCache>
                <c:ptCount val="19"/>
                <c:pt idx="0">
                  <c:v>Планирани фискални резултат за 2024. годину</c:v>
                </c:pt>
                <c:pt idx="1">
                  <c:v>Базни приходни ефекат</c:v>
                </c:pt>
                <c:pt idx="2">
                  <c:v>Кретање личне потрошње</c:v>
                </c:pt>
                <c:pt idx="3">
                  <c:v>Кретања на тржишту рада</c:v>
                </c:pt>
                <c:pt idx="4">
                  <c:v>Профитабилност привреде</c:v>
                </c:pt>
                <c:pt idx="5">
                  <c:v>Потрошња акцизних производа</c:v>
                </c:pt>
                <c:pt idx="6">
                  <c:v>Једнократни порески и непорески приходи</c:v>
                </c:pt>
                <c:pt idx="7">
                  <c:v>Остало приходи</c:v>
                </c:pt>
                <c:pt idx="8">
                  <c:v>Зараде</c:v>
                </c:pt>
                <c:pt idx="9">
                  <c:v>Нова социјална права</c:v>
                </c:pt>
                <c:pt idx="10">
                  <c:v>Увећана здравствена заштита</c:v>
                </c:pt>
                <c:pt idx="11">
                  <c:v>Субвенције у пољопривреди</c:v>
                </c:pt>
                <c:pt idx="12">
                  <c:v>Субвенције у енергетици</c:v>
                </c:pt>
                <c:pt idx="13">
                  <c:v>Расходи за робе и услуге</c:v>
                </c:pt>
                <c:pt idx="14">
                  <c:v>Kапитални расходи</c:v>
                </c:pt>
                <c:pt idx="15">
                  <c:v>Једнократни расходи</c:v>
                </c:pt>
                <c:pt idx="16">
                  <c:v>Енергенти</c:v>
                </c:pt>
                <c:pt idx="17">
                  <c:v>Остало расходи</c:v>
                </c:pt>
                <c:pt idx="18">
                  <c:v>Прој. фискални резултат за 2024. годину</c:v>
                </c:pt>
              </c:strCache>
            </c:strRef>
          </c:cat>
          <c:val>
            <c:numRef>
              <c:f>Sheet1!$F$31:$F$49</c:f>
              <c:numCache>
                <c:formatCode>0.000</c:formatCode>
                <c:ptCount val="19"/>
                <c:pt idx="0" formatCode="0.00">
                  <c:v>-2.0506767969796607</c:v>
                </c:pt>
                <c:pt idx="1">
                  <c:v>0.3854130760220576</c:v>
                </c:pt>
                <c:pt idx="2">
                  <c:v>0.31944273415566754</c:v>
                </c:pt>
                <c:pt idx="3">
                  <c:v>0.3301632288663689</c:v>
                </c:pt>
                <c:pt idx="4">
                  <c:v>0.36681405358667685</c:v>
                </c:pt>
                <c:pt idx="5">
                  <c:v>7.3362810717335358E-2</c:v>
                </c:pt>
                <c:pt idx="6">
                  <c:v>0.29448452189352931</c:v>
                </c:pt>
                <c:pt idx="7">
                  <c:v>-5.4199313026375082E-2</c:v>
                </c:pt>
                <c:pt idx="8">
                  <c:v>-0.21388875800687915</c:v>
                </c:pt>
                <c:pt idx="9">
                  <c:v>-0.16945775996680279</c:v>
                </c:pt>
                <c:pt idx="10">
                  <c:v>-0.1549918536281733</c:v>
                </c:pt>
                <c:pt idx="11">
                  <c:v>-0.1818571082570567</c:v>
                </c:pt>
                <c:pt idx="12">
                  <c:v>-0.13329299412022905</c:v>
                </c:pt>
                <c:pt idx="13">
                  <c:v>-0.19735629361987403</c:v>
                </c:pt>
                <c:pt idx="14">
                  <c:v>-1.1479729958726701</c:v>
                </c:pt>
                <c:pt idx="15">
                  <c:v>-0.10332790241878222</c:v>
                </c:pt>
                <c:pt idx="16">
                  <c:v>0.27691877848233631</c:v>
                </c:pt>
                <c:pt idx="17">
                  <c:v>-0.3726004161221329</c:v>
                </c:pt>
                <c:pt idx="18" formatCode="0.00">
                  <c:v>-2.7382194826670316</c:v>
                </c:pt>
              </c:numCache>
            </c:numRef>
          </c:val>
          <c:extLst>
            <c:ext xmlns:c16="http://schemas.microsoft.com/office/drawing/2014/chart" uri="{C3380CC4-5D6E-409C-BE32-E72D297353CC}">
              <c16:uniqueId val="{00000026-C070-4523-8796-D34885F0E865}"/>
            </c:ext>
          </c:extLst>
        </c:ser>
        <c:dLbls>
          <c:showLegendKey val="0"/>
          <c:showVal val="0"/>
          <c:showCatName val="0"/>
          <c:showSerName val="0"/>
          <c:showPercent val="0"/>
          <c:showBubbleSize val="0"/>
        </c:dLbls>
        <c:gapWidth val="80"/>
        <c:axId val="1145657328"/>
        <c:axId val="1145632752"/>
      </c:barChart>
      <c:catAx>
        <c:axId val="1145657328"/>
        <c:scaling>
          <c:orientation val="minMax"/>
        </c:scaling>
        <c:delete val="0"/>
        <c:axPos val="l"/>
        <c:numFmt formatCode="General" sourceLinked="1"/>
        <c:majorTickMark val="none"/>
        <c:minorTickMark val="none"/>
        <c:tickLblPos val="nextTo"/>
        <c:spPr>
          <a:noFill/>
          <a:ln w="9525" cap="flat" cmpd="sng" algn="ctr">
            <a:solidFill>
              <a:srgbClr val="FF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1145632752"/>
        <c:crosses val="autoZero"/>
        <c:auto val="1"/>
        <c:lblAlgn val="ctr"/>
        <c:lblOffset val="100"/>
        <c:noMultiLvlLbl val="0"/>
      </c:catAx>
      <c:valAx>
        <c:axId val="1145632752"/>
        <c:scaling>
          <c:orientation val="minMax"/>
          <c:min val="-3.5"/>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1145657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415222230767468E-2"/>
          <c:y val="8.6538461538461536E-2"/>
          <c:w val="0.89818784226795878"/>
          <c:h val="0.48525060873414921"/>
        </c:manualLayout>
      </c:layout>
      <c:barChart>
        <c:barDir val="col"/>
        <c:grouping val="clustered"/>
        <c:varyColors val="0"/>
        <c:ser>
          <c:idx val="0"/>
          <c:order val="0"/>
          <c:tx>
            <c:strRef>
              <c:f>'S0 EU Serbia'!$AJ$39</c:f>
              <c:strCache>
                <c:ptCount val="1"/>
                <c:pt idx="0">
                  <c:v>Фискални подиндекс</c:v>
                </c:pt>
              </c:strCache>
            </c:strRef>
          </c:tx>
          <c:spPr>
            <a:solidFill>
              <a:srgbClr val="7030A0"/>
            </a:solidFill>
            <a:ln w="9525">
              <a:noFill/>
            </a:ln>
            <a:effectLst/>
          </c:spPr>
          <c:invertIfNegative val="0"/>
          <c:cat>
            <c:numRef>
              <c:f>'S0 EU Serbia'!$AI$41:$AI$51</c:f>
              <c:numCache>
                <c:formatCode>General</c:formatCode>
                <c:ptCount val="9"/>
                <c:pt idx="0">
                  <c:v>2015</c:v>
                </c:pt>
                <c:pt idx="1">
                  <c:v>2016</c:v>
                </c:pt>
                <c:pt idx="2">
                  <c:v>2017</c:v>
                </c:pt>
                <c:pt idx="3">
                  <c:v>2018</c:v>
                </c:pt>
                <c:pt idx="4">
                  <c:v>2019</c:v>
                </c:pt>
                <c:pt idx="5">
                  <c:v>2020</c:v>
                </c:pt>
                <c:pt idx="6">
                  <c:v>2021</c:v>
                </c:pt>
                <c:pt idx="7">
                  <c:v>2022</c:v>
                </c:pt>
                <c:pt idx="8">
                  <c:v>2023</c:v>
                </c:pt>
              </c:numCache>
              <c:extLst/>
            </c:numRef>
          </c:cat>
          <c:val>
            <c:numRef>
              <c:f>'S0 EU Serbia'!$AJ$41:$AJ$51</c:f>
              <c:numCache>
                <c:formatCode>0.00</c:formatCode>
                <c:ptCount val="9"/>
                <c:pt idx="0">
                  <c:v>0.40718562874251496</c:v>
                </c:pt>
                <c:pt idx="1">
                  <c:v>0.19161676646706588</c:v>
                </c:pt>
                <c:pt idx="2">
                  <c:v>0</c:v>
                </c:pt>
                <c:pt idx="3">
                  <c:v>0</c:v>
                </c:pt>
                <c:pt idx="4">
                  <c:v>0</c:v>
                </c:pt>
                <c:pt idx="5">
                  <c:v>0.47904191616766456</c:v>
                </c:pt>
                <c:pt idx="6">
                  <c:v>0.21560000000000001</c:v>
                </c:pt>
                <c:pt idx="7">
                  <c:v>0.21556886227544908</c:v>
                </c:pt>
                <c:pt idx="8">
                  <c:v>7.7844311377245498E-2</c:v>
                </c:pt>
              </c:numCache>
              <c:extLst/>
            </c:numRef>
          </c:val>
          <c:extLst>
            <c:ext xmlns:c16="http://schemas.microsoft.com/office/drawing/2014/chart" uri="{C3380CC4-5D6E-409C-BE32-E72D297353CC}">
              <c16:uniqueId val="{00000000-191C-4509-ADB1-BDE20419708C}"/>
            </c:ext>
          </c:extLst>
        </c:ser>
        <c:ser>
          <c:idx val="1"/>
          <c:order val="1"/>
          <c:tx>
            <c:strRef>
              <c:f>'S0 EU Serbia'!$AK$39</c:f>
              <c:strCache>
                <c:ptCount val="1"/>
                <c:pt idx="0">
                  <c:v>Подиндекс макро-финансијске конкурентности</c:v>
                </c:pt>
              </c:strCache>
            </c:strRef>
          </c:tx>
          <c:spPr>
            <a:solidFill>
              <a:srgbClr val="5297AC"/>
            </a:solidFill>
            <a:ln w="9525">
              <a:noFill/>
            </a:ln>
            <a:effectLst/>
          </c:spPr>
          <c:invertIfNegative val="0"/>
          <c:cat>
            <c:numRef>
              <c:f>'S0 EU Serbia'!$AI$41:$AI$51</c:f>
              <c:numCache>
                <c:formatCode>General</c:formatCode>
                <c:ptCount val="9"/>
                <c:pt idx="0">
                  <c:v>2015</c:v>
                </c:pt>
                <c:pt idx="1">
                  <c:v>2016</c:v>
                </c:pt>
                <c:pt idx="2">
                  <c:v>2017</c:v>
                </c:pt>
                <c:pt idx="3">
                  <c:v>2018</c:v>
                </c:pt>
                <c:pt idx="4">
                  <c:v>2019</c:v>
                </c:pt>
                <c:pt idx="5">
                  <c:v>2020</c:v>
                </c:pt>
                <c:pt idx="6">
                  <c:v>2021</c:v>
                </c:pt>
                <c:pt idx="7">
                  <c:v>2022</c:v>
                </c:pt>
                <c:pt idx="8">
                  <c:v>2023</c:v>
                </c:pt>
              </c:numCache>
              <c:extLst/>
            </c:numRef>
          </c:cat>
          <c:val>
            <c:numRef>
              <c:f>'S0 EU Serbia'!$AK$41:$AK$51</c:f>
              <c:numCache>
                <c:formatCode>0.00</c:formatCode>
                <c:ptCount val="9"/>
                <c:pt idx="0">
                  <c:v>0.27243589743589747</c:v>
                </c:pt>
                <c:pt idx="1">
                  <c:v>0.27243589743589747</c:v>
                </c:pt>
                <c:pt idx="2">
                  <c:v>0.27243589743589747</c:v>
                </c:pt>
                <c:pt idx="3">
                  <c:v>0.27243589743589747</c:v>
                </c:pt>
                <c:pt idx="4">
                  <c:v>0.27243589743589747</c:v>
                </c:pt>
                <c:pt idx="5">
                  <c:v>0.42307692307692302</c:v>
                </c:pt>
                <c:pt idx="6">
                  <c:v>0.27239999999999998</c:v>
                </c:pt>
                <c:pt idx="7">
                  <c:v>0.27243589743589747</c:v>
                </c:pt>
                <c:pt idx="8">
                  <c:v>0.27243589743589747</c:v>
                </c:pt>
              </c:numCache>
              <c:extLst/>
            </c:numRef>
          </c:val>
          <c:extLst>
            <c:ext xmlns:c16="http://schemas.microsoft.com/office/drawing/2014/chart" uri="{C3380CC4-5D6E-409C-BE32-E72D297353CC}">
              <c16:uniqueId val="{00000001-191C-4509-ADB1-BDE20419708C}"/>
            </c:ext>
          </c:extLst>
        </c:ser>
        <c:dLbls>
          <c:showLegendKey val="0"/>
          <c:showVal val="0"/>
          <c:showCatName val="0"/>
          <c:showSerName val="0"/>
          <c:showPercent val="0"/>
          <c:showBubbleSize val="0"/>
        </c:dLbls>
        <c:gapWidth val="150"/>
        <c:axId val="-486944112"/>
        <c:axId val="-486944656"/>
      </c:barChart>
      <c:lineChart>
        <c:grouping val="standard"/>
        <c:varyColors val="0"/>
        <c:ser>
          <c:idx val="2"/>
          <c:order val="2"/>
          <c:tx>
            <c:strRef>
              <c:f>'S0 EU Serbia'!$AL$39</c:f>
              <c:strCache>
                <c:ptCount val="1"/>
                <c:pt idx="0">
                  <c:v>S0 индикатор</c:v>
                </c:pt>
              </c:strCache>
            </c:strRef>
          </c:tx>
          <c:spPr>
            <a:ln w="22225" cap="rnd">
              <a:noFill/>
              <a:prstDash val="solid"/>
              <a:round/>
            </a:ln>
            <a:effectLst/>
          </c:spPr>
          <c:marker>
            <c:symbol val="triangle"/>
            <c:size val="16"/>
            <c:spPr>
              <a:solidFill>
                <a:schemeClr val="tx1"/>
              </a:solidFill>
              <a:ln w="9525">
                <a:noFill/>
              </a:ln>
              <a:effectLst/>
            </c:spPr>
          </c:marker>
          <c:dPt>
            <c:idx val="0"/>
            <c:marker>
              <c:symbol val="triangle"/>
              <c:size val="16"/>
              <c:spPr>
                <a:solidFill>
                  <a:schemeClr val="tx1"/>
                </a:solidFill>
                <a:ln w="9525">
                  <a:noFill/>
                </a:ln>
                <a:effectLst/>
              </c:spPr>
            </c:marker>
            <c:bubble3D val="0"/>
            <c:spPr>
              <a:ln w="12700" cap="rnd">
                <a:noFill/>
                <a:prstDash val="solid"/>
                <a:round/>
              </a:ln>
              <a:effectLst/>
            </c:spPr>
            <c:extLst>
              <c:ext xmlns:c16="http://schemas.microsoft.com/office/drawing/2014/chart" uri="{C3380CC4-5D6E-409C-BE32-E72D297353CC}">
                <c16:uniqueId val="{00000003-191C-4509-ADB1-BDE20419708C}"/>
              </c:ext>
            </c:extLst>
          </c:dPt>
          <c:dPt>
            <c:idx val="1"/>
            <c:marker>
              <c:symbol val="triangle"/>
              <c:size val="16"/>
              <c:spPr>
                <a:solidFill>
                  <a:schemeClr val="tx1"/>
                </a:solidFill>
                <a:ln w="9525">
                  <a:noFill/>
                </a:ln>
                <a:effectLst/>
              </c:spPr>
            </c:marker>
            <c:bubble3D val="0"/>
            <c:spPr>
              <a:ln w="12700" cap="rnd">
                <a:noFill/>
                <a:prstDash val="solid"/>
                <a:round/>
              </a:ln>
              <a:effectLst/>
            </c:spPr>
            <c:extLst>
              <c:ext xmlns:c16="http://schemas.microsoft.com/office/drawing/2014/chart" uri="{C3380CC4-5D6E-409C-BE32-E72D297353CC}">
                <c16:uniqueId val="{00000005-191C-4509-ADB1-BDE20419708C}"/>
              </c:ext>
            </c:extLst>
          </c:dPt>
          <c:cat>
            <c:numRef>
              <c:f>'S0 EU Serbia'!$AI$41:$AI$51</c:f>
              <c:numCache>
                <c:formatCode>General</c:formatCode>
                <c:ptCount val="9"/>
                <c:pt idx="0">
                  <c:v>2015</c:v>
                </c:pt>
                <c:pt idx="1">
                  <c:v>2016</c:v>
                </c:pt>
                <c:pt idx="2">
                  <c:v>2017</c:v>
                </c:pt>
                <c:pt idx="3">
                  <c:v>2018</c:v>
                </c:pt>
                <c:pt idx="4">
                  <c:v>2019</c:v>
                </c:pt>
                <c:pt idx="5">
                  <c:v>2020</c:v>
                </c:pt>
                <c:pt idx="6">
                  <c:v>2021</c:v>
                </c:pt>
                <c:pt idx="7">
                  <c:v>2022</c:v>
                </c:pt>
                <c:pt idx="8">
                  <c:v>2023</c:v>
                </c:pt>
              </c:numCache>
              <c:extLst/>
            </c:numRef>
          </c:cat>
          <c:val>
            <c:numRef>
              <c:f>'S0 EU Serbia'!$AL$41:$AL$51</c:f>
              <c:numCache>
                <c:formatCode>0.00</c:formatCode>
                <c:ptCount val="9"/>
                <c:pt idx="0">
                  <c:v>0.31941544885177453</c:v>
                </c:pt>
                <c:pt idx="1">
                  <c:v>0.24425887265135704</c:v>
                </c:pt>
                <c:pt idx="2">
                  <c:v>0.17745302713987476</c:v>
                </c:pt>
                <c:pt idx="3">
                  <c:v>0.17745302713987476</c:v>
                </c:pt>
                <c:pt idx="4">
                  <c:v>0.17745302713987476</c:v>
                </c:pt>
                <c:pt idx="5">
                  <c:v>0.4425887265135699</c:v>
                </c:pt>
                <c:pt idx="6">
                  <c:v>0.25259999999999999</c:v>
                </c:pt>
                <c:pt idx="7">
                  <c:v>0.25260960334029231</c:v>
                </c:pt>
                <c:pt idx="8">
                  <c:v>0.20459290187891443</c:v>
                </c:pt>
              </c:numCache>
              <c:extLst/>
            </c:numRef>
          </c:val>
          <c:smooth val="0"/>
          <c:extLst>
            <c:ext xmlns:c16="http://schemas.microsoft.com/office/drawing/2014/chart" uri="{C3380CC4-5D6E-409C-BE32-E72D297353CC}">
              <c16:uniqueId val="{00000006-191C-4509-ADB1-BDE20419708C}"/>
            </c:ext>
          </c:extLst>
        </c:ser>
        <c:ser>
          <c:idx val="3"/>
          <c:order val="3"/>
          <c:tx>
            <c:strRef>
              <c:f>'S0 EU Serbia'!$AM$39</c:f>
              <c:strCache>
                <c:ptCount val="1"/>
                <c:pt idx="0">
                  <c:v>Праг фискалног подиндекса</c:v>
                </c:pt>
              </c:strCache>
            </c:strRef>
          </c:tx>
          <c:spPr>
            <a:ln w="22225" cap="rnd">
              <a:solidFill>
                <a:srgbClr val="7030A0"/>
              </a:solidFill>
              <a:prstDash val="dash"/>
              <a:round/>
            </a:ln>
            <a:effectLst/>
          </c:spPr>
          <c:marker>
            <c:symbol val="none"/>
          </c:marker>
          <c:cat>
            <c:numRef>
              <c:f>'S0 EU Serbia'!$AI$41:$AI$51</c:f>
              <c:numCache>
                <c:formatCode>General</c:formatCode>
                <c:ptCount val="9"/>
                <c:pt idx="0">
                  <c:v>2015</c:v>
                </c:pt>
                <c:pt idx="1">
                  <c:v>2016</c:v>
                </c:pt>
                <c:pt idx="2">
                  <c:v>2017</c:v>
                </c:pt>
                <c:pt idx="3">
                  <c:v>2018</c:v>
                </c:pt>
                <c:pt idx="4">
                  <c:v>2019</c:v>
                </c:pt>
                <c:pt idx="5">
                  <c:v>2020</c:v>
                </c:pt>
                <c:pt idx="6">
                  <c:v>2021</c:v>
                </c:pt>
                <c:pt idx="7">
                  <c:v>2022</c:v>
                </c:pt>
                <c:pt idx="8">
                  <c:v>2023</c:v>
                </c:pt>
              </c:numCache>
              <c:extLst/>
            </c:numRef>
          </c:cat>
          <c:val>
            <c:numRef>
              <c:f>'S0 EU Serbia'!$AM$41:$AM$51</c:f>
              <c:numCache>
                <c:formatCode>General</c:formatCode>
                <c:ptCount val="9"/>
                <c:pt idx="0">
                  <c:v>0.36</c:v>
                </c:pt>
                <c:pt idx="1">
                  <c:v>0.36</c:v>
                </c:pt>
                <c:pt idx="2">
                  <c:v>0.36</c:v>
                </c:pt>
                <c:pt idx="3">
                  <c:v>0.36</c:v>
                </c:pt>
                <c:pt idx="4">
                  <c:v>0.36</c:v>
                </c:pt>
                <c:pt idx="5">
                  <c:v>0.36</c:v>
                </c:pt>
                <c:pt idx="6">
                  <c:v>0.36</c:v>
                </c:pt>
                <c:pt idx="7">
                  <c:v>0.36</c:v>
                </c:pt>
                <c:pt idx="8">
                  <c:v>0.36</c:v>
                </c:pt>
              </c:numCache>
              <c:extLst/>
            </c:numRef>
          </c:val>
          <c:smooth val="0"/>
          <c:extLst>
            <c:ext xmlns:c16="http://schemas.microsoft.com/office/drawing/2014/chart" uri="{C3380CC4-5D6E-409C-BE32-E72D297353CC}">
              <c16:uniqueId val="{00000007-191C-4509-ADB1-BDE20419708C}"/>
            </c:ext>
          </c:extLst>
        </c:ser>
        <c:ser>
          <c:idx val="4"/>
          <c:order val="4"/>
          <c:tx>
            <c:strRef>
              <c:f>'S0 EU Serbia'!$AN$39</c:f>
              <c:strCache>
                <c:ptCount val="1"/>
                <c:pt idx="0">
                  <c:v>Праг финансијског подиндекса</c:v>
                </c:pt>
              </c:strCache>
            </c:strRef>
          </c:tx>
          <c:spPr>
            <a:ln w="22225" cap="rnd">
              <a:solidFill>
                <a:srgbClr val="5297AC"/>
              </a:solidFill>
              <a:prstDash val="dash"/>
              <a:round/>
            </a:ln>
            <a:effectLst/>
          </c:spPr>
          <c:marker>
            <c:symbol val="none"/>
          </c:marker>
          <c:cat>
            <c:numRef>
              <c:f>'S0 EU Serbia'!$AI$41:$AI$51</c:f>
              <c:numCache>
                <c:formatCode>General</c:formatCode>
                <c:ptCount val="9"/>
                <c:pt idx="0">
                  <c:v>2015</c:v>
                </c:pt>
                <c:pt idx="1">
                  <c:v>2016</c:v>
                </c:pt>
                <c:pt idx="2">
                  <c:v>2017</c:v>
                </c:pt>
                <c:pt idx="3">
                  <c:v>2018</c:v>
                </c:pt>
                <c:pt idx="4">
                  <c:v>2019</c:v>
                </c:pt>
                <c:pt idx="5">
                  <c:v>2020</c:v>
                </c:pt>
                <c:pt idx="6">
                  <c:v>2021</c:v>
                </c:pt>
                <c:pt idx="7">
                  <c:v>2022</c:v>
                </c:pt>
                <c:pt idx="8">
                  <c:v>2023</c:v>
                </c:pt>
              </c:numCache>
              <c:extLst/>
            </c:numRef>
          </c:cat>
          <c:val>
            <c:numRef>
              <c:f>'S0 EU Serbia'!$AN$41:$AN$51</c:f>
              <c:numCache>
                <c:formatCode>General</c:formatCode>
                <c:ptCount val="9"/>
                <c:pt idx="0">
                  <c:v>0.49</c:v>
                </c:pt>
                <c:pt idx="1">
                  <c:v>0.49</c:v>
                </c:pt>
                <c:pt idx="2">
                  <c:v>0.49</c:v>
                </c:pt>
                <c:pt idx="3">
                  <c:v>0.49</c:v>
                </c:pt>
                <c:pt idx="4">
                  <c:v>0.49</c:v>
                </c:pt>
                <c:pt idx="5">
                  <c:v>0.49</c:v>
                </c:pt>
                <c:pt idx="6">
                  <c:v>0.49</c:v>
                </c:pt>
                <c:pt idx="7">
                  <c:v>0.49</c:v>
                </c:pt>
                <c:pt idx="8">
                  <c:v>0.49</c:v>
                </c:pt>
              </c:numCache>
              <c:extLst/>
            </c:numRef>
          </c:val>
          <c:smooth val="0"/>
          <c:extLst>
            <c:ext xmlns:c16="http://schemas.microsoft.com/office/drawing/2014/chart" uri="{C3380CC4-5D6E-409C-BE32-E72D297353CC}">
              <c16:uniqueId val="{00000008-191C-4509-ADB1-BDE20419708C}"/>
            </c:ext>
          </c:extLst>
        </c:ser>
        <c:ser>
          <c:idx val="5"/>
          <c:order val="5"/>
          <c:tx>
            <c:strRef>
              <c:f>'S0 EU Serbia'!$AO$39</c:f>
              <c:strCache>
                <c:ptCount val="1"/>
                <c:pt idx="0">
                  <c:v>S0 праг</c:v>
                </c:pt>
              </c:strCache>
            </c:strRef>
          </c:tx>
          <c:spPr>
            <a:ln w="22225" cap="rnd">
              <a:solidFill>
                <a:schemeClr val="tx1"/>
              </a:solidFill>
              <a:prstDash val="dash"/>
              <a:round/>
            </a:ln>
            <a:effectLst/>
          </c:spPr>
          <c:marker>
            <c:symbol val="none"/>
          </c:marker>
          <c:cat>
            <c:numRef>
              <c:f>'S0 EU Serbia'!$AI$41:$AI$51</c:f>
              <c:numCache>
                <c:formatCode>General</c:formatCode>
                <c:ptCount val="9"/>
                <c:pt idx="0">
                  <c:v>2015</c:v>
                </c:pt>
                <c:pt idx="1">
                  <c:v>2016</c:v>
                </c:pt>
                <c:pt idx="2">
                  <c:v>2017</c:v>
                </c:pt>
                <c:pt idx="3">
                  <c:v>2018</c:v>
                </c:pt>
                <c:pt idx="4">
                  <c:v>2019</c:v>
                </c:pt>
                <c:pt idx="5">
                  <c:v>2020</c:v>
                </c:pt>
                <c:pt idx="6">
                  <c:v>2021</c:v>
                </c:pt>
                <c:pt idx="7">
                  <c:v>2022</c:v>
                </c:pt>
                <c:pt idx="8">
                  <c:v>2023</c:v>
                </c:pt>
              </c:numCache>
              <c:extLst/>
            </c:numRef>
          </c:cat>
          <c:val>
            <c:numRef>
              <c:f>'S0 EU Serbia'!$AO$41:$AO$51</c:f>
              <c:numCache>
                <c:formatCode>General</c:formatCode>
                <c:ptCount val="9"/>
                <c:pt idx="0">
                  <c:v>0.46</c:v>
                </c:pt>
                <c:pt idx="1">
                  <c:v>0.46</c:v>
                </c:pt>
                <c:pt idx="2">
                  <c:v>0.46</c:v>
                </c:pt>
                <c:pt idx="3">
                  <c:v>0.46</c:v>
                </c:pt>
                <c:pt idx="4">
                  <c:v>0.46</c:v>
                </c:pt>
                <c:pt idx="5">
                  <c:v>0.46</c:v>
                </c:pt>
                <c:pt idx="6">
                  <c:v>0.46</c:v>
                </c:pt>
                <c:pt idx="7">
                  <c:v>0.46</c:v>
                </c:pt>
                <c:pt idx="8">
                  <c:v>0.46</c:v>
                </c:pt>
              </c:numCache>
              <c:extLst/>
            </c:numRef>
          </c:val>
          <c:smooth val="0"/>
          <c:extLst>
            <c:ext xmlns:c16="http://schemas.microsoft.com/office/drawing/2014/chart" uri="{C3380CC4-5D6E-409C-BE32-E72D297353CC}">
              <c16:uniqueId val="{00000009-191C-4509-ADB1-BDE20419708C}"/>
            </c:ext>
          </c:extLst>
        </c:ser>
        <c:dLbls>
          <c:showLegendKey val="0"/>
          <c:showVal val="0"/>
          <c:showCatName val="0"/>
          <c:showSerName val="0"/>
          <c:showPercent val="0"/>
          <c:showBubbleSize val="0"/>
        </c:dLbls>
        <c:marker val="1"/>
        <c:smooth val="0"/>
        <c:axId val="-486944112"/>
        <c:axId val="-486944656"/>
      </c:lineChart>
      <c:catAx>
        <c:axId val="-486944112"/>
        <c:scaling>
          <c:orientation val="minMax"/>
        </c:scaling>
        <c:delete val="0"/>
        <c:axPos val="b"/>
        <c:numFmt formatCode="General" sourceLinked="1"/>
        <c:majorTickMark val="none"/>
        <c:minorTickMark val="none"/>
        <c:tickLblPos val="nextTo"/>
        <c:spPr>
          <a:noFill/>
          <a:ln w="6350" cap="flat" cmpd="sng" algn="ctr">
            <a:solidFill>
              <a:schemeClr val="bg1">
                <a:lumMod val="65000"/>
              </a:schemeClr>
            </a:solidFill>
            <a:round/>
          </a:ln>
          <a:effectLst/>
        </c:spPr>
        <c:txPr>
          <a:bodyPr rot="-60000000" spcFirstLastPara="1" vertOverflow="ellipsis" vert="horz" wrap="square" anchor="ctr" anchorCtr="1"/>
          <a:lstStyle/>
          <a:p>
            <a:pPr>
              <a:defRPr sz="1000" b="0" i="0" u="none" strike="noStrike" kern="1200" baseline="0">
                <a:solidFill>
                  <a:srgbClr val="44546A"/>
                </a:solidFill>
                <a:latin typeface="Times New Roman" panose="02020603050405020304" pitchFamily="18" charset="0"/>
                <a:ea typeface="+mn-ea"/>
                <a:cs typeface="+mn-cs"/>
              </a:defRPr>
            </a:pPr>
            <a:endParaRPr lang="en-US"/>
          </a:p>
        </c:txPr>
        <c:crossAx val="-486944656"/>
        <c:crosses val="autoZero"/>
        <c:auto val="1"/>
        <c:lblAlgn val="ctr"/>
        <c:lblOffset val="100"/>
        <c:noMultiLvlLbl val="0"/>
      </c:catAx>
      <c:valAx>
        <c:axId val="-486944656"/>
        <c:scaling>
          <c:orientation val="minMax"/>
          <c:max val="0.70000000000000007"/>
        </c:scaling>
        <c:delete val="0"/>
        <c:axPos val="l"/>
        <c:numFmt formatCode="#,##0.0" sourceLinked="0"/>
        <c:majorTickMark val="out"/>
        <c:minorTickMark val="none"/>
        <c:tickLblPos val="nextTo"/>
        <c:spPr>
          <a:noFill/>
          <a:ln w="6350">
            <a:noFill/>
          </a:ln>
          <a:effectLst/>
        </c:spPr>
        <c:txPr>
          <a:bodyPr rot="-60000000" spcFirstLastPara="1" vertOverflow="ellipsis" vert="horz" wrap="square" anchor="ctr" anchorCtr="1"/>
          <a:lstStyle/>
          <a:p>
            <a:pPr>
              <a:defRPr sz="1000" b="0" i="0" u="none" strike="noStrike" kern="1200" baseline="0">
                <a:solidFill>
                  <a:srgbClr val="44546A"/>
                </a:solidFill>
                <a:latin typeface="Times New Roman" panose="02020603050405020304" pitchFamily="18" charset="0"/>
                <a:ea typeface="+mn-ea"/>
                <a:cs typeface="+mn-cs"/>
              </a:defRPr>
            </a:pPr>
            <a:endParaRPr lang="en-US"/>
          </a:p>
        </c:txPr>
        <c:crossAx val="-486944112"/>
        <c:crossesAt val="1"/>
        <c:crossBetween val="between"/>
      </c:valAx>
      <c:spPr>
        <a:noFill/>
        <a:ln>
          <a:noFill/>
        </a:ln>
        <a:effectLst/>
      </c:spPr>
    </c:plotArea>
    <c:legend>
      <c:legendPos val="b"/>
      <c:legendEntry>
        <c:idx val="3"/>
        <c:txPr>
          <a:bodyPr rot="0" spcFirstLastPara="1" vertOverflow="ellipsis" vert="horz" wrap="square" anchor="ctr" anchorCtr="1"/>
          <a:lstStyle/>
          <a:p>
            <a:pPr>
              <a:defRPr sz="900" b="0" i="0" u="none" strike="noStrike" kern="1200" baseline="0">
                <a:solidFill>
                  <a:srgbClr val="44546A"/>
                </a:solidFill>
                <a:latin typeface="Times New Roman" panose="02020603050405020304" pitchFamily="18" charset="0"/>
                <a:ea typeface="+mn-ea"/>
                <a:cs typeface="+mn-cs"/>
              </a:defRPr>
            </a:pPr>
            <a:endParaRPr lang="en-US"/>
          </a:p>
        </c:txPr>
      </c:legendEntry>
      <c:layout>
        <c:manualLayout>
          <c:xMode val="edge"/>
          <c:yMode val="edge"/>
          <c:x val="2.930789712720251E-4"/>
          <c:y val="0.58446067735508966"/>
          <c:w val="0.99970692102872794"/>
          <c:h val="0.2950970285340838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44546A"/>
              </a:solidFill>
              <a:latin typeface="Times New Roman" panose="02020603050405020304" pitchFamily="18"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900">
          <a:latin typeface="+mn-lt"/>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140553174856415E-2"/>
          <c:y val="0.13775301764159703"/>
          <c:w val="0.89795062064282105"/>
          <c:h val="0.58412091938043875"/>
        </c:manualLayout>
      </c:layout>
      <c:barChart>
        <c:barDir val="col"/>
        <c:grouping val="clustered"/>
        <c:varyColors val="0"/>
        <c:ser>
          <c:idx val="3"/>
          <c:order val="1"/>
          <c:tx>
            <c:strRef>
              <c:f>'S0 EU Serbia'!$F$2</c:f>
              <c:strCache>
                <c:ptCount val="1"/>
                <c:pt idx="0">
                  <c:v>S0
2014</c:v>
                </c:pt>
              </c:strCache>
            </c:strRef>
          </c:tx>
          <c:spPr>
            <a:solidFill>
              <a:schemeClr val="tx1"/>
            </a:solidFill>
            <a:ln w="6350">
              <a:solidFill>
                <a:schemeClr val="tx1"/>
              </a:solidFill>
            </a:ln>
            <a:effectLst/>
          </c:spPr>
          <c:invertIfNegative val="0"/>
          <c:cat>
            <c:strRef>
              <c:f>'S0 EU Serbia'!$A$3:$A$31</c:f>
              <c:strCache>
                <c:ptCount val="28"/>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pt idx="27">
                  <c:v>Уједињено Краљевство</c:v>
                </c:pt>
              </c:strCache>
            </c:strRef>
          </c:cat>
          <c:val>
            <c:numRef>
              <c:f>'S0 EU Serbia'!$F$3:$F$31</c:f>
            </c:numRef>
          </c:val>
          <c:extLst>
            <c:ext xmlns:c16="http://schemas.microsoft.com/office/drawing/2014/chart" uri="{C3380CC4-5D6E-409C-BE32-E72D297353CC}">
              <c16:uniqueId val="{00000000-232A-496F-90CA-3767D32FB8BC}"/>
            </c:ext>
          </c:extLst>
        </c:ser>
        <c:dLbls>
          <c:showLegendKey val="0"/>
          <c:showVal val="0"/>
          <c:showCatName val="0"/>
          <c:showSerName val="0"/>
          <c:showPercent val="0"/>
          <c:showBubbleSize val="0"/>
        </c:dLbls>
        <c:gapWidth val="150"/>
        <c:axId val="-486950096"/>
        <c:axId val="-486949552"/>
      </c:barChart>
      <c:barChart>
        <c:barDir val="col"/>
        <c:grouping val="clustered"/>
        <c:varyColors val="0"/>
        <c:ser>
          <c:idx val="5"/>
          <c:order val="7"/>
          <c:tx>
            <c:strRef>
              <c:f>'S0 EU Serbia'!$AD$2</c:f>
              <c:strCache>
                <c:ptCount val="1"/>
                <c:pt idx="0">
                  <c:v>S0 2022</c:v>
                </c:pt>
              </c:strCache>
            </c:strRef>
          </c:tx>
          <c:spPr>
            <a:solidFill>
              <a:srgbClr val="7030A0"/>
            </a:solidFill>
            <a:ln>
              <a:noFill/>
            </a:ln>
            <a:effectLst/>
          </c:spPr>
          <c:invertIfNegative val="0"/>
          <c:val>
            <c:numRef>
              <c:f>'S0 EU Serbia'!$AD$3:$AD$29</c:f>
              <c:numCache>
                <c:formatCode>0.00</c:formatCode>
                <c:ptCount val="27"/>
                <c:pt idx="0">
                  <c:v>0.2</c:v>
                </c:pt>
                <c:pt idx="1">
                  <c:v>0.3</c:v>
                </c:pt>
                <c:pt idx="2">
                  <c:v>0.3</c:v>
                </c:pt>
                <c:pt idx="3">
                  <c:v>0.2</c:v>
                </c:pt>
                <c:pt idx="4">
                  <c:v>0.3</c:v>
                </c:pt>
                <c:pt idx="5">
                  <c:v>0.3</c:v>
                </c:pt>
                <c:pt idx="6">
                  <c:v>0.2</c:v>
                </c:pt>
                <c:pt idx="7">
                  <c:v>0.1</c:v>
                </c:pt>
                <c:pt idx="8">
                  <c:v>0.2</c:v>
                </c:pt>
                <c:pt idx="9">
                  <c:v>0.3</c:v>
                </c:pt>
                <c:pt idx="10">
                  <c:v>0.2</c:v>
                </c:pt>
                <c:pt idx="11">
                  <c:v>0.4</c:v>
                </c:pt>
                <c:pt idx="12">
                  <c:v>0.2</c:v>
                </c:pt>
                <c:pt idx="13">
                  <c:v>0.3</c:v>
                </c:pt>
                <c:pt idx="14">
                  <c:v>0.2</c:v>
                </c:pt>
                <c:pt idx="15">
                  <c:v>0.3</c:v>
                </c:pt>
                <c:pt idx="16">
                  <c:v>0.2</c:v>
                </c:pt>
                <c:pt idx="17">
                  <c:v>0.2</c:v>
                </c:pt>
                <c:pt idx="18">
                  <c:v>0.2</c:v>
                </c:pt>
                <c:pt idx="19">
                  <c:v>0.3</c:v>
                </c:pt>
                <c:pt idx="20">
                  <c:v>0.4</c:v>
                </c:pt>
                <c:pt idx="21">
                  <c:v>0.3</c:v>
                </c:pt>
                <c:pt idx="22">
                  <c:v>0.25260960334029231</c:v>
                </c:pt>
                <c:pt idx="23">
                  <c:v>0.3</c:v>
                </c:pt>
                <c:pt idx="24">
                  <c:v>0.2</c:v>
                </c:pt>
                <c:pt idx="25">
                  <c:v>0.3</c:v>
                </c:pt>
                <c:pt idx="26">
                  <c:v>0.2</c:v>
                </c:pt>
              </c:numCache>
            </c:numRef>
          </c:val>
          <c:extLst>
            <c:ext xmlns:c16="http://schemas.microsoft.com/office/drawing/2014/chart" uri="{C3380CC4-5D6E-409C-BE32-E72D297353CC}">
              <c16:uniqueId val="{00000001-232A-496F-90CA-3767D32FB8BC}"/>
            </c:ext>
          </c:extLst>
        </c:ser>
        <c:ser>
          <c:idx val="7"/>
          <c:order val="8"/>
          <c:tx>
            <c:strRef>
              <c:f>'S0 EU Serbia'!$AG$2</c:f>
              <c:strCache>
                <c:ptCount val="1"/>
                <c:pt idx="0">
                  <c:v>S0 2023</c:v>
                </c:pt>
              </c:strCache>
            </c:strRef>
          </c:tx>
          <c:spPr>
            <a:solidFill>
              <a:srgbClr val="00B0F0"/>
            </a:solidFill>
            <a:ln>
              <a:noFill/>
            </a:ln>
            <a:effectLst/>
          </c:spPr>
          <c:invertIfNegative val="0"/>
          <c:val>
            <c:numRef>
              <c:f>'S0 EU Serbia'!$AG$3:$AG$29</c:f>
              <c:numCache>
                <c:formatCode>0.00</c:formatCode>
                <c:ptCount val="27"/>
                <c:pt idx="0">
                  <c:v>0.09</c:v>
                </c:pt>
                <c:pt idx="1">
                  <c:v>0.27</c:v>
                </c:pt>
                <c:pt idx="2">
                  <c:v>0.21</c:v>
                </c:pt>
                <c:pt idx="3">
                  <c:v>0.24</c:v>
                </c:pt>
                <c:pt idx="4">
                  <c:v>0.21</c:v>
                </c:pt>
                <c:pt idx="5">
                  <c:v>0.32</c:v>
                </c:pt>
                <c:pt idx="6">
                  <c:v>0.27</c:v>
                </c:pt>
                <c:pt idx="7">
                  <c:v>0.3</c:v>
                </c:pt>
                <c:pt idx="8">
                  <c:v>0.2</c:v>
                </c:pt>
                <c:pt idx="9">
                  <c:v>0.38</c:v>
                </c:pt>
                <c:pt idx="10">
                  <c:v>0.16</c:v>
                </c:pt>
                <c:pt idx="11">
                  <c:v>0.46</c:v>
                </c:pt>
                <c:pt idx="12">
                  <c:v>0.13</c:v>
                </c:pt>
                <c:pt idx="13">
                  <c:v>0.35</c:v>
                </c:pt>
                <c:pt idx="14">
                  <c:v>0.31</c:v>
                </c:pt>
                <c:pt idx="15">
                  <c:v>0.27</c:v>
                </c:pt>
                <c:pt idx="16">
                  <c:v>0.19</c:v>
                </c:pt>
                <c:pt idx="17">
                  <c:v>0.17</c:v>
                </c:pt>
                <c:pt idx="18">
                  <c:v>0.12</c:v>
                </c:pt>
                <c:pt idx="19">
                  <c:v>0.39</c:v>
                </c:pt>
                <c:pt idx="20">
                  <c:v>0.32</c:v>
                </c:pt>
                <c:pt idx="21">
                  <c:v>0.31</c:v>
                </c:pt>
                <c:pt idx="22">
                  <c:v>0.20459290187891443</c:v>
                </c:pt>
                <c:pt idx="23">
                  <c:v>0.38</c:v>
                </c:pt>
                <c:pt idx="24">
                  <c:v>0.2</c:v>
                </c:pt>
                <c:pt idx="25">
                  <c:v>0.41</c:v>
                </c:pt>
                <c:pt idx="26">
                  <c:v>0.12</c:v>
                </c:pt>
              </c:numCache>
            </c:numRef>
          </c:val>
          <c:extLst>
            <c:ext xmlns:c16="http://schemas.microsoft.com/office/drawing/2014/chart" uri="{C3380CC4-5D6E-409C-BE32-E72D297353CC}">
              <c16:uniqueId val="{00000002-232A-496F-90CA-3767D32FB8BC}"/>
            </c:ext>
          </c:extLst>
        </c:ser>
        <c:dLbls>
          <c:showLegendKey val="0"/>
          <c:showVal val="0"/>
          <c:showCatName val="0"/>
          <c:showSerName val="0"/>
          <c:showPercent val="0"/>
          <c:showBubbleSize val="0"/>
        </c:dLbls>
        <c:gapWidth val="150"/>
        <c:axId val="-486950096"/>
        <c:axId val="-486949552"/>
        <c:extLst>
          <c:ext xmlns:c15="http://schemas.microsoft.com/office/drawing/2012/chart" uri="{02D57815-91ED-43cb-92C2-25804820EDAC}">
            <c15:filteredBarSeries>
              <c15:ser>
                <c:idx val="6"/>
                <c:order val="2"/>
                <c:tx>
                  <c:strRef>
                    <c:extLst>
                      <c:ext uri="{02D57815-91ED-43cb-92C2-25804820EDAC}">
                        <c15:formulaRef>
                          <c15:sqref>'S0 EU Serbia'!$I$2</c15:sqref>
                        </c15:formulaRef>
                      </c:ext>
                    </c:extLst>
                    <c:strCache>
                      <c:ptCount val="1"/>
                      <c:pt idx="0">
                        <c:v>S0
2015</c:v>
                      </c:pt>
                    </c:strCache>
                  </c:strRef>
                </c:tx>
                <c:spPr>
                  <a:solidFill>
                    <a:schemeClr val="accent2"/>
                  </a:solidFill>
                  <a:ln>
                    <a:noFill/>
                  </a:ln>
                  <a:effectLst/>
                </c:spPr>
                <c:invertIfNegative val="0"/>
                <c:cat>
                  <c:strRef>
                    <c:extLst>
                      <c:ext uri="{02D57815-91ED-43cb-92C2-25804820EDAC}">
                        <c15:formulaRef>
                          <c15:sqref>'S0 EU Serbia'!$A$3:$A$31</c15:sqref>
                        </c15:formulaRef>
                      </c:ext>
                    </c:extLst>
                    <c:strCache>
                      <c:ptCount val="28"/>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pt idx="27">
                        <c:v>Уједињено Краљевство</c:v>
                      </c:pt>
                    </c:strCache>
                  </c:strRef>
                </c:cat>
                <c:val>
                  <c:numRef>
                    <c:extLst>
                      <c:ext uri="{02D57815-91ED-43cb-92C2-25804820EDAC}">
                        <c15:formulaRef>
                          <c15:sqref>'S0 EU Serbia'!$I$3:$I$31</c15:sqref>
                        </c15:formulaRef>
                      </c:ext>
                    </c:extLst>
                    <c:numCache>
                      <c:formatCode>0.00</c:formatCode>
                      <c:ptCount val="29"/>
                      <c:pt idx="0">
                        <c:v>7.0000000000000007E-2</c:v>
                      </c:pt>
                      <c:pt idx="1">
                        <c:v>0.1</c:v>
                      </c:pt>
                      <c:pt idx="2">
                        <c:v>0.21</c:v>
                      </c:pt>
                      <c:pt idx="3">
                        <c:v>0.11</c:v>
                      </c:pt>
                      <c:pt idx="4">
                        <c:v>0.26</c:v>
                      </c:pt>
                      <c:pt idx="6">
                        <c:v>0.25</c:v>
                      </c:pt>
                      <c:pt idx="7">
                        <c:v>0.19</c:v>
                      </c:pt>
                      <c:pt idx="8">
                        <c:v>0.22</c:v>
                      </c:pt>
                      <c:pt idx="9">
                        <c:v>0.17</c:v>
                      </c:pt>
                      <c:pt idx="10">
                        <c:v>0.02</c:v>
                      </c:pt>
                      <c:pt idx="11">
                        <c:v>0.16</c:v>
                      </c:pt>
                      <c:pt idx="12">
                        <c:v>0.38</c:v>
                      </c:pt>
                      <c:pt idx="13">
                        <c:v>0.21</c:v>
                      </c:pt>
                      <c:pt idx="14">
                        <c:v>0.34</c:v>
                      </c:pt>
                      <c:pt idx="15">
                        <c:v>0.18</c:v>
                      </c:pt>
                      <c:pt idx="16">
                        <c:v>0.09</c:v>
                      </c:pt>
                      <c:pt idx="17">
                        <c:v>0.13</c:v>
                      </c:pt>
                      <c:pt idx="18">
                        <c:v>0.19</c:v>
                      </c:pt>
                      <c:pt idx="19">
                        <c:v>0.27</c:v>
                      </c:pt>
                      <c:pt idx="20">
                        <c:v>0.24</c:v>
                      </c:pt>
                      <c:pt idx="21">
                        <c:v>0.14000000000000001</c:v>
                      </c:pt>
                      <c:pt idx="22">
                        <c:v>0.36</c:v>
                      </c:pt>
                      <c:pt idx="23">
                        <c:v>0.21</c:v>
                      </c:pt>
                      <c:pt idx="24">
                        <c:v>0.08</c:v>
                      </c:pt>
                      <c:pt idx="25">
                        <c:v>0.21</c:v>
                      </c:pt>
                      <c:pt idx="26">
                        <c:v>0.15</c:v>
                      </c:pt>
                      <c:pt idx="27">
                        <c:v>0.36</c:v>
                      </c:pt>
                    </c:numCache>
                  </c:numRef>
                </c:val>
                <c:extLst>
                  <c:ext xmlns:c16="http://schemas.microsoft.com/office/drawing/2014/chart" uri="{C3380CC4-5D6E-409C-BE32-E72D297353CC}">
                    <c16:uniqueId val="{00000005-232A-496F-90CA-3767D32FB8BC}"/>
                  </c:ext>
                </c:extLst>
              </c15:ser>
            </c15:filteredBarSeries>
            <c15:filteredBarSeries>
              <c15:ser>
                <c:idx val="9"/>
                <c:order val="3"/>
                <c:tx>
                  <c:strRef>
                    <c:extLst xmlns:c15="http://schemas.microsoft.com/office/drawing/2012/chart">
                      <c:ext xmlns:c15="http://schemas.microsoft.com/office/drawing/2012/chart" uri="{02D57815-91ED-43cb-92C2-25804820EDAC}">
                        <c15:formulaRef>
                          <c15:sqref>'S0 EU Serbia'!$L$2</c15:sqref>
                        </c15:formulaRef>
                      </c:ext>
                    </c:extLst>
                    <c:strCache>
                      <c:ptCount val="1"/>
                      <c:pt idx="0">
                        <c:v>S0
 2016</c:v>
                      </c:pt>
                    </c:strCache>
                  </c:strRef>
                </c:tx>
                <c:spPr>
                  <a:solidFill>
                    <a:srgbClr val="7030A0"/>
                  </a:solidFill>
                  <a:ln>
                    <a:noFill/>
                  </a:ln>
                  <a:effectLst/>
                </c:spPr>
                <c:invertIfNegative val="0"/>
                <c:dPt>
                  <c:idx val="16"/>
                  <c:invertIfNegative val="0"/>
                  <c:bubble3D val="0"/>
                  <c:spPr>
                    <a:solidFill>
                      <a:srgbClr val="7F7F7F"/>
                    </a:solidFill>
                    <a:ln>
                      <a:noFill/>
                    </a:ln>
                    <a:effectLst/>
                  </c:spPr>
                  <c:extLst xmlns:c15="http://schemas.microsoft.com/office/drawing/2012/chart">
                    <c:ext xmlns:c16="http://schemas.microsoft.com/office/drawing/2014/chart" uri="{C3380CC4-5D6E-409C-BE32-E72D297353CC}">
                      <c16:uniqueId val="{00000007-232A-496F-90CA-3767D32FB8BC}"/>
                    </c:ext>
                  </c:extLst>
                </c:dPt>
                <c:cat>
                  <c:strRef>
                    <c:extLst xmlns:c15="http://schemas.microsoft.com/office/drawing/2012/chart">
                      <c:ext xmlns:c15="http://schemas.microsoft.com/office/drawing/2012/chart" uri="{02D57815-91ED-43cb-92C2-25804820EDAC}">
                        <c15:formulaRef>
                          <c15:sqref>'S0 EU Serbia'!$A$3:$A$31</c15:sqref>
                        </c15:formulaRef>
                      </c:ext>
                    </c:extLst>
                    <c:strCache>
                      <c:ptCount val="28"/>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pt idx="27">
                        <c:v>Уједињено Краљевство</c:v>
                      </c:pt>
                    </c:strCache>
                  </c:strRef>
                </c:cat>
                <c:val>
                  <c:numRef>
                    <c:extLst xmlns:c15="http://schemas.microsoft.com/office/drawing/2012/chart">
                      <c:ext xmlns:c15="http://schemas.microsoft.com/office/drawing/2012/chart" uri="{02D57815-91ED-43cb-92C2-25804820EDAC}">
                        <c15:formulaRef>
                          <c15:sqref>'S0 EU Serbia'!$L$3:$L$31</c15:sqref>
                        </c15:formulaRef>
                      </c:ext>
                    </c:extLst>
                    <c:numCache>
                      <c:formatCode>0.00</c:formatCode>
                      <c:ptCount val="29"/>
                      <c:pt idx="0">
                        <c:v>0.15</c:v>
                      </c:pt>
                      <c:pt idx="1">
                        <c:v>0.42</c:v>
                      </c:pt>
                      <c:pt idx="2">
                        <c:v>0.28000000000000003</c:v>
                      </c:pt>
                      <c:pt idx="3">
                        <c:v>0.19</c:v>
                      </c:pt>
                      <c:pt idx="4">
                        <c:v>0.18</c:v>
                      </c:pt>
                      <c:pt idx="5">
                        <c:v>0.41</c:v>
                      </c:pt>
                      <c:pt idx="6">
                        <c:v>0.19</c:v>
                      </c:pt>
                      <c:pt idx="7">
                        <c:v>0.25</c:v>
                      </c:pt>
                      <c:pt idx="8">
                        <c:v>0.22</c:v>
                      </c:pt>
                      <c:pt idx="9">
                        <c:v>0.31</c:v>
                      </c:pt>
                      <c:pt idx="10">
                        <c:v>0.08</c:v>
                      </c:pt>
                      <c:pt idx="11">
                        <c:v>0.31</c:v>
                      </c:pt>
                      <c:pt idx="12">
                        <c:v>0.28000000000000003</c:v>
                      </c:pt>
                      <c:pt idx="13">
                        <c:v>0.42</c:v>
                      </c:pt>
                      <c:pt idx="14">
                        <c:v>0.28999999999999998</c:v>
                      </c:pt>
                      <c:pt idx="15">
                        <c:v>0.21</c:v>
                      </c:pt>
                      <c:pt idx="16">
                        <c:v>0.28999999999999998</c:v>
                      </c:pt>
                      <c:pt idx="17">
                        <c:v>0.15</c:v>
                      </c:pt>
                      <c:pt idx="18">
                        <c:v>0.2</c:v>
                      </c:pt>
                      <c:pt idx="19">
                        <c:v>0.28999999999999998</c:v>
                      </c:pt>
                      <c:pt idx="20">
                        <c:v>0.41</c:v>
                      </c:pt>
                      <c:pt idx="21">
                        <c:v>0.26</c:v>
                      </c:pt>
                      <c:pt idx="22">
                        <c:v>0.19161676646706588</c:v>
                      </c:pt>
                      <c:pt idx="23">
                        <c:v>0.34</c:v>
                      </c:pt>
                      <c:pt idx="24">
                        <c:v>0.14000000000000001</c:v>
                      </c:pt>
                      <c:pt idx="25">
                        <c:v>0.37</c:v>
                      </c:pt>
                      <c:pt idx="26">
                        <c:v>0.12</c:v>
                      </c:pt>
                      <c:pt idx="27">
                        <c:v>0.41</c:v>
                      </c:pt>
                    </c:numCache>
                  </c:numRef>
                </c:val>
                <c:extLst xmlns:c15="http://schemas.microsoft.com/office/drawing/2012/chart">
                  <c:ext xmlns:c16="http://schemas.microsoft.com/office/drawing/2014/chart" uri="{C3380CC4-5D6E-409C-BE32-E72D297353CC}">
                    <c16:uniqueId val="{00000008-232A-496F-90CA-3767D32FB8BC}"/>
                  </c:ext>
                </c:extLst>
              </c15:ser>
            </c15:filteredBarSeries>
            <c15:filteredBarSeries>
              <c15:ser>
                <c:idx val="0"/>
                <c:order val="4"/>
                <c:tx>
                  <c:strRef>
                    <c:extLst xmlns:c15="http://schemas.microsoft.com/office/drawing/2012/chart">
                      <c:ext xmlns:c15="http://schemas.microsoft.com/office/drawing/2012/chart" uri="{02D57815-91ED-43cb-92C2-25804820EDAC}">
                        <c15:formulaRef>
                          <c15:sqref>'S0 EU Serbia'!$O$2</c15:sqref>
                        </c15:formulaRef>
                      </c:ext>
                    </c:extLst>
                    <c:strCache>
                      <c:ptCount val="1"/>
                      <c:pt idx="0">
                        <c:v>S0 2017</c:v>
                      </c:pt>
                    </c:strCache>
                  </c:strRef>
                </c:tx>
                <c:spPr>
                  <a:solidFill>
                    <a:schemeClr val="accent1"/>
                  </a:solidFill>
                  <a:ln>
                    <a:noFill/>
                  </a:ln>
                  <a:effectLst/>
                </c:spPr>
                <c:invertIfNegative val="0"/>
                <c:cat>
                  <c:strRef>
                    <c:extLst xmlns:c15="http://schemas.microsoft.com/office/drawing/2012/chart">
                      <c:ext xmlns:c15="http://schemas.microsoft.com/office/drawing/2012/chart" uri="{02D57815-91ED-43cb-92C2-25804820EDAC}">
                        <c15:formulaRef>
                          <c15:sqref>'S0 EU Serbia'!$A$3:$A$30</c15:sqref>
                        </c15:formulaRef>
                      </c:ext>
                    </c:extLst>
                    <c:strCache>
                      <c:ptCount val="28"/>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pt idx="27">
                        <c:v>Уједињено Краљевство</c:v>
                      </c:pt>
                    </c:strCache>
                  </c:strRef>
                </c:cat>
                <c:val>
                  <c:numRef>
                    <c:extLst xmlns:c15="http://schemas.microsoft.com/office/drawing/2012/chart">
                      <c:ext xmlns:c15="http://schemas.microsoft.com/office/drawing/2012/chart" uri="{02D57815-91ED-43cb-92C2-25804820EDAC}">
                        <c15:formulaRef>
                          <c15:sqref>'S0 EU Serbia'!$O$3:$O$30</c15:sqref>
                        </c15:formulaRef>
                      </c:ext>
                    </c:extLst>
                    <c:numCache>
                      <c:formatCode>0.00</c:formatCode>
                      <c:ptCount val="28"/>
                      <c:pt idx="0">
                        <c:v>7.0000000000000007E-2</c:v>
                      </c:pt>
                      <c:pt idx="1">
                        <c:v>0.35</c:v>
                      </c:pt>
                      <c:pt idx="2">
                        <c:v>0.25</c:v>
                      </c:pt>
                      <c:pt idx="3">
                        <c:v>0.19</c:v>
                      </c:pt>
                      <c:pt idx="4">
                        <c:v>0.2</c:v>
                      </c:pt>
                      <c:pt idx="5">
                        <c:v>0.44</c:v>
                      </c:pt>
                      <c:pt idx="6">
                        <c:v>0.3</c:v>
                      </c:pt>
                      <c:pt idx="7">
                        <c:v>0.2</c:v>
                      </c:pt>
                      <c:pt idx="8">
                        <c:v>0.1</c:v>
                      </c:pt>
                      <c:pt idx="9">
                        <c:v>0.24</c:v>
                      </c:pt>
                      <c:pt idx="10">
                        <c:v>0.08</c:v>
                      </c:pt>
                      <c:pt idx="11">
                        <c:v>0.39</c:v>
                      </c:pt>
                      <c:pt idx="12">
                        <c:v>0.28000000000000003</c:v>
                      </c:pt>
                      <c:pt idx="13">
                        <c:v>0.36</c:v>
                      </c:pt>
                      <c:pt idx="14">
                        <c:v>0.24</c:v>
                      </c:pt>
                      <c:pt idx="15">
                        <c:v>0.21</c:v>
                      </c:pt>
                      <c:pt idx="16">
                        <c:v>0.12</c:v>
                      </c:pt>
                      <c:pt idx="17">
                        <c:v>0.05</c:v>
                      </c:pt>
                      <c:pt idx="18">
                        <c:v>0.2</c:v>
                      </c:pt>
                      <c:pt idx="19">
                        <c:v>0.25</c:v>
                      </c:pt>
                      <c:pt idx="20">
                        <c:v>0.36</c:v>
                      </c:pt>
                      <c:pt idx="21">
                        <c:v>0.2</c:v>
                      </c:pt>
                      <c:pt idx="22">
                        <c:v>0.17745302713987476</c:v>
                      </c:pt>
                      <c:pt idx="23">
                        <c:v>0.3</c:v>
                      </c:pt>
                      <c:pt idx="24">
                        <c:v>0.13</c:v>
                      </c:pt>
                      <c:pt idx="25">
                        <c:v>0.37</c:v>
                      </c:pt>
                      <c:pt idx="26">
                        <c:v>0.12</c:v>
                      </c:pt>
                      <c:pt idx="27">
                        <c:v>0.42</c:v>
                      </c:pt>
                    </c:numCache>
                  </c:numRef>
                </c:val>
                <c:extLst xmlns:c15="http://schemas.microsoft.com/office/drawing/2012/chart">
                  <c:ext xmlns:c16="http://schemas.microsoft.com/office/drawing/2014/chart" uri="{C3380CC4-5D6E-409C-BE32-E72D297353CC}">
                    <c16:uniqueId val="{00000009-232A-496F-90CA-3767D32FB8BC}"/>
                  </c:ext>
                </c:extLst>
              </c15:ser>
            </c15:filteredBarSeries>
            <c15:filteredBarSeries>
              <c15:ser>
                <c:idx val="1"/>
                <c:order val="5"/>
                <c:tx>
                  <c:strRef>
                    <c:extLst xmlns:c15="http://schemas.microsoft.com/office/drawing/2012/chart">
                      <c:ext xmlns:c15="http://schemas.microsoft.com/office/drawing/2012/chart" uri="{02D57815-91ED-43cb-92C2-25804820EDAC}">
                        <c15:formulaRef>
                          <c15:sqref>'S0 EU Serbia'!$R$2</c15:sqref>
                        </c15:formulaRef>
                      </c:ext>
                    </c:extLst>
                    <c:strCache>
                      <c:ptCount val="1"/>
                      <c:pt idx="0">
                        <c:v>S0 2018</c:v>
                      </c:pt>
                    </c:strCache>
                  </c:strRef>
                </c:tx>
                <c:spPr>
                  <a:solidFill>
                    <a:srgbClr val="7030A0"/>
                  </a:solidFill>
                  <a:ln>
                    <a:noFill/>
                  </a:ln>
                  <a:effectLst/>
                </c:spPr>
                <c:invertIfNegative val="0"/>
                <c:cat>
                  <c:strRef>
                    <c:extLst xmlns:c15="http://schemas.microsoft.com/office/drawing/2012/chart">
                      <c:ext xmlns:c15="http://schemas.microsoft.com/office/drawing/2012/chart" uri="{02D57815-91ED-43cb-92C2-25804820EDAC}">
                        <c15:formulaRef>
                          <c15:sqref>'S0 EU Serbia'!$A$3:$A$30</c15:sqref>
                        </c15:formulaRef>
                      </c:ext>
                    </c:extLst>
                    <c:strCache>
                      <c:ptCount val="28"/>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pt idx="27">
                        <c:v>Уједињено Краљевство</c:v>
                      </c:pt>
                    </c:strCache>
                  </c:strRef>
                </c:cat>
                <c:val>
                  <c:numRef>
                    <c:extLst xmlns:c15="http://schemas.microsoft.com/office/drawing/2012/chart">
                      <c:ext xmlns:c15="http://schemas.microsoft.com/office/drawing/2012/chart" uri="{02D57815-91ED-43cb-92C2-25804820EDAC}">
                        <c15:formulaRef>
                          <c15:sqref>'S0 EU Serbia'!$R$3:$R$30</c15:sqref>
                        </c15:formulaRef>
                      </c:ext>
                    </c:extLst>
                    <c:numCache>
                      <c:formatCode>0.00</c:formatCode>
                      <c:ptCount val="28"/>
                      <c:pt idx="0">
                        <c:v>0.03</c:v>
                      </c:pt>
                      <c:pt idx="1">
                        <c:v>0.22</c:v>
                      </c:pt>
                      <c:pt idx="2">
                        <c:v>0.19</c:v>
                      </c:pt>
                      <c:pt idx="3">
                        <c:v>0.18</c:v>
                      </c:pt>
                      <c:pt idx="4">
                        <c:v>0.24</c:v>
                      </c:pt>
                      <c:pt idx="5">
                        <c:v>0.46</c:v>
                      </c:pt>
                      <c:pt idx="6">
                        <c:v>0.12</c:v>
                      </c:pt>
                      <c:pt idx="7">
                        <c:v>0.17</c:v>
                      </c:pt>
                      <c:pt idx="8">
                        <c:v>0.14000000000000001</c:v>
                      </c:pt>
                      <c:pt idx="9">
                        <c:v>0.28999999999999998</c:v>
                      </c:pt>
                      <c:pt idx="10">
                        <c:v>0</c:v>
                      </c:pt>
                      <c:pt idx="11">
                        <c:v>0.34</c:v>
                      </c:pt>
                      <c:pt idx="12">
                        <c:v>0.21</c:v>
                      </c:pt>
                      <c:pt idx="13">
                        <c:v>0.36</c:v>
                      </c:pt>
                      <c:pt idx="14">
                        <c:v>0.24</c:v>
                      </c:pt>
                      <c:pt idx="15">
                        <c:v>0.21</c:v>
                      </c:pt>
                      <c:pt idx="16">
                        <c:v>0.12</c:v>
                      </c:pt>
                      <c:pt idx="17">
                        <c:v>0.06</c:v>
                      </c:pt>
                      <c:pt idx="18">
                        <c:v>0.08</c:v>
                      </c:pt>
                      <c:pt idx="19">
                        <c:v>0.18</c:v>
                      </c:pt>
                      <c:pt idx="20">
                        <c:v>0.33</c:v>
                      </c:pt>
                      <c:pt idx="21">
                        <c:v>0.3</c:v>
                      </c:pt>
                      <c:pt idx="22">
                        <c:v>0.17745302713987476</c:v>
                      </c:pt>
                      <c:pt idx="23">
                        <c:v>0.27</c:v>
                      </c:pt>
                      <c:pt idx="24">
                        <c:v>0.13</c:v>
                      </c:pt>
                      <c:pt idx="25">
                        <c:v>0.37</c:v>
                      </c:pt>
                      <c:pt idx="26">
                        <c:v>0.2</c:v>
                      </c:pt>
                      <c:pt idx="27">
                        <c:v>0.42</c:v>
                      </c:pt>
                    </c:numCache>
                  </c:numRef>
                </c:val>
                <c:extLst xmlns:c15="http://schemas.microsoft.com/office/drawing/2012/chart">
                  <c:ext xmlns:c16="http://schemas.microsoft.com/office/drawing/2014/chart" uri="{C3380CC4-5D6E-409C-BE32-E72D297353CC}">
                    <c16:uniqueId val="{0000000A-232A-496F-90CA-3767D32FB8BC}"/>
                  </c:ext>
                </c:extLst>
              </c15:ser>
            </c15:filteredBarSeries>
            <c15:filteredBarSeries>
              <c15:ser>
                <c:idx val="4"/>
                <c:order val="6"/>
                <c:tx>
                  <c:strRef>
                    <c:extLst xmlns:c15="http://schemas.microsoft.com/office/drawing/2012/chart">
                      <c:ext xmlns:c15="http://schemas.microsoft.com/office/drawing/2012/chart" uri="{02D57815-91ED-43cb-92C2-25804820EDAC}">
                        <c15:formulaRef>
                          <c15:sqref>'S0 EU Serbia'!$U$2</c15:sqref>
                        </c15:formulaRef>
                      </c:ext>
                    </c:extLst>
                    <c:strCache>
                      <c:ptCount val="1"/>
                      <c:pt idx="0">
                        <c:v>S0 2019</c:v>
                      </c:pt>
                    </c:strCache>
                  </c:strRef>
                </c:tx>
                <c:spPr>
                  <a:solidFill>
                    <a:schemeClr val="accent5"/>
                  </a:solidFill>
                  <a:ln>
                    <a:noFill/>
                  </a:ln>
                  <a:effectLst/>
                </c:spPr>
                <c:invertIfNegative val="0"/>
                <c:val>
                  <c:numRef>
                    <c:extLst xmlns:c15="http://schemas.microsoft.com/office/drawing/2012/chart">
                      <c:ext xmlns:c15="http://schemas.microsoft.com/office/drawing/2012/chart" uri="{02D57815-91ED-43cb-92C2-25804820EDAC}">
                        <c15:formulaRef>
                          <c15:sqref>'S0 EU Serbia'!$U$3:$U$29</c15:sqref>
                        </c15:formulaRef>
                      </c:ext>
                    </c:extLst>
                    <c:numCache>
                      <c:formatCode>0.00</c:formatCode>
                      <c:ptCount val="27"/>
                      <c:pt idx="0">
                        <c:v>0.1</c:v>
                      </c:pt>
                      <c:pt idx="1">
                        <c:v>0.17</c:v>
                      </c:pt>
                      <c:pt idx="2">
                        <c:v>0.21</c:v>
                      </c:pt>
                      <c:pt idx="3">
                        <c:v>0.22</c:v>
                      </c:pt>
                      <c:pt idx="4">
                        <c:v>0.24</c:v>
                      </c:pt>
                      <c:pt idx="5">
                        <c:v>0.45</c:v>
                      </c:pt>
                      <c:pt idx="6">
                        <c:v>0.2</c:v>
                      </c:pt>
                      <c:pt idx="7">
                        <c:v>0.2</c:v>
                      </c:pt>
                      <c:pt idx="8">
                        <c:v>0.26</c:v>
                      </c:pt>
                      <c:pt idx="9">
                        <c:v>0.36</c:v>
                      </c:pt>
                      <c:pt idx="10">
                        <c:v>0.08</c:v>
                      </c:pt>
                      <c:pt idx="11">
                        <c:v>0.28999999999999998</c:v>
                      </c:pt>
                      <c:pt idx="12">
                        <c:v>0.14000000000000001</c:v>
                      </c:pt>
                      <c:pt idx="13">
                        <c:v>0.33</c:v>
                      </c:pt>
                      <c:pt idx="14">
                        <c:v>0.24</c:v>
                      </c:pt>
                      <c:pt idx="15">
                        <c:v>0.21</c:v>
                      </c:pt>
                      <c:pt idx="16">
                        <c:v>0.19</c:v>
                      </c:pt>
                      <c:pt idx="17">
                        <c:v>0.06</c:v>
                      </c:pt>
                      <c:pt idx="18">
                        <c:v>0.16</c:v>
                      </c:pt>
                      <c:pt idx="19">
                        <c:v>0.26</c:v>
                      </c:pt>
                      <c:pt idx="20">
                        <c:v>0.33</c:v>
                      </c:pt>
                      <c:pt idx="21">
                        <c:v>0.37</c:v>
                      </c:pt>
                      <c:pt idx="22">
                        <c:v>0.17745302713987476</c:v>
                      </c:pt>
                      <c:pt idx="23">
                        <c:v>0.27</c:v>
                      </c:pt>
                      <c:pt idx="24">
                        <c:v>0.05</c:v>
                      </c:pt>
                      <c:pt idx="25">
                        <c:v>0.37</c:v>
                      </c:pt>
                      <c:pt idx="26">
                        <c:v>0.24</c:v>
                      </c:pt>
                    </c:numCache>
                  </c:numRef>
                </c:val>
                <c:extLst xmlns:c15="http://schemas.microsoft.com/office/drawing/2012/chart">
                  <c:ext xmlns:c16="http://schemas.microsoft.com/office/drawing/2014/chart" uri="{C3380CC4-5D6E-409C-BE32-E72D297353CC}">
                    <c16:uniqueId val="{0000000B-232A-496F-90CA-3767D32FB8BC}"/>
                  </c:ext>
                </c:extLst>
              </c15:ser>
            </c15:filteredBarSeries>
          </c:ext>
        </c:extLst>
      </c:barChart>
      <c:lineChart>
        <c:grouping val="standard"/>
        <c:varyColors val="0"/>
        <c:ser>
          <c:idx val="2"/>
          <c:order val="0"/>
          <c:tx>
            <c:strRef>
              <c:f>'S0 EU Serbia'!$E$1</c:f>
              <c:strCache>
                <c:ptCount val="1"/>
                <c:pt idx="0">
                  <c:v>S0 праг</c:v>
                </c:pt>
              </c:strCache>
            </c:strRef>
          </c:tx>
          <c:spPr>
            <a:ln w="22225" cap="rnd">
              <a:solidFill>
                <a:schemeClr val="tx1"/>
              </a:solidFill>
              <a:prstDash val="dash"/>
              <a:round/>
            </a:ln>
            <a:effectLst/>
          </c:spPr>
          <c:marker>
            <c:symbol val="none"/>
          </c:marker>
          <c:dLbls>
            <c:dLbl>
              <c:idx val="15"/>
              <c:layout>
                <c:manualLayout>
                  <c:x val="1.7407978002306548E-2"/>
                  <c:y val="-0.107146606674165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2A-496F-90CA-3767D32FB8BC}"/>
                </c:ext>
              </c:extLst>
            </c:dLbl>
            <c:spPr>
              <a:noFill/>
              <a:ln>
                <a:noFill/>
              </a:ln>
              <a:effectLst/>
            </c:spPr>
            <c:txPr>
              <a:bodyPr rot="0" spcFirstLastPara="1" vertOverflow="ellipsis" vert="horz" wrap="square" anchor="ctr" anchorCtr="1"/>
              <a:lstStyle/>
              <a:p>
                <a:pPr>
                  <a:defRPr sz="900" b="0" i="0" u="none" strike="noStrike" kern="1200" baseline="0">
                    <a:solidFill>
                      <a:srgbClr val="44546A"/>
                    </a:solidFill>
                    <a:latin typeface="Times New Roman" panose="02020603050405020304" pitchFamily="18"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'S0 EU Serbia'!$A$3:$A$29</c:f>
              <c:strCache>
                <c:ptCount val="27"/>
                <c:pt idx="0">
                  <c:v>Аустрија</c:v>
                </c:pt>
                <c:pt idx="1">
                  <c:v>Белгија</c:v>
                </c:pt>
                <c:pt idx="2">
                  <c:v>Бугарска</c:v>
                </c:pt>
                <c:pt idx="3">
                  <c:v>Чешка</c:v>
                </c:pt>
                <c:pt idx="4">
                  <c:v>Хрватска</c:v>
                </c:pt>
                <c:pt idx="5">
                  <c:v>Кипар</c:v>
                </c:pt>
                <c:pt idx="6">
                  <c:v>Данска</c:v>
                </c:pt>
                <c:pt idx="7">
                  <c:v>Естонија</c:v>
                </c:pt>
                <c:pt idx="8">
                  <c:v>Финска</c:v>
                </c:pt>
                <c:pt idx="9">
                  <c:v>Француска</c:v>
                </c:pt>
                <c:pt idx="10">
                  <c:v>Немачка</c:v>
                </c:pt>
                <c:pt idx="11">
                  <c:v>Мађарска</c:v>
                </c:pt>
                <c:pt idx="12">
                  <c:v>Ирска</c:v>
                </c:pt>
                <c:pt idx="13">
                  <c:v>Италија</c:v>
                </c:pt>
                <c:pt idx="14">
                  <c:v>Летонија</c:v>
                </c:pt>
                <c:pt idx="15">
                  <c:v>Литванија</c:v>
                </c:pt>
                <c:pt idx="16">
                  <c:v>Луксембург</c:v>
                </c:pt>
                <c:pt idx="17">
                  <c:v>Малта</c:v>
                </c:pt>
                <c:pt idx="18">
                  <c:v>Холандија</c:v>
                </c:pt>
                <c:pt idx="19">
                  <c:v>Пољска</c:v>
                </c:pt>
                <c:pt idx="20">
                  <c:v>Португал</c:v>
                </c:pt>
                <c:pt idx="21">
                  <c:v>Румунија</c:v>
                </c:pt>
                <c:pt idx="22">
                  <c:v>Србија</c:v>
                </c:pt>
                <c:pt idx="23">
                  <c:v>Словачка</c:v>
                </c:pt>
                <c:pt idx="24">
                  <c:v>Словенија</c:v>
                </c:pt>
                <c:pt idx="25">
                  <c:v>Шпанија</c:v>
                </c:pt>
                <c:pt idx="26">
                  <c:v>Шведска</c:v>
                </c:pt>
              </c:strCache>
            </c:strRef>
          </c:cat>
          <c:val>
            <c:numRef>
              <c:f>'S0 EU Serbia'!$E$3:$E$29</c:f>
              <c:numCache>
                <c:formatCode>0.00</c:formatCode>
                <c:ptCount val="27"/>
                <c:pt idx="0">
                  <c:v>0.46</c:v>
                </c:pt>
                <c:pt idx="1">
                  <c:v>0.46</c:v>
                </c:pt>
                <c:pt idx="2">
                  <c:v>0.46</c:v>
                </c:pt>
                <c:pt idx="3">
                  <c:v>0.46</c:v>
                </c:pt>
                <c:pt idx="4">
                  <c:v>0.46</c:v>
                </c:pt>
                <c:pt idx="5">
                  <c:v>0.46</c:v>
                </c:pt>
                <c:pt idx="6">
                  <c:v>0.46</c:v>
                </c:pt>
                <c:pt idx="7">
                  <c:v>0.46</c:v>
                </c:pt>
                <c:pt idx="8">
                  <c:v>0.46</c:v>
                </c:pt>
                <c:pt idx="9">
                  <c:v>0.46</c:v>
                </c:pt>
                <c:pt idx="10">
                  <c:v>0.46</c:v>
                </c:pt>
                <c:pt idx="11">
                  <c:v>0.46</c:v>
                </c:pt>
                <c:pt idx="12">
                  <c:v>0.46</c:v>
                </c:pt>
                <c:pt idx="13">
                  <c:v>0.46</c:v>
                </c:pt>
                <c:pt idx="14">
                  <c:v>0.46</c:v>
                </c:pt>
                <c:pt idx="15">
                  <c:v>0.46</c:v>
                </c:pt>
                <c:pt idx="16">
                  <c:v>0.46</c:v>
                </c:pt>
                <c:pt idx="17">
                  <c:v>0.46</c:v>
                </c:pt>
                <c:pt idx="18">
                  <c:v>0.46</c:v>
                </c:pt>
                <c:pt idx="19">
                  <c:v>0.46</c:v>
                </c:pt>
                <c:pt idx="20">
                  <c:v>0.46</c:v>
                </c:pt>
                <c:pt idx="21">
                  <c:v>0.46</c:v>
                </c:pt>
                <c:pt idx="22">
                  <c:v>0.46</c:v>
                </c:pt>
                <c:pt idx="23">
                  <c:v>0.46</c:v>
                </c:pt>
                <c:pt idx="24">
                  <c:v>0.46</c:v>
                </c:pt>
                <c:pt idx="25">
                  <c:v>0.46</c:v>
                </c:pt>
                <c:pt idx="26">
                  <c:v>0.46</c:v>
                </c:pt>
              </c:numCache>
            </c:numRef>
          </c:val>
          <c:smooth val="0"/>
          <c:extLst>
            <c:ext xmlns:c16="http://schemas.microsoft.com/office/drawing/2014/chart" uri="{C3380CC4-5D6E-409C-BE32-E72D297353CC}">
              <c16:uniqueId val="{00000004-232A-496F-90CA-3767D32FB8BC}"/>
            </c:ext>
          </c:extLst>
        </c:ser>
        <c:dLbls>
          <c:showLegendKey val="0"/>
          <c:showVal val="0"/>
          <c:showCatName val="0"/>
          <c:showSerName val="0"/>
          <c:showPercent val="0"/>
          <c:showBubbleSize val="0"/>
        </c:dLbls>
        <c:marker val="1"/>
        <c:smooth val="0"/>
        <c:axId val="-486950096"/>
        <c:axId val="-486949552"/>
      </c:lineChart>
      <c:catAx>
        <c:axId val="-48695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44546A"/>
                </a:solidFill>
                <a:latin typeface="Times New Roman" panose="02020603050405020304" pitchFamily="18" charset="0"/>
                <a:ea typeface="+mn-ea"/>
                <a:cs typeface="+mn-cs"/>
              </a:defRPr>
            </a:pPr>
            <a:endParaRPr lang="en-US"/>
          </a:p>
        </c:txPr>
        <c:crossAx val="-486949552"/>
        <c:crosses val="autoZero"/>
        <c:auto val="1"/>
        <c:lblAlgn val="ctr"/>
        <c:lblOffset val="100"/>
        <c:noMultiLvlLbl val="0"/>
      </c:catAx>
      <c:valAx>
        <c:axId val="-486949552"/>
        <c:scaling>
          <c:orientation val="minMax"/>
          <c:max val="0.9"/>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44546A"/>
                </a:solidFill>
                <a:latin typeface="Times New Roman" panose="02020603050405020304" pitchFamily="18" charset="0"/>
                <a:ea typeface="+mn-ea"/>
                <a:cs typeface="+mn-cs"/>
              </a:defRPr>
            </a:pPr>
            <a:endParaRPr lang="en-US"/>
          </a:p>
        </c:txPr>
        <c:crossAx val="-486950096"/>
        <c:crosses val="autoZero"/>
        <c:crossBetween val="between"/>
      </c:valAx>
      <c:spPr>
        <a:noFill/>
        <a:ln>
          <a:noFill/>
        </a:ln>
        <a:effectLst/>
      </c:spPr>
    </c:plotArea>
    <c:legend>
      <c:legendPos val="b"/>
      <c:layout>
        <c:manualLayout>
          <c:xMode val="edge"/>
          <c:yMode val="edge"/>
          <c:x val="0.26068435717638111"/>
          <c:y val="0.91047869016372951"/>
          <c:w val="0.47863111117314633"/>
          <c:h val="7.7232429279673373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44546A"/>
              </a:solidFill>
              <a:latin typeface="Times New Roman" panose="02020603050405020304" pitchFamily="18"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900">
          <a:latin typeface="+mn-lt"/>
        </a:defRPr>
      </a:pPr>
      <a:endParaRPr lang="en-US"/>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92596251691876"/>
          <c:y val="8.2473495136371477E-2"/>
          <c:w val="0.8183443819836197"/>
          <c:h val="0.81333285058353966"/>
        </c:manualLayout>
      </c:layout>
      <c:scatterChart>
        <c:scatterStyle val="smoothMarker"/>
        <c:varyColors val="0"/>
        <c:ser>
          <c:idx val="1"/>
          <c:order val="1"/>
          <c:tx>
            <c:v>Prag fiskalnog podindeksa</c:v>
          </c:tx>
          <c:spPr>
            <a:ln w="12700" cap="rnd">
              <a:solidFill>
                <a:srgbClr val="7030A0"/>
              </a:solidFill>
              <a:round/>
            </a:ln>
            <a:effectLst/>
          </c:spPr>
          <c:marker>
            <c:symbol val="none"/>
          </c:marker>
          <c:xVal>
            <c:numRef>
              <c:f>'2023'!$F$4:$F$31</c:f>
              <c:numCache>
                <c:formatCode>0.00</c:formatCode>
                <c:ptCount val="28"/>
                <c:pt idx="0">
                  <c:v>0.36</c:v>
                </c:pt>
                <c:pt idx="1">
                  <c:v>0.36</c:v>
                </c:pt>
                <c:pt idx="2">
                  <c:v>0.36</c:v>
                </c:pt>
                <c:pt idx="3">
                  <c:v>0.36</c:v>
                </c:pt>
                <c:pt idx="4">
                  <c:v>0.36</c:v>
                </c:pt>
                <c:pt idx="5">
                  <c:v>0.36</c:v>
                </c:pt>
                <c:pt idx="6">
                  <c:v>0.36</c:v>
                </c:pt>
                <c:pt idx="7">
                  <c:v>0.36</c:v>
                </c:pt>
                <c:pt idx="8">
                  <c:v>0.36</c:v>
                </c:pt>
                <c:pt idx="9">
                  <c:v>0.36</c:v>
                </c:pt>
                <c:pt idx="10">
                  <c:v>0.36</c:v>
                </c:pt>
                <c:pt idx="11">
                  <c:v>0.36</c:v>
                </c:pt>
                <c:pt idx="12">
                  <c:v>0.36</c:v>
                </c:pt>
                <c:pt idx="13">
                  <c:v>0.36</c:v>
                </c:pt>
                <c:pt idx="14">
                  <c:v>0.36</c:v>
                </c:pt>
                <c:pt idx="15">
                  <c:v>0.36</c:v>
                </c:pt>
                <c:pt idx="16">
                  <c:v>0.36</c:v>
                </c:pt>
                <c:pt idx="17">
                  <c:v>0.36</c:v>
                </c:pt>
                <c:pt idx="18">
                  <c:v>0.36</c:v>
                </c:pt>
                <c:pt idx="19">
                  <c:v>0.36</c:v>
                </c:pt>
                <c:pt idx="20">
                  <c:v>0.36</c:v>
                </c:pt>
                <c:pt idx="21">
                  <c:v>0.36</c:v>
                </c:pt>
                <c:pt idx="22">
                  <c:v>0.36</c:v>
                </c:pt>
                <c:pt idx="23">
                  <c:v>0.36</c:v>
                </c:pt>
                <c:pt idx="24">
                  <c:v>0.36</c:v>
                </c:pt>
                <c:pt idx="25">
                  <c:v>0.36</c:v>
                </c:pt>
                <c:pt idx="26">
                  <c:v>0.36</c:v>
                </c:pt>
                <c:pt idx="27">
                  <c:v>0.36</c:v>
                </c:pt>
              </c:numCache>
            </c:numRef>
          </c:xVal>
          <c:yVal>
            <c:numRef>
              <c:f>'2023'!$G$4:$G$31</c:f>
              <c:numCache>
                <c:formatCode>0.00</c:formatCode>
                <c:ptCount val="28"/>
                <c:pt idx="0">
                  <c:v>0</c:v>
                </c:pt>
                <c:pt idx="1">
                  <c:v>2.2222222222222223E-2</c:v>
                </c:pt>
                <c:pt idx="2">
                  <c:v>4.4444444444444446E-2</c:v>
                </c:pt>
                <c:pt idx="3">
                  <c:v>6.6666666666666666E-2</c:v>
                </c:pt>
                <c:pt idx="4">
                  <c:v>8.8888888888888892E-2</c:v>
                </c:pt>
                <c:pt idx="5">
                  <c:v>0.11111111111111112</c:v>
                </c:pt>
                <c:pt idx="6">
                  <c:v>0.13333333333333333</c:v>
                </c:pt>
                <c:pt idx="7">
                  <c:v>0.15555555555555556</c:v>
                </c:pt>
                <c:pt idx="8">
                  <c:v>0.17777777777777778</c:v>
                </c:pt>
                <c:pt idx="9">
                  <c:v>0.2</c:v>
                </c:pt>
                <c:pt idx="10">
                  <c:v>0.22222222222222224</c:v>
                </c:pt>
                <c:pt idx="11">
                  <c:v>0.24444444444444446</c:v>
                </c:pt>
                <c:pt idx="12">
                  <c:v>0.26666666666666666</c:v>
                </c:pt>
                <c:pt idx="13">
                  <c:v>0.28888888888888886</c:v>
                </c:pt>
                <c:pt idx="14">
                  <c:v>0.31111111111111106</c:v>
                </c:pt>
                <c:pt idx="15">
                  <c:v>0.33333333333333326</c:v>
                </c:pt>
                <c:pt idx="16">
                  <c:v>0.35555555555555546</c:v>
                </c:pt>
                <c:pt idx="17">
                  <c:v>0.37777777777777766</c:v>
                </c:pt>
                <c:pt idx="18">
                  <c:v>0.39999999999999986</c:v>
                </c:pt>
                <c:pt idx="19">
                  <c:v>0.42222222222222205</c:v>
                </c:pt>
                <c:pt idx="20">
                  <c:v>0.44444444444444425</c:v>
                </c:pt>
                <c:pt idx="21">
                  <c:v>0.46666666666666645</c:v>
                </c:pt>
                <c:pt idx="22">
                  <c:v>0.48888888888888865</c:v>
                </c:pt>
                <c:pt idx="23">
                  <c:v>0.51111111111111085</c:v>
                </c:pt>
                <c:pt idx="24">
                  <c:v>0.5333333333333331</c:v>
                </c:pt>
                <c:pt idx="25">
                  <c:v>0.55555555555555536</c:v>
                </c:pt>
                <c:pt idx="26">
                  <c:v>0.57777777777777761</c:v>
                </c:pt>
                <c:pt idx="27">
                  <c:v>0.59999999999999987</c:v>
                </c:pt>
              </c:numCache>
            </c:numRef>
          </c:yVal>
          <c:smooth val="1"/>
          <c:extLst>
            <c:ext xmlns:c16="http://schemas.microsoft.com/office/drawing/2014/chart" uri="{C3380CC4-5D6E-409C-BE32-E72D297353CC}">
              <c16:uniqueId val="{00000000-132A-46A3-B546-56CD82AD14C5}"/>
            </c:ext>
          </c:extLst>
        </c:ser>
        <c:ser>
          <c:idx val="2"/>
          <c:order val="2"/>
          <c:tx>
            <c:v>Prag finansijskog podindeksa</c:v>
          </c:tx>
          <c:spPr>
            <a:ln w="12700" cap="rnd">
              <a:solidFill>
                <a:srgbClr val="7030A0"/>
              </a:solidFill>
              <a:round/>
            </a:ln>
            <a:effectLst/>
          </c:spPr>
          <c:marker>
            <c:symbol val="none"/>
          </c:marker>
          <c:xVal>
            <c:numRef>
              <c:f>'2023'!$H$4:$H$31</c:f>
              <c:numCache>
                <c:formatCode>0.00</c:formatCode>
                <c:ptCount val="28"/>
                <c:pt idx="0">
                  <c:v>0</c:v>
                </c:pt>
                <c:pt idx="1">
                  <c:v>2.9629629629629631E-2</c:v>
                </c:pt>
                <c:pt idx="2">
                  <c:v>5.9259259259259262E-2</c:v>
                </c:pt>
                <c:pt idx="3">
                  <c:v>8.8888888888888892E-2</c:v>
                </c:pt>
                <c:pt idx="4">
                  <c:v>0.11851851851851852</c:v>
                </c:pt>
                <c:pt idx="5">
                  <c:v>0.14814814814814814</c:v>
                </c:pt>
                <c:pt idx="6">
                  <c:v>0.17777777777777776</c:v>
                </c:pt>
                <c:pt idx="7">
                  <c:v>0.20740740740740737</c:v>
                </c:pt>
                <c:pt idx="8">
                  <c:v>0.23703703703703699</c:v>
                </c:pt>
                <c:pt idx="9">
                  <c:v>0.26666666666666661</c:v>
                </c:pt>
                <c:pt idx="10">
                  <c:v>0.29629629629629622</c:v>
                </c:pt>
                <c:pt idx="11">
                  <c:v>0.32592592592592584</c:v>
                </c:pt>
                <c:pt idx="12">
                  <c:v>0.35555555555555546</c:v>
                </c:pt>
                <c:pt idx="13">
                  <c:v>0.38518518518518507</c:v>
                </c:pt>
                <c:pt idx="14">
                  <c:v>0.41481481481481469</c:v>
                </c:pt>
                <c:pt idx="15">
                  <c:v>0.44444444444444431</c:v>
                </c:pt>
                <c:pt idx="16">
                  <c:v>0.47407407407407393</c:v>
                </c:pt>
                <c:pt idx="17">
                  <c:v>0.50370370370370354</c:v>
                </c:pt>
                <c:pt idx="18">
                  <c:v>0.53333333333333321</c:v>
                </c:pt>
                <c:pt idx="19">
                  <c:v>0.56296296296296289</c:v>
                </c:pt>
                <c:pt idx="20">
                  <c:v>0.59259259259259256</c:v>
                </c:pt>
                <c:pt idx="21">
                  <c:v>0.62222222222222223</c:v>
                </c:pt>
                <c:pt idx="22">
                  <c:v>0.6518518518518519</c:v>
                </c:pt>
                <c:pt idx="23">
                  <c:v>0.68148148148148158</c:v>
                </c:pt>
                <c:pt idx="24">
                  <c:v>0.71111111111111125</c:v>
                </c:pt>
                <c:pt idx="25">
                  <c:v>0.74074074074074092</c:v>
                </c:pt>
                <c:pt idx="26">
                  <c:v>0.77037037037037059</c:v>
                </c:pt>
                <c:pt idx="27">
                  <c:v>0.80000000000000027</c:v>
                </c:pt>
              </c:numCache>
            </c:numRef>
          </c:xVal>
          <c:yVal>
            <c:numRef>
              <c:f>'2023'!$I$4:$I$31</c:f>
              <c:numCache>
                <c:formatCode>0.00</c:formatCode>
                <c:ptCount val="28"/>
                <c:pt idx="0">
                  <c:v>0.49</c:v>
                </c:pt>
                <c:pt idx="1">
                  <c:v>0.49</c:v>
                </c:pt>
                <c:pt idx="2">
                  <c:v>0.49</c:v>
                </c:pt>
                <c:pt idx="3">
                  <c:v>0.49</c:v>
                </c:pt>
                <c:pt idx="4">
                  <c:v>0.49</c:v>
                </c:pt>
                <c:pt idx="5">
                  <c:v>0.49</c:v>
                </c:pt>
                <c:pt idx="6">
                  <c:v>0.49</c:v>
                </c:pt>
                <c:pt idx="7">
                  <c:v>0.49</c:v>
                </c:pt>
                <c:pt idx="8">
                  <c:v>0.49</c:v>
                </c:pt>
                <c:pt idx="9">
                  <c:v>0.49</c:v>
                </c:pt>
                <c:pt idx="10">
                  <c:v>0.49</c:v>
                </c:pt>
                <c:pt idx="11">
                  <c:v>0.49</c:v>
                </c:pt>
                <c:pt idx="12">
                  <c:v>0.49</c:v>
                </c:pt>
                <c:pt idx="13">
                  <c:v>0.49</c:v>
                </c:pt>
                <c:pt idx="14">
                  <c:v>0.49</c:v>
                </c:pt>
                <c:pt idx="15">
                  <c:v>0.49</c:v>
                </c:pt>
                <c:pt idx="16">
                  <c:v>0.49</c:v>
                </c:pt>
                <c:pt idx="17">
                  <c:v>0.49</c:v>
                </c:pt>
                <c:pt idx="18">
                  <c:v>0.49</c:v>
                </c:pt>
                <c:pt idx="19">
                  <c:v>0.49</c:v>
                </c:pt>
                <c:pt idx="20">
                  <c:v>0.49</c:v>
                </c:pt>
                <c:pt idx="21">
                  <c:v>0.49</c:v>
                </c:pt>
                <c:pt idx="22">
                  <c:v>0.49</c:v>
                </c:pt>
                <c:pt idx="23">
                  <c:v>0.49</c:v>
                </c:pt>
                <c:pt idx="24">
                  <c:v>0.49</c:v>
                </c:pt>
                <c:pt idx="25">
                  <c:v>0.49</c:v>
                </c:pt>
                <c:pt idx="26">
                  <c:v>0.49</c:v>
                </c:pt>
                <c:pt idx="27">
                  <c:v>0.49</c:v>
                </c:pt>
              </c:numCache>
            </c:numRef>
          </c:yVal>
          <c:smooth val="1"/>
          <c:extLst>
            <c:ext xmlns:c16="http://schemas.microsoft.com/office/drawing/2014/chart" uri="{C3380CC4-5D6E-409C-BE32-E72D297353CC}">
              <c16:uniqueId val="{00000001-132A-46A3-B546-56CD82AD14C5}"/>
            </c:ext>
          </c:extLst>
        </c:ser>
        <c:dLbls>
          <c:showLegendKey val="0"/>
          <c:showVal val="0"/>
          <c:showCatName val="0"/>
          <c:showSerName val="0"/>
          <c:showPercent val="0"/>
          <c:showBubbleSize val="0"/>
        </c:dLbls>
        <c:axId val="-262788736"/>
        <c:axId val="-262793088"/>
      </c:scatterChart>
      <c:scatterChart>
        <c:scatterStyle val="lineMarker"/>
        <c:varyColors val="0"/>
        <c:ser>
          <c:idx val="0"/>
          <c:order val="0"/>
          <c:spPr>
            <a:ln w="25400" cap="rnd">
              <a:noFill/>
              <a:round/>
            </a:ln>
            <a:effectLst/>
          </c:spPr>
          <c:marker>
            <c:symbol val="circle"/>
            <c:size val="5"/>
            <c:spPr>
              <a:solidFill>
                <a:srgbClr val="5297AC"/>
              </a:solidFill>
              <a:ln w="9525">
                <a:noFill/>
              </a:ln>
              <a:effectLst/>
            </c:spPr>
          </c:marker>
          <c:dLbls>
            <c:dLbl>
              <c:idx val="0"/>
              <c:layout>
                <c:manualLayout>
                  <c:x val="-3.5948417288263687E-2"/>
                  <c:y val="3.2900160952131545E-2"/>
                </c:manualLayout>
              </c:layout>
              <c:tx>
                <c:rich>
                  <a:bodyPr/>
                  <a:lstStyle/>
                  <a:p>
                    <a:fld id="{D133A761-691E-4268-B2E9-D54482BAB5B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132A-46A3-B546-56CD82AD14C5}"/>
                </c:ext>
              </c:extLst>
            </c:dLbl>
            <c:dLbl>
              <c:idx val="1"/>
              <c:layout>
                <c:manualLayout>
                  <c:x val="3.5938394891456365E-3"/>
                  <c:y val="3.0580750586474564E-2"/>
                </c:manualLayout>
              </c:layout>
              <c:tx>
                <c:rich>
                  <a:bodyPr/>
                  <a:lstStyle/>
                  <a:p>
                    <a:fld id="{37F28A1B-84B0-4B24-9459-ED43FEC9D28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132A-46A3-B546-56CD82AD14C5}"/>
                </c:ext>
              </c:extLst>
            </c:dLbl>
            <c:dLbl>
              <c:idx val="2"/>
              <c:layout>
                <c:manualLayout>
                  <c:x val="1.0809429674157153E-2"/>
                  <c:y val="9.6898709679296511E-3"/>
                </c:manualLayout>
              </c:layout>
              <c:tx>
                <c:rich>
                  <a:bodyPr/>
                  <a:lstStyle/>
                  <a:p>
                    <a:fld id="{F0BA3D91-09AF-4DAC-8E3C-40D737D583C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132A-46A3-B546-56CD82AD14C5}"/>
                </c:ext>
              </c:extLst>
            </c:dLbl>
            <c:dLbl>
              <c:idx val="3"/>
              <c:layout>
                <c:manualLayout>
                  <c:x val="6.3333549712019637E-3"/>
                  <c:y val="1.2874617493600062E-2"/>
                </c:manualLayout>
              </c:layout>
              <c:tx>
                <c:rich>
                  <a:bodyPr/>
                  <a:lstStyle/>
                  <a:p>
                    <a:fld id="{8CC4A1C1-57A0-4EC7-A41F-7D446C5FF8F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132A-46A3-B546-56CD82AD14C5}"/>
                </c:ext>
              </c:extLst>
            </c:dLbl>
            <c:dLbl>
              <c:idx val="4"/>
              <c:layout>
                <c:manualLayout>
                  <c:x val="-1.9355619600312755E-2"/>
                  <c:y val="1.3611227561390301E-2"/>
                </c:manualLayout>
              </c:layout>
              <c:tx>
                <c:rich>
                  <a:bodyPr/>
                  <a:lstStyle/>
                  <a:p>
                    <a:fld id="{752F7FA2-23A5-41C3-BD17-E9B1ADE6CCD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132A-46A3-B546-56CD82AD14C5}"/>
                </c:ext>
              </c:extLst>
            </c:dLbl>
            <c:dLbl>
              <c:idx val="5"/>
              <c:layout>
                <c:manualLayout>
                  <c:x val="-0.12403553938807088"/>
                  <c:y val="-3.6321218921212026E-2"/>
                </c:manualLayout>
              </c:layout>
              <c:tx>
                <c:rich>
                  <a:bodyPr/>
                  <a:lstStyle/>
                  <a:p>
                    <a:fld id="{57A8BF08-63F9-445B-A34D-A46E2447ABC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132A-46A3-B546-56CD82AD14C5}"/>
                </c:ext>
              </c:extLst>
            </c:dLbl>
            <c:dLbl>
              <c:idx val="6"/>
              <c:layout>
                <c:manualLayout>
                  <c:x val="-7.9182764181897319E-2"/>
                  <c:y val="3.5897549947903118E-2"/>
                </c:manualLayout>
              </c:layout>
              <c:tx>
                <c:rich>
                  <a:bodyPr/>
                  <a:lstStyle/>
                  <a:p>
                    <a:fld id="{163A1225-708F-4DEA-9BFE-F0479A787F4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132A-46A3-B546-56CD82AD14C5}"/>
                </c:ext>
              </c:extLst>
            </c:dLbl>
            <c:dLbl>
              <c:idx val="7"/>
              <c:layout>
                <c:manualLayout>
                  <c:x val="-7.9589466800439032E-2"/>
                  <c:y val="2.3287019631624301E-2"/>
                </c:manualLayout>
              </c:layout>
              <c:tx>
                <c:rich>
                  <a:bodyPr/>
                  <a:lstStyle/>
                  <a:p>
                    <a:fld id="{32C8B243-5A7B-4D2E-B0A3-00AA14ACA6C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132A-46A3-B546-56CD82AD14C5}"/>
                </c:ext>
              </c:extLst>
            </c:dLbl>
            <c:dLbl>
              <c:idx val="8"/>
              <c:layout>
                <c:manualLayout>
                  <c:x val="1.282501062222628E-2"/>
                  <c:y val="2.0553185351589367E-2"/>
                </c:manualLayout>
              </c:layout>
              <c:tx>
                <c:rich>
                  <a:bodyPr/>
                  <a:lstStyle/>
                  <a:p>
                    <a:fld id="{DAE2D20B-199D-453A-9B95-79FA0FC6F67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132A-46A3-B546-56CD82AD14C5}"/>
                </c:ext>
              </c:extLst>
            </c:dLbl>
            <c:dLbl>
              <c:idx val="9"/>
              <c:layout>
                <c:manualLayout>
                  <c:x val="1.995639888890369E-2"/>
                  <c:y val="1.2672324895787668E-2"/>
                </c:manualLayout>
              </c:layout>
              <c:tx>
                <c:rich>
                  <a:bodyPr/>
                  <a:lstStyle/>
                  <a:p>
                    <a:fld id="{530414AF-21CB-408B-BD5A-0C297B1E787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132A-46A3-B546-56CD82AD14C5}"/>
                </c:ext>
              </c:extLst>
            </c:dLbl>
            <c:dLbl>
              <c:idx val="10"/>
              <c:layout>
                <c:manualLayout>
                  <c:x val="2.0123524793484466E-2"/>
                  <c:y val="-2.1463880783247454E-2"/>
                </c:manualLayout>
              </c:layout>
              <c:tx>
                <c:rich>
                  <a:bodyPr/>
                  <a:lstStyle/>
                  <a:p>
                    <a:fld id="{D01B95F7-8A7B-40F3-93EF-0B30F7513FE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132A-46A3-B546-56CD82AD14C5}"/>
                </c:ext>
              </c:extLst>
            </c:dLbl>
            <c:dLbl>
              <c:idx val="11"/>
              <c:layout>
                <c:manualLayout>
                  <c:x val="-2.2525507950891265E-2"/>
                  <c:y val="3.6893227634781776E-2"/>
                </c:manualLayout>
              </c:layout>
              <c:tx>
                <c:rich>
                  <a:bodyPr/>
                  <a:lstStyle/>
                  <a:p>
                    <a:fld id="{2F7CA9BA-EADA-407E-8E55-3AF66CD376E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132A-46A3-B546-56CD82AD14C5}"/>
                </c:ext>
              </c:extLst>
            </c:dLbl>
            <c:dLbl>
              <c:idx val="12"/>
              <c:layout>
                <c:manualLayout>
                  <c:x val="-3.1530089533269308E-2"/>
                  <c:y val="-3.3033382568557867E-2"/>
                </c:manualLayout>
              </c:layout>
              <c:tx>
                <c:rich>
                  <a:bodyPr/>
                  <a:lstStyle/>
                  <a:p>
                    <a:fld id="{A39607F1-F582-4845-9B27-C2D63EA0737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132A-46A3-B546-56CD82AD14C5}"/>
                </c:ext>
              </c:extLst>
            </c:dLbl>
            <c:dLbl>
              <c:idx val="13"/>
              <c:layout>
                <c:manualLayout>
                  <c:x val="-1.8455823340572185E-2"/>
                  <c:y val="3.5582243510810352E-2"/>
                </c:manualLayout>
              </c:layout>
              <c:tx>
                <c:rich>
                  <a:bodyPr/>
                  <a:lstStyle/>
                  <a:p>
                    <a:fld id="{356C1377-8D6B-4917-947D-F8FE960EDC8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132A-46A3-B546-56CD82AD14C5}"/>
                </c:ext>
              </c:extLst>
            </c:dLbl>
            <c:dLbl>
              <c:idx val="14"/>
              <c:layout>
                <c:manualLayout>
                  <c:x val="-2.3093405389137327E-2"/>
                  <c:y val="-7.6200590022984932E-2"/>
                </c:manualLayout>
              </c:layout>
              <c:tx>
                <c:rich>
                  <a:bodyPr/>
                  <a:lstStyle/>
                  <a:p>
                    <a:fld id="{65B88691-E1D6-47B1-8D2C-21CD2D3066B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132A-46A3-B546-56CD82AD14C5}"/>
                </c:ext>
              </c:extLst>
            </c:dLbl>
            <c:dLbl>
              <c:idx val="15"/>
              <c:layout>
                <c:manualLayout>
                  <c:x val="-4.3539196066473641E-2"/>
                  <c:y val="2.5331503598749604E-2"/>
                </c:manualLayout>
              </c:layout>
              <c:tx>
                <c:rich>
                  <a:bodyPr/>
                  <a:lstStyle/>
                  <a:p>
                    <a:fld id="{F880E09B-91DB-4803-AD47-6ACAB822956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132A-46A3-B546-56CD82AD14C5}"/>
                </c:ext>
              </c:extLst>
            </c:dLbl>
            <c:dLbl>
              <c:idx val="16"/>
              <c:layout>
                <c:manualLayout>
                  <c:x val="-9.2881981360140572E-2"/>
                  <c:y val="-2.1640477400429452E-2"/>
                </c:manualLayout>
              </c:layout>
              <c:tx>
                <c:rich>
                  <a:bodyPr/>
                  <a:lstStyle/>
                  <a:p>
                    <a:fld id="{1DBC33EC-75B2-4E65-AB2F-16C14D5F00D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132A-46A3-B546-56CD82AD14C5}"/>
                </c:ext>
              </c:extLst>
            </c:dLbl>
            <c:dLbl>
              <c:idx val="17"/>
              <c:layout>
                <c:manualLayout>
                  <c:x val="5.809617657947041E-3"/>
                  <c:y val="6.1220645582816632E-2"/>
                </c:manualLayout>
              </c:layout>
              <c:tx>
                <c:rich>
                  <a:bodyPr/>
                  <a:lstStyle/>
                  <a:p>
                    <a:fld id="{7EF26684-B10C-45A3-A8C2-A610300B572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132A-46A3-B546-56CD82AD14C5}"/>
                </c:ext>
              </c:extLst>
            </c:dLbl>
            <c:dLbl>
              <c:idx val="18"/>
              <c:layout>
                <c:manualLayout>
                  <c:x val="-3.4070660879404011E-2"/>
                  <c:y val="-3.139376035675949E-2"/>
                </c:manualLayout>
              </c:layout>
              <c:tx>
                <c:rich>
                  <a:bodyPr/>
                  <a:lstStyle/>
                  <a:p>
                    <a:fld id="{84B3A225-BDAA-4F91-BCC9-69D16F126C0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132A-46A3-B546-56CD82AD14C5}"/>
                </c:ext>
              </c:extLst>
            </c:dLbl>
            <c:dLbl>
              <c:idx val="19"/>
              <c:layout>
                <c:manualLayout>
                  <c:x val="9.8022495515059961E-3"/>
                  <c:y val="3.8524846827577837E-3"/>
                </c:manualLayout>
              </c:layout>
              <c:tx>
                <c:rich>
                  <a:bodyPr/>
                  <a:lstStyle/>
                  <a:p>
                    <a:fld id="{ED11977F-519F-409D-A00E-837B8C053A8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132A-46A3-B546-56CD82AD14C5}"/>
                </c:ext>
              </c:extLst>
            </c:dLbl>
            <c:dLbl>
              <c:idx val="20"/>
              <c:layout>
                <c:manualLayout>
                  <c:x val="1.758140756302521E-2"/>
                  <c:y val="6.2059072984831237E-3"/>
                </c:manualLayout>
              </c:layout>
              <c:tx>
                <c:rich>
                  <a:bodyPr/>
                  <a:lstStyle/>
                  <a:p>
                    <a:fld id="{47AD1D8B-4FF2-42B0-8542-1BC401F6BAE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132A-46A3-B546-56CD82AD14C5}"/>
                </c:ext>
              </c:extLst>
            </c:dLbl>
            <c:dLbl>
              <c:idx val="21"/>
              <c:layout>
                <c:manualLayout>
                  <c:x val="-4.5538664904163979E-2"/>
                  <c:y val="-3.5392385611100745E-2"/>
                </c:manualLayout>
              </c:layout>
              <c:tx>
                <c:rich>
                  <a:bodyPr/>
                  <a:lstStyle/>
                  <a:p>
                    <a:fld id="{75EDD544-52D0-468A-A532-87973476A7A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132A-46A3-B546-56CD82AD14C5}"/>
                </c:ext>
              </c:extLst>
            </c:dLbl>
            <c:dLbl>
              <c:idx val="22"/>
              <c:layout>
                <c:manualLayout>
                  <c:x val="-0.11300824402794826"/>
                  <c:y val="-2.3395618242742926E-2"/>
                </c:manualLayout>
              </c:layout>
              <c:tx>
                <c:rich>
                  <a:bodyPr/>
                  <a:lstStyle/>
                  <a:p>
                    <a:fld id="{01AA4F0E-F632-4A99-9AFE-F3573492C6BB}" type="CELLRANGE">
                      <a:rPr lang="sr-Cyrl-RS">
                        <a:solidFill>
                          <a:schemeClr val="tx1">
                            <a:lumMod val="50000"/>
                            <a:lumOff val="50000"/>
                          </a:schemeClr>
                        </a:solidFill>
                      </a:rPr>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132A-46A3-B546-56CD82AD14C5}"/>
                </c:ext>
              </c:extLst>
            </c:dLbl>
            <c:dLbl>
              <c:idx val="23"/>
              <c:layout>
                <c:manualLayout>
                  <c:x val="9.9795705097595975E-3"/>
                  <c:y val="1.4204692050936149E-2"/>
                </c:manualLayout>
              </c:layout>
              <c:tx>
                <c:rich>
                  <a:bodyPr/>
                  <a:lstStyle/>
                  <a:p>
                    <a:fld id="{9E754691-3CF2-4FE7-BA9A-1C76531E36EE}" type="CELLRANGE">
                      <a:rPr lang="sr-Cyrl-RS">
                        <a:solidFill>
                          <a:schemeClr val="tx1">
                            <a:lumMod val="50000"/>
                            <a:lumOff val="50000"/>
                          </a:schemeClr>
                        </a:solidFill>
                      </a:rPr>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132A-46A3-B546-56CD82AD14C5}"/>
                </c:ext>
              </c:extLst>
            </c:dLbl>
            <c:dLbl>
              <c:idx val="24"/>
              <c:layout>
                <c:manualLayout>
                  <c:x val="-8.3391411339816826E-2"/>
                  <c:y val="-3.411424204086759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mn-cs"/>
                      </a:defRPr>
                    </a:pPr>
                    <a:r>
                      <a:rPr lang="sr-Cyrl-RS" sz="800" baseline="0">
                        <a:solidFill>
                          <a:schemeClr val="tx1">
                            <a:lumMod val="50000"/>
                            <a:lumOff val="50000"/>
                          </a:schemeClr>
                        </a:solidFill>
                        <a:latin typeface="Times New Roman" panose="02020603050405020304" pitchFamily="18" charset="0"/>
                      </a:rPr>
                      <a:t>Кипар</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13100275293998009"/>
                      <c:h val="3.706857368218909E-2"/>
                    </c:manualLayout>
                  </c15:layout>
                </c:ext>
                <c:ext xmlns:c16="http://schemas.microsoft.com/office/drawing/2014/chart" uri="{C3380CC4-5D6E-409C-BE32-E72D297353CC}">
                  <c16:uniqueId val="{0000001A-132A-46A3-B546-56CD82AD14C5}"/>
                </c:ext>
              </c:extLst>
            </c:dLbl>
            <c:dLbl>
              <c:idx val="25"/>
              <c:layout>
                <c:manualLayout>
                  <c:x val="-1.2791431814687476E-2"/>
                  <c:y val="5.0931460145649237E-3"/>
                </c:manualLayout>
              </c:layout>
              <c:tx>
                <c:rich>
                  <a:bodyPr/>
                  <a:lstStyle/>
                  <a:p>
                    <a:r>
                      <a:rPr lang="sr-Cyrl-RS"/>
                      <a:t>Грчка</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132A-46A3-B546-56CD82AD14C5}"/>
                </c:ext>
              </c:extLst>
            </c:dLbl>
            <c:dLbl>
              <c:idx val="26"/>
              <c:layout>
                <c:manualLayout>
                  <c:x val="-3.444518166269947E-2"/>
                  <c:y val="2.8828407288985936E-2"/>
                </c:manualLayout>
              </c:layout>
              <c:tx>
                <c:rich>
                  <a:bodyPr/>
                  <a:lstStyle/>
                  <a:p>
                    <a:r>
                      <a:rPr lang="sr-Cyrl-RS" baseline="0"/>
                      <a:t>Португал </a:t>
                    </a:r>
                    <a:endParaRPr lang="sr-Cyrl-R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32A-46A3-B546-56CD82AD14C5}"/>
                </c:ext>
              </c:extLst>
            </c:dLbl>
            <c:dLbl>
              <c:idx val="27"/>
              <c:layout>
                <c:manualLayout>
                  <c:x val="0"/>
                  <c:y val="-1.5089509800541984E-2"/>
                </c:manualLayout>
              </c:layout>
              <c:tx>
                <c:rich>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Times New Roman" panose="02020603050405020304" pitchFamily="18" charset="0"/>
                        <a:ea typeface="+mn-ea"/>
                        <a:cs typeface="+mn-cs"/>
                      </a:defRPr>
                    </a:pPr>
                    <a:r>
                      <a:rPr lang="sr-Cyrl-RS" sz="800" baseline="0">
                        <a:solidFill>
                          <a:srgbClr val="FF0000"/>
                        </a:solidFill>
                        <a:latin typeface="Times New Roman" panose="02020603050405020304" pitchFamily="18" charset="0"/>
                      </a:rPr>
                      <a:t>Србија</a:t>
                    </a: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132A-46A3-B546-56CD82AD14C5}"/>
                </c:ext>
              </c:extLst>
            </c:dLbl>
            <c:dLbl>
              <c:idx val="2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132A-46A3-B546-56CD82AD14C5}"/>
                </c:ext>
              </c:extLst>
            </c:dLbl>
            <c:dLbl>
              <c:idx val="29"/>
              <c:layout>
                <c:manualLayout>
                  <c:x val="0.27121180204981443"/>
                  <c:y val="-0.10981647825182873"/>
                </c:manualLayout>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manualLayout>
                      <c:w val="6.4583536111454121E-2"/>
                      <c:h val="3.6566409796610792E-2"/>
                    </c:manualLayout>
                  </c15:layout>
                </c:ext>
                <c:ext xmlns:c16="http://schemas.microsoft.com/office/drawing/2014/chart" uri="{C3380CC4-5D6E-409C-BE32-E72D297353CC}">
                  <c16:uniqueId val="{0000001F-132A-46A3-B546-56CD82AD14C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'2023'!$D$4:$D$31</c:f>
              <c:numCache>
                <c:formatCode>0.00</c:formatCode>
                <c:ptCount val="28"/>
                <c:pt idx="0">
                  <c:v>0.15</c:v>
                </c:pt>
                <c:pt idx="1">
                  <c:v>0.56999999999999995</c:v>
                </c:pt>
                <c:pt idx="2">
                  <c:v>0.22</c:v>
                </c:pt>
                <c:pt idx="3">
                  <c:v>0.22</c:v>
                </c:pt>
                <c:pt idx="4">
                  <c:v>0</c:v>
                </c:pt>
                <c:pt idx="5">
                  <c:v>0.11</c:v>
                </c:pt>
                <c:pt idx="6">
                  <c:v>0.18</c:v>
                </c:pt>
                <c:pt idx="7">
                  <c:v>0.15</c:v>
                </c:pt>
                <c:pt idx="8">
                  <c:v>0.56999999999999995</c:v>
                </c:pt>
                <c:pt idx="9">
                  <c:v>0.41</c:v>
                </c:pt>
                <c:pt idx="10">
                  <c:v>0</c:v>
                </c:pt>
                <c:pt idx="11">
                  <c:v>0.69</c:v>
                </c:pt>
                <c:pt idx="12">
                  <c:v>0.22</c:v>
                </c:pt>
                <c:pt idx="13">
                  <c:v>0.23</c:v>
                </c:pt>
                <c:pt idx="14">
                  <c:v>0.12</c:v>
                </c:pt>
                <c:pt idx="15">
                  <c:v>0.18</c:v>
                </c:pt>
                <c:pt idx="16">
                  <c:v>0.22</c:v>
                </c:pt>
                <c:pt idx="17">
                  <c:v>0</c:v>
                </c:pt>
                <c:pt idx="18">
                  <c:v>0.28000000000000003</c:v>
                </c:pt>
                <c:pt idx="19">
                  <c:v>0.22</c:v>
                </c:pt>
                <c:pt idx="20">
                  <c:v>0.28000000000000003</c:v>
                </c:pt>
                <c:pt idx="21">
                  <c:v>0.28999999999999998</c:v>
                </c:pt>
                <c:pt idx="22">
                  <c:v>0.56999999999999995</c:v>
                </c:pt>
                <c:pt idx="23">
                  <c:v>0</c:v>
                </c:pt>
                <c:pt idx="24">
                  <c:v>0.11</c:v>
                </c:pt>
                <c:pt idx="25">
                  <c:v>0.24</c:v>
                </c:pt>
                <c:pt idx="26">
                  <c:v>0.31</c:v>
                </c:pt>
                <c:pt idx="27">
                  <c:v>7.7844311377245498E-2</c:v>
                </c:pt>
              </c:numCache>
            </c:numRef>
          </c:xVal>
          <c:yVal>
            <c:numRef>
              <c:f>'2023'!$E$4:$E$31</c:f>
              <c:numCache>
                <c:formatCode>0.00</c:formatCode>
                <c:ptCount val="28"/>
                <c:pt idx="0">
                  <c:v>0.06</c:v>
                </c:pt>
                <c:pt idx="1">
                  <c:v>0.12</c:v>
                </c:pt>
                <c:pt idx="2">
                  <c:v>0.21</c:v>
                </c:pt>
                <c:pt idx="3">
                  <c:v>0.25</c:v>
                </c:pt>
                <c:pt idx="4">
                  <c:v>0.33</c:v>
                </c:pt>
                <c:pt idx="5">
                  <c:v>0.36</c:v>
                </c:pt>
                <c:pt idx="6">
                  <c:v>0.36</c:v>
                </c:pt>
                <c:pt idx="7">
                  <c:v>0.23</c:v>
                </c:pt>
                <c:pt idx="8">
                  <c:v>0.28000000000000003</c:v>
                </c:pt>
                <c:pt idx="9">
                  <c:v>0.48</c:v>
                </c:pt>
                <c:pt idx="10">
                  <c:v>0.21</c:v>
                </c:pt>
                <c:pt idx="11">
                  <c:v>0.18</c:v>
                </c:pt>
                <c:pt idx="12">
                  <c:v>0.37</c:v>
                </c:pt>
                <c:pt idx="13">
                  <c:v>0.12</c:v>
                </c:pt>
                <c:pt idx="14">
                  <c:v>0.35</c:v>
                </c:pt>
                <c:pt idx="15">
                  <c:v>0.2</c:v>
                </c:pt>
                <c:pt idx="16">
                  <c:v>0.14000000000000001</c:v>
                </c:pt>
                <c:pt idx="17">
                  <c:v>0.18</c:v>
                </c:pt>
                <c:pt idx="18">
                  <c:v>0.45</c:v>
                </c:pt>
                <c:pt idx="19">
                  <c:v>0.37</c:v>
                </c:pt>
                <c:pt idx="20">
                  <c:v>0.44</c:v>
                </c:pt>
                <c:pt idx="21">
                  <c:v>0.14000000000000001</c:v>
                </c:pt>
                <c:pt idx="22">
                  <c:v>0.33</c:v>
                </c:pt>
                <c:pt idx="23">
                  <c:v>0.19</c:v>
                </c:pt>
                <c:pt idx="24">
                  <c:v>0.44</c:v>
                </c:pt>
                <c:pt idx="25">
                  <c:v>0.35</c:v>
                </c:pt>
                <c:pt idx="26">
                  <c:v>0.33</c:v>
                </c:pt>
                <c:pt idx="27">
                  <c:v>0.27243589743589747</c:v>
                </c:pt>
              </c:numCache>
            </c:numRef>
          </c:yVal>
          <c:smooth val="0"/>
          <c:extLst>
            <c:ext xmlns:c15="http://schemas.microsoft.com/office/drawing/2012/chart" uri="{02D57815-91ED-43cb-92C2-25804820EDAC}">
              <c15:datalabelsRange>
                <c15:f>'2023'!$B$4:$B$34</c15:f>
                <c15:dlblRangeCache>
                  <c:ptCount val="31"/>
                  <c:pt idx="0">
                    <c:v>Аустрија</c:v>
                  </c:pt>
                  <c:pt idx="1">
                    <c:v>Белгија</c:v>
                  </c:pt>
                  <c:pt idx="2">
                    <c:v>Бугарска</c:v>
                  </c:pt>
                  <c:pt idx="3">
                    <c:v>Чешка</c:v>
                  </c:pt>
                  <c:pt idx="4">
                    <c:v>Хрватска</c:v>
                  </c:pt>
                  <c:pt idx="5">
                    <c:v>Данска</c:v>
                  </c:pt>
                  <c:pt idx="6">
                    <c:v>Естонија</c:v>
                  </c:pt>
                  <c:pt idx="7">
                    <c:v>Финска</c:v>
                  </c:pt>
                  <c:pt idx="8">
                    <c:v>Француска</c:v>
                  </c:pt>
                  <c:pt idx="9">
                    <c:v>Мађарска</c:v>
                  </c:pt>
                  <c:pt idx="10">
                    <c:v>Ирска</c:v>
                  </c:pt>
                  <c:pt idx="11">
                    <c:v>Италија</c:v>
                  </c:pt>
                  <c:pt idx="12">
                    <c:v>Летонија</c:v>
                  </c:pt>
                  <c:pt idx="13">
                    <c:v>Немачка</c:v>
                  </c:pt>
                  <c:pt idx="14">
                    <c:v>Литванија</c:v>
                  </c:pt>
                  <c:pt idx="15">
                    <c:v>Луксембург</c:v>
                  </c:pt>
                  <c:pt idx="16">
                    <c:v>Малта</c:v>
                  </c:pt>
                  <c:pt idx="17">
                    <c:v>Холандија</c:v>
                  </c:pt>
                  <c:pt idx="18">
                    <c:v>Пољска</c:v>
                  </c:pt>
                  <c:pt idx="19">
                    <c:v>Румунија</c:v>
                  </c:pt>
                  <c:pt idx="20">
                    <c:v>Словачка</c:v>
                  </c:pt>
                  <c:pt idx="21">
                    <c:v>Словенија</c:v>
                  </c:pt>
                  <c:pt idx="22">
                    <c:v>Шпанија</c:v>
                  </c:pt>
                  <c:pt idx="23">
                    <c:v>Шведска</c:v>
                  </c:pt>
                  <c:pt idx="24">
                    <c:v>Кипар</c:v>
                  </c:pt>
                  <c:pt idx="25">
                    <c:v>Грчка</c:v>
                  </c:pt>
                  <c:pt idx="26">
                    <c:v>Португал</c:v>
                  </c:pt>
                  <c:pt idx="27">
                    <c:v>Србија</c:v>
                  </c:pt>
                  <c:pt idx="29">
                    <c:v>Србија 2020</c:v>
                  </c:pt>
                  <c:pt idx="30">
                    <c:v>Србија 2019,2018,2017</c:v>
                  </c:pt>
                </c15:dlblRangeCache>
              </c15:datalabelsRange>
            </c:ext>
            <c:ext xmlns:c16="http://schemas.microsoft.com/office/drawing/2014/chart" uri="{C3380CC4-5D6E-409C-BE32-E72D297353CC}">
              <c16:uniqueId val="{00000020-132A-46A3-B546-56CD82AD14C5}"/>
            </c:ext>
          </c:extLst>
        </c:ser>
        <c:dLbls>
          <c:showLegendKey val="0"/>
          <c:showVal val="0"/>
          <c:showCatName val="0"/>
          <c:showSerName val="0"/>
          <c:showPercent val="0"/>
          <c:showBubbleSize val="0"/>
        </c:dLbls>
        <c:axId val="2099147520"/>
        <c:axId val="2099146272"/>
      </c:scatterChart>
      <c:valAx>
        <c:axId val="-262788736"/>
        <c:scaling>
          <c:orientation val="minMax"/>
          <c:max val="0.8"/>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r>
                  <a:rPr lang="sr-Cyrl-RS" sz="900" baseline="0">
                    <a:latin typeface="Times New Roman" panose="02020603050405020304" pitchFamily="18" charset="0"/>
                  </a:rPr>
                  <a:t>Фискални подиндекс</a:t>
                </a:r>
                <a:endParaRPr lang="en-US" sz="900" baseline="0">
                  <a:latin typeface="Times New Roman" panose="02020603050405020304" pitchFamily="18" charset="0"/>
                </a:endParaRPr>
              </a:p>
            </c:rich>
          </c:tx>
          <c:layout>
            <c:manualLayout>
              <c:xMode val="edge"/>
              <c:yMode val="edge"/>
              <c:x val="0.32836641954038248"/>
              <c:y val="0.947167457511862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title>
        <c:numFmt formatCode="0.0" sourceLinked="0"/>
        <c:majorTickMark val="none"/>
        <c:minorTickMark val="none"/>
        <c:tickLblPos val="nextTo"/>
        <c:spPr>
          <a:noFill/>
          <a:ln w="63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262793088"/>
        <c:crosses val="autoZero"/>
        <c:crossBetween val="midCat"/>
      </c:valAx>
      <c:valAx>
        <c:axId val="-262793088"/>
        <c:scaling>
          <c:orientation val="minMax"/>
          <c:max val="0.60000000000000009"/>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r>
                  <a:rPr lang="sr-Cyrl-RS" sz="900" baseline="0">
                    <a:latin typeface="Times New Roman" panose="02020603050405020304" pitchFamily="18" charset="0"/>
                  </a:rPr>
                  <a:t>Подиндекс макро-финансијске конкурентности</a:t>
                </a:r>
                <a:endParaRPr lang="en-US" sz="900" baseline="0">
                  <a:latin typeface="Times New Roman" panose="02020603050405020304" pitchFamily="18" charset="0"/>
                </a:endParaRPr>
              </a:p>
            </c:rich>
          </c:tx>
          <c:layout>
            <c:manualLayout>
              <c:xMode val="edge"/>
              <c:yMode val="edge"/>
              <c:x val="7.5251868585250346E-3"/>
              <c:y val="0.1547682919548133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title>
        <c:numFmt formatCode="0.0" sourceLinked="0"/>
        <c:majorTickMark val="none"/>
        <c:minorTickMark val="none"/>
        <c:tickLblPos val="nextTo"/>
        <c:spPr>
          <a:noFill/>
          <a:ln w="6350"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262788736"/>
        <c:crosses val="autoZero"/>
        <c:crossBetween val="midCat"/>
      </c:valAx>
      <c:valAx>
        <c:axId val="2099146272"/>
        <c:scaling>
          <c:orientation val="minMax"/>
        </c:scaling>
        <c:delete val="1"/>
        <c:axPos val="r"/>
        <c:numFmt formatCode="0.00" sourceLinked="1"/>
        <c:majorTickMark val="out"/>
        <c:minorTickMark val="none"/>
        <c:tickLblPos val="nextTo"/>
        <c:crossAx val="2099147520"/>
        <c:crosses val="max"/>
        <c:crossBetween val="midCat"/>
      </c:valAx>
      <c:valAx>
        <c:axId val="2099147520"/>
        <c:scaling>
          <c:orientation val="minMax"/>
        </c:scaling>
        <c:delete val="1"/>
        <c:axPos val="t"/>
        <c:numFmt formatCode="0.00" sourceLinked="1"/>
        <c:majorTickMark val="out"/>
        <c:minorTickMark val="none"/>
        <c:tickLblPos val="nextTo"/>
        <c:crossAx val="2099146272"/>
        <c:crosses val="max"/>
        <c:crossBetween val="midCat"/>
      </c:valAx>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6">
  <a:schemeClr val="accent3"/>
</cs:colorStyle>
</file>

<file path=word/charts/colors11.xml><?xml version="1.0" encoding="utf-8"?>
<cs:colorStyle xmlns:cs="http://schemas.microsoft.com/office/drawing/2012/chartStyle" xmlns:a="http://schemas.openxmlformats.org/drawingml/2006/main" meth="withinLinear" id="16">
  <a:schemeClr val="accent3"/>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 id="19">
  <a:schemeClr val="accent6"/>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36">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11.xml><?xml version="1.0" encoding="utf-8"?>
<cs:chartStyle xmlns:cs="http://schemas.microsoft.com/office/drawing/2012/chartStyle" xmlns:a="http://schemas.openxmlformats.org/drawingml/2006/main" id="136">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12.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135">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0.58333</cdr:x>
      <cdr:y>0</cdr:y>
    </cdr:from>
    <cdr:to>
      <cdr:x>0.97619</cdr:x>
      <cdr:y>0.73863</cdr:y>
    </cdr:to>
    <cdr:sp macro="" textlink="">
      <cdr:nvSpPr>
        <cdr:cNvPr id="3" name="TextBox 2"/>
        <cdr:cNvSpPr txBox="1"/>
      </cdr:nvSpPr>
      <cdr:spPr>
        <a:xfrm xmlns:a="http://schemas.openxmlformats.org/drawingml/2006/main">
          <a:off x="1600200" y="0"/>
          <a:ext cx="1077684" cy="1560873"/>
        </a:xfrm>
        <a:prstGeom xmlns:a="http://schemas.openxmlformats.org/drawingml/2006/main" prst="rect">
          <a:avLst/>
        </a:prstGeom>
        <a:solidFill xmlns:a="http://schemas.openxmlformats.org/drawingml/2006/main">
          <a:schemeClr val="accent5">
            <a:alpha val="10000"/>
          </a:schemeClr>
        </a:solidFill>
      </cdr:spPr>
      <cdr:txBody>
        <a:bodyPr xmlns:a="http://schemas.openxmlformats.org/drawingml/2006/main" vertOverflow="clip" wrap="square" rtlCol="0" anchor="t"/>
        <a:lstStyle xmlns:a="http://schemas.openxmlformats.org/drawingml/2006/main"/>
        <a:p xmlns:a="http://schemas.openxmlformats.org/drawingml/2006/main">
          <a:pPr algn="ctr"/>
          <a:r>
            <a:rPr lang="sr-Cyrl-RS" sz="750" b="1">
              <a:solidFill>
                <a:schemeClr val="tx2"/>
              </a:solidFill>
              <a:latin typeface="Times New Roman" panose="02020603050405020304" pitchFamily="18" charset="0"/>
              <a:cs typeface="Times New Roman" panose="02020603050405020304" pitchFamily="18" charset="0"/>
            </a:rPr>
            <a:t>ПРОЈЕКЦИЈА</a:t>
          </a:r>
          <a:endParaRPr lang="en-GB" sz="750" b="1">
            <a:solidFill>
              <a:schemeClr val="tx2"/>
            </a:solidFill>
            <a:latin typeface="Times New Roman" panose="02020603050405020304" pitchFamily="18"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0.04375</cdr:x>
      <cdr:y>0.88368</cdr:y>
    </cdr:from>
    <cdr:to>
      <cdr:x>0.16667</cdr:x>
      <cdr:y>0.93576</cdr:y>
    </cdr:to>
    <cdr:sp macro="" textlink="">
      <cdr:nvSpPr>
        <cdr:cNvPr id="2" name="TextBox 1"/>
        <cdr:cNvSpPr txBox="1"/>
      </cdr:nvSpPr>
      <cdr:spPr>
        <a:xfrm xmlns:a="http://schemas.openxmlformats.org/drawingml/2006/main">
          <a:off x="200025" y="2424113"/>
          <a:ext cx="561975"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1100"/>
        </a:p>
      </cdr:txBody>
    </cdr:sp>
  </cdr:relSizeAnchor>
  <cdr:relSizeAnchor xmlns:cdr="http://schemas.openxmlformats.org/drawingml/2006/chartDrawing">
    <cdr:from>
      <cdr:x>0.04792</cdr:x>
      <cdr:y>0.73785</cdr:y>
    </cdr:from>
    <cdr:to>
      <cdr:x>0.24167</cdr:x>
      <cdr:y>0.86979</cdr:y>
    </cdr:to>
    <cdr:sp macro="" textlink="">
      <cdr:nvSpPr>
        <cdr:cNvPr id="3" name="TextBox 2"/>
        <cdr:cNvSpPr txBox="1"/>
      </cdr:nvSpPr>
      <cdr:spPr>
        <a:xfrm xmlns:a="http://schemas.openxmlformats.org/drawingml/2006/main">
          <a:off x="228061" y="2482144"/>
          <a:ext cx="922095" cy="4438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800">
            <a:latin typeface="+mj-lt"/>
          </a:endParaRPr>
        </a:p>
      </cdr:txBody>
    </cdr:sp>
  </cdr:relSizeAnchor>
  <cdr:relSizeAnchor xmlns:cdr="http://schemas.openxmlformats.org/drawingml/2006/chartDrawing">
    <cdr:from>
      <cdr:x>0.66875</cdr:x>
      <cdr:y>0.74826</cdr:y>
    </cdr:from>
    <cdr:to>
      <cdr:x>0.9125</cdr:x>
      <cdr:y>0.84549</cdr:y>
    </cdr:to>
    <cdr:sp macro="" textlink="">
      <cdr:nvSpPr>
        <cdr:cNvPr id="4" name="TextBox 3"/>
        <cdr:cNvSpPr txBox="1"/>
      </cdr:nvSpPr>
      <cdr:spPr>
        <a:xfrm xmlns:a="http://schemas.openxmlformats.org/drawingml/2006/main">
          <a:off x="3057525" y="2052638"/>
          <a:ext cx="11144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1100"/>
        </a:p>
      </cdr:txBody>
    </cdr:sp>
  </cdr:relSizeAnchor>
  <cdr:relSizeAnchor xmlns:cdr="http://schemas.openxmlformats.org/drawingml/2006/chartDrawing">
    <cdr:from>
      <cdr:x>0.76703</cdr:x>
      <cdr:y>0.16819</cdr:y>
    </cdr:from>
    <cdr:to>
      <cdr:x>0.98856</cdr:x>
      <cdr:y>0.2903</cdr:y>
    </cdr:to>
    <cdr:sp macro="" textlink="">
      <cdr:nvSpPr>
        <cdr:cNvPr id="5" name="TextBox 1"/>
        <cdr:cNvSpPr txBox="1"/>
      </cdr:nvSpPr>
      <cdr:spPr>
        <a:xfrm xmlns:a="http://schemas.openxmlformats.org/drawingml/2006/main">
          <a:off x="3650440" y="565780"/>
          <a:ext cx="1054306" cy="4107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sr-Cyrl-CS" sz="800">
            <a:latin typeface="+mj-lt"/>
          </a:endParaRPr>
        </a:p>
      </cdr:txBody>
    </cdr:sp>
  </cdr:relSizeAnchor>
  <cdr:relSizeAnchor xmlns:cdr="http://schemas.openxmlformats.org/drawingml/2006/chartDrawing">
    <cdr:from>
      <cdr:x>0.73125</cdr:x>
      <cdr:y>0.8206</cdr:y>
    </cdr:from>
    <cdr:to>
      <cdr:x>0.95417</cdr:x>
      <cdr:y>0.94271</cdr:y>
    </cdr:to>
    <cdr:sp macro="" textlink="">
      <cdr:nvSpPr>
        <cdr:cNvPr id="6" name="TextBox 1"/>
        <cdr:cNvSpPr txBox="1"/>
      </cdr:nvSpPr>
      <cdr:spPr>
        <a:xfrm xmlns:a="http://schemas.openxmlformats.org/drawingml/2006/main">
          <a:off x="3480164" y="2760516"/>
          <a:ext cx="1060921" cy="4107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sr-Cyrl-CS" sz="800">
            <a:latin typeface="+mj-lt"/>
          </a:endParaRPr>
        </a:p>
      </cdr:txBody>
    </cdr:sp>
  </cdr:relSizeAnchor>
  <cdr:relSizeAnchor xmlns:cdr="http://schemas.openxmlformats.org/drawingml/2006/chartDrawing">
    <cdr:from>
      <cdr:x>0.04928</cdr:x>
      <cdr:y>0.22036</cdr:y>
    </cdr:from>
    <cdr:to>
      <cdr:x>0.27219</cdr:x>
      <cdr:y>0.34247</cdr:y>
    </cdr:to>
    <cdr:sp macro="" textlink="">
      <cdr:nvSpPr>
        <cdr:cNvPr id="7" name="TextBox 1"/>
        <cdr:cNvSpPr txBox="1"/>
      </cdr:nvSpPr>
      <cdr:spPr>
        <a:xfrm xmlns:a="http://schemas.openxmlformats.org/drawingml/2006/main">
          <a:off x="234530" y="741312"/>
          <a:ext cx="1060873" cy="4107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sr-Cyrl-CS" sz="800">
            <a:latin typeface="Cambria" panose="02040503050406030204" pitchFamily="18" charset="0"/>
          </a:endParaRPr>
        </a:p>
      </cdr:txBody>
    </cdr:sp>
  </cdr:relSizeAnchor>
  <cdr:relSizeAnchor xmlns:cdr="http://schemas.openxmlformats.org/drawingml/2006/chartDrawing">
    <cdr:from>
      <cdr:x>0.04375</cdr:x>
      <cdr:y>0.88368</cdr:y>
    </cdr:from>
    <cdr:to>
      <cdr:x>0.16667</cdr:x>
      <cdr:y>0.93576</cdr:y>
    </cdr:to>
    <cdr:sp macro="" textlink="">
      <cdr:nvSpPr>
        <cdr:cNvPr id="14" name="TextBox 1"/>
        <cdr:cNvSpPr txBox="1"/>
      </cdr:nvSpPr>
      <cdr:spPr>
        <a:xfrm xmlns:a="http://schemas.openxmlformats.org/drawingml/2006/main">
          <a:off x="200025" y="2424113"/>
          <a:ext cx="561975"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1100"/>
        </a:p>
      </cdr:txBody>
    </cdr:sp>
  </cdr:relSizeAnchor>
  <cdr:relSizeAnchor xmlns:cdr="http://schemas.openxmlformats.org/drawingml/2006/chartDrawing">
    <cdr:from>
      <cdr:x>0</cdr:x>
      <cdr:y>0.90228</cdr:y>
    </cdr:from>
    <cdr:to>
      <cdr:x>0.32492</cdr:x>
      <cdr:y>1</cdr:y>
    </cdr:to>
    <cdr:sp macro="" textlink="">
      <cdr:nvSpPr>
        <cdr:cNvPr id="15" name="TextBox 2"/>
        <cdr:cNvSpPr txBox="1"/>
      </cdr:nvSpPr>
      <cdr:spPr>
        <a:xfrm xmlns:a="http://schemas.openxmlformats.org/drawingml/2006/main">
          <a:off x="-4114800" y="3042353"/>
          <a:ext cx="923920" cy="3294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CS" sz="900" b="0">
              <a:solidFill>
                <a:srgbClr val="44546A"/>
              </a:solidFill>
              <a:latin typeface="Times New Roman" panose="02020603050405020304" pitchFamily="18" charset="0"/>
            </a:rPr>
            <a:t>проциклично</a:t>
          </a:r>
          <a:r>
            <a:rPr lang="sr-Cyrl-CS" sz="900" b="0" baseline="0">
              <a:solidFill>
                <a:srgbClr val="44546A"/>
              </a:solidFill>
              <a:latin typeface="Times New Roman" panose="02020603050405020304" pitchFamily="18" charset="0"/>
            </a:rPr>
            <a:t> - рестриктивна</a:t>
          </a:r>
          <a:endParaRPr lang="sr-Cyrl-CS" sz="900" b="0">
            <a:solidFill>
              <a:srgbClr val="44546A"/>
            </a:solidFill>
            <a:latin typeface="Times New Roman" panose="02020603050405020304" pitchFamily="18" charset="0"/>
          </a:endParaRPr>
        </a:p>
      </cdr:txBody>
    </cdr:sp>
  </cdr:relSizeAnchor>
  <cdr:relSizeAnchor xmlns:cdr="http://schemas.openxmlformats.org/drawingml/2006/chartDrawing">
    <cdr:from>
      <cdr:x>0.66875</cdr:x>
      <cdr:y>0.74826</cdr:y>
    </cdr:from>
    <cdr:to>
      <cdr:x>0.9125</cdr:x>
      <cdr:y>0.84549</cdr:y>
    </cdr:to>
    <cdr:sp macro="" textlink="">
      <cdr:nvSpPr>
        <cdr:cNvPr id="16" name="TextBox 3"/>
        <cdr:cNvSpPr txBox="1"/>
      </cdr:nvSpPr>
      <cdr:spPr>
        <a:xfrm xmlns:a="http://schemas.openxmlformats.org/drawingml/2006/main">
          <a:off x="3057525" y="2052638"/>
          <a:ext cx="11144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1100"/>
        </a:p>
      </cdr:txBody>
    </cdr:sp>
  </cdr:relSizeAnchor>
  <cdr:relSizeAnchor xmlns:cdr="http://schemas.openxmlformats.org/drawingml/2006/chartDrawing">
    <cdr:from>
      <cdr:x>0.68919</cdr:x>
      <cdr:y>0</cdr:y>
    </cdr:from>
    <cdr:to>
      <cdr:x>1</cdr:x>
      <cdr:y>0.09594</cdr:y>
    </cdr:to>
    <cdr:sp macro="" textlink="">
      <cdr:nvSpPr>
        <cdr:cNvPr id="17" name="TextBox 1"/>
        <cdr:cNvSpPr txBox="1"/>
      </cdr:nvSpPr>
      <cdr:spPr>
        <a:xfrm xmlns:a="http://schemas.openxmlformats.org/drawingml/2006/main">
          <a:off x="3886201" y="0"/>
          <a:ext cx="1752599" cy="33080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r-Cyrl-CS" sz="900" b="0">
              <a:solidFill>
                <a:srgbClr val="44546A"/>
              </a:solidFill>
              <a:latin typeface="Times New Roman" panose="02020603050405020304" pitchFamily="18" charset="0"/>
            </a:rPr>
            <a:t>проциклично</a:t>
          </a:r>
          <a:r>
            <a:rPr lang="sr-Cyrl-CS" sz="900" b="0" baseline="0">
              <a:solidFill>
                <a:srgbClr val="44546A"/>
              </a:solidFill>
              <a:latin typeface="Times New Roman" panose="02020603050405020304" pitchFamily="18" charset="0"/>
            </a:rPr>
            <a:t> - експанзивна</a:t>
          </a:r>
        </a:p>
      </cdr:txBody>
    </cdr:sp>
  </cdr:relSizeAnchor>
  <cdr:relSizeAnchor xmlns:cdr="http://schemas.openxmlformats.org/drawingml/2006/chartDrawing">
    <cdr:from>
      <cdr:x>0.67736</cdr:x>
      <cdr:y>0.90748</cdr:y>
    </cdr:from>
    <cdr:to>
      <cdr:x>1</cdr:x>
      <cdr:y>1</cdr:y>
    </cdr:to>
    <cdr:sp macro="" textlink="">
      <cdr:nvSpPr>
        <cdr:cNvPr id="18" name="TextBox 1"/>
        <cdr:cNvSpPr txBox="1"/>
      </cdr:nvSpPr>
      <cdr:spPr>
        <a:xfrm xmlns:a="http://schemas.openxmlformats.org/drawingml/2006/main">
          <a:off x="3819525" y="3129036"/>
          <a:ext cx="1819275" cy="3190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r-Cyrl-CS" sz="900" b="0">
              <a:solidFill>
                <a:srgbClr val="44546A"/>
              </a:solidFill>
              <a:latin typeface="Times New Roman" panose="02020603050405020304" pitchFamily="18" charset="0"/>
            </a:rPr>
            <a:t>контрациклично</a:t>
          </a:r>
          <a:r>
            <a:rPr lang="sr-Cyrl-CS" sz="900" b="0" baseline="0">
              <a:solidFill>
                <a:srgbClr val="44546A"/>
              </a:solidFill>
              <a:latin typeface="Times New Roman" panose="02020603050405020304" pitchFamily="18" charset="0"/>
            </a:rPr>
            <a:t> - рестриктивна</a:t>
          </a:r>
          <a:endParaRPr lang="sr-Cyrl-CS" sz="900" b="0">
            <a:solidFill>
              <a:srgbClr val="44546A"/>
            </a:solidFill>
            <a:latin typeface="Times New Roman" panose="02020603050405020304" pitchFamily="18" charset="0"/>
          </a:endParaRPr>
        </a:p>
      </cdr:txBody>
    </cdr:sp>
  </cdr:relSizeAnchor>
  <cdr:relSizeAnchor xmlns:cdr="http://schemas.openxmlformats.org/drawingml/2006/chartDrawing">
    <cdr:from>
      <cdr:x>0</cdr:x>
      <cdr:y>0</cdr:y>
    </cdr:from>
    <cdr:to>
      <cdr:x>0.35172</cdr:x>
      <cdr:y>0.0791</cdr:y>
    </cdr:to>
    <cdr:sp macro="" textlink="">
      <cdr:nvSpPr>
        <cdr:cNvPr id="19" name="TextBox 1"/>
        <cdr:cNvSpPr txBox="1"/>
      </cdr:nvSpPr>
      <cdr:spPr>
        <a:xfrm xmlns:a="http://schemas.openxmlformats.org/drawingml/2006/main">
          <a:off x="-4114800" y="-4562475"/>
          <a:ext cx="1000125" cy="2667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r-Cyrl-CS" sz="900" b="0">
              <a:solidFill>
                <a:srgbClr val="44546A"/>
              </a:solidFill>
              <a:latin typeface="Times New Roman" panose="02020603050405020304" pitchFamily="18" charset="0"/>
            </a:rPr>
            <a:t>контрациклично</a:t>
          </a:r>
          <a:r>
            <a:rPr lang="sr-Cyrl-CS" sz="900" b="0" baseline="0">
              <a:solidFill>
                <a:srgbClr val="44546A"/>
              </a:solidFill>
              <a:latin typeface="Times New Roman" panose="02020603050405020304" pitchFamily="18" charset="0"/>
            </a:rPr>
            <a:t> - експанзивна</a:t>
          </a:r>
        </a:p>
      </cdr:txBody>
    </cdr:sp>
  </cdr:relSizeAnchor>
</c:userShapes>
</file>

<file path=word/drawings/drawing11.xml><?xml version="1.0" encoding="utf-8"?>
<c:userShapes xmlns:c="http://schemas.openxmlformats.org/drawingml/2006/chart">
  <cdr:relSizeAnchor xmlns:cdr="http://schemas.openxmlformats.org/drawingml/2006/chartDrawing">
    <cdr:from>
      <cdr:x>0.86333</cdr:x>
      <cdr:y>0.04452</cdr:y>
    </cdr:from>
    <cdr:to>
      <cdr:x>1</cdr:x>
      <cdr:y>0.23529</cdr:y>
    </cdr:to>
    <cdr:sp macro="" textlink="">
      <cdr:nvSpPr>
        <cdr:cNvPr id="2" name="TextBox 1"/>
        <cdr:cNvSpPr txBox="1"/>
      </cdr:nvSpPr>
      <cdr:spPr>
        <a:xfrm xmlns:a="http://schemas.openxmlformats.org/drawingml/2006/main">
          <a:off x="6065520" y="21336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0.5885</cdr:x>
      <cdr:y>0</cdr:y>
    </cdr:from>
    <cdr:to>
      <cdr:x>0.98231</cdr:x>
      <cdr:y>0.73936</cdr:y>
    </cdr:to>
    <cdr:sp macro="" textlink="">
      <cdr:nvSpPr>
        <cdr:cNvPr id="3" name="TextBox 2"/>
        <cdr:cNvSpPr txBox="1"/>
      </cdr:nvSpPr>
      <cdr:spPr>
        <a:xfrm xmlns:a="http://schemas.openxmlformats.org/drawingml/2006/main">
          <a:off x="1689101" y="0"/>
          <a:ext cx="1130326" cy="1548973"/>
        </a:xfrm>
        <a:prstGeom xmlns:a="http://schemas.openxmlformats.org/drawingml/2006/main" prst="rect">
          <a:avLst/>
        </a:prstGeom>
        <a:solidFill xmlns:a="http://schemas.openxmlformats.org/drawingml/2006/main">
          <a:schemeClr val="accent5">
            <a:alpha val="10000"/>
          </a:schemeClr>
        </a:solidFill>
      </cdr:spPr>
      <cdr:txBody>
        <a:bodyPr xmlns:a="http://schemas.openxmlformats.org/drawingml/2006/main" vertOverflow="clip" wrap="square" rtlCol="0" anchor="t"/>
        <a:lstStyle xmlns:a="http://schemas.openxmlformats.org/drawingml/2006/main"/>
        <a:p xmlns:a="http://schemas.openxmlformats.org/drawingml/2006/main">
          <a:pPr algn="ctr"/>
          <a:r>
            <a:rPr lang="sr-Cyrl-RS" sz="750" b="1">
              <a:solidFill>
                <a:schemeClr val="tx2"/>
              </a:solidFill>
              <a:latin typeface="Times New Roman" panose="02020603050405020304" pitchFamily="18" charset="0"/>
              <a:cs typeface="Times New Roman" panose="02020603050405020304" pitchFamily="18" charset="0"/>
            </a:rPr>
            <a:t>ПРОЈЕКЦИЈА</a:t>
          </a:r>
          <a:endParaRPr lang="en-GB" sz="750" b="1">
            <a:solidFill>
              <a:schemeClr val="tx2"/>
            </a:solidFill>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0.424</cdr:x>
      <cdr:y>0.00827</cdr:y>
    </cdr:from>
    <cdr:to>
      <cdr:x>0.96515</cdr:x>
      <cdr:y>0.76895</cdr:y>
    </cdr:to>
    <cdr:sp macro="" textlink="">
      <cdr:nvSpPr>
        <cdr:cNvPr id="3" name="TextBox 2"/>
        <cdr:cNvSpPr txBox="1"/>
      </cdr:nvSpPr>
      <cdr:spPr>
        <a:xfrm xmlns:a="http://schemas.openxmlformats.org/drawingml/2006/main">
          <a:off x="1163118" y="19052"/>
          <a:ext cx="1484482" cy="1752440"/>
        </a:xfrm>
        <a:prstGeom xmlns:a="http://schemas.openxmlformats.org/drawingml/2006/main" prst="rect">
          <a:avLst/>
        </a:prstGeom>
        <a:solidFill xmlns:a="http://schemas.openxmlformats.org/drawingml/2006/main">
          <a:schemeClr val="accent5">
            <a:alpha val="10000"/>
          </a:schemeClr>
        </a:solidFill>
      </cdr:spPr>
      <cdr:txBody>
        <a:bodyPr xmlns:a="http://schemas.openxmlformats.org/drawingml/2006/main" vertOverflow="clip" wrap="square" rtlCol="0" anchor="t"/>
        <a:lstStyle xmlns:a="http://schemas.openxmlformats.org/drawingml/2006/main"/>
        <a:p xmlns:a="http://schemas.openxmlformats.org/drawingml/2006/main">
          <a:pPr algn="ctr"/>
          <a:r>
            <a:rPr lang="sr-Cyrl-RS" sz="750" b="1">
              <a:solidFill>
                <a:schemeClr val="tx2"/>
              </a:solidFill>
              <a:latin typeface="Times New Roman" panose="02020603050405020304" pitchFamily="18" charset="0"/>
              <a:cs typeface="Times New Roman" panose="02020603050405020304" pitchFamily="18" charset="0"/>
            </a:rPr>
            <a:t>ПРОЈЕКЦИЈА</a:t>
          </a:r>
          <a:endParaRPr lang="en-GB" sz="750" b="1">
            <a:solidFill>
              <a:schemeClr val="tx2"/>
            </a:solidFill>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0.11927</cdr:x>
      <cdr:y>0.54755</cdr:y>
    </cdr:from>
    <cdr:to>
      <cdr:x>0.99582</cdr:x>
      <cdr:y>0.54919</cdr:y>
    </cdr:to>
    <cdr:cxnSp macro="">
      <cdr:nvCxnSpPr>
        <cdr:cNvPr id="3" name="Straight Connector 2">
          <a:extLst xmlns:a="http://schemas.openxmlformats.org/drawingml/2006/main">
            <a:ext uri="{FF2B5EF4-FFF2-40B4-BE49-F238E27FC236}">
              <a16:creationId xmlns:a16="http://schemas.microsoft.com/office/drawing/2014/main" id="{AF97C602-EDF0-713A-5812-4788E2BCD26B}"/>
            </a:ext>
          </a:extLst>
        </cdr:cNvPr>
        <cdr:cNvCxnSpPr/>
      </cdr:nvCxnSpPr>
      <cdr:spPr>
        <a:xfrm xmlns:a="http://schemas.openxmlformats.org/drawingml/2006/main" flipV="1">
          <a:off x="544187" y="2511589"/>
          <a:ext cx="3999238" cy="7522"/>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0.5994</cdr:x>
      <cdr:y>0.31197</cdr:y>
    </cdr:from>
    <cdr:to>
      <cdr:x>0.5994</cdr:x>
      <cdr:y>0.34818</cdr:y>
    </cdr:to>
    <cdr:cxnSp macro="">
      <cdr:nvCxnSpPr>
        <cdr:cNvPr id="3" name="Straight Arrow Connector 2"/>
        <cdr:cNvCxnSpPr/>
      </cdr:nvCxnSpPr>
      <cdr:spPr>
        <a:xfrm xmlns:a="http://schemas.openxmlformats.org/drawingml/2006/main" flipV="1">
          <a:off x="3927978" y="1066789"/>
          <a:ext cx="0" cy="123819"/>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0.54172</cdr:x>
      <cdr:y>0.08091</cdr:y>
    </cdr:from>
    <cdr:to>
      <cdr:x>0.85875</cdr:x>
      <cdr:y>0.1271</cdr:y>
    </cdr:to>
    <cdr:sp macro="" textlink="">
      <cdr:nvSpPr>
        <cdr:cNvPr id="4" name="Text Box 94"/>
        <cdr:cNvSpPr txBox="1"/>
      </cdr:nvSpPr>
      <cdr:spPr>
        <a:xfrm xmlns:a="http://schemas.openxmlformats.org/drawingml/2006/main">
          <a:off x="3214607" y="363807"/>
          <a:ext cx="1881268" cy="207693"/>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lnSpc>
              <a:spcPct val="107000"/>
            </a:lnSpc>
            <a:spcAft>
              <a:spcPts val="800"/>
            </a:spcAft>
          </a:pPr>
          <a:r>
            <a:rPr lang="sr-Cyrl-RS" sz="800" b="0">
              <a:solidFill>
                <a:srgbClr val="44546A"/>
              </a:solidFill>
              <a:effectLst/>
              <a:latin typeface="Times New Roman" panose="02020603050405020304" pitchFamily="18" charset="0"/>
              <a:ea typeface="Calibri" panose="020F0502020204030204" pitchFamily="34" charset="0"/>
              <a:cs typeface="Times New Roman" panose="02020603050405020304" pitchFamily="18" charset="0"/>
            </a:rPr>
            <a:t>Праг фискалног подиндекса (0,36)</a:t>
          </a:r>
          <a:endParaRPr lang="en-GB" sz="800" b="0">
            <a:solidFill>
              <a:srgbClr val="44546A"/>
            </a:solidFill>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0.511</cdr:x>
      <cdr:y>0.11032</cdr:y>
    </cdr:from>
    <cdr:to>
      <cdr:x>0.53947</cdr:x>
      <cdr:y>0.12696</cdr:y>
    </cdr:to>
    <cdr:cxnSp macro="">
      <cdr:nvCxnSpPr>
        <cdr:cNvPr id="5" name="Straight Arrow Connector 4"/>
        <cdr:cNvCxnSpPr/>
      </cdr:nvCxnSpPr>
      <cdr:spPr>
        <a:xfrm xmlns:a="http://schemas.openxmlformats.org/drawingml/2006/main" flipV="1">
          <a:off x="3419886" y="568624"/>
          <a:ext cx="190500" cy="85725"/>
        </a:xfrm>
        <a:prstGeom xmlns:a="http://schemas.openxmlformats.org/drawingml/2006/main" prst="straightConnector1">
          <a:avLst/>
        </a:prstGeom>
        <a:ln xmlns:a="http://schemas.openxmlformats.org/drawingml/2006/main">
          <a:solidFill>
            <a:schemeClr val="tx1">
              <a:lumMod val="75000"/>
              <a:lumOff val="25000"/>
            </a:schemeClr>
          </a:solidFill>
          <a:prstDash val="sys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0.70246</cdr:x>
      <cdr:y>0.26085</cdr:y>
    </cdr:from>
    <cdr:to>
      <cdr:x>0.96149</cdr:x>
      <cdr:y>0.30151</cdr:y>
    </cdr:to>
    <cdr:sp macro="" textlink="">
      <cdr:nvSpPr>
        <cdr:cNvPr id="6" name="Text Box 96"/>
        <cdr:cNvSpPr txBox="1"/>
      </cdr:nvSpPr>
      <cdr:spPr>
        <a:xfrm xmlns:a="http://schemas.openxmlformats.org/drawingml/2006/main">
          <a:off x="4701205" y="1344481"/>
          <a:ext cx="1733550" cy="20955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lnSpc>
              <a:spcPct val="107000"/>
            </a:lnSpc>
            <a:spcAft>
              <a:spcPts val="800"/>
            </a:spcAft>
          </a:pPr>
          <a:r>
            <a:rPr lang="sr-Cyrl-RS" sz="700" b="0">
              <a:solidFill>
                <a:srgbClr val="44546A"/>
              </a:solidFill>
              <a:effectLst/>
              <a:latin typeface="Times New Roman" panose="02020603050405020304" pitchFamily="18" charset="0"/>
              <a:ea typeface="Calibri" panose="020F0502020204030204" pitchFamily="34" charset="0"/>
              <a:cs typeface="Times New Roman" panose="02020603050405020304" pitchFamily="18" charset="0"/>
            </a:rPr>
            <a:t>Праг финансијског подиндекса (0,49)</a:t>
          </a:r>
          <a:endParaRPr lang="en-GB" sz="1000" b="0">
            <a:solidFill>
              <a:srgbClr val="44546A"/>
            </a:solidFill>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0.91728</cdr:x>
      <cdr:y>0.24173</cdr:y>
    </cdr:from>
    <cdr:to>
      <cdr:x>0.94693</cdr:x>
      <cdr:y>0.26079</cdr:y>
    </cdr:to>
    <cdr:cxnSp macro="">
      <cdr:nvCxnSpPr>
        <cdr:cNvPr id="8" name="Straight Arrow Connector 7"/>
        <cdr:cNvCxnSpPr/>
      </cdr:nvCxnSpPr>
      <cdr:spPr>
        <a:xfrm xmlns:a="http://schemas.openxmlformats.org/drawingml/2006/main" flipH="1">
          <a:off x="6138919" y="1245908"/>
          <a:ext cx="198381" cy="98237"/>
        </a:xfrm>
        <a:prstGeom xmlns:a="http://schemas.openxmlformats.org/drawingml/2006/main" prst="straightConnector1">
          <a:avLst/>
        </a:prstGeom>
        <a:ln xmlns:a="http://schemas.openxmlformats.org/drawingml/2006/main">
          <a:solidFill>
            <a:schemeClr val="tx1">
              <a:lumMod val="75000"/>
              <a:lumOff val="25000"/>
            </a:schemeClr>
          </a:solidFill>
          <a:prstDash val="sys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0.83237</cdr:x>
      <cdr:y>0.04452</cdr:y>
    </cdr:from>
    <cdr:to>
      <cdr:x>0.96904</cdr:x>
      <cdr:y>0.10408</cdr:y>
    </cdr:to>
    <cdr:sp macro="" textlink="">
      <cdr:nvSpPr>
        <cdr:cNvPr id="2" name="TextBox 1"/>
        <cdr:cNvSpPr txBox="1"/>
      </cdr:nvSpPr>
      <cdr:spPr>
        <a:xfrm xmlns:a="http://schemas.openxmlformats.org/drawingml/2006/main">
          <a:off x="5378606" y="170300"/>
          <a:ext cx="883129" cy="22784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latin typeface="+mj-lt"/>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0.81932</cdr:x>
      <cdr:y>0.0769</cdr:y>
    </cdr:from>
    <cdr:to>
      <cdr:x>0.82058</cdr:x>
      <cdr:y>0.9015</cdr:y>
    </cdr:to>
    <cdr:cxnSp macro="">
      <cdr:nvCxnSpPr>
        <cdr:cNvPr id="3" name="Straight Connector 2"/>
        <cdr:cNvCxnSpPr/>
      </cdr:nvCxnSpPr>
      <cdr:spPr>
        <a:xfrm xmlns:a="http://schemas.openxmlformats.org/drawingml/2006/main">
          <a:off x="6231367" y="342471"/>
          <a:ext cx="9583" cy="3672244"/>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0.105</cdr:x>
      <cdr:y>0.17764</cdr:y>
    </cdr:from>
    <cdr:to>
      <cdr:x>0.3287</cdr:x>
      <cdr:y>0.5815</cdr:y>
    </cdr:to>
    <cdr:sp macro="" textlink="">
      <cdr:nvSpPr>
        <cdr:cNvPr id="11" name="Oval 10"/>
        <cdr:cNvSpPr/>
      </cdr:nvSpPr>
      <cdr:spPr>
        <a:xfrm xmlns:a="http://schemas.openxmlformats.org/drawingml/2006/main">
          <a:off x="289560" y="424697"/>
          <a:ext cx="616931" cy="965539"/>
        </a:xfrm>
        <a:prstGeom xmlns:a="http://schemas.openxmlformats.org/drawingml/2006/main" prst="ellipse">
          <a:avLst/>
        </a:prstGeom>
        <a:solidFill xmlns:a="http://schemas.openxmlformats.org/drawingml/2006/main">
          <a:srgbClr val="51BBE7">
            <a:alpha val="16000"/>
          </a:srgbClr>
        </a:solidFill>
        <a:ln xmlns:a="http://schemas.openxmlformats.org/drawingml/2006/main">
          <a:solidFill>
            <a:srgbClr val="29489A">
              <a:alpha val="50000"/>
            </a:srgb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0.04835</cdr:x>
      <cdr:y>0.10757</cdr:y>
    </cdr:from>
    <cdr:to>
      <cdr:x>0.26918</cdr:x>
      <cdr:y>0.18693</cdr:y>
    </cdr:to>
    <cdr:sp macro="" textlink="">
      <cdr:nvSpPr>
        <cdr:cNvPr id="6" name="TextBox 5"/>
        <cdr:cNvSpPr txBox="1"/>
      </cdr:nvSpPr>
      <cdr:spPr>
        <a:xfrm xmlns:a="http://schemas.openxmlformats.org/drawingml/2006/main">
          <a:off x="133350" y="257175"/>
          <a:ext cx="608997" cy="1897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800" b="0" i="0" u="none" strike="noStrike" kern="1200" baseline="0">
              <a:solidFill>
                <a:srgbClr val="44546A"/>
              </a:solidFill>
              <a:effectLst/>
              <a:latin typeface="Times New Roman" panose="02020603050405020304" pitchFamily="18" charset="0"/>
              <a:ea typeface="+mn-ea"/>
              <a:cs typeface="+mn-cs"/>
            </a:rPr>
            <a:t>Експанзивна</a:t>
          </a:r>
          <a:r>
            <a:rPr lang="en-US" sz="600" baseline="0">
              <a:latin typeface="+mn-lt"/>
            </a:rPr>
            <a:t> </a:t>
          </a:r>
        </a:p>
      </cdr:txBody>
    </cdr:sp>
  </cdr:relSizeAnchor>
  <cdr:relSizeAnchor xmlns:cdr="http://schemas.openxmlformats.org/drawingml/2006/chartDrawing">
    <cdr:from>
      <cdr:x>0.34193</cdr:x>
      <cdr:y>0.71315</cdr:y>
    </cdr:from>
    <cdr:to>
      <cdr:x>0.59941</cdr:x>
      <cdr:y>0.79283</cdr:y>
    </cdr:to>
    <cdr:sp macro="" textlink="">
      <cdr:nvSpPr>
        <cdr:cNvPr id="7" name="TextBox 6"/>
        <cdr:cNvSpPr txBox="1"/>
      </cdr:nvSpPr>
      <cdr:spPr>
        <a:xfrm xmlns:a="http://schemas.openxmlformats.org/drawingml/2006/main">
          <a:off x="942975" y="1704975"/>
          <a:ext cx="710094" cy="1904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800" b="0" baseline="0">
              <a:solidFill>
                <a:srgbClr val="44546A"/>
              </a:solidFill>
              <a:latin typeface="Times New Roman" panose="02020603050405020304" pitchFamily="18" charset="0"/>
              <a:cs typeface="Times New Roman" pitchFamily="18" charset="0"/>
            </a:rPr>
            <a:t>Рестриктивна</a:t>
          </a:r>
          <a:endParaRPr lang="en-US" sz="800" b="0" baseline="0">
            <a:solidFill>
              <a:srgbClr val="44546A"/>
            </a:solidFill>
            <a:latin typeface="Times New Roman" panose="02020603050405020304" pitchFamily="18" charset="0"/>
            <a:cs typeface="Times New Roman" pitchFamily="18" charset="0"/>
          </a:endParaRPr>
        </a:p>
      </cdr:txBody>
    </cdr:sp>
  </cdr:relSizeAnchor>
  <cdr:relSizeAnchor xmlns:cdr="http://schemas.openxmlformats.org/drawingml/2006/chartDrawing">
    <cdr:from>
      <cdr:x>0.3287</cdr:x>
      <cdr:y>0.24444</cdr:y>
    </cdr:from>
    <cdr:to>
      <cdr:x>0.41157</cdr:x>
      <cdr:y>0.61707</cdr:y>
    </cdr:to>
    <cdr:sp macro="" textlink="">
      <cdr:nvSpPr>
        <cdr:cNvPr id="12" name="Oval 11"/>
        <cdr:cNvSpPr/>
      </cdr:nvSpPr>
      <cdr:spPr>
        <a:xfrm xmlns:a="http://schemas.openxmlformats.org/drawingml/2006/main">
          <a:off x="2304576" y="1115251"/>
          <a:ext cx="581025" cy="1700115"/>
        </a:xfrm>
        <a:prstGeom xmlns:a="http://schemas.openxmlformats.org/drawingml/2006/main" prst="ellipse">
          <a:avLst/>
        </a:prstGeom>
        <a:solidFill xmlns:a="http://schemas.openxmlformats.org/drawingml/2006/main">
          <a:schemeClr val="accent3">
            <a:lumMod val="40000"/>
            <a:lumOff val="60000"/>
            <a:alpha val="15000"/>
          </a:schemeClr>
        </a:solidFill>
        <a:ln xmlns:a="http://schemas.openxmlformats.org/drawingml/2006/main">
          <a:solidFill>
            <a:schemeClr val="accent3">
              <a:alpha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latin typeface="Cambria" pitchFamily="18" charset="0"/>
          </a:endParaRPr>
        </a:p>
      </cdr:txBody>
    </cdr:sp>
  </cdr:relSizeAnchor>
  <cdr:relSizeAnchor xmlns:cdr="http://schemas.openxmlformats.org/drawingml/2006/chartDrawing">
    <cdr:from>
      <cdr:x>0.56041</cdr:x>
      <cdr:y>0.13825</cdr:y>
    </cdr:from>
    <cdr:to>
      <cdr:x>0.72635</cdr:x>
      <cdr:y>0.19124</cdr:y>
    </cdr:to>
    <cdr:sp macro="" textlink="">
      <cdr:nvSpPr>
        <cdr:cNvPr id="17" name="TextBox 16"/>
        <cdr:cNvSpPr txBox="1"/>
      </cdr:nvSpPr>
      <cdr:spPr>
        <a:xfrm xmlns:a="http://schemas.openxmlformats.org/drawingml/2006/main">
          <a:off x="3667126" y="571500"/>
          <a:ext cx="10858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0.09671</cdr:x>
      <cdr:y>0.23506</cdr:y>
    </cdr:from>
    <cdr:to>
      <cdr:x>0.37136</cdr:x>
      <cdr:y>0.33226</cdr:y>
    </cdr:to>
    <cdr:sp macro="" textlink="">
      <cdr:nvSpPr>
        <cdr:cNvPr id="18" name="TextBox 17"/>
        <cdr:cNvSpPr txBox="1"/>
      </cdr:nvSpPr>
      <cdr:spPr>
        <a:xfrm xmlns:a="http://schemas.openxmlformats.org/drawingml/2006/main">
          <a:off x="266700" y="561975"/>
          <a:ext cx="757426" cy="2323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600" b="0" baseline="0">
              <a:solidFill>
                <a:srgbClr val="44546A"/>
              </a:solidFill>
              <a:latin typeface="+mn-lt"/>
              <a:cs typeface="Times New Roman" pitchFamily="18" charset="0"/>
            </a:rPr>
            <a:t>Проциклична</a:t>
          </a:r>
          <a:endParaRPr lang="en-US" sz="600" b="0" baseline="0">
            <a:solidFill>
              <a:srgbClr val="44546A"/>
            </a:solidFill>
            <a:latin typeface="+mn-lt"/>
            <a:cs typeface="Times New Roman" pitchFamily="18" charset="0"/>
          </a:endParaRPr>
        </a:p>
      </cdr:txBody>
    </cdr:sp>
  </cdr:relSizeAnchor>
  <cdr:relSizeAnchor xmlns:cdr="http://schemas.openxmlformats.org/drawingml/2006/chartDrawing">
    <cdr:from>
      <cdr:x>0.23141</cdr:x>
      <cdr:y>0.5317</cdr:y>
    </cdr:from>
    <cdr:to>
      <cdr:x>0.5388</cdr:x>
      <cdr:y>0.62549</cdr:y>
    </cdr:to>
    <cdr:sp macro="" textlink="">
      <cdr:nvSpPr>
        <cdr:cNvPr id="19" name="TextBox 18"/>
        <cdr:cNvSpPr txBox="1"/>
      </cdr:nvSpPr>
      <cdr:spPr>
        <a:xfrm xmlns:a="http://schemas.openxmlformats.org/drawingml/2006/main">
          <a:off x="638177" y="1271183"/>
          <a:ext cx="847722" cy="2242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800" b="0" baseline="0">
              <a:solidFill>
                <a:srgbClr val="44546A"/>
              </a:solidFill>
              <a:latin typeface="Times New Roman" panose="02020603050405020304" pitchFamily="18" charset="0"/>
              <a:cs typeface="Times New Roman" pitchFamily="18" charset="0"/>
            </a:rPr>
            <a:t>Контрациклична</a:t>
          </a:r>
          <a:endParaRPr lang="en-US" sz="800" b="0" baseline="0">
            <a:solidFill>
              <a:srgbClr val="44546A"/>
            </a:solidFill>
            <a:latin typeface="Times New Roman" panose="02020603050405020304" pitchFamily="18" charset="0"/>
            <a:cs typeface="Times New Roman" pitchFamily="18" charset="0"/>
          </a:endParaRPr>
        </a:p>
      </cdr:txBody>
    </cdr:sp>
  </cdr:relSizeAnchor>
  <cdr:relSizeAnchor xmlns:cdr="http://schemas.openxmlformats.org/drawingml/2006/chartDrawing">
    <cdr:from>
      <cdr:x>0.41429</cdr:x>
      <cdr:y>0.1902</cdr:y>
    </cdr:from>
    <cdr:to>
      <cdr:x>0.58393</cdr:x>
      <cdr:y>0.7217</cdr:y>
    </cdr:to>
    <cdr:sp macro="" textlink="">
      <cdr:nvSpPr>
        <cdr:cNvPr id="10" name="Oval 9"/>
        <cdr:cNvSpPr/>
      </cdr:nvSpPr>
      <cdr:spPr>
        <a:xfrm xmlns:a="http://schemas.openxmlformats.org/drawingml/2006/main">
          <a:off x="1142531" y="454725"/>
          <a:ext cx="467829" cy="1270697"/>
        </a:xfrm>
        <a:prstGeom xmlns:a="http://schemas.openxmlformats.org/drawingml/2006/main" prst="ellipse">
          <a:avLst/>
        </a:prstGeom>
        <a:solidFill xmlns:a="http://schemas.openxmlformats.org/drawingml/2006/main">
          <a:srgbClr val="51BBE7">
            <a:alpha val="15000"/>
          </a:srgbClr>
        </a:solidFill>
        <a:ln xmlns:a="http://schemas.openxmlformats.org/drawingml/2006/main">
          <a:solidFill>
            <a:schemeClr val="accent1">
              <a:shade val="50000"/>
              <a:alpha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0.39028</cdr:x>
      <cdr:y>0.3004</cdr:y>
    </cdr:from>
    <cdr:to>
      <cdr:x>0.62169</cdr:x>
      <cdr:y>0.38645</cdr:y>
    </cdr:to>
    <cdr:sp macro="" textlink="">
      <cdr:nvSpPr>
        <cdr:cNvPr id="13" name="TextBox 12"/>
        <cdr:cNvSpPr txBox="1"/>
      </cdr:nvSpPr>
      <cdr:spPr>
        <a:xfrm xmlns:a="http://schemas.openxmlformats.org/drawingml/2006/main">
          <a:off x="1076325" y="718199"/>
          <a:ext cx="638175" cy="2057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CS" sz="800" b="0" baseline="0">
              <a:solidFill>
                <a:srgbClr val="44546A"/>
              </a:solidFill>
              <a:latin typeface="Times New Roman" panose="02020603050405020304" pitchFamily="18" charset="0"/>
            </a:rPr>
            <a:t>Проциклична</a:t>
          </a:r>
          <a:endParaRPr lang="en-US" sz="800" b="0" baseline="0">
            <a:solidFill>
              <a:srgbClr val="44546A"/>
            </a:solidFill>
            <a:latin typeface="Times New Roman" panose="02020603050405020304" pitchFamily="18" charset="0"/>
          </a:endParaRPr>
        </a:p>
      </cdr:txBody>
    </cdr:sp>
  </cdr:relSizeAnchor>
  <cdr:relSizeAnchor xmlns:cdr="http://schemas.openxmlformats.org/drawingml/2006/chartDrawing">
    <cdr:from>
      <cdr:x>0.52838</cdr:x>
      <cdr:y>0.08367</cdr:y>
    </cdr:from>
    <cdr:to>
      <cdr:x>0.79093</cdr:x>
      <cdr:y>0.11404</cdr:y>
    </cdr:to>
    <cdr:sp macro="" textlink="">
      <cdr:nvSpPr>
        <cdr:cNvPr id="15" name="TextBox 1"/>
        <cdr:cNvSpPr txBox="1"/>
      </cdr:nvSpPr>
      <cdr:spPr>
        <a:xfrm xmlns:a="http://schemas.openxmlformats.org/drawingml/2006/main">
          <a:off x="1457163" y="200025"/>
          <a:ext cx="724062" cy="726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r-Cyrl-RS" sz="800" b="0" i="0" u="none" strike="noStrike" kern="1200" baseline="0">
              <a:solidFill>
                <a:srgbClr val="44546A"/>
              </a:solidFill>
              <a:effectLst/>
              <a:latin typeface="Times New Roman" panose="02020603050405020304" pitchFamily="18" charset="0"/>
              <a:ea typeface="+mn-ea"/>
              <a:cs typeface="Times New Roman" panose="02020603050405020304" pitchFamily="18" charset="0"/>
            </a:rPr>
            <a:t>Експанзивна</a:t>
          </a:r>
          <a:r>
            <a:rPr lang="en-US" sz="800" baseline="0">
              <a:latin typeface="Times New Roman" panose="02020603050405020304" pitchFamily="18" charset="0"/>
              <a:cs typeface="Times New Roman" panose="02020603050405020304" pitchFamily="18" charset="0"/>
            </a:rPr>
            <a:t> </a:t>
          </a:r>
        </a:p>
      </cdr:txBody>
    </cdr:sp>
  </cdr:relSizeAnchor>
  <cdr:relSizeAnchor xmlns:cdr="http://schemas.openxmlformats.org/drawingml/2006/chartDrawing">
    <cdr:from>
      <cdr:x>0.58761</cdr:x>
      <cdr:y>0.09391</cdr:y>
    </cdr:from>
    <cdr:to>
      <cdr:x>0.85102</cdr:x>
      <cdr:y>0.75514</cdr:y>
    </cdr:to>
    <cdr:sp macro="" textlink="">
      <cdr:nvSpPr>
        <cdr:cNvPr id="16" name="Oval 15"/>
        <cdr:cNvSpPr/>
      </cdr:nvSpPr>
      <cdr:spPr>
        <a:xfrm xmlns:a="http://schemas.openxmlformats.org/drawingml/2006/main">
          <a:off x="1620521" y="224518"/>
          <a:ext cx="726439" cy="1580852"/>
        </a:xfrm>
        <a:prstGeom xmlns:a="http://schemas.openxmlformats.org/drawingml/2006/main" prst="ellipse">
          <a:avLst/>
        </a:prstGeom>
        <a:solidFill xmlns:a="http://schemas.openxmlformats.org/drawingml/2006/main">
          <a:schemeClr val="accent3">
            <a:lumMod val="40000"/>
            <a:lumOff val="60000"/>
            <a:alpha val="15000"/>
          </a:schemeClr>
        </a:solidFill>
        <a:ln xmlns:a="http://schemas.openxmlformats.org/drawingml/2006/main">
          <a:solidFill>
            <a:schemeClr val="accent3">
              <a:alpha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effectLst/>
          </a:endParaRPr>
        </a:p>
      </cdr:txBody>
    </cdr:sp>
  </cdr:relSizeAnchor>
  <cdr:relSizeAnchor xmlns:cdr="http://schemas.openxmlformats.org/drawingml/2006/chartDrawing">
    <cdr:from>
      <cdr:x>0.59406</cdr:x>
      <cdr:y>0.60242</cdr:y>
    </cdr:from>
    <cdr:to>
      <cdr:x>0.88418</cdr:x>
      <cdr:y>0.66932</cdr:y>
    </cdr:to>
    <cdr:sp macro="" textlink="">
      <cdr:nvSpPr>
        <cdr:cNvPr id="20" name="TextBox 1"/>
        <cdr:cNvSpPr txBox="1"/>
      </cdr:nvSpPr>
      <cdr:spPr>
        <a:xfrm xmlns:a="http://schemas.openxmlformats.org/drawingml/2006/main">
          <a:off x="1638300" y="1440252"/>
          <a:ext cx="800099" cy="1599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sr-Cyrl-RS" sz="800" b="0" baseline="0">
              <a:solidFill>
                <a:srgbClr val="44546A"/>
              </a:solidFill>
              <a:latin typeface="Times New Roman" panose="02020603050405020304" pitchFamily="18" charset="0"/>
              <a:cs typeface="Times New Roman" pitchFamily="18" charset="0"/>
            </a:rPr>
            <a:t>Контрациклична</a:t>
          </a:r>
          <a:endParaRPr lang="en-US" sz="800" b="0" baseline="0">
            <a:solidFill>
              <a:srgbClr val="44546A"/>
            </a:solidFill>
            <a:latin typeface="Times New Roman" panose="02020603050405020304"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E8F992-FE65-4CF3-AEF1-B5975ED14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36279</Words>
  <Characters>206795</Characters>
  <Application>Microsoft Office Word</Application>
  <DocSecurity>0</DocSecurity>
  <Lines>1723</Lines>
  <Paragraphs>485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Jelena Terzic</dc:creator>
  <cp:lastModifiedBy>Ministry of Finance </cp:lastModifiedBy>
  <cp:revision>3</cp:revision>
  <cp:lastPrinted>2024-12-18T12:59:00Z</cp:lastPrinted>
  <dcterms:created xsi:type="dcterms:W3CDTF">2025-01-29T13:02:00Z</dcterms:created>
  <dcterms:modified xsi:type="dcterms:W3CDTF">2025-01-29T13:03:00Z</dcterms:modified>
</cp:coreProperties>
</file>