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7D" w:rsidRDefault="004035D4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102а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>. 18/20 и 94/24),</w:t>
      </w:r>
    </w:p>
    <w:p w:rsidR="00936A7D" w:rsidRDefault="004035D4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936A7D" w:rsidRDefault="004035D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ПРАВИЛНИК </w:t>
      </w:r>
    </w:p>
    <w:p w:rsidR="00936A7D" w:rsidRDefault="004035D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условима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поступку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верификације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играча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br/>
      </w:r>
      <w:proofErr w:type="spellStart"/>
      <w:r>
        <w:rPr>
          <w:rFonts w:ascii="Verdana" w:eastAsia="Verdana" w:hAnsi="Verdana" w:cs="Verdana"/>
          <w:b/>
        </w:rPr>
        <w:t>код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приређивача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посебних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игара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срећу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преко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средстава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електронске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комуникације</w:t>
      </w:r>
      <w:proofErr w:type="spellEnd"/>
    </w:p>
    <w:p w:rsidR="00936A7D" w:rsidRDefault="004035D4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936A7D" w:rsidRDefault="004035D4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поступак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старости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</w:t>
      </w:r>
      <w:r>
        <w:rPr>
          <w:rFonts w:ascii="Verdana" w:eastAsia="Verdana" w:hAnsi="Verdana" w:cs="Verdana"/>
        </w:rPr>
        <w:t>рује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учешће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посебним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>).</w:t>
      </w:r>
    </w:p>
    <w:p w:rsidR="00936A7D" w:rsidRDefault="004035D4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936A7D" w:rsidRDefault="004035D4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р</w:t>
      </w:r>
      <w:r>
        <w:rPr>
          <w:rFonts w:ascii="Verdana" w:eastAsia="Verdana" w:hAnsi="Verdana" w:cs="Verdana"/>
        </w:rPr>
        <w:t>ачуна</w:t>
      </w:r>
      <w:proofErr w:type="spellEnd"/>
      <w:r>
        <w:rPr>
          <w:rFonts w:ascii="Verdana" w:eastAsia="Verdana" w:hAnsi="Verdana" w:cs="Verdana"/>
        </w:rPr>
        <w:t xml:space="preserve">  (</w:t>
      </w:r>
      <w:proofErr w:type="spellStart"/>
      <w:proofErr w:type="gramEnd"/>
      <w:r>
        <w:rPr>
          <w:rFonts w:ascii="Verdana" w:eastAsia="Verdana" w:hAnsi="Verdana" w:cs="Verdana"/>
        </w:rPr>
        <w:t>корисничког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региструје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учешће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посебним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старости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датуму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идентификационог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коришћењем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</w:t>
      </w:r>
      <w:r>
        <w:rPr>
          <w:rFonts w:ascii="Verdana" w:eastAsia="Verdana" w:hAnsi="Verdana" w:cs="Verdana"/>
        </w:rPr>
        <w:t>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верификација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). </w:t>
      </w:r>
    </w:p>
    <w:p w:rsidR="00936A7D" w:rsidRDefault="004035D4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верификацију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самостално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употребом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регистроване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шеме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идентификације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нивоа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шеме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уписана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 пружалаца </w:t>
      </w:r>
      <w:proofErr w:type="spellStart"/>
      <w:r>
        <w:rPr>
          <w:rFonts w:ascii="Verdana" w:eastAsia="Verdana" w:hAnsi="Verdana" w:cs="Verdana"/>
        </w:rPr>
        <w:t>услуга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идентификације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шема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идентификације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електронској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идентификацији</w:t>
      </w:r>
      <w:proofErr w:type="spellEnd"/>
      <w:r>
        <w:rPr>
          <w:rFonts w:ascii="Verdana" w:eastAsia="Verdana" w:hAnsi="Verdana" w:cs="Verdana"/>
        </w:rPr>
        <w:t>.</w:t>
      </w:r>
    </w:p>
    <w:p w:rsidR="00936A7D" w:rsidRDefault="004035D4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приликом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верификације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проверава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региструје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учешће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поседује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идентификациони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личну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пасош</w:t>
      </w:r>
      <w:proofErr w:type="spellEnd"/>
      <w:r>
        <w:rPr>
          <w:rFonts w:ascii="Verdana" w:eastAsia="Verdana" w:hAnsi="Verdana" w:cs="Verdana"/>
        </w:rPr>
        <w:t xml:space="preserve">) и </w:t>
      </w:r>
      <w:proofErr w:type="spellStart"/>
      <w:r>
        <w:rPr>
          <w:rFonts w:ascii="Verdana" w:eastAsia="Verdana" w:hAnsi="Verdana" w:cs="Verdana"/>
        </w:rPr>
        <w:t>увидом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датуму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рођења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идентификационом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пунолетно</w:t>
      </w:r>
      <w:proofErr w:type="spellEnd"/>
      <w:r>
        <w:rPr>
          <w:rFonts w:ascii="Verdana" w:eastAsia="Verdana" w:hAnsi="Verdana" w:cs="Verdana"/>
        </w:rPr>
        <w:t>.</w:t>
      </w:r>
    </w:p>
    <w:p w:rsidR="00936A7D" w:rsidRDefault="004035D4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</w:t>
      </w:r>
      <w:r>
        <w:rPr>
          <w:rFonts w:ascii="Verdana" w:eastAsia="Verdana" w:hAnsi="Verdana" w:cs="Verdana"/>
        </w:rPr>
        <w:t>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корисничког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налога</w:t>
      </w:r>
      <w:proofErr w:type="spellEnd"/>
      <w:r>
        <w:rPr>
          <w:rFonts w:ascii="Verdana" w:eastAsia="Verdana" w:hAnsi="Verdana" w:cs="Verdana"/>
        </w:rPr>
        <w:t xml:space="preserve">), </w:t>
      </w:r>
      <w:proofErr w:type="spellStart"/>
      <w:r>
        <w:rPr>
          <w:rFonts w:ascii="Verdana" w:eastAsia="Verdana" w:hAnsi="Verdana" w:cs="Verdana"/>
        </w:rPr>
        <w:t>нити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лицу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спроведен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верификације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2. </w:t>
      </w:r>
      <w:r>
        <w:rPr>
          <w:rFonts w:ascii="Verdana" w:eastAsia="Verdana" w:hAnsi="Verdana" w:cs="Verdana"/>
        </w:rPr>
        <w:t xml:space="preserve">и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</w:t>
      </w:r>
    </w:p>
    <w:p w:rsidR="00936A7D" w:rsidRDefault="004035D4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936A7D" w:rsidRDefault="004035D4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документацију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прибављену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верификације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идентитета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чува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архивира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спречавање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новца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финансирања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тероризма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936A7D" w:rsidRDefault="004035D4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</w:t>
      </w:r>
      <w:r>
        <w:rPr>
          <w:rFonts w:ascii="Verdana" w:eastAsia="Verdana" w:hAnsi="Verdana" w:cs="Verdana"/>
        </w:rPr>
        <w:t>иликом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прибављених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верификације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заштита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личности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936A7D" w:rsidRDefault="004035D4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lastRenderedPageBreak/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936A7D" w:rsidRDefault="004035D4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”. </w:t>
      </w:r>
    </w:p>
    <w:p w:rsidR="00936A7D" w:rsidRDefault="004035D4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</w:t>
      </w:r>
      <w:r>
        <w:rPr>
          <w:rFonts w:ascii="Verdana" w:eastAsia="Verdana" w:hAnsi="Verdana" w:cs="Verdana"/>
        </w:rPr>
        <w:t>рој</w:t>
      </w:r>
      <w:proofErr w:type="spellEnd"/>
      <w:r>
        <w:rPr>
          <w:rFonts w:ascii="Verdana" w:eastAsia="Verdana" w:hAnsi="Verdana" w:cs="Verdana"/>
        </w:rPr>
        <w:t xml:space="preserve"> 001892580 2025 10520 027 000 012 001</w:t>
      </w:r>
    </w:p>
    <w:p w:rsidR="00936A7D" w:rsidRDefault="004035D4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28. </w:t>
      </w:r>
      <w:proofErr w:type="spellStart"/>
      <w:r>
        <w:rPr>
          <w:rFonts w:ascii="Verdana" w:eastAsia="Verdana" w:hAnsi="Verdana" w:cs="Verdana"/>
        </w:rPr>
        <w:t>априла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936A7D" w:rsidRDefault="004035D4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936A7D" w:rsidRDefault="004035D4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Синиша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Мали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936A7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7D"/>
    <w:rsid w:val="004035D4"/>
    <w:rsid w:val="0093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6D890-2AE9-4001-80A6-719F0276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2025-05-19T07:39:00Z</dcterms:created>
  <dcterms:modified xsi:type="dcterms:W3CDTF">2025-05-19T07:39:00Z</dcterms:modified>
</cp:coreProperties>
</file>