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0" w:rsidRPr="008F507B" w:rsidRDefault="00FD1470" w:rsidP="00FD1470">
      <w:pPr>
        <w:rPr>
          <w:sz w:val="36"/>
          <w:lang w:val="sr-Cyrl-RS"/>
        </w:rPr>
      </w:pPr>
      <w:bookmarkStart w:id="0" w:name="_Toc66194786"/>
      <w:bookmarkStart w:id="1" w:name="_Toc72488780"/>
    </w:p>
    <w:p w:rsidR="008F507B" w:rsidRDefault="008F507B" w:rsidP="008F507B">
      <w:pPr>
        <w:jc w:val="center"/>
        <w:rPr>
          <w:sz w:val="36"/>
          <w:lang w:val="sr-Cyrl-RS"/>
        </w:rPr>
      </w:pPr>
    </w:p>
    <w:p w:rsidR="008F507B" w:rsidRPr="00D8283D" w:rsidRDefault="008F507B" w:rsidP="00D8283D">
      <w:pPr>
        <w:pStyle w:val="Heading5"/>
        <w:jc w:val="center"/>
        <w:rPr>
          <w:rFonts w:ascii="Times New Roman" w:hAnsi="Times New Roman" w:cs="Times New Roman"/>
          <w:sz w:val="40"/>
          <w:szCs w:val="40"/>
          <w:lang w:val="sr-Cyrl-RS"/>
        </w:rPr>
      </w:pPr>
    </w:p>
    <w:p w:rsidR="00FD1470" w:rsidRPr="00D8283D" w:rsidRDefault="005370CD" w:rsidP="005370CD">
      <w:pPr>
        <w:pStyle w:val="Heading5"/>
        <w:jc w:val="center"/>
        <w:rPr>
          <w:rFonts w:ascii="Times New Roman" w:hAnsi="Times New Roman" w:cs="Times New Roman"/>
          <w:sz w:val="36"/>
          <w:szCs w:val="36"/>
          <w:lang w:val="sr-Cyrl-RS"/>
        </w:rPr>
      </w:pPr>
      <w:r>
        <w:rPr>
          <w:rFonts w:ascii="Times New Roman" w:hAnsi="Times New Roman" w:cs="Times New Roman"/>
          <w:sz w:val="36"/>
          <w:szCs w:val="36"/>
          <w:lang w:val="sr-Latn-RS"/>
        </w:rPr>
        <w:t xml:space="preserve">DRAFT </w:t>
      </w:r>
      <w:r>
        <w:rPr>
          <w:rFonts w:ascii="Times New Roman" w:hAnsi="Times New Roman" w:cs="Times New Roman"/>
          <w:sz w:val="36"/>
          <w:szCs w:val="36"/>
        </w:rPr>
        <w:t>P</w:t>
      </w:r>
      <w:r w:rsidRPr="005370CD">
        <w:rPr>
          <w:rFonts w:ascii="Times New Roman" w:hAnsi="Times New Roman" w:cs="Times New Roman"/>
          <w:sz w:val="36"/>
          <w:szCs w:val="36"/>
        </w:rPr>
        <w:t xml:space="preserve">ublic Financial Management Reform </w:t>
      </w:r>
      <w:r w:rsidR="00EC4642">
        <w:rPr>
          <w:rFonts w:ascii="Times New Roman" w:hAnsi="Times New Roman" w:cs="Times New Roman"/>
          <w:sz w:val="36"/>
          <w:szCs w:val="36"/>
        </w:rPr>
        <w:t xml:space="preserve">PROGRAM </w:t>
      </w:r>
      <w:r w:rsidRPr="005370CD">
        <w:rPr>
          <w:rFonts w:ascii="Times New Roman" w:hAnsi="Times New Roman" w:cs="Times New Roman"/>
          <w:sz w:val="36"/>
          <w:szCs w:val="36"/>
        </w:rPr>
        <w:t>2026–2030</w:t>
      </w:r>
      <w:r w:rsidRPr="005370CD">
        <w:rPr>
          <w:rFonts w:ascii="Times New Roman" w:hAnsi="Times New Roman" w:cs="Times New Roman"/>
          <w:sz w:val="36"/>
          <w:szCs w:val="36"/>
        </w:rPr>
        <w:br/>
        <w:t>with the accompanying Action Plan for the period 2026–2028</w:t>
      </w:r>
    </w:p>
    <w:p w:rsidR="00FD1470" w:rsidRPr="008F507B" w:rsidRDefault="00FD1470" w:rsidP="008F507B">
      <w:pPr>
        <w:jc w:val="center"/>
        <w:rPr>
          <w:sz w:val="36"/>
          <w:lang w:val="sr-Cyrl-RS"/>
        </w:rPr>
      </w:pPr>
    </w:p>
    <w:p w:rsidR="00FD1470" w:rsidRDefault="00FD1470" w:rsidP="008F507B">
      <w:pPr>
        <w:jc w:val="center"/>
        <w:rPr>
          <w:lang w:val="sr-Cyrl-RS"/>
        </w:rPr>
      </w:pPr>
    </w:p>
    <w:p w:rsidR="00FD1470" w:rsidRDefault="00FD1470" w:rsidP="008F507B">
      <w:pPr>
        <w:jc w:val="center"/>
        <w:rPr>
          <w:lang w:val="sr-Cyrl-RS"/>
        </w:rPr>
      </w:pPr>
    </w:p>
    <w:p w:rsidR="00FD1470" w:rsidRDefault="00FD1470" w:rsidP="008F507B">
      <w:pPr>
        <w:jc w:val="center"/>
        <w:rPr>
          <w:lang w:val="sr-Cyrl-RS"/>
        </w:rPr>
      </w:pPr>
    </w:p>
    <w:p w:rsidR="00FD1470" w:rsidRDefault="00FD1470" w:rsidP="008F507B">
      <w:pPr>
        <w:jc w:val="center"/>
        <w:rPr>
          <w:lang w:val="sr-Cyrl-RS"/>
        </w:rPr>
      </w:pPr>
    </w:p>
    <w:p w:rsidR="00D8283D" w:rsidRDefault="00D8283D" w:rsidP="008F507B">
      <w:pPr>
        <w:jc w:val="center"/>
        <w:rPr>
          <w:lang w:val="sr-Cyrl-RS"/>
        </w:rPr>
      </w:pPr>
    </w:p>
    <w:p w:rsidR="00D8283D" w:rsidRDefault="00D8283D" w:rsidP="008F507B">
      <w:pPr>
        <w:jc w:val="center"/>
        <w:rPr>
          <w:lang w:val="sr-Cyrl-RS"/>
        </w:rPr>
      </w:pPr>
    </w:p>
    <w:p w:rsidR="00566EB8" w:rsidRDefault="00566EB8" w:rsidP="008F507B">
      <w:pPr>
        <w:jc w:val="center"/>
        <w:rPr>
          <w:lang w:val="sr-Cyrl-RS"/>
        </w:rPr>
      </w:pPr>
    </w:p>
    <w:p w:rsidR="00566EB8" w:rsidRDefault="00566EB8" w:rsidP="008F507B">
      <w:pPr>
        <w:jc w:val="center"/>
        <w:rPr>
          <w:lang w:val="sr-Cyrl-RS"/>
        </w:rPr>
      </w:pPr>
    </w:p>
    <w:p w:rsidR="00566EB8" w:rsidRDefault="00566EB8" w:rsidP="008F507B">
      <w:pPr>
        <w:jc w:val="center"/>
        <w:rPr>
          <w:lang w:val="sr-Cyrl-RS"/>
        </w:rPr>
      </w:pPr>
      <w:bookmarkStart w:id="2" w:name="_GoBack"/>
      <w:bookmarkEnd w:id="2"/>
    </w:p>
    <w:p w:rsidR="00D8283D" w:rsidRDefault="00D8283D" w:rsidP="008F507B">
      <w:pPr>
        <w:jc w:val="center"/>
        <w:rPr>
          <w:lang w:val="sr-Cyrl-RS"/>
        </w:rPr>
      </w:pPr>
    </w:p>
    <w:p w:rsidR="00D8283D" w:rsidRDefault="00D8283D" w:rsidP="008F507B">
      <w:pPr>
        <w:jc w:val="center"/>
        <w:rPr>
          <w:lang w:val="sr-Cyrl-RS"/>
        </w:rPr>
      </w:pPr>
    </w:p>
    <w:p w:rsidR="00D8283D" w:rsidRDefault="00D8283D" w:rsidP="008F507B">
      <w:pPr>
        <w:jc w:val="center"/>
        <w:rPr>
          <w:lang w:val="sr-Cyrl-RS"/>
        </w:rPr>
      </w:pPr>
    </w:p>
    <w:p w:rsidR="00D8283D" w:rsidRDefault="00D8283D" w:rsidP="008F507B">
      <w:pPr>
        <w:jc w:val="center"/>
        <w:rPr>
          <w:lang w:val="sr-Cyrl-RS"/>
        </w:rPr>
      </w:pPr>
    </w:p>
    <w:p w:rsidR="00D8283D" w:rsidRDefault="00D8283D" w:rsidP="008F507B">
      <w:pPr>
        <w:jc w:val="center"/>
        <w:rPr>
          <w:lang w:val="sr-Cyrl-RS"/>
        </w:rPr>
      </w:pPr>
    </w:p>
    <w:p w:rsidR="00D8283D" w:rsidRPr="00D8283D" w:rsidRDefault="005370CD" w:rsidP="008F507B">
      <w:pPr>
        <w:jc w:val="center"/>
        <w:rPr>
          <w:rFonts w:ascii="Times New Roman" w:hAnsi="Times New Roman" w:cs="Times New Roman"/>
          <w:caps/>
          <w:color w:val="2E74B5" w:themeColor="accent1" w:themeShade="BF"/>
          <w:spacing w:val="10"/>
          <w:sz w:val="36"/>
          <w:szCs w:val="36"/>
          <w:lang w:val="sr-Cyrl-RS"/>
        </w:rPr>
      </w:pPr>
      <w:r>
        <w:rPr>
          <w:rFonts w:ascii="Times New Roman" w:hAnsi="Times New Roman" w:cs="Times New Roman"/>
          <w:caps/>
          <w:color w:val="2E74B5" w:themeColor="accent1" w:themeShade="BF"/>
          <w:spacing w:val="10"/>
          <w:sz w:val="36"/>
          <w:szCs w:val="36"/>
          <w:lang w:val="sr-Latn-RS"/>
        </w:rPr>
        <w:t>NOVEMBER</w:t>
      </w:r>
      <w:r>
        <w:rPr>
          <w:rFonts w:ascii="Times New Roman" w:hAnsi="Times New Roman" w:cs="Times New Roman"/>
          <w:caps/>
          <w:color w:val="2E74B5" w:themeColor="accent1" w:themeShade="BF"/>
          <w:spacing w:val="10"/>
          <w:sz w:val="36"/>
          <w:szCs w:val="36"/>
          <w:lang w:val="sr-Cyrl-RS"/>
        </w:rPr>
        <w:t xml:space="preserve"> 2025.</w:t>
      </w:r>
    </w:p>
    <w:p w:rsidR="00FD1470" w:rsidRDefault="00FD1470" w:rsidP="008F507B">
      <w:pPr>
        <w:jc w:val="center"/>
        <w:rPr>
          <w:lang w:val="sr-Cyrl-RS"/>
        </w:rPr>
      </w:pPr>
    </w:p>
    <w:p w:rsidR="00FD1470" w:rsidRDefault="00FD1470" w:rsidP="00FD1470">
      <w:pPr>
        <w:rPr>
          <w:lang w:val="sr-Cyrl-RS"/>
        </w:rPr>
      </w:pPr>
    </w:p>
    <w:p w:rsidR="00B31026" w:rsidRDefault="00B31026" w:rsidP="00FD1470">
      <w:pPr>
        <w:rPr>
          <w:lang w:val="sr-Cyrl-RS"/>
        </w:rPr>
      </w:pPr>
    </w:p>
    <w:p w:rsidR="00B31026" w:rsidRDefault="00B31026" w:rsidP="00FD1470">
      <w:pPr>
        <w:rPr>
          <w:lang w:val="sr-Cyrl-RS"/>
        </w:rPr>
      </w:pPr>
    </w:p>
    <w:p w:rsidR="00FD1470" w:rsidRPr="009712B4" w:rsidRDefault="00FD1470" w:rsidP="00FD1470"/>
    <w:p w:rsidR="00FD1470" w:rsidRDefault="00FD1470" w:rsidP="00FD1470">
      <w:pPr>
        <w:rPr>
          <w:lang w:val="sr-Cyrl-RS"/>
        </w:rPr>
      </w:pPr>
    </w:p>
    <w:p w:rsidR="00853BE4" w:rsidRPr="00CB55BB" w:rsidRDefault="00853BE4" w:rsidP="00566EB8">
      <w:pPr>
        <w:pStyle w:val="TOCHeading"/>
        <w:rPr>
          <w:rFonts w:ascii="Times New Roman" w:hAnsi="Times New Roman" w:cs="Times New Roman"/>
          <w:sz w:val="24"/>
          <w:szCs w:val="24"/>
        </w:rPr>
      </w:pPr>
    </w:p>
    <w:p w:rsidR="00E9233C" w:rsidRPr="00B26B4D" w:rsidRDefault="00A94D62" w:rsidP="00B26B4D">
      <w:pPr>
        <w:pStyle w:val="Heading1"/>
        <w:jc w:val="center"/>
        <w:rPr>
          <w:rFonts w:ascii="Times New Roman" w:hAnsi="Times New Roman" w:cs="Times New Roman"/>
          <w:sz w:val="24"/>
          <w:szCs w:val="24"/>
        </w:rPr>
      </w:pPr>
      <w:bookmarkStart w:id="3" w:name="_Toc211860014"/>
      <w:bookmarkEnd w:id="0"/>
      <w:bookmarkEnd w:id="1"/>
      <w:r>
        <w:rPr>
          <w:rFonts w:ascii="Times New Roman" w:hAnsi="Times New Roman" w:cs="Times New Roman"/>
          <w:sz w:val="24"/>
          <w:szCs w:val="24"/>
        </w:rPr>
        <w:t xml:space="preserve">PART </w:t>
      </w:r>
      <w:r w:rsidR="00E9233C" w:rsidRPr="00B26B4D">
        <w:rPr>
          <w:rFonts w:ascii="Times New Roman" w:hAnsi="Times New Roman" w:cs="Times New Roman"/>
          <w:sz w:val="24"/>
          <w:szCs w:val="24"/>
        </w:rPr>
        <w:t xml:space="preserve">I </w:t>
      </w:r>
      <w:r w:rsidR="00E7663E">
        <w:rPr>
          <w:rFonts w:ascii="Times New Roman" w:hAnsi="Times New Roman" w:cs="Times New Roman"/>
          <w:sz w:val="24"/>
          <w:szCs w:val="24"/>
        </w:rPr>
        <w:t>–</w:t>
      </w:r>
      <w:r w:rsidR="00EB19CF" w:rsidRPr="00B26B4D">
        <w:rPr>
          <w:rFonts w:ascii="Times New Roman" w:hAnsi="Times New Roman" w:cs="Times New Roman"/>
          <w:sz w:val="24"/>
          <w:szCs w:val="24"/>
        </w:rPr>
        <w:t xml:space="preserve"> </w:t>
      </w:r>
      <w:bookmarkEnd w:id="3"/>
      <w:r w:rsidR="00E7663E">
        <w:rPr>
          <w:rFonts w:ascii="Times New Roman" w:hAnsi="Times New Roman" w:cs="Times New Roman"/>
          <w:sz w:val="24"/>
          <w:szCs w:val="24"/>
        </w:rPr>
        <w:t xml:space="preserve">INTRODUCTION </w:t>
      </w:r>
    </w:p>
    <w:p w:rsidR="00E7663E" w:rsidRDefault="00E7663E" w:rsidP="00E7663E">
      <w:pPr>
        <w:ind w:firstLine="708"/>
        <w:jc w:val="both"/>
        <w:rPr>
          <w:rFonts w:ascii="Times New Roman" w:eastAsia="Times New Roman" w:hAnsi="Times New Roman" w:cs="Times New Roman"/>
          <w:b/>
          <w:bCs/>
          <w:sz w:val="24"/>
          <w:szCs w:val="24"/>
          <w:shd w:val="clear" w:color="auto" w:fill="FFFFFF"/>
        </w:rPr>
      </w:pP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CA2667">
        <w:rPr>
          <w:rFonts w:ascii="Times New Roman" w:eastAsia="Times New Roman" w:hAnsi="Times New Roman" w:cs="Times New Roman"/>
          <w:bCs/>
          <w:sz w:val="24"/>
          <w:szCs w:val="24"/>
          <w:shd w:val="clear" w:color="auto" w:fill="FFFFFF"/>
        </w:rPr>
        <w:t>Public Financial Management Reform Program 2026–2030 (hereinafter: PFMRP 2026–2030)</w:t>
      </w:r>
      <w:r w:rsidRPr="00E7663E">
        <w:rPr>
          <w:rFonts w:ascii="Times New Roman" w:eastAsia="Times New Roman" w:hAnsi="Times New Roman" w:cs="Times New Roman"/>
          <w:sz w:val="24"/>
          <w:szCs w:val="24"/>
          <w:shd w:val="clear" w:color="auto" w:fill="FFFFFF"/>
        </w:rPr>
        <w:t xml:space="preserve"> represents a strategic document that ensures continuity and deepens the reform efforts initiated in previous cycles, namely under PFMRP 2021–2025. The main objective of this program is to further enhance the efficiency, transparency, and accountability in managing public finances in the Republic of Serbia.</w:t>
      </w: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 xml:space="preserve">The implementation of PFMRP 2026–2030 is aligned with Serbia’s commitments under the European integration process. Public financial management reform is part of Cluster 1 – </w:t>
      </w:r>
      <w:r w:rsidRPr="00E7663E">
        <w:rPr>
          <w:rFonts w:ascii="Times New Roman" w:eastAsia="Times New Roman" w:hAnsi="Times New Roman" w:cs="Times New Roman"/>
          <w:i/>
          <w:iCs/>
          <w:sz w:val="24"/>
          <w:szCs w:val="24"/>
          <w:shd w:val="clear" w:color="auto" w:fill="FFFFFF"/>
        </w:rPr>
        <w:t>Fundamentals</w:t>
      </w:r>
      <w:r w:rsidRPr="00E7663E">
        <w:rPr>
          <w:rFonts w:ascii="Times New Roman" w:eastAsia="Times New Roman" w:hAnsi="Times New Roman" w:cs="Times New Roman"/>
          <w:sz w:val="24"/>
          <w:szCs w:val="24"/>
          <w:shd w:val="clear" w:color="auto" w:fill="FFFFFF"/>
        </w:rPr>
        <w:t xml:space="preserve"> within the public administration reform policy framework, which holds cross-cutting importance for macroeconomic stability, good governance, and transparency. This program also supports the fulfillment of obligations under several EU negotiation chapters, including Chapter 5 – Public Procurement, Chapter 16 – Taxation, Chapter 17 – Economic and Monetary Policy, Chapter 29 – Customs Union, Chapter 32 – Financial Control, and Chapter 33 – Financial and Budgetary Provisions, as well as the implementation of the </w:t>
      </w:r>
      <w:r w:rsidRPr="00E7663E">
        <w:rPr>
          <w:rFonts w:ascii="Times New Roman" w:eastAsia="Times New Roman" w:hAnsi="Times New Roman" w:cs="Times New Roman"/>
          <w:i/>
          <w:iCs/>
          <w:sz w:val="24"/>
          <w:szCs w:val="24"/>
          <w:shd w:val="clear" w:color="auto" w:fill="FFFFFF"/>
        </w:rPr>
        <w:t>Growth Plan for the Western Balkans</w:t>
      </w:r>
      <w:r w:rsidRPr="00E7663E">
        <w:rPr>
          <w:rFonts w:ascii="Times New Roman" w:eastAsia="Times New Roman" w:hAnsi="Times New Roman" w:cs="Times New Roman"/>
          <w:sz w:val="24"/>
          <w:szCs w:val="24"/>
          <w:shd w:val="clear" w:color="auto" w:fill="FFFFFF"/>
        </w:rPr>
        <w:t>.</w:t>
      </w: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PFMRP also serves as an important instrument for planning donor assistance, which is crucial for the successful implementation of reform measures. In the previous period, progress in public financial management was recognized as a precondition for accessing EU Sector Budget Support. Likewise, progress in this area represents a prerequisite for utilizing the Reform and Growth Instrument of the Western Balkans Growth Plan. The results of implemented reforms directly contribute to achieving the Sustainable Development Goals (SDGs) and improving the quality of public administration in Serbia. The importance of the United Nations SDGs, particularly in their economic dimension, is reflected in the promotion of continuous, inclusive, and sustainable economic growth and the reduction of inequalities. This framework is essential for PFMRP as it ensures a stable macroeconomic environment and responsible fiscal policy, while promoting development-oriented policies.</w:t>
      </w: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The measures and activities defined under this program aim to strengthen institutional capacities and improve the public finance system through the enhancement of the legal and strategic framework, investments in digitalization, and development of knowledge and skills. This will enable Serbia to better address challenges and seize opportunities for sustainable economic development and faster integration into the European Union.</w:t>
      </w: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 xml:space="preserve">The </w:t>
      </w:r>
      <w:r w:rsidRPr="00CA2667">
        <w:rPr>
          <w:rFonts w:ascii="Times New Roman" w:eastAsia="Times New Roman" w:hAnsi="Times New Roman" w:cs="Times New Roman"/>
          <w:bCs/>
          <w:sz w:val="24"/>
          <w:szCs w:val="24"/>
          <w:shd w:val="clear" w:color="auto" w:fill="FFFFFF"/>
        </w:rPr>
        <w:t xml:space="preserve">Working Group for the Development, Monitoring, and Reporting on the Implementation of the Public Financial Management Reform Program (PFMRP Working </w:t>
      </w:r>
      <w:r w:rsidRPr="00CA2667">
        <w:rPr>
          <w:rFonts w:ascii="Times New Roman" w:eastAsia="Times New Roman" w:hAnsi="Times New Roman" w:cs="Times New Roman"/>
          <w:bCs/>
          <w:sz w:val="24"/>
          <w:szCs w:val="24"/>
          <w:shd w:val="clear" w:color="auto" w:fill="FFFFFF"/>
        </w:rPr>
        <w:lastRenderedPageBreak/>
        <w:t>Group)</w:t>
      </w:r>
      <w:r w:rsidRPr="00E7663E">
        <w:rPr>
          <w:rFonts w:ascii="Times New Roman" w:eastAsia="Times New Roman" w:hAnsi="Times New Roman" w:cs="Times New Roman"/>
          <w:sz w:val="24"/>
          <w:szCs w:val="24"/>
          <w:shd w:val="clear" w:color="auto" w:fill="FFFFFF"/>
        </w:rPr>
        <w:t xml:space="preserve"> serves as an operational body that brings together all relevant institutions participating in the reform process. The working group, chaired by the Minister of Finance, was established by the Decision of the Minister of Finance on June 3, 2025.</w:t>
      </w: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Within PFMRP 2026–2030, special attention will be devoted to the development of efficient, accountable, and transparent institutions at all levels, in line with the goals of strengthening institutional capacity and transparency. The measures defined in the program will be further elaborated through a corresponding Action Plan, with lead institutions including members of the PFMRP Working Group. In drafting the program, particular attention was given to alignment with international standards and Serbia’s existing commitments, as well as to strengthening risk management capacities.</w:t>
      </w: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 xml:space="preserve">The </w:t>
      </w:r>
      <w:r w:rsidRPr="00CA2667">
        <w:rPr>
          <w:rFonts w:ascii="Times New Roman" w:eastAsia="Times New Roman" w:hAnsi="Times New Roman" w:cs="Times New Roman"/>
          <w:bCs/>
          <w:sz w:val="24"/>
          <w:szCs w:val="24"/>
          <w:shd w:val="clear" w:color="auto" w:fill="FFFFFF"/>
        </w:rPr>
        <w:t>coordination of PFMRP 2026–2030 preparation</w:t>
      </w:r>
      <w:r w:rsidRPr="00E7663E">
        <w:rPr>
          <w:rFonts w:ascii="Times New Roman" w:eastAsia="Times New Roman" w:hAnsi="Times New Roman" w:cs="Times New Roman"/>
          <w:sz w:val="24"/>
          <w:szCs w:val="24"/>
          <w:shd w:val="clear" w:color="auto" w:fill="FFFFFF"/>
        </w:rPr>
        <w:t xml:space="preserve"> was led by the Technical Secretariat, responsible for coordinating the work of the working group. This secretariat operates within the Department for International Cooperation and European Integration of the Ministry of Finance. The consultation and public discussion process for the preparation of the new PFMRP 2026–2030 began within the framework of the Public Administration Reform Strategy Working Group. During this process, representatives of the PFMRP Technical Secretariat presented the plan and timeline for preparing the new program, with the participation of all relevant Serbian institutions and SIGMA representatives.</w:t>
      </w: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It was agreed that the preparation of the new PFMRP would be conducted through the working group established for the development, implementation, and reporting on PFMRP 2026–2030, thus continuing the practice from previous cycles. Regular contacts and consultations were established with SIGMA to ensure the quality of the document and reach timely consensus on processes and planned measures. This approach represents an improvement over previous programs, in which SIGMA was consulted only during the public discussion phase, and now allows for the avoidance of substantive comments at later stages of document preparation.</w:t>
      </w:r>
    </w:p>
    <w:p w:rsidR="00E7663E" w:rsidRPr="00CA2667"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After reviewing the baseline analyses (</w:t>
      </w:r>
      <w:r w:rsidRPr="00E7663E">
        <w:rPr>
          <w:rFonts w:ascii="Times New Roman" w:eastAsia="Times New Roman" w:hAnsi="Times New Roman" w:cs="Times New Roman"/>
          <w:i/>
          <w:iCs/>
          <w:sz w:val="24"/>
          <w:szCs w:val="24"/>
          <w:shd w:val="clear" w:color="auto" w:fill="FFFFFF"/>
        </w:rPr>
        <w:t>ex ante</w:t>
      </w:r>
      <w:r w:rsidRPr="00E7663E">
        <w:rPr>
          <w:rFonts w:ascii="Times New Roman" w:eastAsia="Times New Roman" w:hAnsi="Times New Roman" w:cs="Times New Roman"/>
          <w:sz w:val="24"/>
          <w:szCs w:val="24"/>
          <w:shd w:val="clear" w:color="auto" w:fill="FFFFFF"/>
        </w:rPr>
        <w:t xml:space="preserve">) and available documents for the preparation of the new Program, as well as SIGMA and preliminary PEFA assessments, the working group developed the first draft of the new three-year Action Plan, which was shared with SIGMA at the beginning of September 2025. SIGMA provided a significant number of comments, which the working group discussed at a workshop held from October 1–3. SIGMA’s comments and recommendations were taken into account to the greatest possible extent, and explanations were provided for those that could not be incorporated. Following the workshop, the Technical Secretariat and the working group continued developing the </w:t>
      </w:r>
      <w:r w:rsidRPr="00CA2667">
        <w:rPr>
          <w:rFonts w:ascii="Times New Roman" w:eastAsia="Times New Roman" w:hAnsi="Times New Roman" w:cs="Times New Roman"/>
          <w:bCs/>
          <w:sz w:val="24"/>
          <w:szCs w:val="24"/>
          <w:shd w:val="clear" w:color="auto" w:fill="FFFFFF"/>
        </w:rPr>
        <w:t>Draft PFMRP 2026–2030</w:t>
      </w:r>
      <w:r w:rsidRPr="00CA2667">
        <w:rPr>
          <w:rFonts w:ascii="Times New Roman" w:eastAsia="Times New Roman" w:hAnsi="Times New Roman" w:cs="Times New Roman"/>
          <w:sz w:val="24"/>
          <w:szCs w:val="24"/>
          <w:shd w:val="clear" w:color="auto" w:fill="FFFFFF"/>
        </w:rPr>
        <w:t xml:space="preserve"> and the accompanying </w:t>
      </w:r>
      <w:r w:rsidRPr="00CA2667">
        <w:rPr>
          <w:rFonts w:ascii="Times New Roman" w:eastAsia="Times New Roman" w:hAnsi="Times New Roman" w:cs="Times New Roman"/>
          <w:bCs/>
          <w:sz w:val="24"/>
          <w:szCs w:val="24"/>
          <w:shd w:val="clear" w:color="auto" w:fill="FFFFFF"/>
        </w:rPr>
        <w:t>Action Plan for 2026–2028</w:t>
      </w:r>
      <w:r w:rsidRPr="00CA2667">
        <w:rPr>
          <w:rFonts w:ascii="Times New Roman" w:eastAsia="Times New Roman" w:hAnsi="Times New Roman" w:cs="Times New Roman"/>
          <w:sz w:val="24"/>
          <w:szCs w:val="24"/>
          <w:shd w:val="clear" w:color="auto" w:fill="FFFFFF"/>
        </w:rPr>
        <w:t>.</w:t>
      </w:r>
    </w:p>
    <w:p w:rsidR="00E7663E" w:rsidRPr="00E7663E"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w:t>
      </w:r>
      <w:r w:rsidRPr="00E7663E">
        <w:rPr>
          <w:rFonts w:ascii="Times New Roman" w:eastAsia="Times New Roman" w:hAnsi="Times New Roman" w:cs="Times New Roman"/>
          <w:i/>
          <w:iCs/>
          <w:sz w:val="24"/>
          <w:szCs w:val="24"/>
          <w:shd w:val="clear" w:color="auto" w:fill="FFFFFF"/>
        </w:rPr>
        <w:t>This section will be updated subsequently.</w:t>
      </w:r>
      <w:r w:rsidRPr="00E7663E">
        <w:rPr>
          <w:rFonts w:ascii="Times New Roman" w:eastAsia="Times New Roman" w:hAnsi="Times New Roman" w:cs="Times New Roman"/>
          <w:sz w:val="24"/>
          <w:szCs w:val="24"/>
          <w:shd w:val="clear" w:color="auto" w:fill="FFFFFF"/>
        </w:rPr>
        <w:t xml:space="preserve">) The first draft was finalized in mid-October and published on the Ministry of Finance website and the </w:t>
      </w:r>
      <w:r w:rsidRPr="00E7663E">
        <w:rPr>
          <w:rFonts w:ascii="Times New Roman" w:eastAsia="Times New Roman" w:hAnsi="Times New Roman" w:cs="Times New Roman"/>
          <w:i/>
          <w:iCs/>
          <w:sz w:val="24"/>
          <w:szCs w:val="24"/>
          <w:shd w:val="clear" w:color="auto" w:fill="FFFFFF"/>
        </w:rPr>
        <w:t>e-Consultation Portal</w:t>
      </w:r>
      <w:r w:rsidRPr="00E7663E">
        <w:rPr>
          <w:rFonts w:ascii="Times New Roman" w:eastAsia="Times New Roman" w:hAnsi="Times New Roman" w:cs="Times New Roman"/>
          <w:sz w:val="24"/>
          <w:szCs w:val="24"/>
          <w:shd w:val="clear" w:color="auto" w:fill="FFFFFF"/>
        </w:rPr>
        <w:t xml:space="preserve">. Thereafter, an improved Draft PFMRP 2026–2030 was prepared, and the public hearing process was launched in accordance with the Public Consultation Plan. The draft was again made available to the public on the Ministry’s website and the </w:t>
      </w:r>
      <w:r w:rsidRPr="00E7663E">
        <w:rPr>
          <w:rFonts w:ascii="Times New Roman" w:eastAsia="Times New Roman" w:hAnsi="Times New Roman" w:cs="Times New Roman"/>
          <w:i/>
          <w:iCs/>
          <w:sz w:val="24"/>
          <w:szCs w:val="24"/>
          <w:shd w:val="clear" w:color="auto" w:fill="FFFFFF"/>
        </w:rPr>
        <w:t>e-Consultation Portal</w:t>
      </w:r>
      <w:r w:rsidRPr="00E7663E">
        <w:rPr>
          <w:rFonts w:ascii="Times New Roman" w:eastAsia="Times New Roman" w:hAnsi="Times New Roman" w:cs="Times New Roman"/>
          <w:sz w:val="24"/>
          <w:szCs w:val="24"/>
          <w:shd w:val="clear" w:color="auto" w:fill="FFFFFF"/>
        </w:rPr>
        <w:t xml:space="preserve">. All interested parties </w:t>
      </w:r>
      <w:r w:rsidRPr="00E7663E">
        <w:rPr>
          <w:rFonts w:ascii="Times New Roman" w:eastAsia="Times New Roman" w:hAnsi="Times New Roman" w:cs="Times New Roman"/>
          <w:sz w:val="24"/>
          <w:szCs w:val="24"/>
          <w:shd w:val="clear" w:color="auto" w:fill="FFFFFF"/>
        </w:rPr>
        <w:lastRenderedPageBreak/>
        <w:t xml:space="preserve">were invited to submit comments and suggestions via email (pfmdijalog@mfin.gov.rs) and to participate in the </w:t>
      </w:r>
      <w:r w:rsidRPr="00CA2667">
        <w:rPr>
          <w:rFonts w:ascii="Times New Roman" w:eastAsia="Times New Roman" w:hAnsi="Times New Roman" w:cs="Times New Roman"/>
          <w:bCs/>
          <w:sz w:val="24"/>
          <w:szCs w:val="24"/>
          <w:shd w:val="clear" w:color="auto" w:fill="FFFFFF"/>
        </w:rPr>
        <w:t>Public Financial Management Policy Dialogue Meeting</w:t>
      </w:r>
      <w:r w:rsidRPr="00CA2667">
        <w:rPr>
          <w:rFonts w:ascii="Times New Roman" w:eastAsia="Times New Roman" w:hAnsi="Times New Roman" w:cs="Times New Roman"/>
          <w:sz w:val="24"/>
          <w:szCs w:val="24"/>
          <w:shd w:val="clear" w:color="auto" w:fill="FFFFFF"/>
        </w:rPr>
        <w:t>,</w:t>
      </w:r>
      <w:r w:rsidRPr="00E7663E">
        <w:rPr>
          <w:rFonts w:ascii="Times New Roman" w:eastAsia="Times New Roman" w:hAnsi="Times New Roman" w:cs="Times New Roman"/>
          <w:sz w:val="24"/>
          <w:szCs w:val="24"/>
          <w:shd w:val="clear" w:color="auto" w:fill="FFFFFF"/>
        </w:rPr>
        <w:t xml:space="preserve"> held on November 17. During this meeting, the draft Program was presented and views were exchanged with all relevant partners, including Serbian institutions, international financial institutions, the donor community, and civil society organizations.</w:t>
      </w:r>
    </w:p>
    <w:p w:rsidR="00E7663E" w:rsidRPr="00CA2667" w:rsidRDefault="00E7663E" w:rsidP="00E7663E">
      <w:pPr>
        <w:ind w:firstLine="708"/>
        <w:jc w:val="both"/>
        <w:rPr>
          <w:rFonts w:ascii="Times New Roman" w:eastAsia="Times New Roman" w:hAnsi="Times New Roman" w:cs="Times New Roman"/>
          <w:sz w:val="24"/>
          <w:szCs w:val="24"/>
          <w:shd w:val="clear" w:color="auto" w:fill="FFFFFF"/>
        </w:rPr>
      </w:pPr>
      <w:r w:rsidRPr="00E7663E">
        <w:rPr>
          <w:rFonts w:ascii="Times New Roman" w:eastAsia="Times New Roman" w:hAnsi="Times New Roman" w:cs="Times New Roman"/>
          <w:sz w:val="24"/>
          <w:szCs w:val="24"/>
          <w:shd w:val="clear" w:color="auto" w:fill="FFFFFF"/>
        </w:rPr>
        <w:t xml:space="preserve">In the subsequent phase, detailed comments and suggestions from all stakeholders, including SIGMA and the European Commission, were reviewed. The working group prepared the final version </w:t>
      </w:r>
      <w:r w:rsidRPr="00CA2667">
        <w:rPr>
          <w:rFonts w:ascii="Times New Roman" w:eastAsia="Times New Roman" w:hAnsi="Times New Roman" w:cs="Times New Roman"/>
          <w:sz w:val="24"/>
          <w:szCs w:val="24"/>
          <w:shd w:val="clear" w:color="auto" w:fill="FFFFFF"/>
        </w:rPr>
        <w:t xml:space="preserve">of </w:t>
      </w:r>
      <w:r w:rsidRPr="00CA2667">
        <w:rPr>
          <w:rFonts w:ascii="Times New Roman" w:eastAsia="Times New Roman" w:hAnsi="Times New Roman" w:cs="Times New Roman"/>
          <w:bCs/>
          <w:sz w:val="24"/>
          <w:szCs w:val="24"/>
          <w:shd w:val="clear" w:color="auto" w:fill="FFFFFF"/>
        </w:rPr>
        <w:t>PFMRP 2026–2030</w:t>
      </w:r>
      <w:r w:rsidRPr="00CA2667">
        <w:rPr>
          <w:rFonts w:ascii="Times New Roman" w:eastAsia="Times New Roman" w:hAnsi="Times New Roman" w:cs="Times New Roman"/>
          <w:sz w:val="24"/>
          <w:szCs w:val="24"/>
          <w:shd w:val="clear" w:color="auto" w:fill="FFFFFF"/>
        </w:rPr>
        <w:t xml:space="preserve">, which was adopted by the Government in </w:t>
      </w:r>
      <w:r w:rsidRPr="00CA2667">
        <w:rPr>
          <w:rFonts w:ascii="Times New Roman" w:eastAsia="Times New Roman" w:hAnsi="Times New Roman" w:cs="Times New Roman"/>
          <w:bCs/>
          <w:sz w:val="24"/>
          <w:szCs w:val="24"/>
          <w:shd w:val="clear" w:color="auto" w:fill="FFFFFF"/>
        </w:rPr>
        <w:t>December 2025</w:t>
      </w:r>
      <w:r w:rsidRPr="00CA2667">
        <w:rPr>
          <w:rFonts w:ascii="Times New Roman" w:eastAsia="Times New Roman" w:hAnsi="Times New Roman" w:cs="Times New Roman"/>
          <w:sz w:val="24"/>
          <w:szCs w:val="24"/>
          <w:shd w:val="clear" w:color="auto" w:fill="FFFFFF"/>
        </w:rPr>
        <w:t>.</w:t>
      </w:r>
    </w:p>
    <w:p w:rsidR="002E6610" w:rsidRPr="00D75D5A" w:rsidRDefault="002E6610" w:rsidP="00666968">
      <w:pPr>
        <w:spacing w:after="0" w:line="240" w:lineRule="auto"/>
        <w:jc w:val="both"/>
        <w:rPr>
          <w:rFonts w:ascii="Times New Roman" w:eastAsia="Calibri" w:hAnsi="Times New Roman" w:cs="Times New Roman"/>
          <w:sz w:val="24"/>
          <w:szCs w:val="24"/>
        </w:rPr>
      </w:pPr>
    </w:p>
    <w:p w:rsidR="00DC4B06" w:rsidRPr="00B26B4D" w:rsidRDefault="00E7663E" w:rsidP="00B26B4D">
      <w:pPr>
        <w:pStyle w:val="Heading1"/>
        <w:jc w:val="center"/>
        <w:rPr>
          <w:rFonts w:ascii="Times New Roman" w:hAnsi="Times New Roman" w:cs="Times New Roman"/>
          <w:sz w:val="24"/>
          <w:szCs w:val="24"/>
        </w:rPr>
      </w:pPr>
      <w:r>
        <w:rPr>
          <w:rFonts w:ascii="Times New Roman" w:hAnsi="Times New Roman" w:cs="Times New Roman"/>
          <w:sz w:val="24"/>
          <w:szCs w:val="24"/>
        </w:rPr>
        <w:t>EXECUTIVE SUMMARY</w:t>
      </w:r>
    </w:p>
    <w:p w:rsidR="00EB19CF" w:rsidRDefault="00EB19CF" w:rsidP="002D39ED">
      <w:pPr>
        <w:spacing w:after="0" w:line="240" w:lineRule="auto"/>
        <w:ind w:firstLine="706"/>
        <w:jc w:val="both"/>
        <w:rPr>
          <w:rFonts w:ascii="Times New Roman" w:hAnsi="Times New Roman"/>
          <w:sz w:val="24"/>
        </w:rPr>
      </w:pPr>
    </w:p>
    <w:p w:rsidR="00E7663E" w:rsidRPr="00E7663E" w:rsidRDefault="00E7663E" w:rsidP="00E7663E">
      <w:pPr>
        <w:spacing w:after="0" w:line="240" w:lineRule="auto"/>
        <w:ind w:firstLine="706"/>
        <w:jc w:val="both"/>
        <w:rPr>
          <w:rFonts w:ascii="Times New Roman" w:hAnsi="Times New Roman"/>
          <w:sz w:val="24"/>
        </w:rPr>
      </w:pPr>
      <w:r w:rsidRPr="00CA2667">
        <w:rPr>
          <w:rFonts w:ascii="Times New Roman" w:hAnsi="Times New Roman"/>
          <w:sz w:val="24"/>
        </w:rPr>
        <w:t xml:space="preserve">The </w:t>
      </w:r>
      <w:r w:rsidRPr="00CA2667">
        <w:rPr>
          <w:rFonts w:ascii="Times New Roman" w:hAnsi="Times New Roman"/>
          <w:bCs/>
          <w:sz w:val="24"/>
        </w:rPr>
        <w:t>Public Financial Management Reform Program for the period 2026–2030</w:t>
      </w:r>
      <w:r w:rsidRPr="00E7663E">
        <w:rPr>
          <w:rFonts w:ascii="Times New Roman" w:hAnsi="Times New Roman"/>
          <w:sz w:val="24"/>
        </w:rPr>
        <w:t xml:space="preserve"> represents a strategic framework aimed at strengthening the sustainability of public finances, increasing transparency, and building institutional capacities in line with good European practices. Its main objective is to ensure a stable budget and a controlled level of public debt relative to GDP through more efficient planning, collection, and management of public resources, as well as through the modernization of internal control and audit systems.</w:t>
      </w:r>
    </w:p>
    <w:p w:rsidR="00E7663E" w:rsidRPr="00CA2667" w:rsidRDefault="00E7663E" w:rsidP="00E7663E">
      <w:pPr>
        <w:spacing w:after="0" w:line="240" w:lineRule="auto"/>
        <w:ind w:firstLine="706"/>
        <w:jc w:val="both"/>
        <w:rPr>
          <w:rFonts w:ascii="Times New Roman" w:hAnsi="Times New Roman"/>
          <w:sz w:val="24"/>
        </w:rPr>
      </w:pPr>
      <w:r w:rsidRPr="00E7663E">
        <w:rPr>
          <w:rFonts w:ascii="Times New Roman" w:hAnsi="Times New Roman"/>
          <w:sz w:val="24"/>
        </w:rPr>
        <w:t xml:space="preserve">The reform is built upon several interrelated priorities. First, </w:t>
      </w:r>
      <w:r w:rsidRPr="00CA2667">
        <w:rPr>
          <w:rFonts w:ascii="Times New Roman" w:hAnsi="Times New Roman"/>
          <w:bCs/>
          <w:sz w:val="24"/>
        </w:rPr>
        <w:t>budget planning and public investment management</w:t>
      </w:r>
      <w:r w:rsidRPr="00CA2667">
        <w:rPr>
          <w:rFonts w:ascii="Times New Roman" w:hAnsi="Times New Roman"/>
          <w:sz w:val="24"/>
        </w:rPr>
        <w:t xml:space="preserve"> will be significantly improved throu</w:t>
      </w:r>
      <w:r w:rsidRPr="00E7663E">
        <w:rPr>
          <w:rFonts w:ascii="Times New Roman" w:hAnsi="Times New Roman"/>
          <w:sz w:val="24"/>
        </w:rPr>
        <w:t xml:space="preserve">gh the introduction of program budgeting in public sector institutions, the development of green budgeting, and alignment of processes with European Union standards. In parallel, the </w:t>
      </w:r>
      <w:r w:rsidRPr="00CA2667">
        <w:rPr>
          <w:rFonts w:ascii="Times New Roman" w:hAnsi="Times New Roman"/>
          <w:bCs/>
          <w:sz w:val="24"/>
        </w:rPr>
        <w:t>tax administration and customs system</w:t>
      </w:r>
      <w:r w:rsidRPr="00CA2667">
        <w:rPr>
          <w:rFonts w:ascii="Times New Roman" w:hAnsi="Times New Roman"/>
          <w:sz w:val="24"/>
        </w:rPr>
        <w:t xml:space="preserve"> will be modernized to ensure predictable and full revenue collection, while </w:t>
      </w:r>
      <w:r w:rsidRPr="00CA2667">
        <w:rPr>
          <w:rFonts w:ascii="Times New Roman" w:hAnsi="Times New Roman"/>
          <w:bCs/>
          <w:sz w:val="24"/>
        </w:rPr>
        <w:t>public debt management</w:t>
      </w:r>
      <w:r w:rsidRPr="00CA2667">
        <w:rPr>
          <w:rFonts w:ascii="Times New Roman" w:hAnsi="Times New Roman"/>
          <w:sz w:val="24"/>
        </w:rPr>
        <w:t xml:space="preserve"> will focus on diversifying financing instruments.</w:t>
      </w:r>
    </w:p>
    <w:p w:rsidR="00E7663E" w:rsidRPr="00E7663E" w:rsidRDefault="00E7663E" w:rsidP="00E7663E">
      <w:pPr>
        <w:spacing w:after="0" w:line="240" w:lineRule="auto"/>
        <w:ind w:firstLine="706"/>
        <w:jc w:val="both"/>
        <w:rPr>
          <w:rFonts w:ascii="Times New Roman" w:hAnsi="Times New Roman"/>
          <w:sz w:val="24"/>
        </w:rPr>
      </w:pPr>
      <w:r w:rsidRPr="00E7663E">
        <w:rPr>
          <w:rFonts w:ascii="Times New Roman" w:hAnsi="Times New Roman"/>
          <w:sz w:val="24"/>
        </w:rPr>
        <w:t xml:space="preserve">The program also envisions strengthening the </w:t>
      </w:r>
      <w:r w:rsidRPr="00CA2667">
        <w:rPr>
          <w:rFonts w:ascii="Times New Roman" w:hAnsi="Times New Roman"/>
          <w:bCs/>
          <w:sz w:val="24"/>
        </w:rPr>
        <w:t>public procurement system</w:t>
      </w:r>
      <w:r w:rsidRPr="00CA2667">
        <w:rPr>
          <w:rFonts w:ascii="Times New Roman" w:hAnsi="Times New Roman"/>
          <w:sz w:val="24"/>
        </w:rPr>
        <w:t xml:space="preserve"> and </w:t>
      </w:r>
      <w:r w:rsidRPr="00CA2667">
        <w:rPr>
          <w:rFonts w:ascii="Times New Roman" w:hAnsi="Times New Roman"/>
          <w:bCs/>
          <w:sz w:val="24"/>
        </w:rPr>
        <w:t>internal financial control</w:t>
      </w:r>
      <w:r w:rsidRPr="00CA2667">
        <w:rPr>
          <w:rFonts w:ascii="Times New Roman" w:hAnsi="Times New Roman"/>
          <w:sz w:val="24"/>
        </w:rPr>
        <w:t xml:space="preserve"> in the public sector. </w:t>
      </w:r>
      <w:r w:rsidRPr="00E7663E">
        <w:rPr>
          <w:rFonts w:ascii="Times New Roman" w:hAnsi="Times New Roman"/>
          <w:sz w:val="24"/>
        </w:rPr>
        <w:t>In this way, citizens and the business community will benefit from a more secure and efficient system of public finances, while the institutions of the Republic of Serbia will move closer to alignment with European Union practices and standards.</w:t>
      </w:r>
    </w:p>
    <w:p w:rsidR="00E7663E" w:rsidRPr="00E7663E" w:rsidRDefault="00E7663E" w:rsidP="00E7663E">
      <w:pPr>
        <w:spacing w:after="0" w:line="240" w:lineRule="auto"/>
        <w:ind w:firstLine="706"/>
        <w:jc w:val="both"/>
        <w:rPr>
          <w:rFonts w:ascii="Times New Roman" w:hAnsi="Times New Roman"/>
          <w:sz w:val="24"/>
        </w:rPr>
      </w:pPr>
      <w:r w:rsidRPr="00E7663E">
        <w:rPr>
          <w:rFonts w:ascii="Times New Roman" w:hAnsi="Times New Roman"/>
          <w:sz w:val="24"/>
        </w:rPr>
        <w:t xml:space="preserve">The </w:t>
      </w:r>
      <w:r w:rsidRPr="00CA2667">
        <w:rPr>
          <w:rFonts w:ascii="Times New Roman" w:hAnsi="Times New Roman"/>
          <w:bCs/>
          <w:sz w:val="24"/>
        </w:rPr>
        <w:t>Public Financial Management Reform Program 2026–2030</w:t>
      </w:r>
      <w:r w:rsidRPr="00CA2667">
        <w:rPr>
          <w:rFonts w:ascii="Times New Roman" w:hAnsi="Times New Roman"/>
          <w:sz w:val="24"/>
        </w:rPr>
        <w:t xml:space="preserve"> is</w:t>
      </w:r>
      <w:r w:rsidRPr="00E7663E">
        <w:rPr>
          <w:rFonts w:ascii="Times New Roman" w:hAnsi="Times New Roman"/>
          <w:sz w:val="24"/>
        </w:rPr>
        <w:t xml:space="preserve"> based on the vision of a stable, transparent, and efficient public finance system capable of responding to the challenges of economic development, European integration, and the growing expectations of citizens. The main strategic goal is to achieve a sustainable budget with a controlled level of public debt relative to GDP, through the application of modern financial management tools, an improved control system, and stronger links between budget planning and the Government’s development policies.</w:t>
      </w:r>
    </w:p>
    <w:p w:rsidR="00E7663E" w:rsidRPr="00E7663E" w:rsidRDefault="00E7663E" w:rsidP="00E7663E">
      <w:pPr>
        <w:spacing w:after="0" w:line="240" w:lineRule="auto"/>
        <w:ind w:firstLine="706"/>
        <w:jc w:val="both"/>
        <w:rPr>
          <w:rFonts w:ascii="Times New Roman" w:hAnsi="Times New Roman"/>
          <w:sz w:val="24"/>
        </w:rPr>
      </w:pPr>
      <w:r w:rsidRPr="00CA2667">
        <w:rPr>
          <w:rFonts w:ascii="Times New Roman" w:hAnsi="Times New Roman"/>
          <w:sz w:val="24"/>
        </w:rPr>
        <w:t xml:space="preserve">The </w:t>
      </w:r>
      <w:r w:rsidRPr="00CA2667">
        <w:rPr>
          <w:rFonts w:ascii="Times New Roman" w:hAnsi="Times New Roman"/>
          <w:bCs/>
          <w:sz w:val="24"/>
        </w:rPr>
        <w:t>first specific objective</w:t>
      </w:r>
      <w:r w:rsidRPr="00CA2667">
        <w:rPr>
          <w:rFonts w:ascii="Times New Roman" w:hAnsi="Times New Roman"/>
          <w:sz w:val="24"/>
        </w:rPr>
        <w:t xml:space="preserve"> of the reform focuses on improving </w:t>
      </w:r>
      <w:r w:rsidRPr="00CA2667">
        <w:rPr>
          <w:rFonts w:ascii="Times New Roman" w:hAnsi="Times New Roman"/>
          <w:bCs/>
          <w:sz w:val="24"/>
        </w:rPr>
        <w:t>budget planning and public investment management</w:t>
      </w:r>
      <w:r w:rsidRPr="00CA2667">
        <w:rPr>
          <w:rFonts w:ascii="Times New Roman" w:hAnsi="Times New Roman"/>
          <w:sz w:val="24"/>
        </w:rPr>
        <w:t>.</w:t>
      </w:r>
      <w:r w:rsidRPr="00E7663E">
        <w:rPr>
          <w:rFonts w:ascii="Times New Roman" w:hAnsi="Times New Roman"/>
          <w:sz w:val="24"/>
        </w:rPr>
        <w:t xml:space="preserve"> The introduction of program budgeting in healthcare institutions, the development of methodological guidelines, and the strengthening of performance monitoring systems represent key steps toward more efficient use of public resources. At the same time, capacities are being developed for the implementation of green budgeting and the alignment of the budget process with European Union practices. This area also places strong emphasis on improving the capital project management system and strengthening institutions responsible for fiscal risk analysis and management.</w:t>
      </w:r>
    </w:p>
    <w:p w:rsidR="00E7663E" w:rsidRPr="00E7663E" w:rsidRDefault="00E7663E" w:rsidP="00E7663E">
      <w:pPr>
        <w:spacing w:after="0" w:line="240" w:lineRule="auto"/>
        <w:ind w:firstLine="706"/>
        <w:jc w:val="both"/>
        <w:rPr>
          <w:rFonts w:ascii="Times New Roman" w:hAnsi="Times New Roman"/>
          <w:sz w:val="24"/>
        </w:rPr>
      </w:pPr>
      <w:r w:rsidRPr="00E7663E">
        <w:rPr>
          <w:rFonts w:ascii="Times New Roman" w:hAnsi="Times New Roman"/>
          <w:sz w:val="24"/>
        </w:rPr>
        <w:lastRenderedPageBreak/>
        <w:t xml:space="preserve">The </w:t>
      </w:r>
      <w:r w:rsidRPr="00CA2667">
        <w:rPr>
          <w:rFonts w:ascii="Times New Roman" w:hAnsi="Times New Roman"/>
          <w:bCs/>
          <w:sz w:val="24"/>
        </w:rPr>
        <w:t>second specific objective</w:t>
      </w:r>
      <w:r w:rsidRPr="00CA2667">
        <w:rPr>
          <w:rFonts w:ascii="Times New Roman" w:hAnsi="Times New Roman"/>
          <w:sz w:val="24"/>
        </w:rPr>
        <w:t xml:space="preserve"> focuses</w:t>
      </w:r>
      <w:r w:rsidRPr="00E7663E">
        <w:rPr>
          <w:rFonts w:ascii="Times New Roman" w:hAnsi="Times New Roman"/>
          <w:sz w:val="24"/>
        </w:rPr>
        <w:t xml:space="preserve"> on the </w:t>
      </w:r>
      <w:r w:rsidRPr="00CA2667">
        <w:rPr>
          <w:rFonts w:ascii="Times New Roman" w:hAnsi="Times New Roman"/>
          <w:bCs/>
          <w:sz w:val="24"/>
        </w:rPr>
        <w:t>efficient collection and management of budgetary funds</w:t>
      </w:r>
      <w:r w:rsidRPr="00CA2667">
        <w:rPr>
          <w:rFonts w:ascii="Times New Roman" w:hAnsi="Times New Roman"/>
          <w:sz w:val="24"/>
        </w:rPr>
        <w:t>. Through the comprehensive modernization</w:t>
      </w:r>
      <w:r w:rsidRPr="00E7663E">
        <w:rPr>
          <w:rFonts w:ascii="Times New Roman" w:hAnsi="Times New Roman"/>
          <w:sz w:val="24"/>
        </w:rPr>
        <w:t xml:space="preserve"> of the Tax Administration and the Customs Administration, integrated information systems are being introduced, and tax and customs procedures are being harmonized with international standards. Special attention is devoted to the digitalization of processes, including the development of electronic invoicing, the improvement of the excise system, and the simplification of services for businesses. The establishment of an effective public debt management system, combined with the use of innovative instruments such </w:t>
      </w:r>
      <w:r w:rsidRPr="00CA2667">
        <w:rPr>
          <w:rFonts w:ascii="Times New Roman" w:hAnsi="Times New Roman"/>
          <w:sz w:val="24"/>
        </w:rPr>
        <w:t xml:space="preserve">as </w:t>
      </w:r>
      <w:r w:rsidRPr="00CA2667">
        <w:rPr>
          <w:rFonts w:ascii="Times New Roman" w:hAnsi="Times New Roman"/>
          <w:bCs/>
          <w:sz w:val="24"/>
        </w:rPr>
        <w:t>green bonds</w:t>
      </w:r>
      <w:r w:rsidRPr="00CA2667">
        <w:rPr>
          <w:rFonts w:ascii="Times New Roman" w:hAnsi="Times New Roman"/>
          <w:sz w:val="24"/>
        </w:rPr>
        <w:t>,</w:t>
      </w:r>
      <w:r w:rsidRPr="00E7663E">
        <w:rPr>
          <w:rFonts w:ascii="Times New Roman" w:hAnsi="Times New Roman"/>
          <w:sz w:val="24"/>
        </w:rPr>
        <w:t xml:space="preserve"> will secure funding for numerous projects aimed at addressing environmental and social challenges and ensuring the stability of public finances.</w:t>
      </w:r>
    </w:p>
    <w:p w:rsidR="00E7663E" w:rsidRPr="00E7663E" w:rsidRDefault="00E7663E" w:rsidP="00E7663E">
      <w:pPr>
        <w:spacing w:after="0" w:line="240" w:lineRule="auto"/>
        <w:ind w:firstLine="706"/>
        <w:jc w:val="both"/>
        <w:rPr>
          <w:rFonts w:ascii="Times New Roman" w:hAnsi="Times New Roman"/>
          <w:sz w:val="24"/>
        </w:rPr>
      </w:pPr>
      <w:r w:rsidRPr="00CA2667">
        <w:rPr>
          <w:rFonts w:ascii="Times New Roman" w:hAnsi="Times New Roman"/>
          <w:sz w:val="24"/>
        </w:rPr>
        <w:t xml:space="preserve">The </w:t>
      </w:r>
      <w:r w:rsidRPr="00CA2667">
        <w:rPr>
          <w:rFonts w:ascii="Times New Roman" w:hAnsi="Times New Roman"/>
          <w:bCs/>
          <w:sz w:val="24"/>
        </w:rPr>
        <w:t>third specific objective</w:t>
      </w:r>
      <w:r w:rsidRPr="00CA2667">
        <w:rPr>
          <w:rFonts w:ascii="Times New Roman" w:hAnsi="Times New Roman"/>
          <w:sz w:val="24"/>
        </w:rPr>
        <w:t xml:space="preserve"> of the reform is aimed at </w:t>
      </w:r>
      <w:r w:rsidRPr="00CA2667">
        <w:rPr>
          <w:rFonts w:ascii="Times New Roman" w:hAnsi="Times New Roman"/>
          <w:bCs/>
          <w:sz w:val="24"/>
        </w:rPr>
        <w:t>strengthening expenditure discipline and increasing transparency</w:t>
      </w:r>
      <w:r w:rsidRPr="00CA2667">
        <w:rPr>
          <w:rFonts w:ascii="Times New Roman" w:hAnsi="Times New Roman"/>
          <w:sz w:val="24"/>
        </w:rPr>
        <w:t>. This</w:t>
      </w:r>
      <w:r w:rsidRPr="00E7663E">
        <w:rPr>
          <w:rFonts w:ascii="Times New Roman" w:hAnsi="Times New Roman"/>
          <w:sz w:val="24"/>
        </w:rPr>
        <w:t xml:space="preserve"> includes expanding the scope of audits, strengthening systems for managing European Union funds, and improving inspection oversight. Strengthening institutional capacities to combat irregularities and fraud in the use of EU funds, as well as improving coordination in this area, will help build public and European partners’ confidence in the effectiveness of Serbian institutions.</w:t>
      </w:r>
    </w:p>
    <w:p w:rsidR="00E7663E" w:rsidRPr="00E7663E" w:rsidRDefault="00E7663E" w:rsidP="00E7663E">
      <w:pPr>
        <w:spacing w:after="0" w:line="240" w:lineRule="auto"/>
        <w:ind w:firstLine="706"/>
        <w:jc w:val="both"/>
        <w:rPr>
          <w:rFonts w:ascii="Times New Roman" w:hAnsi="Times New Roman"/>
          <w:sz w:val="24"/>
        </w:rPr>
      </w:pPr>
      <w:r w:rsidRPr="00CA2667">
        <w:rPr>
          <w:rFonts w:ascii="Times New Roman" w:hAnsi="Times New Roman"/>
          <w:sz w:val="24"/>
        </w:rPr>
        <w:t xml:space="preserve">The </w:t>
      </w:r>
      <w:r w:rsidRPr="00CA2667">
        <w:rPr>
          <w:rFonts w:ascii="Times New Roman" w:hAnsi="Times New Roman"/>
          <w:bCs/>
          <w:sz w:val="24"/>
        </w:rPr>
        <w:t>fourth specific objective</w:t>
      </w:r>
      <w:r w:rsidRPr="00CA2667">
        <w:rPr>
          <w:rFonts w:ascii="Times New Roman" w:hAnsi="Times New Roman"/>
          <w:sz w:val="24"/>
        </w:rPr>
        <w:t xml:space="preserve"> is dedicated to the </w:t>
      </w:r>
      <w:r w:rsidRPr="00CA2667">
        <w:rPr>
          <w:rFonts w:ascii="Times New Roman" w:hAnsi="Times New Roman"/>
          <w:bCs/>
          <w:sz w:val="24"/>
        </w:rPr>
        <w:t>development of internal financial control and audit systems in the public sector</w:t>
      </w:r>
      <w:r w:rsidRPr="00CA2667">
        <w:rPr>
          <w:rFonts w:ascii="Times New Roman" w:hAnsi="Times New Roman"/>
          <w:sz w:val="24"/>
        </w:rPr>
        <w:t>. The goal is to enhance risk management, establish risk registers in key institutions</w:t>
      </w:r>
      <w:r w:rsidRPr="00E7663E">
        <w:rPr>
          <w:rFonts w:ascii="Times New Roman" w:hAnsi="Times New Roman"/>
          <w:sz w:val="24"/>
        </w:rPr>
        <w:t>, strengthen methodological frameworks, and modernize IT support for internal control. These measures aim to ensure better governance, greater institutional accountability, and consistent application of international internal audit standards.</w:t>
      </w:r>
    </w:p>
    <w:p w:rsidR="00E7663E" w:rsidRPr="00E7663E" w:rsidRDefault="00E7663E" w:rsidP="00E7663E">
      <w:pPr>
        <w:spacing w:after="0" w:line="240" w:lineRule="auto"/>
        <w:ind w:firstLine="706"/>
        <w:jc w:val="both"/>
        <w:rPr>
          <w:rFonts w:ascii="Times New Roman" w:hAnsi="Times New Roman"/>
          <w:sz w:val="24"/>
        </w:rPr>
      </w:pPr>
      <w:r w:rsidRPr="00CA2667">
        <w:rPr>
          <w:rFonts w:ascii="Times New Roman" w:hAnsi="Times New Roman"/>
          <w:sz w:val="24"/>
        </w:rPr>
        <w:t xml:space="preserve">The </w:t>
      </w:r>
      <w:r w:rsidRPr="00CA2667">
        <w:rPr>
          <w:rFonts w:ascii="Times New Roman" w:hAnsi="Times New Roman"/>
          <w:bCs/>
          <w:sz w:val="24"/>
        </w:rPr>
        <w:t>fifth specific objective</w:t>
      </w:r>
      <w:r w:rsidRPr="00CA2667">
        <w:rPr>
          <w:rFonts w:ascii="Times New Roman" w:hAnsi="Times New Roman"/>
          <w:sz w:val="24"/>
        </w:rPr>
        <w:t xml:space="preserve"> focuses on </w:t>
      </w:r>
      <w:r w:rsidRPr="00CA2667">
        <w:rPr>
          <w:rFonts w:ascii="Times New Roman" w:hAnsi="Times New Roman"/>
          <w:bCs/>
          <w:sz w:val="24"/>
        </w:rPr>
        <w:t>improving public sector accounting</w:t>
      </w:r>
      <w:r w:rsidRPr="00CA2667">
        <w:rPr>
          <w:rFonts w:ascii="Times New Roman" w:hAnsi="Times New Roman"/>
          <w:sz w:val="24"/>
        </w:rPr>
        <w:t xml:space="preserve"> through the implementation of the </w:t>
      </w:r>
      <w:r w:rsidRPr="00CA2667">
        <w:rPr>
          <w:rFonts w:ascii="Times New Roman" w:hAnsi="Times New Roman"/>
          <w:bCs/>
          <w:sz w:val="24"/>
        </w:rPr>
        <w:t>International Public Sector Accounting Standards (IPSAS)</w:t>
      </w:r>
      <w:r w:rsidRPr="00CA2667">
        <w:rPr>
          <w:rFonts w:ascii="Times New Roman" w:hAnsi="Times New Roman"/>
          <w:sz w:val="24"/>
        </w:rPr>
        <w:t>. The goal is to increase</w:t>
      </w:r>
      <w:r w:rsidRPr="00E7663E">
        <w:rPr>
          <w:rFonts w:ascii="Times New Roman" w:hAnsi="Times New Roman"/>
          <w:sz w:val="24"/>
        </w:rPr>
        <w:t xml:space="preserve"> the reliability of financial statements and, through systematic training of accountants, ensure that the public administration is professionally prepared for the application of new standards.</w:t>
      </w:r>
    </w:p>
    <w:p w:rsidR="00E7663E" w:rsidRPr="00E7663E" w:rsidRDefault="00E7663E" w:rsidP="00E7663E">
      <w:pPr>
        <w:spacing w:after="0" w:line="240" w:lineRule="auto"/>
        <w:ind w:firstLine="706"/>
        <w:jc w:val="both"/>
        <w:rPr>
          <w:rFonts w:ascii="Times New Roman" w:hAnsi="Times New Roman"/>
          <w:sz w:val="24"/>
        </w:rPr>
      </w:pPr>
      <w:r w:rsidRPr="00CA2667">
        <w:rPr>
          <w:rFonts w:ascii="Times New Roman" w:hAnsi="Times New Roman"/>
          <w:sz w:val="24"/>
        </w:rPr>
        <w:t xml:space="preserve">The </w:t>
      </w:r>
      <w:r w:rsidRPr="00CA2667">
        <w:rPr>
          <w:rFonts w:ascii="Times New Roman" w:hAnsi="Times New Roman"/>
          <w:bCs/>
          <w:sz w:val="24"/>
        </w:rPr>
        <w:t>sixth specific objective</w:t>
      </w:r>
      <w:r w:rsidRPr="00CA2667">
        <w:rPr>
          <w:rFonts w:ascii="Times New Roman" w:hAnsi="Times New Roman"/>
          <w:sz w:val="24"/>
        </w:rPr>
        <w:t xml:space="preserve"> relates to </w:t>
      </w:r>
      <w:r w:rsidRPr="00CA2667">
        <w:rPr>
          <w:rFonts w:ascii="Times New Roman" w:hAnsi="Times New Roman"/>
          <w:bCs/>
          <w:sz w:val="24"/>
        </w:rPr>
        <w:t>strengthening external oversight over public finances</w:t>
      </w:r>
      <w:r w:rsidRPr="00CA2667">
        <w:rPr>
          <w:rFonts w:ascii="Times New Roman" w:hAnsi="Times New Roman"/>
          <w:sz w:val="24"/>
        </w:rPr>
        <w:t>. By further improving the effectiveness of the State Audit Institution and enhancing its cooperation</w:t>
      </w:r>
      <w:r w:rsidRPr="00E7663E">
        <w:rPr>
          <w:rFonts w:ascii="Times New Roman" w:hAnsi="Times New Roman"/>
          <w:sz w:val="24"/>
        </w:rPr>
        <w:t xml:space="preserve"> with the National Assembly, it will be ensured that audit recommendations are discussed and implemented in a timely manner. This creates an additional mechanism of public accountability and increases citizens’ trust in the management of public funds.</w:t>
      </w:r>
    </w:p>
    <w:p w:rsidR="00E7663E" w:rsidRPr="00E7663E" w:rsidRDefault="00E7663E" w:rsidP="00E7663E">
      <w:pPr>
        <w:spacing w:after="0" w:line="240" w:lineRule="auto"/>
        <w:ind w:firstLine="706"/>
        <w:jc w:val="both"/>
        <w:rPr>
          <w:rFonts w:ascii="Times New Roman" w:hAnsi="Times New Roman"/>
          <w:sz w:val="24"/>
        </w:rPr>
      </w:pPr>
      <w:r w:rsidRPr="00CA2667">
        <w:rPr>
          <w:rFonts w:ascii="Times New Roman" w:hAnsi="Times New Roman"/>
          <w:sz w:val="24"/>
        </w:rPr>
        <w:t xml:space="preserve">Through these reform pillars, </w:t>
      </w:r>
      <w:r w:rsidRPr="00CA2667">
        <w:rPr>
          <w:rFonts w:ascii="Times New Roman" w:hAnsi="Times New Roman"/>
          <w:bCs/>
          <w:sz w:val="24"/>
        </w:rPr>
        <w:t>Serbia is laying the foundations for a modern and efficient public finance system</w:t>
      </w:r>
      <w:r w:rsidRPr="00CA2667">
        <w:rPr>
          <w:rFonts w:ascii="Times New Roman" w:hAnsi="Times New Roman"/>
          <w:sz w:val="24"/>
        </w:rPr>
        <w:t xml:space="preserve"> that is aligned</w:t>
      </w:r>
      <w:r w:rsidRPr="00E7663E">
        <w:rPr>
          <w:rFonts w:ascii="Times New Roman" w:hAnsi="Times New Roman"/>
          <w:sz w:val="24"/>
        </w:rPr>
        <w:t xml:space="preserve"> with European Union practices, resilient to economic and social challenges, and oriented toward long-term and sustainable development.</w:t>
      </w:r>
    </w:p>
    <w:p w:rsidR="00E7663E" w:rsidRDefault="00E7663E" w:rsidP="00E7663E">
      <w:pPr>
        <w:spacing w:after="0" w:line="240" w:lineRule="auto"/>
        <w:jc w:val="both"/>
        <w:rPr>
          <w:rFonts w:ascii="Times New Roman" w:hAnsi="Times New Roman"/>
          <w:sz w:val="24"/>
        </w:rPr>
      </w:pPr>
    </w:p>
    <w:p w:rsidR="000A4B39" w:rsidRPr="00E7663E" w:rsidRDefault="00E7663E" w:rsidP="00B26B4D">
      <w:pPr>
        <w:pStyle w:val="Heading1"/>
        <w:jc w:val="center"/>
        <w:rPr>
          <w:rFonts w:ascii="Times New Roman" w:hAnsi="Times New Roman" w:cs="Times New Roman"/>
          <w:sz w:val="24"/>
          <w:szCs w:val="24"/>
        </w:rPr>
      </w:pPr>
      <w:r w:rsidRPr="00E7663E">
        <w:rPr>
          <w:rFonts w:ascii="Times New Roman" w:hAnsi="Times New Roman" w:cs="Times New Roman"/>
          <w:sz w:val="24"/>
          <w:szCs w:val="24"/>
        </w:rPr>
        <w:t>LINK BETWEEN THE PUBLIC FINANCIAL MANAGEMENT REFORM PROGRAM AND THE STRATEGIC AND LEGISLATIVE FRAMEWORK, INTERNATIONAL STANDARDS, AND THE EUROPEAN INTEGRATION PROCESS</w:t>
      </w:r>
    </w:p>
    <w:p w:rsidR="004B2527" w:rsidRDefault="004B2527" w:rsidP="009B3230">
      <w:pPr>
        <w:ind w:firstLine="708"/>
        <w:jc w:val="both"/>
        <w:rPr>
          <w:rFonts w:ascii="Times New Roman" w:eastAsia="Times New Roman" w:hAnsi="Times New Roman" w:cs="Times New Roman"/>
          <w:sz w:val="24"/>
          <w:szCs w:val="24"/>
          <w:shd w:val="clear" w:color="auto" w:fill="FFFFFF"/>
          <w:lang w:val="sr-Cyrl-RS"/>
        </w:rPr>
      </w:pPr>
    </w:p>
    <w:p w:rsidR="00E7663E" w:rsidRPr="00E7663E" w:rsidRDefault="00E7663E" w:rsidP="00E7663E">
      <w:pPr>
        <w:spacing w:after="0" w:line="240" w:lineRule="auto"/>
        <w:ind w:firstLine="706"/>
        <w:contextualSpacing/>
        <w:jc w:val="both"/>
        <w:rPr>
          <w:rFonts w:ascii="Times New Roman" w:eastAsia="Calibri" w:hAnsi="Times New Roman" w:cs="Times New Roman"/>
          <w:sz w:val="24"/>
          <w:szCs w:val="24"/>
        </w:rPr>
      </w:pPr>
      <w:r w:rsidRPr="00CA2667">
        <w:rPr>
          <w:rFonts w:ascii="Times New Roman" w:eastAsia="Calibri" w:hAnsi="Times New Roman" w:cs="Times New Roman"/>
          <w:sz w:val="24"/>
          <w:szCs w:val="24"/>
        </w:rPr>
        <w:t xml:space="preserve">The </w:t>
      </w:r>
      <w:r w:rsidRPr="00CA2667">
        <w:rPr>
          <w:rFonts w:ascii="Times New Roman" w:eastAsia="Calibri" w:hAnsi="Times New Roman" w:cs="Times New Roman"/>
          <w:bCs/>
          <w:sz w:val="24"/>
          <w:szCs w:val="24"/>
        </w:rPr>
        <w:t>Public Financial Management Reform Program for the period 2026–2030</w:t>
      </w:r>
      <w:r w:rsidRPr="00CA2667">
        <w:rPr>
          <w:rFonts w:ascii="Times New Roman" w:eastAsia="Calibri" w:hAnsi="Times New Roman" w:cs="Times New Roman"/>
          <w:sz w:val="24"/>
          <w:szCs w:val="24"/>
        </w:rPr>
        <w:t xml:space="preserve"> represents a comprehensive framework aligned with the </w:t>
      </w:r>
      <w:r w:rsidRPr="00CA2667">
        <w:rPr>
          <w:rFonts w:ascii="Times New Roman" w:eastAsia="Calibri" w:hAnsi="Times New Roman" w:cs="Times New Roman"/>
          <w:bCs/>
          <w:sz w:val="24"/>
          <w:szCs w:val="24"/>
        </w:rPr>
        <w:t>Public Administration Reform Strategy of the Republic of Serbia 2021–2030</w:t>
      </w:r>
      <w:r w:rsidRPr="00CA2667">
        <w:rPr>
          <w:rFonts w:ascii="Times New Roman" w:eastAsia="Calibri" w:hAnsi="Times New Roman" w:cs="Times New Roman"/>
          <w:sz w:val="24"/>
          <w:szCs w:val="24"/>
        </w:rPr>
        <w:t>. The implementation of the Program</w:t>
      </w:r>
      <w:r w:rsidRPr="00E7663E">
        <w:rPr>
          <w:rFonts w:ascii="Times New Roman" w:eastAsia="Calibri" w:hAnsi="Times New Roman" w:cs="Times New Roman"/>
          <w:sz w:val="24"/>
          <w:szCs w:val="24"/>
        </w:rPr>
        <w:t xml:space="preserve"> will address the insufficient alignment of previous initiatives by integrating public financial management reform elements </w:t>
      </w:r>
      <w:r w:rsidRPr="00CA2667">
        <w:rPr>
          <w:rFonts w:ascii="Times New Roman" w:eastAsia="Calibri" w:hAnsi="Times New Roman" w:cs="Times New Roman"/>
          <w:sz w:val="24"/>
          <w:szCs w:val="24"/>
        </w:rPr>
        <w:t xml:space="preserve">within </w:t>
      </w:r>
      <w:r w:rsidRPr="00CA2667">
        <w:rPr>
          <w:rFonts w:ascii="Times New Roman" w:eastAsia="Calibri" w:hAnsi="Times New Roman" w:cs="Times New Roman"/>
          <w:bCs/>
          <w:sz w:val="24"/>
          <w:szCs w:val="24"/>
        </w:rPr>
        <w:t>Specific Objective 7 – Public Financial Management</w:t>
      </w:r>
      <w:r w:rsidRPr="00CA2667">
        <w:rPr>
          <w:rFonts w:ascii="Times New Roman" w:eastAsia="Calibri" w:hAnsi="Times New Roman" w:cs="Times New Roman"/>
          <w:sz w:val="24"/>
          <w:szCs w:val="24"/>
        </w:rPr>
        <w:t xml:space="preserve">. The Program </w:t>
      </w:r>
      <w:r w:rsidRPr="00CA2667">
        <w:rPr>
          <w:rFonts w:ascii="Times New Roman" w:eastAsia="Calibri" w:hAnsi="Times New Roman" w:cs="Times New Roman"/>
          <w:sz w:val="24"/>
          <w:szCs w:val="24"/>
        </w:rPr>
        <w:lastRenderedPageBreak/>
        <w:t xml:space="preserve">follows the phases of the budget cycle defined by the </w:t>
      </w:r>
      <w:r w:rsidRPr="00CA2667">
        <w:rPr>
          <w:rFonts w:ascii="Times New Roman" w:eastAsia="Calibri" w:hAnsi="Times New Roman" w:cs="Times New Roman"/>
          <w:bCs/>
          <w:sz w:val="24"/>
          <w:szCs w:val="24"/>
        </w:rPr>
        <w:t>Budget System Law</w:t>
      </w:r>
      <w:r w:rsidRPr="00CA2667">
        <w:rPr>
          <w:rFonts w:ascii="Times New Roman" w:eastAsia="Calibri" w:hAnsi="Times New Roman" w:cs="Times New Roman"/>
          <w:sz w:val="24"/>
          <w:szCs w:val="24"/>
        </w:rPr>
        <w:t>,</w:t>
      </w:r>
      <w:r w:rsidRPr="00E7663E">
        <w:rPr>
          <w:rFonts w:ascii="Times New Roman" w:eastAsia="Calibri" w:hAnsi="Times New Roman" w:cs="Times New Roman"/>
          <w:sz w:val="24"/>
          <w:szCs w:val="24"/>
        </w:rPr>
        <w:t xml:space="preserve"> which serves as the key legal framework in the area of public financial management and regulates the entire budgetary process in detail.</w:t>
      </w:r>
    </w:p>
    <w:p w:rsidR="00E7663E" w:rsidRPr="00E7663E" w:rsidRDefault="00E7663E" w:rsidP="00E7663E">
      <w:pPr>
        <w:spacing w:after="0" w:line="240" w:lineRule="auto"/>
        <w:ind w:firstLine="706"/>
        <w:contextualSpacing/>
        <w:jc w:val="both"/>
        <w:rPr>
          <w:rFonts w:ascii="Times New Roman" w:eastAsia="Calibri" w:hAnsi="Times New Roman" w:cs="Times New Roman"/>
          <w:sz w:val="24"/>
          <w:szCs w:val="24"/>
        </w:rPr>
      </w:pPr>
      <w:r w:rsidRPr="00CA2667">
        <w:rPr>
          <w:rFonts w:ascii="Times New Roman" w:eastAsia="Calibri" w:hAnsi="Times New Roman" w:cs="Times New Roman"/>
          <w:sz w:val="24"/>
          <w:szCs w:val="24"/>
        </w:rPr>
        <w:t xml:space="preserve">Alignment with </w:t>
      </w:r>
      <w:r w:rsidRPr="00CA2667">
        <w:rPr>
          <w:rFonts w:ascii="Times New Roman" w:eastAsia="Calibri" w:hAnsi="Times New Roman" w:cs="Times New Roman"/>
          <w:bCs/>
          <w:sz w:val="24"/>
          <w:szCs w:val="24"/>
        </w:rPr>
        <w:t>international standards</w:t>
      </w:r>
      <w:r w:rsidRPr="00CA2667">
        <w:rPr>
          <w:rFonts w:ascii="Times New Roman" w:eastAsia="Calibri" w:hAnsi="Times New Roman" w:cs="Times New Roman"/>
          <w:sz w:val="24"/>
          <w:szCs w:val="24"/>
        </w:rPr>
        <w:t xml:space="preserve"> and </w:t>
      </w:r>
      <w:r w:rsidRPr="00CA2667">
        <w:rPr>
          <w:rFonts w:ascii="Times New Roman" w:eastAsia="Calibri" w:hAnsi="Times New Roman" w:cs="Times New Roman"/>
          <w:bCs/>
          <w:sz w:val="24"/>
          <w:szCs w:val="24"/>
        </w:rPr>
        <w:t>obligations arising from the European integration process</w:t>
      </w:r>
      <w:r w:rsidRPr="00CA2667">
        <w:rPr>
          <w:rFonts w:ascii="Times New Roman" w:eastAsia="Calibri" w:hAnsi="Times New Roman" w:cs="Times New Roman"/>
          <w:sz w:val="24"/>
          <w:szCs w:val="24"/>
        </w:rPr>
        <w:t xml:space="preserve"> is of essential importance for this Program. Special attention is dedicated to harmonization with the new </w:t>
      </w:r>
      <w:r w:rsidRPr="00CA2667">
        <w:rPr>
          <w:rFonts w:ascii="Times New Roman" w:eastAsia="Calibri" w:hAnsi="Times New Roman" w:cs="Times New Roman"/>
          <w:bCs/>
          <w:sz w:val="24"/>
          <w:szCs w:val="24"/>
        </w:rPr>
        <w:t>European Union instrument – the Growth Plan for the Western Balkans</w:t>
      </w:r>
      <w:r w:rsidRPr="00CA2667">
        <w:rPr>
          <w:rFonts w:ascii="Times New Roman" w:eastAsia="Calibri" w:hAnsi="Times New Roman" w:cs="Times New Roman"/>
          <w:sz w:val="24"/>
          <w:szCs w:val="24"/>
        </w:rPr>
        <w:t>. On October 3,</w:t>
      </w:r>
      <w:r w:rsidRPr="00E7663E">
        <w:rPr>
          <w:rFonts w:ascii="Times New Roman" w:eastAsia="Calibri" w:hAnsi="Times New Roman" w:cs="Times New Roman"/>
          <w:sz w:val="24"/>
          <w:szCs w:val="24"/>
        </w:rPr>
        <w:t xml:space="preserve"> 2024, the Government of the Republic of Serbia adopted the document </w:t>
      </w:r>
      <w:r w:rsidRPr="00E7663E">
        <w:rPr>
          <w:rFonts w:ascii="Times New Roman" w:eastAsia="Calibri" w:hAnsi="Times New Roman" w:cs="Times New Roman"/>
          <w:i/>
          <w:iCs/>
          <w:sz w:val="24"/>
          <w:szCs w:val="24"/>
        </w:rPr>
        <w:t>“Reform Agenda of the Republic of Serbia 2024–2027 in line with the Growth Plan for the Western Balkans.”</w:t>
      </w:r>
      <w:r w:rsidRPr="00E7663E">
        <w:rPr>
          <w:rFonts w:ascii="Times New Roman" w:eastAsia="Calibri" w:hAnsi="Times New Roman" w:cs="Times New Roman"/>
          <w:sz w:val="24"/>
          <w:szCs w:val="24"/>
        </w:rPr>
        <w:t xml:space="preserve"> This document contains a set of key structural reforms and investment priorities, indicators of progress in implementing these reforms, and deadlines for their realization in the areas of the business environment and private sector development, green and digital transition, human capital, and fundamentals. The fulfillment of these priorities conditions the disbursement of EU funds.</w:t>
      </w:r>
    </w:p>
    <w:p w:rsidR="00E7663E" w:rsidRPr="00E7663E" w:rsidRDefault="00E7663E" w:rsidP="00E7663E">
      <w:pPr>
        <w:spacing w:after="0" w:line="240" w:lineRule="auto"/>
        <w:ind w:firstLine="706"/>
        <w:contextualSpacing/>
        <w:jc w:val="both"/>
        <w:rPr>
          <w:rFonts w:ascii="Times New Roman" w:eastAsia="Calibri" w:hAnsi="Times New Roman" w:cs="Times New Roman"/>
          <w:sz w:val="24"/>
          <w:szCs w:val="24"/>
        </w:rPr>
      </w:pPr>
      <w:r w:rsidRPr="00CA2667">
        <w:rPr>
          <w:rFonts w:ascii="Times New Roman" w:eastAsia="Calibri" w:hAnsi="Times New Roman" w:cs="Times New Roman"/>
          <w:sz w:val="24"/>
          <w:szCs w:val="24"/>
        </w:rPr>
        <w:t xml:space="preserve">The </w:t>
      </w:r>
      <w:r w:rsidRPr="00CA2667">
        <w:rPr>
          <w:rFonts w:ascii="Times New Roman" w:eastAsia="Calibri" w:hAnsi="Times New Roman" w:cs="Times New Roman"/>
          <w:bCs/>
          <w:sz w:val="24"/>
          <w:szCs w:val="24"/>
        </w:rPr>
        <w:t>Growth Plan</w:t>
      </w:r>
      <w:r w:rsidRPr="00CA2667">
        <w:rPr>
          <w:rFonts w:ascii="Times New Roman" w:eastAsia="Calibri" w:hAnsi="Times New Roman" w:cs="Times New Roman"/>
          <w:sz w:val="24"/>
          <w:szCs w:val="24"/>
        </w:rPr>
        <w:t xml:space="preserve"> is a complex initiative that includes a </w:t>
      </w:r>
      <w:r w:rsidRPr="00CA2667">
        <w:rPr>
          <w:rFonts w:ascii="Times New Roman" w:eastAsia="Calibri" w:hAnsi="Times New Roman" w:cs="Times New Roman"/>
          <w:bCs/>
          <w:sz w:val="24"/>
          <w:szCs w:val="24"/>
        </w:rPr>
        <w:t>financial instrument for reforms and growth</w:t>
      </w:r>
      <w:r w:rsidRPr="00CA2667">
        <w:rPr>
          <w:rFonts w:ascii="Times New Roman" w:eastAsia="Calibri" w:hAnsi="Times New Roman" w:cs="Times New Roman"/>
          <w:sz w:val="24"/>
          <w:szCs w:val="24"/>
        </w:rPr>
        <w:t xml:space="preserve">, consisting of budget support and financing of priority projects. It places particular emphasis on the </w:t>
      </w:r>
      <w:r w:rsidRPr="00CA2667">
        <w:rPr>
          <w:rFonts w:ascii="Times New Roman" w:eastAsia="Calibri" w:hAnsi="Times New Roman" w:cs="Times New Roman"/>
          <w:bCs/>
          <w:sz w:val="24"/>
          <w:szCs w:val="24"/>
        </w:rPr>
        <w:t>national control and audit system</w:t>
      </w:r>
      <w:r w:rsidRPr="00CA2667">
        <w:rPr>
          <w:rFonts w:ascii="Times New Roman" w:eastAsia="Calibri" w:hAnsi="Times New Roman" w:cs="Times New Roman"/>
          <w:sz w:val="24"/>
          <w:szCs w:val="24"/>
        </w:rPr>
        <w:t xml:space="preserve"> during its implementation, as well as on </w:t>
      </w:r>
      <w:r w:rsidRPr="00CA2667">
        <w:rPr>
          <w:rFonts w:ascii="Times New Roman" w:eastAsia="Calibri" w:hAnsi="Times New Roman" w:cs="Times New Roman"/>
          <w:bCs/>
          <w:sz w:val="24"/>
          <w:szCs w:val="24"/>
        </w:rPr>
        <w:t>linkages with IPA</w:t>
      </w:r>
      <w:r w:rsidRPr="00CA2667">
        <w:rPr>
          <w:rFonts w:ascii="Times New Roman" w:eastAsia="Calibri" w:hAnsi="Times New Roman" w:cs="Times New Roman"/>
          <w:sz w:val="24"/>
          <w:szCs w:val="24"/>
        </w:rPr>
        <w:t xml:space="preserve"> (Instrument for Pre</w:t>
      </w:r>
      <w:r w:rsidRPr="00E7663E">
        <w:rPr>
          <w:rFonts w:ascii="Times New Roman" w:eastAsia="Calibri" w:hAnsi="Times New Roman" w:cs="Times New Roman"/>
          <w:sz w:val="24"/>
          <w:szCs w:val="24"/>
        </w:rPr>
        <w:t>-Accession Assistance).</w:t>
      </w:r>
    </w:p>
    <w:p w:rsidR="00E7663E" w:rsidRPr="00E7663E" w:rsidRDefault="00E7663E" w:rsidP="00E7663E">
      <w:pPr>
        <w:spacing w:after="0" w:line="240" w:lineRule="auto"/>
        <w:ind w:firstLine="706"/>
        <w:contextualSpacing/>
        <w:jc w:val="both"/>
        <w:rPr>
          <w:rFonts w:ascii="Times New Roman" w:eastAsia="Calibri" w:hAnsi="Times New Roman" w:cs="Times New Roman"/>
          <w:sz w:val="24"/>
          <w:szCs w:val="24"/>
        </w:rPr>
      </w:pPr>
      <w:r w:rsidRPr="00E7663E">
        <w:rPr>
          <w:rFonts w:ascii="Times New Roman" w:eastAsia="Calibri" w:hAnsi="Times New Roman" w:cs="Times New Roman"/>
          <w:sz w:val="24"/>
          <w:szCs w:val="24"/>
        </w:rPr>
        <w:t xml:space="preserve">In addition to this instrument, the Republic of Serbia, as an EU candidate country since 2015, participates in the coordination of economic policies within the </w:t>
      </w:r>
      <w:r w:rsidRPr="00CA2667">
        <w:rPr>
          <w:rFonts w:ascii="Times New Roman" w:eastAsia="Calibri" w:hAnsi="Times New Roman" w:cs="Times New Roman"/>
          <w:bCs/>
          <w:sz w:val="24"/>
          <w:szCs w:val="24"/>
        </w:rPr>
        <w:t>European Semester Light</w:t>
      </w:r>
      <w:r w:rsidRPr="00CA2667">
        <w:rPr>
          <w:rFonts w:ascii="Times New Roman" w:eastAsia="Calibri" w:hAnsi="Times New Roman" w:cs="Times New Roman"/>
          <w:sz w:val="24"/>
          <w:szCs w:val="24"/>
        </w:rPr>
        <w:t xml:space="preserve"> and annually prepares the </w:t>
      </w:r>
      <w:r w:rsidRPr="00CA2667">
        <w:rPr>
          <w:rFonts w:ascii="Times New Roman" w:eastAsia="Calibri" w:hAnsi="Times New Roman" w:cs="Times New Roman"/>
          <w:bCs/>
          <w:sz w:val="24"/>
          <w:szCs w:val="24"/>
        </w:rPr>
        <w:t>Economic Reform Programme (ERP)</w:t>
      </w:r>
      <w:r w:rsidRPr="00CA2667">
        <w:rPr>
          <w:rFonts w:ascii="Times New Roman" w:eastAsia="Calibri" w:hAnsi="Times New Roman" w:cs="Times New Roman"/>
          <w:sz w:val="24"/>
          <w:szCs w:val="24"/>
        </w:rPr>
        <w:t xml:space="preserve"> for a three-year period. This form of cooperation is crucial for preparing Serbia for EU</w:t>
      </w:r>
      <w:r w:rsidRPr="00E7663E">
        <w:rPr>
          <w:rFonts w:ascii="Times New Roman" w:eastAsia="Calibri" w:hAnsi="Times New Roman" w:cs="Times New Roman"/>
          <w:sz w:val="24"/>
          <w:szCs w:val="24"/>
        </w:rPr>
        <w:t xml:space="preserve"> membership, i.e., for achieving a functional market economy and developing the necessary capacities for coping with competitive pressures and the EU market.</w:t>
      </w:r>
    </w:p>
    <w:p w:rsidR="00E7663E" w:rsidRPr="00E7663E" w:rsidRDefault="00E7663E" w:rsidP="00E7663E">
      <w:pPr>
        <w:spacing w:after="0" w:line="240" w:lineRule="auto"/>
        <w:ind w:firstLine="706"/>
        <w:contextualSpacing/>
        <w:jc w:val="both"/>
        <w:rPr>
          <w:rFonts w:ascii="Times New Roman" w:eastAsia="Calibri" w:hAnsi="Times New Roman" w:cs="Times New Roman"/>
          <w:sz w:val="24"/>
          <w:szCs w:val="24"/>
        </w:rPr>
      </w:pPr>
      <w:r w:rsidRPr="00CA2667">
        <w:rPr>
          <w:rFonts w:ascii="Times New Roman" w:eastAsia="Calibri" w:hAnsi="Times New Roman" w:cs="Times New Roman"/>
          <w:sz w:val="24"/>
          <w:szCs w:val="24"/>
        </w:rPr>
        <w:t xml:space="preserve">The </w:t>
      </w:r>
      <w:r w:rsidRPr="00CA2667">
        <w:rPr>
          <w:rFonts w:ascii="Times New Roman" w:eastAsia="Calibri" w:hAnsi="Times New Roman" w:cs="Times New Roman"/>
          <w:bCs/>
          <w:sz w:val="24"/>
          <w:szCs w:val="24"/>
        </w:rPr>
        <w:t>PFMRP 2026–2030</w:t>
      </w:r>
      <w:r w:rsidRPr="00CA2667">
        <w:rPr>
          <w:rFonts w:ascii="Times New Roman" w:eastAsia="Calibri" w:hAnsi="Times New Roman" w:cs="Times New Roman"/>
          <w:sz w:val="24"/>
          <w:szCs w:val="24"/>
        </w:rPr>
        <w:t xml:space="preserve"> also takes into account alignment with international standards such as </w:t>
      </w:r>
      <w:r w:rsidRPr="00CA2667">
        <w:rPr>
          <w:rFonts w:ascii="Times New Roman" w:eastAsia="Calibri" w:hAnsi="Times New Roman" w:cs="Times New Roman"/>
          <w:bCs/>
          <w:sz w:val="24"/>
          <w:szCs w:val="24"/>
        </w:rPr>
        <w:t>IPSAS</w:t>
      </w:r>
      <w:r w:rsidRPr="00CA2667">
        <w:rPr>
          <w:rFonts w:ascii="Times New Roman" w:eastAsia="Calibri" w:hAnsi="Times New Roman" w:cs="Times New Roman"/>
          <w:sz w:val="24"/>
          <w:szCs w:val="24"/>
        </w:rPr>
        <w:t xml:space="preserve">, </w:t>
      </w:r>
      <w:r w:rsidRPr="00CA2667">
        <w:rPr>
          <w:rFonts w:ascii="Times New Roman" w:eastAsia="Calibri" w:hAnsi="Times New Roman" w:cs="Times New Roman"/>
          <w:bCs/>
          <w:sz w:val="24"/>
          <w:szCs w:val="24"/>
        </w:rPr>
        <w:t>ISSAI</w:t>
      </w:r>
      <w:r w:rsidRPr="00CA2667">
        <w:rPr>
          <w:rFonts w:ascii="Times New Roman" w:eastAsia="Calibri" w:hAnsi="Times New Roman" w:cs="Times New Roman"/>
          <w:sz w:val="24"/>
          <w:szCs w:val="24"/>
        </w:rPr>
        <w:t xml:space="preserve">, and others. </w:t>
      </w:r>
      <w:r w:rsidRPr="00CA2667">
        <w:rPr>
          <w:rFonts w:ascii="Times New Roman" w:eastAsia="Calibri" w:hAnsi="Times New Roman" w:cs="Times New Roman"/>
          <w:bCs/>
          <w:sz w:val="24"/>
          <w:szCs w:val="24"/>
        </w:rPr>
        <w:t>IPSAS</w:t>
      </w:r>
      <w:r w:rsidRPr="00CA2667">
        <w:rPr>
          <w:rFonts w:ascii="Times New Roman" w:eastAsia="Calibri" w:hAnsi="Times New Roman" w:cs="Times New Roman"/>
          <w:sz w:val="24"/>
          <w:szCs w:val="24"/>
        </w:rPr>
        <w:t xml:space="preserve"> ensures the application of international public sector accounting standards, while </w:t>
      </w:r>
      <w:r w:rsidRPr="00CA2667">
        <w:rPr>
          <w:rFonts w:ascii="Times New Roman" w:eastAsia="Calibri" w:hAnsi="Times New Roman" w:cs="Times New Roman"/>
          <w:bCs/>
          <w:sz w:val="24"/>
          <w:szCs w:val="24"/>
        </w:rPr>
        <w:t>ISSAI standards</w:t>
      </w:r>
      <w:r w:rsidRPr="00CA2667">
        <w:rPr>
          <w:rFonts w:ascii="Times New Roman" w:eastAsia="Calibri" w:hAnsi="Times New Roman" w:cs="Times New Roman"/>
          <w:sz w:val="24"/>
          <w:szCs w:val="24"/>
        </w:rPr>
        <w:t xml:space="preserve">—along with cooperation with supreme audit institutions through </w:t>
      </w:r>
      <w:r w:rsidRPr="00CA2667">
        <w:rPr>
          <w:rFonts w:ascii="Times New Roman" w:eastAsia="Calibri" w:hAnsi="Times New Roman" w:cs="Times New Roman"/>
          <w:bCs/>
          <w:sz w:val="24"/>
          <w:szCs w:val="24"/>
        </w:rPr>
        <w:t>INTOSAI</w:t>
      </w:r>
      <w:r w:rsidRPr="00CA2667">
        <w:rPr>
          <w:rFonts w:ascii="Times New Roman" w:eastAsia="Calibri" w:hAnsi="Times New Roman" w:cs="Times New Roman"/>
          <w:sz w:val="24"/>
          <w:szCs w:val="24"/>
        </w:rPr>
        <w:t xml:space="preserve"> and </w:t>
      </w:r>
      <w:r w:rsidRPr="00CA2667">
        <w:rPr>
          <w:rFonts w:ascii="Times New Roman" w:eastAsia="Calibri" w:hAnsi="Times New Roman" w:cs="Times New Roman"/>
          <w:bCs/>
          <w:sz w:val="24"/>
          <w:szCs w:val="24"/>
        </w:rPr>
        <w:t>EUROSAI</w:t>
      </w:r>
      <w:r w:rsidRPr="00E7663E">
        <w:rPr>
          <w:rFonts w:ascii="Times New Roman" w:eastAsia="Calibri" w:hAnsi="Times New Roman" w:cs="Times New Roman"/>
          <w:sz w:val="24"/>
          <w:szCs w:val="24"/>
        </w:rPr>
        <w:t>—ensure that public sector audit practices in Serbia comply with good international practices.</w:t>
      </w:r>
    </w:p>
    <w:p w:rsidR="00E7663E" w:rsidRPr="00CA2667" w:rsidRDefault="00E7663E" w:rsidP="00E7663E">
      <w:pPr>
        <w:spacing w:after="0" w:line="240" w:lineRule="auto"/>
        <w:ind w:firstLine="706"/>
        <w:contextualSpacing/>
        <w:jc w:val="both"/>
        <w:rPr>
          <w:rFonts w:ascii="Times New Roman" w:eastAsia="Calibri" w:hAnsi="Times New Roman" w:cs="Times New Roman"/>
          <w:sz w:val="24"/>
          <w:szCs w:val="24"/>
        </w:rPr>
      </w:pPr>
      <w:r w:rsidRPr="00E7663E">
        <w:rPr>
          <w:rFonts w:ascii="Times New Roman" w:eastAsia="Calibri" w:hAnsi="Times New Roman" w:cs="Times New Roman"/>
          <w:sz w:val="24"/>
          <w:szCs w:val="24"/>
        </w:rPr>
        <w:t xml:space="preserve">Alignment with the new </w:t>
      </w:r>
      <w:r w:rsidRPr="00CA2667">
        <w:rPr>
          <w:rFonts w:ascii="Times New Roman" w:eastAsia="Calibri" w:hAnsi="Times New Roman" w:cs="Times New Roman"/>
          <w:bCs/>
          <w:sz w:val="24"/>
          <w:szCs w:val="24"/>
        </w:rPr>
        <w:t>National Program for Countering the Shadow Economy</w:t>
      </w:r>
      <w:r w:rsidRPr="00CA2667">
        <w:rPr>
          <w:rFonts w:ascii="Times New Roman" w:eastAsia="Calibri" w:hAnsi="Times New Roman" w:cs="Times New Roman"/>
          <w:sz w:val="24"/>
          <w:szCs w:val="24"/>
        </w:rPr>
        <w:t xml:space="preserve"> is also of great importance. This program foresees specific measures in the</w:t>
      </w:r>
      <w:r w:rsidRPr="00E7663E">
        <w:rPr>
          <w:rFonts w:ascii="Times New Roman" w:eastAsia="Calibri" w:hAnsi="Times New Roman" w:cs="Times New Roman"/>
          <w:sz w:val="24"/>
          <w:szCs w:val="24"/>
        </w:rPr>
        <w:t xml:space="preserve"> areas of inspection oversight, tax supervision, and public procurement. These measures will further improve public financial management and strengthen efforts to prevent irregularities and fraud in the use of EU funds—an obligation defined under </w:t>
      </w:r>
      <w:r w:rsidRPr="00CA2667">
        <w:rPr>
          <w:rFonts w:ascii="Times New Roman" w:eastAsia="Calibri" w:hAnsi="Times New Roman" w:cs="Times New Roman"/>
          <w:bCs/>
          <w:sz w:val="24"/>
          <w:szCs w:val="24"/>
        </w:rPr>
        <w:t>Negotiation Chapter 32 – Financial Control</w:t>
      </w:r>
      <w:r w:rsidRPr="00CA2667">
        <w:rPr>
          <w:rFonts w:ascii="Times New Roman" w:eastAsia="Calibri" w:hAnsi="Times New Roman" w:cs="Times New Roman"/>
          <w:sz w:val="24"/>
          <w:szCs w:val="24"/>
        </w:rPr>
        <w:t>.</w:t>
      </w:r>
    </w:p>
    <w:p w:rsidR="00E7663E" w:rsidRPr="00CA2667" w:rsidRDefault="00E7663E" w:rsidP="00E7663E">
      <w:pPr>
        <w:spacing w:after="0" w:line="240" w:lineRule="auto"/>
        <w:ind w:firstLine="706"/>
        <w:contextualSpacing/>
        <w:jc w:val="both"/>
        <w:rPr>
          <w:rFonts w:ascii="Times New Roman" w:eastAsia="Calibri" w:hAnsi="Times New Roman" w:cs="Times New Roman"/>
          <w:sz w:val="24"/>
          <w:szCs w:val="24"/>
        </w:rPr>
      </w:pPr>
      <w:r w:rsidRPr="00CA2667">
        <w:rPr>
          <w:rFonts w:ascii="Times New Roman" w:eastAsia="Calibri" w:hAnsi="Times New Roman" w:cs="Times New Roman"/>
          <w:sz w:val="24"/>
          <w:szCs w:val="24"/>
        </w:rPr>
        <w:t xml:space="preserve">At the level of organizational units within the </w:t>
      </w:r>
      <w:r w:rsidRPr="00CA2667">
        <w:rPr>
          <w:rFonts w:ascii="Times New Roman" w:eastAsia="Calibri" w:hAnsi="Times New Roman" w:cs="Times New Roman"/>
          <w:bCs/>
          <w:sz w:val="24"/>
          <w:szCs w:val="24"/>
        </w:rPr>
        <w:t>Ministry of Finance</w:t>
      </w:r>
      <w:r w:rsidRPr="00CA2667">
        <w:rPr>
          <w:rFonts w:ascii="Times New Roman" w:eastAsia="Calibri" w:hAnsi="Times New Roman" w:cs="Times New Roman"/>
          <w:sz w:val="24"/>
          <w:szCs w:val="24"/>
        </w:rPr>
        <w:t xml:space="preserve"> and other institutions that are part of the </w:t>
      </w:r>
      <w:r w:rsidRPr="00CA2667">
        <w:rPr>
          <w:rFonts w:ascii="Times New Roman" w:eastAsia="Calibri" w:hAnsi="Times New Roman" w:cs="Times New Roman"/>
          <w:bCs/>
          <w:sz w:val="24"/>
          <w:szCs w:val="24"/>
        </w:rPr>
        <w:t>Working Group</w:t>
      </w:r>
      <w:r w:rsidRPr="00CA2667">
        <w:rPr>
          <w:rFonts w:ascii="Times New Roman" w:eastAsia="Calibri" w:hAnsi="Times New Roman" w:cs="Times New Roman"/>
          <w:sz w:val="24"/>
          <w:szCs w:val="24"/>
        </w:rPr>
        <w:t>, operational documents ensuring consistency and continuity in implementing reform measures</w:t>
      </w:r>
      <w:r w:rsidRPr="00E7663E">
        <w:rPr>
          <w:rFonts w:ascii="Times New Roman" w:eastAsia="Calibri" w:hAnsi="Times New Roman" w:cs="Times New Roman"/>
          <w:sz w:val="24"/>
          <w:szCs w:val="24"/>
        </w:rPr>
        <w:t xml:space="preserve"> must be harmonized </w:t>
      </w:r>
      <w:r w:rsidRPr="00CA2667">
        <w:rPr>
          <w:rFonts w:ascii="Times New Roman" w:eastAsia="Calibri" w:hAnsi="Times New Roman" w:cs="Times New Roman"/>
          <w:sz w:val="24"/>
          <w:szCs w:val="24"/>
        </w:rPr>
        <w:t xml:space="preserve">with </w:t>
      </w:r>
      <w:r w:rsidRPr="00CA2667">
        <w:rPr>
          <w:rFonts w:ascii="Times New Roman" w:eastAsia="Calibri" w:hAnsi="Times New Roman" w:cs="Times New Roman"/>
          <w:bCs/>
          <w:sz w:val="24"/>
          <w:szCs w:val="24"/>
        </w:rPr>
        <w:t>PFMRP 2026–2030</w:t>
      </w:r>
      <w:r w:rsidRPr="00CA2667">
        <w:rPr>
          <w:rFonts w:ascii="Times New Roman" w:eastAsia="Calibri" w:hAnsi="Times New Roman" w:cs="Times New Roman"/>
          <w:sz w:val="24"/>
          <w:szCs w:val="24"/>
        </w:rPr>
        <w:t xml:space="preserve"> during their preparation or revision.</w:t>
      </w:r>
    </w:p>
    <w:p w:rsidR="00E7663E" w:rsidRPr="00CA2667" w:rsidRDefault="00E7663E" w:rsidP="00E7663E">
      <w:pPr>
        <w:spacing w:after="0" w:line="240" w:lineRule="auto"/>
        <w:ind w:firstLine="706"/>
        <w:contextualSpacing/>
        <w:jc w:val="both"/>
        <w:rPr>
          <w:rFonts w:ascii="Times New Roman" w:eastAsia="Calibri" w:hAnsi="Times New Roman" w:cs="Times New Roman"/>
          <w:sz w:val="24"/>
          <w:szCs w:val="24"/>
        </w:rPr>
      </w:pPr>
      <w:r w:rsidRPr="00CA2667">
        <w:rPr>
          <w:rFonts w:ascii="Times New Roman" w:eastAsia="Calibri" w:hAnsi="Times New Roman" w:cs="Times New Roman"/>
          <w:sz w:val="24"/>
          <w:szCs w:val="24"/>
        </w:rPr>
        <w:t xml:space="preserve">Taking all these aspects into account, </w:t>
      </w:r>
      <w:r w:rsidRPr="00CA2667">
        <w:rPr>
          <w:rFonts w:ascii="Times New Roman" w:eastAsia="Calibri" w:hAnsi="Times New Roman" w:cs="Times New Roman"/>
          <w:bCs/>
          <w:sz w:val="24"/>
          <w:szCs w:val="24"/>
        </w:rPr>
        <w:t>PFMRP 2026–2030</w:t>
      </w:r>
      <w:r w:rsidRPr="00E7663E">
        <w:rPr>
          <w:rFonts w:ascii="Times New Roman" w:eastAsia="Calibri" w:hAnsi="Times New Roman" w:cs="Times New Roman"/>
          <w:sz w:val="24"/>
          <w:szCs w:val="24"/>
        </w:rPr>
        <w:t xml:space="preserve"> represents a key step toward the modernization and more efficient management of public finances in Serbia. The Program not only aligns Serbia’s public financial management standards with good European and international practices but also </w:t>
      </w:r>
      <w:r w:rsidRPr="00CA2667">
        <w:rPr>
          <w:rFonts w:ascii="Times New Roman" w:eastAsia="Calibri" w:hAnsi="Times New Roman" w:cs="Times New Roman"/>
          <w:sz w:val="24"/>
          <w:szCs w:val="24"/>
        </w:rPr>
        <w:t xml:space="preserve">provides a stable foundation for sustainable economic development and stronger integration into the </w:t>
      </w:r>
      <w:r w:rsidRPr="00CA2667">
        <w:rPr>
          <w:rFonts w:ascii="Times New Roman" w:eastAsia="Calibri" w:hAnsi="Times New Roman" w:cs="Times New Roman"/>
          <w:bCs/>
          <w:sz w:val="24"/>
          <w:szCs w:val="24"/>
        </w:rPr>
        <w:t>European Union</w:t>
      </w:r>
      <w:r w:rsidRPr="00CA2667">
        <w:rPr>
          <w:rFonts w:ascii="Times New Roman" w:eastAsia="Calibri" w:hAnsi="Times New Roman" w:cs="Times New Roman"/>
          <w:sz w:val="24"/>
          <w:szCs w:val="24"/>
        </w:rPr>
        <w:t>.</w:t>
      </w:r>
    </w:p>
    <w:p w:rsidR="00203CC2" w:rsidRPr="00F551E3" w:rsidRDefault="00203CC2" w:rsidP="002D3FF7">
      <w:pPr>
        <w:spacing w:after="0" w:line="240" w:lineRule="auto"/>
        <w:ind w:firstLine="706"/>
        <w:contextualSpacing/>
        <w:jc w:val="both"/>
        <w:rPr>
          <w:rFonts w:ascii="Times New Roman" w:eastAsia="Calibri" w:hAnsi="Times New Roman" w:cs="Times New Roman"/>
          <w:sz w:val="24"/>
          <w:szCs w:val="24"/>
        </w:rPr>
        <w:sectPr w:rsidR="00203CC2" w:rsidRPr="00F551E3" w:rsidSect="006C09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pPr>
    </w:p>
    <w:tbl>
      <w:tblPr>
        <w:tblpPr w:leftFromText="180" w:rightFromText="180" w:vertAnchor="page" w:horzAnchor="margin" w:tblpXSpec="center" w:tblpY="1491"/>
        <w:tblW w:w="4828" w:type="pct"/>
        <w:tblCellMar>
          <w:left w:w="58" w:type="dxa"/>
          <w:right w:w="58" w:type="dxa"/>
        </w:tblCellMar>
        <w:tblLook w:val="04A0" w:firstRow="1" w:lastRow="0" w:firstColumn="1" w:lastColumn="0" w:noHBand="0" w:noVBand="1"/>
      </w:tblPr>
      <w:tblGrid>
        <w:gridCol w:w="1331"/>
        <w:gridCol w:w="1101"/>
        <w:gridCol w:w="1028"/>
        <w:gridCol w:w="1971"/>
        <w:gridCol w:w="1144"/>
        <w:gridCol w:w="955"/>
        <w:gridCol w:w="1138"/>
        <w:gridCol w:w="1376"/>
        <w:gridCol w:w="1717"/>
        <w:gridCol w:w="1707"/>
      </w:tblGrid>
      <w:tr w:rsidR="003F5EF0" w:rsidRPr="0081082A" w:rsidTr="003F5EF0">
        <w:trPr>
          <w:trHeight w:val="264"/>
        </w:trPr>
        <w:tc>
          <w:tcPr>
            <w:tcW w:w="505" w:type="pct"/>
            <w:tcBorders>
              <w:top w:val="single" w:sz="4" w:space="0" w:color="auto"/>
              <w:left w:val="single" w:sz="4" w:space="0" w:color="auto"/>
              <w:bottom w:val="single" w:sz="4" w:space="0" w:color="auto"/>
              <w:right w:val="single" w:sz="4" w:space="0" w:color="auto"/>
            </w:tcBorders>
            <w:shd w:val="clear" w:color="000000" w:fill="2F75B5"/>
            <w:noWrap/>
            <w:vAlign w:val="center"/>
            <w:hideMark/>
          </w:tcPr>
          <w:p w:rsidR="003F5EF0" w:rsidRPr="0081082A" w:rsidRDefault="00670D3F" w:rsidP="003F5EF0">
            <w:pPr>
              <w:spacing w:before="0" w:after="0" w:line="240" w:lineRule="auto"/>
              <w:rPr>
                <w:rFonts w:ascii="Times New Roman" w:eastAsia="Times New Roman" w:hAnsi="Times New Roman" w:cs="Times New Roman"/>
                <w:b/>
                <w:bCs/>
                <w:color w:val="000000"/>
                <w:sz w:val="14"/>
                <w:szCs w:val="14"/>
                <w:lang w:val="sr-Cyrl-RS"/>
              </w:rPr>
            </w:pPr>
            <w:r>
              <w:rPr>
                <w:rFonts w:ascii="Times New Roman" w:hAnsi="Times New Roman" w:cs="Times New Roman"/>
                <w:sz w:val="14"/>
                <w:szCs w:val="14"/>
                <w:lang w:val="sr-Cyrl-RS"/>
              </w:rPr>
              <w:lastRenderedPageBreak/>
              <w:t xml:space="preserve">Specific Objective </w:t>
            </w:r>
            <w:r w:rsidRPr="00670D3F">
              <w:rPr>
                <w:rFonts w:ascii="Times New Roman" w:hAnsi="Times New Roman" w:cs="Times New Roman"/>
                <w:sz w:val="14"/>
                <w:szCs w:val="14"/>
                <w:lang w:val="sr-Cyrl-RS"/>
              </w:rPr>
              <w:t>I:</w:t>
            </w:r>
          </w:p>
        </w:tc>
        <w:tc>
          <w:tcPr>
            <w:tcW w:w="1988" w:type="pct"/>
            <w:gridSpan w:val="4"/>
            <w:tcBorders>
              <w:top w:val="single" w:sz="4" w:space="0" w:color="auto"/>
              <w:left w:val="nil"/>
              <w:bottom w:val="single" w:sz="4" w:space="0" w:color="auto"/>
              <w:right w:val="single" w:sz="4" w:space="0" w:color="000000"/>
            </w:tcBorders>
            <w:shd w:val="clear" w:color="000000" w:fill="2F75B5"/>
            <w:noWrap/>
            <w:vAlign w:val="center"/>
            <w:hideMark/>
          </w:tcPr>
          <w:p w:rsidR="003F5EF0" w:rsidRPr="0081082A" w:rsidRDefault="00670D3F" w:rsidP="003F5EF0">
            <w:pPr>
              <w:spacing w:before="0" w:after="0" w:line="240" w:lineRule="auto"/>
              <w:jc w:val="center"/>
              <w:rPr>
                <w:rFonts w:ascii="Times New Roman" w:eastAsia="Times New Roman" w:hAnsi="Times New Roman" w:cs="Times New Roman"/>
                <w:b/>
                <w:bCs/>
                <w:color w:val="000000"/>
                <w:sz w:val="14"/>
                <w:szCs w:val="14"/>
                <w:lang w:val="sr-Cyrl-RS"/>
              </w:rPr>
            </w:pPr>
            <w:r w:rsidRPr="00670D3F">
              <w:rPr>
                <w:rFonts w:ascii="Times New Roman" w:hAnsi="Times New Roman" w:cs="Times New Roman"/>
                <w:sz w:val="14"/>
                <w:szCs w:val="14"/>
                <w:lang w:val="sr-Cyrl-RS"/>
              </w:rPr>
              <w:t>Specific Objective II:</w:t>
            </w:r>
          </w:p>
        </w:tc>
        <w:tc>
          <w:tcPr>
            <w:tcW w:w="798" w:type="pct"/>
            <w:gridSpan w:val="2"/>
            <w:tcBorders>
              <w:top w:val="single" w:sz="4" w:space="0" w:color="auto"/>
              <w:left w:val="nil"/>
              <w:bottom w:val="single" w:sz="4" w:space="0" w:color="auto"/>
              <w:right w:val="single" w:sz="4" w:space="0" w:color="auto"/>
            </w:tcBorders>
            <w:shd w:val="clear" w:color="000000" w:fill="2F75B5"/>
            <w:noWrap/>
            <w:vAlign w:val="center"/>
            <w:hideMark/>
          </w:tcPr>
          <w:p w:rsidR="003F5EF0" w:rsidRPr="0081082A" w:rsidRDefault="00670D3F" w:rsidP="003F5EF0">
            <w:pPr>
              <w:spacing w:before="0" w:after="0" w:line="240" w:lineRule="auto"/>
              <w:jc w:val="center"/>
              <w:rPr>
                <w:rFonts w:ascii="Times New Roman" w:eastAsia="Times New Roman" w:hAnsi="Times New Roman" w:cs="Times New Roman"/>
                <w:b/>
                <w:bCs/>
                <w:color w:val="000000"/>
                <w:sz w:val="14"/>
                <w:szCs w:val="14"/>
                <w:lang w:val="sr-Cyrl-RS"/>
              </w:rPr>
            </w:pPr>
            <w:r w:rsidRPr="00670D3F">
              <w:rPr>
                <w:rFonts w:ascii="Times New Roman" w:hAnsi="Times New Roman" w:cs="Times New Roman"/>
                <w:sz w:val="14"/>
                <w:szCs w:val="14"/>
                <w:lang w:val="sr-Cyrl-RS"/>
              </w:rPr>
              <w:t>Specific Objective II</w:t>
            </w:r>
            <w:r>
              <w:rPr>
                <w:rFonts w:ascii="Times New Roman" w:hAnsi="Times New Roman" w:cs="Times New Roman"/>
                <w:sz w:val="14"/>
                <w:szCs w:val="14"/>
                <w:lang w:val="sr-Latn-RS"/>
              </w:rPr>
              <w:t>I</w:t>
            </w:r>
            <w:r w:rsidRPr="00670D3F">
              <w:rPr>
                <w:rFonts w:ascii="Times New Roman" w:hAnsi="Times New Roman" w:cs="Times New Roman"/>
                <w:sz w:val="14"/>
                <w:szCs w:val="14"/>
                <w:lang w:val="sr-Cyrl-RS"/>
              </w:rPr>
              <w:t>:</w:t>
            </w:r>
          </w:p>
        </w:tc>
        <w:tc>
          <w:tcPr>
            <w:tcW w:w="417" w:type="pct"/>
            <w:tcBorders>
              <w:top w:val="single" w:sz="4" w:space="0" w:color="auto"/>
              <w:left w:val="nil"/>
              <w:bottom w:val="single" w:sz="4" w:space="0" w:color="auto"/>
              <w:right w:val="single" w:sz="4" w:space="0" w:color="auto"/>
            </w:tcBorders>
            <w:shd w:val="clear" w:color="000000" w:fill="2F75B5"/>
            <w:noWrap/>
            <w:vAlign w:val="center"/>
            <w:hideMark/>
          </w:tcPr>
          <w:p w:rsidR="003F5EF0" w:rsidRPr="0081082A" w:rsidRDefault="00670D3F" w:rsidP="00670D3F">
            <w:pPr>
              <w:spacing w:before="0" w:after="0" w:line="240" w:lineRule="auto"/>
              <w:jc w:val="center"/>
              <w:rPr>
                <w:rFonts w:ascii="Times New Roman" w:eastAsia="Times New Roman" w:hAnsi="Times New Roman" w:cs="Times New Roman"/>
                <w:b/>
                <w:bCs/>
                <w:color w:val="000000"/>
                <w:sz w:val="14"/>
                <w:szCs w:val="14"/>
                <w:lang w:val="sr-Cyrl-RS"/>
              </w:rPr>
            </w:pPr>
            <w:r w:rsidRPr="00670D3F">
              <w:rPr>
                <w:rFonts w:ascii="Times New Roman" w:hAnsi="Times New Roman" w:cs="Times New Roman"/>
                <w:sz w:val="14"/>
                <w:szCs w:val="14"/>
                <w:lang w:val="sr-Cyrl-RS"/>
              </w:rPr>
              <w:t>Specific Objective I</w:t>
            </w:r>
            <w:r>
              <w:rPr>
                <w:rFonts w:ascii="Times New Roman" w:hAnsi="Times New Roman" w:cs="Times New Roman"/>
                <w:sz w:val="14"/>
                <w:szCs w:val="14"/>
                <w:lang w:val="sr-Latn-RS"/>
              </w:rPr>
              <w:t>V</w:t>
            </w:r>
            <w:r w:rsidRPr="00670D3F">
              <w:rPr>
                <w:rFonts w:ascii="Times New Roman" w:hAnsi="Times New Roman" w:cs="Times New Roman"/>
                <w:sz w:val="14"/>
                <w:szCs w:val="14"/>
                <w:lang w:val="sr-Cyrl-RS"/>
              </w:rPr>
              <w:t>:</w:t>
            </w:r>
          </w:p>
        </w:tc>
        <w:tc>
          <w:tcPr>
            <w:tcW w:w="648" w:type="pct"/>
            <w:tcBorders>
              <w:top w:val="single" w:sz="4" w:space="0" w:color="auto"/>
              <w:left w:val="nil"/>
              <w:bottom w:val="single" w:sz="4" w:space="0" w:color="auto"/>
              <w:right w:val="single" w:sz="4" w:space="0" w:color="auto"/>
            </w:tcBorders>
            <w:shd w:val="clear" w:color="000000" w:fill="2F75B5"/>
            <w:noWrap/>
            <w:vAlign w:val="center"/>
            <w:hideMark/>
          </w:tcPr>
          <w:p w:rsidR="003F5EF0" w:rsidRPr="0081082A" w:rsidRDefault="00670D3F" w:rsidP="003F5EF0">
            <w:pPr>
              <w:spacing w:before="0" w:after="0" w:line="240" w:lineRule="auto"/>
              <w:jc w:val="center"/>
              <w:rPr>
                <w:rFonts w:ascii="Times New Roman" w:eastAsia="Times New Roman" w:hAnsi="Times New Roman" w:cs="Times New Roman"/>
                <w:b/>
                <w:bCs/>
                <w:color w:val="000000"/>
                <w:sz w:val="14"/>
                <w:szCs w:val="14"/>
                <w:lang w:val="sr-Cyrl-RS"/>
              </w:rPr>
            </w:pPr>
            <w:r>
              <w:rPr>
                <w:rFonts w:ascii="Times New Roman" w:hAnsi="Times New Roman" w:cs="Times New Roman"/>
                <w:sz w:val="14"/>
                <w:szCs w:val="14"/>
                <w:lang w:val="sr-Cyrl-RS"/>
              </w:rPr>
              <w:t xml:space="preserve">Specific Objective </w:t>
            </w:r>
            <w:r>
              <w:rPr>
                <w:rFonts w:ascii="Times New Roman" w:hAnsi="Times New Roman" w:cs="Times New Roman"/>
                <w:sz w:val="14"/>
                <w:szCs w:val="14"/>
                <w:lang w:val="sr-Latn-RS"/>
              </w:rPr>
              <w:t>V</w:t>
            </w:r>
            <w:r w:rsidRPr="00670D3F">
              <w:rPr>
                <w:rFonts w:ascii="Times New Roman" w:hAnsi="Times New Roman" w:cs="Times New Roman"/>
                <w:sz w:val="14"/>
                <w:szCs w:val="14"/>
                <w:lang w:val="sr-Cyrl-RS"/>
              </w:rPr>
              <w:t>:</w:t>
            </w:r>
          </w:p>
        </w:tc>
        <w:tc>
          <w:tcPr>
            <w:tcW w:w="644" w:type="pct"/>
            <w:tcBorders>
              <w:top w:val="single" w:sz="4" w:space="0" w:color="auto"/>
              <w:left w:val="nil"/>
              <w:bottom w:val="single" w:sz="4" w:space="0" w:color="auto"/>
              <w:right w:val="single" w:sz="4" w:space="0" w:color="auto"/>
            </w:tcBorders>
            <w:shd w:val="clear" w:color="000000" w:fill="2F75B5"/>
          </w:tcPr>
          <w:p w:rsidR="003F5EF0" w:rsidRPr="00ED6797" w:rsidRDefault="00670D3F" w:rsidP="003F5EF0">
            <w:pPr>
              <w:spacing w:before="0" w:after="0" w:line="240" w:lineRule="auto"/>
              <w:rPr>
                <w:rFonts w:ascii="Times New Roman" w:eastAsia="Times New Roman" w:hAnsi="Times New Roman" w:cs="Times New Roman"/>
                <w:b/>
                <w:bCs/>
                <w:color w:val="000000"/>
                <w:sz w:val="14"/>
                <w:szCs w:val="14"/>
                <w:lang w:val="sr-Cyrl-RS"/>
              </w:rPr>
            </w:pPr>
            <w:r>
              <w:rPr>
                <w:rFonts w:ascii="Times New Roman" w:hAnsi="Times New Roman" w:cs="Times New Roman"/>
                <w:sz w:val="14"/>
                <w:szCs w:val="14"/>
                <w:lang w:val="sr-Cyrl-RS"/>
              </w:rPr>
              <w:t xml:space="preserve">Specific Objective </w:t>
            </w:r>
            <w:r>
              <w:rPr>
                <w:rFonts w:ascii="Times New Roman" w:hAnsi="Times New Roman" w:cs="Times New Roman"/>
                <w:sz w:val="14"/>
                <w:szCs w:val="14"/>
                <w:lang w:val="sr-Latn-RS"/>
              </w:rPr>
              <w:t>VI</w:t>
            </w:r>
            <w:r w:rsidRPr="00670D3F">
              <w:rPr>
                <w:rFonts w:ascii="Times New Roman" w:hAnsi="Times New Roman" w:cs="Times New Roman"/>
                <w:sz w:val="14"/>
                <w:szCs w:val="14"/>
                <w:lang w:val="sr-Cyrl-RS"/>
              </w:rPr>
              <w:t xml:space="preserve">: </w:t>
            </w:r>
          </w:p>
        </w:tc>
      </w:tr>
      <w:tr w:rsidR="003F5EF0" w:rsidRPr="0081082A" w:rsidTr="003F5EF0">
        <w:trPr>
          <w:trHeight w:val="1342"/>
        </w:trPr>
        <w:tc>
          <w:tcPr>
            <w:tcW w:w="505" w:type="pct"/>
            <w:tcBorders>
              <w:top w:val="nil"/>
              <w:left w:val="single" w:sz="4" w:space="0" w:color="auto"/>
              <w:bottom w:val="single" w:sz="4" w:space="0" w:color="auto"/>
              <w:right w:val="single" w:sz="4" w:space="0" w:color="auto"/>
            </w:tcBorders>
            <w:shd w:val="clear" w:color="auto" w:fill="FFE599" w:themeFill="accent4" w:themeFillTint="66"/>
            <w:vAlign w:val="center"/>
            <w:hideMark/>
          </w:tcPr>
          <w:p w:rsidR="003F5EF0" w:rsidRPr="0081082A" w:rsidRDefault="00670D3F" w:rsidP="003F5EF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pacing w:before="0" w:after="0" w:line="240" w:lineRule="auto"/>
              <w:jc w:val="center"/>
              <w:rPr>
                <w:rFonts w:ascii="Times New Roman" w:hAnsi="Times New Roman" w:cs="Times New Roman"/>
                <w:sz w:val="14"/>
                <w:szCs w:val="14"/>
                <w:lang w:val="sr-Cyrl-RS"/>
              </w:rPr>
            </w:pPr>
            <w:r w:rsidRPr="00670D3F">
              <w:rPr>
                <w:rFonts w:ascii="Times New Roman" w:hAnsi="Times New Roman" w:cs="Times New Roman"/>
                <w:sz w:val="14"/>
                <w:szCs w:val="14"/>
                <w:lang w:val="sr-Cyrl-RS"/>
              </w:rPr>
              <w:t xml:space="preserve">Improved Capacities for Budget Planning, Public Investment Management, and Fiscal Risk Monitoring </w:t>
            </w:r>
            <w:r w:rsidR="003F5EF0" w:rsidRPr="0081082A">
              <w:rPr>
                <w:rFonts w:ascii="Times New Roman" w:hAnsi="Times New Roman" w:cs="Times New Roman"/>
                <w:sz w:val="14"/>
                <w:szCs w:val="14"/>
                <w:lang w:val="sr-Cyrl-RS"/>
              </w:rPr>
              <w:t xml:space="preserve"> </w:t>
            </w:r>
          </w:p>
          <w:p w:rsidR="003F5EF0" w:rsidRPr="0081082A" w:rsidRDefault="003F5EF0" w:rsidP="003F5EF0">
            <w:pPr>
              <w:spacing w:before="0" w:after="0" w:line="240" w:lineRule="auto"/>
              <w:jc w:val="center"/>
              <w:rPr>
                <w:rFonts w:ascii="Times New Roman" w:eastAsia="Times New Roman" w:hAnsi="Times New Roman" w:cs="Times New Roman"/>
                <w:color w:val="FF0000"/>
                <w:sz w:val="14"/>
                <w:szCs w:val="14"/>
                <w:lang w:val="sr-Cyrl-RS"/>
              </w:rPr>
            </w:pPr>
          </w:p>
        </w:tc>
        <w:tc>
          <w:tcPr>
            <w:tcW w:w="1988" w:type="pct"/>
            <w:gridSpan w:val="4"/>
            <w:tcBorders>
              <w:top w:val="single" w:sz="4" w:space="0" w:color="auto"/>
              <w:left w:val="nil"/>
              <w:bottom w:val="single" w:sz="4" w:space="0" w:color="auto"/>
              <w:right w:val="single" w:sz="4" w:space="0" w:color="000000"/>
            </w:tcBorders>
            <w:shd w:val="clear" w:color="auto" w:fill="FFE599" w:themeFill="accent4" w:themeFillTint="66"/>
            <w:vAlign w:val="center"/>
            <w:hideMark/>
          </w:tcPr>
          <w:p w:rsidR="003F5EF0" w:rsidRPr="0081082A" w:rsidRDefault="00670D3F" w:rsidP="003F5EF0">
            <w:pPr>
              <w:spacing w:before="0" w:after="0" w:line="240" w:lineRule="auto"/>
              <w:jc w:val="center"/>
              <w:rPr>
                <w:rFonts w:ascii="Times New Roman" w:eastAsia="Times New Roman" w:hAnsi="Times New Roman" w:cs="Times New Roman"/>
                <w:color w:val="FF0000"/>
                <w:sz w:val="14"/>
                <w:szCs w:val="14"/>
                <w:lang w:val="sr-Cyrl-RS"/>
              </w:rPr>
            </w:pPr>
            <w:r w:rsidRPr="00670D3F">
              <w:rPr>
                <w:rFonts w:ascii="Times New Roman" w:hAnsi="Times New Roman" w:cs="Times New Roman"/>
                <w:sz w:val="14"/>
                <w:szCs w:val="14"/>
                <w:lang w:val="sr-Cyrl-RS"/>
              </w:rPr>
              <w:t>Efficient Collection and Management of Budgetary Resources</w:t>
            </w:r>
          </w:p>
        </w:tc>
        <w:tc>
          <w:tcPr>
            <w:tcW w:w="798" w:type="pct"/>
            <w:gridSpan w:val="2"/>
            <w:tcBorders>
              <w:top w:val="single" w:sz="4" w:space="0" w:color="auto"/>
              <w:left w:val="nil"/>
              <w:bottom w:val="single" w:sz="4" w:space="0" w:color="auto"/>
              <w:right w:val="single" w:sz="4" w:space="0" w:color="000000"/>
            </w:tcBorders>
            <w:shd w:val="clear" w:color="000000" w:fill="FFE699"/>
            <w:vAlign w:val="center"/>
            <w:hideMark/>
          </w:tcPr>
          <w:p w:rsidR="003F5EF0" w:rsidRPr="0081082A"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sidRPr="00670D3F">
              <w:rPr>
                <w:rFonts w:ascii="Times New Roman" w:eastAsia="Times New Roman" w:hAnsi="Times New Roman" w:cs="Times New Roman"/>
                <w:color w:val="000000"/>
                <w:sz w:val="14"/>
                <w:szCs w:val="14"/>
                <w:lang w:val="sr-Cyrl-RS"/>
              </w:rPr>
              <w:t>Specific Objective III: Improving Budget Discipline and Ensuring More Transparent Use of Public Funds</w:t>
            </w:r>
          </w:p>
        </w:tc>
        <w:tc>
          <w:tcPr>
            <w:tcW w:w="417" w:type="pct"/>
            <w:tcBorders>
              <w:top w:val="nil"/>
              <w:left w:val="nil"/>
              <w:bottom w:val="single" w:sz="4" w:space="0" w:color="auto"/>
              <w:right w:val="nil"/>
            </w:tcBorders>
            <w:shd w:val="clear" w:color="000000" w:fill="FFE699"/>
            <w:vAlign w:val="center"/>
            <w:hideMark/>
          </w:tcPr>
          <w:p w:rsidR="003F5EF0" w:rsidRPr="0081082A"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sidRPr="00670D3F">
              <w:rPr>
                <w:rFonts w:ascii="Times New Roman" w:eastAsia="Times New Roman" w:hAnsi="Times New Roman" w:cs="Times New Roman"/>
                <w:color w:val="000000"/>
                <w:sz w:val="14"/>
                <w:szCs w:val="14"/>
                <w:lang w:val="sr-Cyrl-RS"/>
              </w:rPr>
              <w:t>Improving the Implementation of the Public Internal Financial Control System in the Public Sector</w:t>
            </w:r>
          </w:p>
        </w:tc>
        <w:tc>
          <w:tcPr>
            <w:tcW w:w="648" w:type="pct"/>
            <w:tcBorders>
              <w:top w:val="nil"/>
              <w:left w:val="single" w:sz="4" w:space="0" w:color="auto"/>
              <w:bottom w:val="single" w:sz="4" w:space="0" w:color="auto"/>
              <w:right w:val="single" w:sz="4" w:space="0" w:color="auto"/>
            </w:tcBorders>
            <w:shd w:val="clear" w:color="000000" w:fill="FFE699"/>
            <w:vAlign w:val="center"/>
            <w:hideMark/>
          </w:tcPr>
          <w:p w:rsidR="003F5EF0" w:rsidRPr="0081082A" w:rsidRDefault="00670D3F" w:rsidP="003F5EF0">
            <w:pPr>
              <w:spacing w:before="0" w:after="0" w:line="240" w:lineRule="auto"/>
              <w:jc w:val="center"/>
              <w:rPr>
                <w:rFonts w:ascii="Times New Roman" w:eastAsia="Times New Roman" w:hAnsi="Times New Roman" w:cs="Times New Roman"/>
                <w:color w:val="FF0000"/>
                <w:sz w:val="14"/>
                <w:szCs w:val="14"/>
                <w:lang w:val="sr-Cyrl-RS"/>
              </w:rPr>
            </w:pPr>
            <w:r w:rsidRPr="00670D3F">
              <w:rPr>
                <w:rFonts w:ascii="Times New Roman" w:eastAsia="Times New Roman" w:hAnsi="Times New Roman" w:cs="Times New Roman"/>
                <w:sz w:val="14"/>
                <w:szCs w:val="14"/>
                <w:lang w:val="sr-Cyrl-RS"/>
              </w:rPr>
              <w:t>Improved Public Sector Accounting through the Application of International Public Sector Accounting Standards (IPSAS)</w:t>
            </w:r>
          </w:p>
        </w:tc>
        <w:tc>
          <w:tcPr>
            <w:tcW w:w="644" w:type="pct"/>
            <w:tcBorders>
              <w:top w:val="nil"/>
              <w:left w:val="single" w:sz="4" w:space="0" w:color="auto"/>
              <w:bottom w:val="single" w:sz="4" w:space="0" w:color="auto"/>
              <w:right w:val="single" w:sz="4" w:space="0" w:color="auto"/>
            </w:tcBorders>
            <w:shd w:val="clear" w:color="000000" w:fill="FFE699"/>
          </w:tcPr>
          <w:p w:rsidR="003F5EF0" w:rsidRDefault="003F5EF0" w:rsidP="003F5EF0">
            <w:pPr>
              <w:spacing w:before="0" w:after="0" w:line="240" w:lineRule="auto"/>
              <w:jc w:val="center"/>
              <w:rPr>
                <w:rFonts w:ascii="Times New Roman" w:eastAsia="Times New Roman" w:hAnsi="Times New Roman" w:cs="Times New Roman"/>
                <w:sz w:val="14"/>
                <w:szCs w:val="14"/>
                <w:lang w:val="sr-Cyrl-RS"/>
              </w:rPr>
            </w:pPr>
          </w:p>
          <w:p w:rsidR="003F5EF0" w:rsidRDefault="003F5EF0" w:rsidP="003F5EF0">
            <w:pPr>
              <w:spacing w:before="0" w:after="0" w:line="240" w:lineRule="auto"/>
              <w:jc w:val="center"/>
              <w:rPr>
                <w:rFonts w:ascii="Times New Roman" w:eastAsia="Times New Roman" w:hAnsi="Times New Roman" w:cs="Times New Roman"/>
                <w:sz w:val="14"/>
                <w:szCs w:val="14"/>
                <w:lang w:val="sr-Cyrl-RS"/>
              </w:rPr>
            </w:pPr>
          </w:p>
          <w:p w:rsidR="003F5EF0" w:rsidRDefault="003F5EF0" w:rsidP="003F5EF0">
            <w:pPr>
              <w:spacing w:before="0" w:after="0" w:line="240" w:lineRule="auto"/>
              <w:jc w:val="center"/>
              <w:rPr>
                <w:rFonts w:ascii="Times New Roman" w:eastAsia="Times New Roman" w:hAnsi="Times New Roman" w:cs="Times New Roman"/>
                <w:sz w:val="14"/>
                <w:szCs w:val="14"/>
                <w:lang w:val="sr-Cyrl-RS"/>
              </w:rPr>
            </w:pPr>
          </w:p>
          <w:p w:rsidR="003F5EF0" w:rsidRPr="0081082A" w:rsidRDefault="00670D3F" w:rsidP="003F5EF0">
            <w:pPr>
              <w:spacing w:before="0" w:after="0" w:line="240" w:lineRule="auto"/>
              <w:jc w:val="center"/>
              <w:rPr>
                <w:rFonts w:ascii="Times New Roman" w:eastAsia="Times New Roman" w:hAnsi="Times New Roman" w:cs="Times New Roman"/>
                <w:sz w:val="14"/>
                <w:szCs w:val="14"/>
                <w:lang w:val="sr-Cyrl-RS"/>
              </w:rPr>
            </w:pPr>
            <w:r w:rsidRPr="00670D3F">
              <w:rPr>
                <w:rFonts w:ascii="Times New Roman" w:eastAsia="Times New Roman" w:hAnsi="Times New Roman" w:cs="Times New Roman"/>
                <w:color w:val="000000"/>
                <w:sz w:val="14"/>
                <w:szCs w:val="14"/>
              </w:rPr>
              <w:t>Strengthening External Oversight of Public Finances</w:t>
            </w:r>
          </w:p>
        </w:tc>
      </w:tr>
      <w:tr w:rsidR="00670D3F" w:rsidRPr="0081082A" w:rsidTr="009B3230">
        <w:trPr>
          <w:trHeight w:val="168"/>
        </w:trPr>
        <w:tc>
          <w:tcPr>
            <w:tcW w:w="505" w:type="pct"/>
            <w:tcBorders>
              <w:top w:val="nil"/>
              <w:left w:val="single" w:sz="4" w:space="0" w:color="auto"/>
              <w:bottom w:val="single" w:sz="4" w:space="0" w:color="auto"/>
              <w:right w:val="single" w:sz="4" w:space="0" w:color="auto"/>
            </w:tcBorders>
            <w:shd w:val="clear" w:color="auto" w:fill="4472C4" w:themeFill="accent5"/>
            <w:vAlign w:val="center"/>
            <w:hideMark/>
          </w:tcPr>
          <w:p w:rsidR="00D87A52" w:rsidRPr="00670D3F" w:rsidRDefault="00670D3F" w:rsidP="003F5EF0">
            <w:pPr>
              <w:spacing w:before="0" w:after="0" w:line="240" w:lineRule="auto"/>
              <w:jc w:val="center"/>
              <w:rPr>
                <w:rFonts w:ascii="Times New Roman" w:eastAsia="Times New Roman" w:hAnsi="Times New Roman" w:cs="Times New Roman"/>
                <w:color w:val="000000"/>
                <w:sz w:val="14"/>
                <w:szCs w:val="14"/>
                <w:lang w:val="sr-Latn-RS"/>
              </w:rPr>
            </w:pPr>
            <w:r>
              <w:rPr>
                <w:rFonts w:ascii="Times New Roman" w:eastAsia="Times New Roman" w:hAnsi="Times New Roman" w:cs="Times New Roman"/>
                <w:color w:val="000000"/>
                <w:sz w:val="14"/>
                <w:szCs w:val="14"/>
                <w:lang w:val="sr-Latn-RS"/>
              </w:rPr>
              <w:t>Fiscal Strategy 2025 with projections for 2026 and 2027</w:t>
            </w:r>
          </w:p>
        </w:tc>
        <w:tc>
          <w:tcPr>
            <w:tcW w:w="419" w:type="pct"/>
            <w:vMerge w:val="restart"/>
            <w:tcBorders>
              <w:top w:val="nil"/>
              <w:left w:val="nil"/>
              <w:right w:val="single" w:sz="4" w:space="0" w:color="auto"/>
            </w:tcBorders>
            <w:shd w:val="clear" w:color="000000" w:fill="9BC2E6"/>
            <w:vAlign w:val="center"/>
            <w:hideMark/>
          </w:tcPr>
          <w:p w:rsidR="00670D3F" w:rsidRPr="00862B04" w:rsidRDefault="00670D3F" w:rsidP="00670D3F">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lang w:val="sr-Latn-RS"/>
              </w:rPr>
              <w:t>ERP</w:t>
            </w:r>
            <w:r w:rsidRPr="00862B04">
              <w:rPr>
                <w:rFonts w:ascii="Times New Roman" w:eastAsia="Times New Roman" w:hAnsi="Times New Roman" w:cs="Times New Roman"/>
                <w:sz w:val="14"/>
                <w:szCs w:val="14"/>
                <w:lang w:val="sr-Cyrl-RS"/>
              </w:rPr>
              <w:t xml:space="preserve"> 2026-2028 </w:t>
            </w:r>
          </w:p>
          <w:p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92" w:type="pct"/>
            <w:vMerge w:val="restart"/>
            <w:tcBorders>
              <w:top w:val="nil"/>
              <w:left w:val="nil"/>
              <w:right w:val="single" w:sz="4" w:space="0" w:color="auto"/>
            </w:tcBorders>
            <w:shd w:val="clear" w:color="000000" w:fill="9BC2E6"/>
            <w:vAlign w:val="center"/>
            <w:hideMark/>
          </w:tcPr>
          <w:p w:rsidR="00D87A52" w:rsidRPr="00862B04" w:rsidRDefault="00EB6B63" w:rsidP="003F5EF0">
            <w:pPr>
              <w:spacing w:before="0" w:after="0" w:line="240" w:lineRule="auto"/>
              <w:jc w:val="center"/>
              <w:rPr>
                <w:rFonts w:ascii="Times New Roman" w:eastAsia="Times New Roman" w:hAnsi="Times New Roman" w:cs="Times New Roman"/>
                <w:color w:val="000000"/>
                <w:sz w:val="14"/>
                <w:szCs w:val="14"/>
                <w:lang w:val="sr-Cyrl-RS"/>
              </w:rPr>
            </w:pPr>
            <w:r w:rsidRPr="00EB6B63">
              <w:rPr>
                <w:rFonts w:ascii="Times New Roman" w:eastAsia="Times New Roman" w:hAnsi="Times New Roman" w:cs="Times New Roman"/>
                <w:color w:val="000000"/>
                <w:sz w:val="14"/>
                <w:szCs w:val="14"/>
              </w:rPr>
              <w:t>Business Plan 2025–2029 for the Improvement of the Organization and Functioning of the Customs Service of the Ministry of Finance</w:t>
            </w:r>
          </w:p>
        </w:tc>
        <w:tc>
          <w:tcPr>
            <w:tcW w:w="742" w:type="pct"/>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rsidR="00D87A52"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Fiscal Strategy 2025 with projections for 2026 and 2027</w:t>
            </w:r>
          </w:p>
        </w:tc>
        <w:tc>
          <w:tcPr>
            <w:tcW w:w="435" w:type="pct"/>
            <w:tcBorders>
              <w:top w:val="nil"/>
              <w:left w:val="nil"/>
              <w:bottom w:val="single" w:sz="4" w:space="0" w:color="auto"/>
              <w:right w:val="single" w:sz="4" w:space="0" w:color="auto"/>
            </w:tcBorders>
            <w:shd w:val="clear" w:color="auto" w:fill="4472C4" w:themeFill="accent5"/>
            <w:vAlign w:val="center"/>
            <w:hideMark/>
          </w:tcPr>
          <w:p w:rsidR="00EB6B63" w:rsidRPr="00EB6B63" w:rsidRDefault="00EB6B63" w:rsidP="00EB6B63">
            <w:pPr>
              <w:spacing w:before="0" w:after="0" w:line="240" w:lineRule="auto"/>
              <w:jc w:val="center"/>
              <w:rPr>
                <w:rFonts w:ascii="Times New Roman" w:eastAsia="Times New Roman" w:hAnsi="Times New Roman" w:cs="Times New Roman"/>
                <w:color w:val="000000"/>
                <w:sz w:val="14"/>
                <w:szCs w:val="14"/>
              </w:rPr>
            </w:pPr>
            <w:r w:rsidRPr="00EB6B63">
              <w:rPr>
                <w:rFonts w:ascii="Times New Roman" w:eastAsia="Times New Roman" w:hAnsi="Times New Roman" w:cs="Times New Roman"/>
                <w:color w:val="000000"/>
                <w:sz w:val="14"/>
                <w:szCs w:val="14"/>
              </w:rPr>
              <w:t>Public Procurement Development Program in the Republic of Serbia for the period 2024–2028</w:t>
            </w:r>
          </w:p>
          <w:p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65" w:type="pct"/>
            <w:vMerge w:val="restart"/>
            <w:tcBorders>
              <w:top w:val="single" w:sz="4" w:space="0" w:color="auto"/>
              <w:left w:val="single" w:sz="4" w:space="0" w:color="auto"/>
              <w:right w:val="single" w:sz="4" w:space="0" w:color="auto"/>
            </w:tcBorders>
            <w:shd w:val="clear" w:color="auto" w:fill="F4B083" w:themeFill="accent2" w:themeFillTint="99"/>
            <w:vAlign w:val="center"/>
            <w:hideMark/>
          </w:tcPr>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670D3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color w:val="000000"/>
                <w:sz w:val="14"/>
                <w:szCs w:val="14"/>
                <w:lang w:val="sr-Latn-RS"/>
              </w:rPr>
              <w:t xml:space="preserve">Action plan for Chapter </w:t>
            </w:r>
            <w:r w:rsidRPr="00862B04">
              <w:rPr>
                <w:rFonts w:ascii="Times New Roman" w:eastAsia="Times New Roman" w:hAnsi="Times New Roman" w:cs="Times New Roman"/>
                <w:color w:val="000000"/>
                <w:sz w:val="14"/>
                <w:szCs w:val="14"/>
                <w:lang w:val="sr-Cyrl-RS"/>
              </w:rPr>
              <w:t xml:space="preserve"> 22</w:t>
            </w:r>
          </w:p>
        </w:tc>
        <w:tc>
          <w:tcPr>
            <w:tcW w:w="433" w:type="pct"/>
            <w:vMerge w:val="restart"/>
            <w:tcBorders>
              <w:top w:val="nil"/>
              <w:left w:val="nil"/>
              <w:right w:val="single" w:sz="4" w:space="0" w:color="auto"/>
            </w:tcBorders>
            <w:shd w:val="clear" w:color="000000" w:fill="9BC2E6"/>
            <w:vAlign w:val="center"/>
            <w:hideMark/>
          </w:tcPr>
          <w:p w:rsidR="00D87A52" w:rsidRPr="00862B04" w:rsidRDefault="00670D3F" w:rsidP="003F5EF0">
            <w:pPr>
              <w:spacing w:before="0"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Strategic plan of the Budget Inspection of the Ministrz of Finance for the period </w:t>
            </w:r>
            <w:r w:rsidR="00A70B7F">
              <w:rPr>
                <w:rFonts w:ascii="Times New Roman" w:eastAsia="Times New Roman" w:hAnsi="Times New Roman" w:cs="Times New Roman"/>
                <w:sz w:val="14"/>
                <w:szCs w:val="14"/>
              </w:rPr>
              <w:t>2026-2030</w:t>
            </w:r>
          </w:p>
          <w:p w:rsidR="00D87A52" w:rsidRPr="00862B04" w:rsidRDefault="00D87A52" w:rsidP="003F5EF0">
            <w:pPr>
              <w:spacing w:before="0" w:after="0" w:line="240" w:lineRule="auto"/>
              <w:jc w:val="center"/>
              <w:rPr>
                <w:rFonts w:ascii="Times New Roman" w:eastAsia="Times New Roman" w:hAnsi="Times New Roman" w:cs="Times New Roman"/>
                <w:sz w:val="14"/>
                <w:szCs w:val="14"/>
                <w:highlight w:val="green"/>
                <w:lang w:val="sr-Cyrl-RS"/>
              </w:rPr>
            </w:pPr>
          </w:p>
          <w:p w:rsidR="00D87A52" w:rsidRPr="00862B04" w:rsidRDefault="00E0437F" w:rsidP="003F5EF0">
            <w:pPr>
              <w:spacing w:before="0" w:after="0" w:line="240" w:lineRule="auto"/>
              <w:jc w:val="center"/>
              <w:rPr>
                <w:rFonts w:ascii="Times New Roman" w:eastAsia="Times New Roman" w:hAnsi="Times New Roman" w:cs="Times New Roman"/>
                <w:sz w:val="14"/>
                <w:szCs w:val="14"/>
                <w:lang w:val="sr-Cyrl-RS"/>
              </w:rPr>
            </w:pPr>
            <w:r w:rsidRPr="00E0437F">
              <w:rPr>
                <w:rFonts w:ascii="Times New Roman" w:eastAsia="Times New Roman" w:hAnsi="Times New Roman" w:cs="Times New Roman"/>
                <w:sz w:val="14"/>
                <w:szCs w:val="14"/>
              </w:rPr>
              <w:t>Strategic Plan for Combating Fraud and Managing Irregularities in the Handling of European Union Financial Resources in the Republic of Serbia for the Period 2024–2026</w:t>
            </w:r>
          </w:p>
        </w:tc>
        <w:tc>
          <w:tcPr>
            <w:tcW w:w="417" w:type="pct"/>
            <w:tcBorders>
              <w:top w:val="nil"/>
              <w:left w:val="nil"/>
              <w:bottom w:val="single" w:sz="4" w:space="0" w:color="auto"/>
              <w:right w:val="single" w:sz="4" w:space="0" w:color="auto"/>
            </w:tcBorders>
            <w:shd w:val="clear" w:color="auto" w:fill="4472C4" w:themeFill="accent5"/>
            <w:vAlign w:val="center"/>
            <w:hideMark/>
          </w:tcPr>
          <w:p w:rsidR="00D87A52" w:rsidRPr="00862B04" w:rsidRDefault="00E0437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lang w:val="sr-Latn-RS"/>
              </w:rPr>
              <w:t>PAR Strategy</w:t>
            </w:r>
            <w:r w:rsidR="00D87A52" w:rsidRPr="00862B04">
              <w:rPr>
                <w:rFonts w:ascii="Times New Roman" w:eastAsia="Times New Roman" w:hAnsi="Times New Roman" w:cs="Times New Roman"/>
                <w:sz w:val="14"/>
                <w:szCs w:val="14"/>
                <w:lang w:val="sr-Cyrl-RS"/>
              </w:rPr>
              <w:t xml:space="preserve"> 2021-2030</w:t>
            </w:r>
          </w:p>
        </w:tc>
        <w:tc>
          <w:tcPr>
            <w:tcW w:w="648" w:type="pct"/>
            <w:tcBorders>
              <w:top w:val="nil"/>
              <w:left w:val="nil"/>
              <w:bottom w:val="single" w:sz="4" w:space="0" w:color="auto"/>
              <w:right w:val="single" w:sz="4" w:space="0" w:color="auto"/>
            </w:tcBorders>
            <w:shd w:val="clear" w:color="auto" w:fill="4472C4" w:themeFill="accent5"/>
            <w:vAlign w:val="center"/>
            <w:hideMark/>
          </w:tcPr>
          <w:p w:rsidR="00D87A52" w:rsidRPr="00862B04" w:rsidRDefault="00E0437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Fiscal Strategy 2025 with projections for 2026 and 2027</w:t>
            </w:r>
          </w:p>
        </w:tc>
        <w:tc>
          <w:tcPr>
            <w:tcW w:w="644" w:type="pct"/>
            <w:tcBorders>
              <w:top w:val="nil"/>
              <w:left w:val="nil"/>
              <w:bottom w:val="single" w:sz="4" w:space="0" w:color="auto"/>
              <w:right w:val="single" w:sz="4" w:space="0" w:color="auto"/>
            </w:tcBorders>
            <w:shd w:val="clear" w:color="auto" w:fill="9CC2E5" w:themeFill="accent1" w:themeFillTint="99"/>
          </w:tcPr>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EB6B63" w:rsidP="003F5EF0">
            <w:pPr>
              <w:spacing w:before="0" w:after="0" w:line="240" w:lineRule="auto"/>
              <w:jc w:val="center"/>
              <w:rPr>
                <w:rFonts w:ascii="Times New Roman" w:eastAsia="Times New Roman" w:hAnsi="Times New Roman" w:cs="Times New Roman"/>
                <w:sz w:val="14"/>
                <w:szCs w:val="14"/>
                <w:lang w:val="sr-Cyrl-RS"/>
              </w:rPr>
            </w:pPr>
            <w:r w:rsidRPr="00EB6B63">
              <w:rPr>
                <w:rFonts w:ascii="Times New Roman" w:eastAsia="Times New Roman" w:hAnsi="Times New Roman" w:cs="Times New Roman"/>
                <w:sz w:val="14"/>
                <w:szCs w:val="14"/>
              </w:rPr>
              <w:t>Strategic Plan of the State Audit Institution 2024–2028</w:t>
            </w:r>
          </w:p>
        </w:tc>
      </w:tr>
      <w:tr w:rsidR="00670D3F" w:rsidRPr="0081082A" w:rsidTr="009B3230">
        <w:trPr>
          <w:trHeight w:val="739"/>
        </w:trPr>
        <w:tc>
          <w:tcPr>
            <w:tcW w:w="505" w:type="pct"/>
            <w:tcBorders>
              <w:top w:val="nil"/>
              <w:left w:val="single" w:sz="4" w:space="0" w:color="auto"/>
              <w:bottom w:val="single" w:sz="4" w:space="0" w:color="auto"/>
              <w:right w:val="single" w:sz="4" w:space="0" w:color="auto"/>
            </w:tcBorders>
            <w:shd w:val="clear" w:color="auto" w:fill="4472C4" w:themeFill="accent5"/>
            <w:vAlign w:val="center"/>
            <w:hideMark/>
          </w:tcPr>
          <w:p w:rsidR="00D87A52" w:rsidRPr="00862B04" w:rsidRDefault="00670D3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lang w:val="sr-Latn-RS"/>
              </w:rPr>
              <w:t>ERP</w:t>
            </w:r>
            <w:r w:rsidR="00D87A52" w:rsidRPr="00862B04">
              <w:rPr>
                <w:rFonts w:ascii="Times New Roman" w:eastAsia="Times New Roman" w:hAnsi="Times New Roman" w:cs="Times New Roman"/>
                <w:sz w:val="14"/>
                <w:szCs w:val="14"/>
                <w:lang w:val="sr-Cyrl-RS"/>
              </w:rPr>
              <w:t xml:space="preserve"> 2026-2028 </w:t>
            </w:r>
          </w:p>
          <w:p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r w:rsidRPr="00862B04">
              <w:rPr>
                <w:rFonts w:ascii="Times New Roman" w:eastAsia="Times New Roman" w:hAnsi="Times New Roman" w:cs="Times New Roman"/>
                <w:color w:val="000000"/>
                <w:sz w:val="14"/>
                <w:szCs w:val="14"/>
                <w:lang w:val="sr-Cyrl-RS"/>
              </w:rPr>
              <w:t xml:space="preserve"> </w:t>
            </w:r>
          </w:p>
          <w:p w:rsidR="00D87A52" w:rsidRPr="00862B04" w:rsidRDefault="00D87A52" w:rsidP="003F5EF0">
            <w:pPr>
              <w:spacing w:before="0" w:after="0" w:line="240" w:lineRule="auto"/>
              <w:jc w:val="center"/>
              <w:rPr>
                <w:rFonts w:ascii="Times New Roman" w:eastAsia="Times New Roman" w:hAnsi="Times New Roman" w:cs="Times New Roman"/>
                <w:color w:val="FF0000"/>
                <w:sz w:val="14"/>
                <w:szCs w:val="14"/>
                <w:lang w:val="sr-Cyrl-RS"/>
              </w:rPr>
            </w:pPr>
          </w:p>
        </w:tc>
        <w:tc>
          <w:tcPr>
            <w:tcW w:w="419" w:type="pct"/>
            <w:vMerge/>
            <w:tcBorders>
              <w:left w:val="nil"/>
              <w:right w:val="single" w:sz="4" w:space="0" w:color="auto"/>
            </w:tcBorders>
            <w:shd w:val="clear" w:color="auto" w:fill="4472C4" w:themeFill="accent5"/>
            <w:vAlign w:val="center"/>
            <w:hideMark/>
          </w:tcPr>
          <w:p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92" w:type="pct"/>
            <w:vMerge/>
            <w:tcBorders>
              <w:left w:val="nil"/>
              <w:right w:val="single" w:sz="4" w:space="0" w:color="auto"/>
            </w:tcBorders>
            <w:shd w:val="clear" w:color="000000" w:fill="9BC2E6"/>
            <w:vAlign w:val="center"/>
            <w:hideMark/>
          </w:tcPr>
          <w:p w:rsidR="00D87A52" w:rsidRPr="00862B04" w:rsidRDefault="00D87A52" w:rsidP="00D87A52">
            <w:pPr>
              <w:spacing w:before="0" w:after="0" w:line="240" w:lineRule="auto"/>
              <w:jc w:val="center"/>
              <w:rPr>
                <w:rFonts w:ascii="Times New Roman" w:eastAsia="Times New Roman" w:hAnsi="Times New Roman" w:cs="Times New Roman"/>
                <w:color w:val="000000"/>
                <w:sz w:val="14"/>
                <w:szCs w:val="14"/>
                <w:lang w:val="sr-Cyrl-RS"/>
              </w:rPr>
            </w:pPr>
          </w:p>
        </w:tc>
        <w:tc>
          <w:tcPr>
            <w:tcW w:w="742" w:type="pct"/>
            <w:vMerge w:val="restart"/>
            <w:tcBorders>
              <w:top w:val="single" w:sz="4" w:space="0" w:color="auto"/>
              <w:left w:val="single" w:sz="4" w:space="0" w:color="auto"/>
              <w:right w:val="single" w:sz="4" w:space="0" w:color="auto"/>
            </w:tcBorders>
            <w:shd w:val="clear" w:color="000000" w:fill="9BC2E6"/>
            <w:vAlign w:val="center"/>
            <w:hideMark/>
          </w:tcPr>
          <w:p w:rsidR="00D87A52" w:rsidRPr="00670D3F" w:rsidRDefault="00670D3F" w:rsidP="003F5EF0">
            <w:pPr>
              <w:spacing w:before="0" w:after="0" w:line="240" w:lineRule="auto"/>
              <w:jc w:val="center"/>
              <w:rPr>
                <w:rFonts w:ascii="Times New Roman" w:eastAsia="Times New Roman" w:hAnsi="Times New Roman" w:cs="Times New Roman"/>
                <w:color w:val="000000"/>
                <w:sz w:val="14"/>
                <w:szCs w:val="14"/>
                <w:lang w:val="sr-Latn-RS"/>
              </w:rPr>
            </w:pPr>
            <w:r>
              <w:rPr>
                <w:rFonts w:ascii="Times New Roman" w:eastAsia="Times New Roman" w:hAnsi="Times New Roman" w:cs="Times New Roman"/>
                <w:color w:val="000000"/>
                <w:sz w:val="14"/>
                <w:szCs w:val="14"/>
                <w:lang w:val="sr-Latn-RS"/>
              </w:rPr>
              <w:t>Public debt Strategy</w:t>
            </w:r>
            <w:r w:rsidR="00D87A52" w:rsidRPr="00862B04">
              <w:rPr>
                <w:rFonts w:ascii="Times New Roman" w:eastAsia="Times New Roman" w:hAnsi="Times New Roman" w:cs="Times New Roman"/>
                <w:color w:val="000000"/>
                <w:sz w:val="14"/>
                <w:szCs w:val="14"/>
              </w:rPr>
              <w:t xml:space="preserve"> 2026-2028</w:t>
            </w:r>
            <w:r w:rsidR="00D87A52">
              <w:rPr>
                <w:rFonts w:ascii="Times New Roman" w:eastAsia="Times New Roman" w:hAnsi="Times New Roman" w:cs="Times New Roman"/>
                <w:color w:val="000000"/>
                <w:sz w:val="14"/>
                <w:szCs w:val="14"/>
                <w:lang w:val="sr-Cyrl-ME"/>
              </w:rPr>
              <w:t xml:space="preserve"> </w:t>
            </w:r>
            <w:r>
              <w:rPr>
                <w:rFonts w:ascii="Times New Roman" w:eastAsia="Times New Roman" w:hAnsi="Times New Roman" w:cs="Times New Roman"/>
                <w:color w:val="000000"/>
                <w:sz w:val="14"/>
                <w:szCs w:val="14"/>
                <w:lang w:val="sr-Latn-RS"/>
              </w:rPr>
              <w:t>within the Fiscal Strategy</w:t>
            </w:r>
          </w:p>
          <w:p w:rsidR="00D87A52" w:rsidRPr="00862B04" w:rsidRDefault="00D87A52" w:rsidP="003F5EF0">
            <w:pPr>
              <w:spacing w:before="0" w:after="0" w:line="240" w:lineRule="auto"/>
              <w:rPr>
                <w:rFonts w:ascii="Times New Roman" w:eastAsia="Times New Roman" w:hAnsi="Times New Roman" w:cs="Times New Roman"/>
                <w:color w:val="000000"/>
                <w:sz w:val="14"/>
                <w:szCs w:val="14"/>
                <w:lang w:val="sr-Cyrl-RS"/>
              </w:rPr>
            </w:pPr>
          </w:p>
        </w:tc>
        <w:tc>
          <w:tcPr>
            <w:tcW w:w="435" w:type="pct"/>
            <w:vMerge w:val="restart"/>
            <w:tcBorders>
              <w:top w:val="nil"/>
              <w:left w:val="single" w:sz="4" w:space="0" w:color="auto"/>
              <w:right w:val="single" w:sz="4" w:space="0" w:color="auto"/>
            </w:tcBorders>
            <w:shd w:val="clear" w:color="auto" w:fill="F4B083" w:themeFill="accent2" w:themeFillTint="99"/>
            <w:vAlign w:val="center"/>
            <w:hideMark/>
          </w:tcPr>
          <w:p w:rsidR="00D87A52"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Negotiation Chapter</w:t>
            </w:r>
            <w:r>
              <w:rPr>
                <w:rFonts w:ascii="Times New Roman" w:eastAsia="Times New Roman" w:hAnsi="Times New Roman" w:cs="Times New Roman"/>
                <w:color w:val="000000"/>
                <w:sz w:val="14"/>
                <w:szCs w:val="14"/>
                <w:lang w:val="sr-Cyrl-RS"/>
              </w:rPr>
              <w:t xml:space="preserve"> </w:t>
            </w:r>
            <w:r w:rsidR="00D87A52" w:rsidRPr="00862B04">
              <w:rPr>
                <w:rFonts w:ascii="Times New Roman" w:eastAsia="Times New Roman" w:hAnsi="Times New Roman" w:cs="Times New Roman"/>
                <w:color w:val="000000"/>
                <w:sz w:val="14"/>
                <w:szCs w:val="14"/>
                <w:lang w:val="sr-Cyrl-RS"/>
              </w:rPr>
              <w:t>5</w:t>
            </w:r>
          </w:p>
        </w:tc>
        <w:tc>
          <w:tcPr>
            <w:tcW w:w="365" w:type="pct"/>
            <w:vMerge/>
            <w:tcBorders>
              <w:left w:val="single" w:sz="4" w:space="0" w:color="auto"/>
              <w:right w:val="single" w:sz="4" w:space="0" w:color="auto"/>
            </w:tcBorders>
            <w:shd w:val="clear" w:color="auto" w:fill="F4B083" w:themeFill="accent2" w:themeFillTint="99"/>
            <w:vAlign w:val="center"/>
            <w:hideMark/>
          </w:tcPr>
          <w:p w:rsidR="00D87A52" w:rsidRPr="00862B04" w:rsidRDefault="00D87A52" w:rsidP="003F5EF0">
            <w:pPr>
              <w:spacing w:before="0" w:after="0" w:line="240" w:lineRule="auto"/>
              <w:rPr>
                <w:rFonts w:ascii="Times New Roman" w:eastAsia="Times New Roman" w:hAnsi="Times New Roman" w:cs="Times New Roman"/>
                <w:sz w:val="14"/>
                <w:szCs w:val="14"/>
                <w:lang w:val="sr-Cyrl-RS"/>
              </w:rPr>
            </w:pPr>
          </w:p>
        </w:tc>
        <w:tc>
          <w:tcPr>
            <w:tcW w:w="433" w:type="pct"/>
            <w:vMerge/>
            <w:tcBorders>
              <w:left w:val="single" w:sz="4" w:space="0" w:color="auto"/>
              <w:right w:val="single" w:sz="4" w:space="0" w:color="auto"/>
            </w:tcBorders>
            <w:shd w:val="clear" w:color="auto" w:fill="9CC2E5" w:themeFill="accent1" w:themeFillTint="99"/>
            <w:vAlign w:val="center"/>
            <w:hideMark/>
          </w:tcPr>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c>
          <w:tcPr>
            <w:tcW w:w="417" w:type="pct"/>
            <w:vMerge w:val="restart"/>
            <w:tcBorders>
              <w:top w:val="nil"/>
              <w:left w:val="single" w:sz="4" w:space="0" w:color="auto"/>
              <w:right w:val="single" w:sz="4" w:space="0" w:color="auto"/>
            </w:tcBorders>
            <w:shd w:val="clear" w:color="auto" w:fill="F4B083" w:themeFill="accent2" w:themeFillTint="99"/>
            <w:vAlign w:val="center"/>
            <w:hideMark/>
          </w:tcPr>
          <w:p w:rsidR="00D87A52" w:rsidRPr="00862B04" w:rsidRDefault="00D87A52" w:rsidP="003F5EF0">
            <w:pPr>
              <w:spacing w:before="0" w:after="0" w:line="240" w:lineRule="auto"/>
              <w:rPr>
                <w:rFonts w:ascii="Times New Roman" w:eastAsia="Times New Roman" w:hAnsi="Times New Roman" w:cs="Times New Roman"/>
                <w:sz w:val="14"/>
                <w:szCs w:val="14"/>
                <w:lang w:val="sr-Cyrl-RS"/>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E0437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color w:val="000000"/>
                <w:sz w:val="14"/>
                <w:szCs w:val="14"/>
                <w:lang w:val="sr-Latn-RS"/>
              </w:rPr>
              <w:t>Negotiation Chapters</w:t>
            </w:r>
            <w:r>
              <w:rPr>
                <w:rFonts w:ascii="Times New Roman" w:eastAsia="Times New Roman" w:hAnsi="Times New Roman" w:cs="Times New Roman"/>
                <w:color w:val="000000"/>
                <w:sz w:val="14"/>
                <w:szCs w:val="14"/>
                <w:lang w:val="sr-Cyrl-RS"/>
              </w:rPr>
              <w:t xml:space="preserve"> </w:t>
            </w:r>
            <w:r w:rsidR="00D87A52" w:rsidRPr="00862B04">
              <w:rPr>
                <w:rFonts w:ascii="Times New Roman" w:eastAsia="Times New Roman" w:hAnsi="Times New Roman" w:cs="Times New Roman"/>
                <w:sz w:val="14"/>
                <w:szCs w:val="14"/>
                <w:lang w:val="sr-Cyrl-RS"/>
              </w:rPr>
              <w:t xml:space="preserve"> 32 и 22</w:t>
            </w: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E0437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color w:val="000000"/>
                <w:sz w:val="14"/>
                <w:szCs w:val="14"/>
                <w:lang w:val="sr-Latn-RS"/>
              </w:rPr>
              <w:t>Negotiation Chapter</w:t>
            </w:r>
            <w:r>
              <w:rPr>
                <w:rFonts w:ascii="Times New Roman" w:eastAsia="Times New Roman" w:hAnsi="Times New Roman" w:cs="Times New Roman"/>
                <w:color w:val="000000"/>
                <w:sz w:val="14"/>
                <w:szCs w:val="14"/>
                <w:lang w:val="sr-Cyrl-RS"/>
              </w:rPr>
              <w:t xml:space="preserve"> </w:t>
            </w:r>
            <w:r w:rsidR="00D87A52" w:rsidRPr="00862B04">
              <w:rPr>
                <w:rFonts w:ascii="Times New Roman" w:eastAsia="Times New Roman" w:hAnsi="Times New Roman" w:cs="Times New Roman"/>
                <w:color w:val="000000"/>
                <w:sz w:val="14"/>
                <w:szCs w:val="14"/>
                <w:lang w:val="sr-Cyrl-RS"/>
              </w:rPr>
              <w:t>23</w:t>
            </w: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c>
          <w:tcPr>
            <w:tcW w:w="648" w:type="pct"/>
            <w:vMerge w:val="restart"/>
            <w:tcBorders>
              <w:top w:val="nil"/>
              <w:left w:val="nil"/>
              <w:right w:val="single" w:sz="4" w:space="0" w:color="auto"/>
            </w:tcBorders>
            <w:shd w:val="clear" w:color="auto" w:fill="4472C4" w:themeFill="accent5"/>
            <w:vAlign w:val="center"/>
            <w:hideMark/>
          </w:tcPr>
          <w:p w:rsidR="00E0437F" w:rsidRPr="00862B04" w:rsidRDefault="00E0437F" w:rsidP="00E0437F">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lang w:val="sr-Latn-RS"/>
              </w:rPr>
              <w:t>ERP</w:t>
            </w:r>
            <w:r w:rsidRPr="00862B04">
              <w:rPr>
                <w:rFonts w:ascii="Times New Roman" w:eastAsia="Times New Roman" w:hAnsi="Times New Roman" w:cs="Times New Roman"/>
                <w:sz w:val="14"/>
                <w:szCs w:val="14"/>
                <w:lang w:val="sr-Cyrl-RS"/>
              </w:rPr>
              <w:t xml:space="preserve"> 2026-2028 </w:t>
            </w:r>
          </w:p>
          <w:p w:rsidR="00D87A52" w:rsidRPr="002E7C72" w:rsidRDefault="00D87A52" w:rsidP="003F5EF0">
            <w:pPr>
              <w:spacing w:before="0" w:after="0" w:line="240" w:lineRule="auto"/>
              <w:jc w:val="center"/>
              <w:rPr>
                <w:rFonts w:ascii="Times New Roman" w:eastAsia="Times New Roman" w:hAnsi="Times New Roman" w:cs="Times New Roman"/>
                <w:sz w:val="14"/>
                <w:szCs w:val="14"/>
                <w:lang w:val="sr-Latn-RS"/>
              </w:rPr>
            </w:pPr>
          </w:p>
        </w:tc>
        <w:tc>
          <w:tcPr>
            <w:tcW w:w="644" w:type="pct"/>
            <w:vMerge w:val="restart"/>
            <w:tcBorders>
              <w:top w:val="nil"/>
              <w:left w:val="nil"/>
              <w:right w:val="single" w:sz="4" w:space="0" w:color="auto"/>
            </w:tcBorders>
            <w:shd w:val="clear" w:color="auto" w:fill="F4B083" w:themeFill="accent2" w:themeFillTint="99"/>
          </w:tcPr>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rPr>
            </w:pPr>
          </w:p>
          <w:p w:rsidR="00D87A52" w:rsidRPr="00862B04" w:rsidRDefault="00D87A52" w:rsidP="003F5EF0">
            <w:pPr>
              <w:spacing w:before="0" w:after="0" w:line="240" w:lineRule="auto"/>
              <w:jc w:val="center"/>
              <w:rPr>
                <w:rFonts w:ascii="Times New Roman" w:eastAsia="Times New Roman" w:hAnsi="Times New Roman" w:cs="Times New Roman"/>
                <w:sz w:val="14"/>
                <w:szCs w:val="14"/>
              </w:rPr>
            </w:pPr>
          </w:p>
          <w:p w:rsidR="00D87A52" w:rsidRPr="00862B04" w:rsidRDefault="00E0437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color w:val="000000"/>
                <w:sz w:val="14"/>
                <w:szCs w:val="14"/>
                <w:lang w:val="sr-Latn-RS"/>
              </w:rPr>
              <w:t>Negotiation Chapter</w:t>
            </w:r>
            <w:r>
              <w:rPr>
                <w:rFonts w:ascii="Times New Roman" w:eastAsia="Times New Roman" w:hAnsi="Times New Roman" w:cs="Times New Roman"/>
                <w:color w:val="000000"/>
                <w:sz w:val="14"/>
                <w:szCs w:val="14"/>
                <w:lang w:val="sr-Cyrl-RS"/>
              </w:rPr>
              <w:t xml:space="preserve"> </w:t>
            </w:r>
            <w:r w:rsidR="00D87A52" w:rsidRPr="00862B04">
              <w:rPr>
                <w:rFonts w:ascii="Times New Roman" w:eastAsia="Times New Roman" w:hAnsi="Times New Roman" w:cs="Times New Roman"/>
                <w:sz w:val="14"/>
                <w:szCs w:val="14"/>
              </w:rPr>
              <w:t>32</w:t>
            </w:r>
          </w:p>
        </w:tc>
      </w:tr>
      <w:tr w:rsidR="00670D3F" w:rsidRPr="0081082A" w:rsidTr="004131F2">
        <w:trPr>
          <w:trHeight w:val="739"/>
        </w:trPr>
        <w:tc>
          <w:tcPr>
            <w:tcW w:w="505" w:type="pct"/>
            <w:tcBorders>
              <w:top w:val="nil"/>
              <w:left w:val="single" w:sz="4" w:space="0" w:color="auto"/>
              <w:bottom w:val="single" w:sz="4" w:space="0" w:color="auto"/>
              <w:right w:val="single" w:sz="4" w:space="0" w:color="auto"/>
            </w:tcBorders>
            <w:shd w:val="clear" w:color="auto" w:fill="4472C4" w:themeFill="accent5"/>
            <w:vAlign w:val="center"/>
          </w:tcPr>
          <w:p w:rsidR="00D87A52" w:rsidRPr="00862B04" w:rsidRDefault="00670D3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lang w:val="sr-Latn-RS"/>
              </w:rPr>
              <w:t>Reform Agenda</w:t>
            </w:r>
            <w:r w:rsidR="00D87A52" w:rsidRPr="00862B04">
              <w:rPr>
                <w:rFonts w:ascii="Times New Roman" w:eastAsia="Times New Roman" w:hAnsi="Times New Roman" w:cs="Times New Roman"/>
                <w:sz w:val="14"/>
                <w:szCs w:val="14"/>
                <w:lang w:val="sr-Cyrl-RS"/>
              </w:rPr>
              <w:t xml:space="preserve"> </w:t>
            </w:r>
          </w:p>
        </w:tc>
        <w:tc>
          <w:tcPr>
            <w:tcW w:w="419" w:type="pct"/>
            <w:vMerge/>
            <w:tcBorders>
              <w:left w:val="nil"/>
              <w:bottom w:val="single" w:sz="4" w:space="0" w:color="auto"/>
              <w:right w:val="single" w:sz="4" w:space="0" w:color="auto"/>
            </w:tcBorders>
            <w:shd w:val="clear" w:color="auto" w:fill="4472C4" w:themeFill="accent5"/>
            <w:vAlign w:val="center"/>
          </w:tcPr>
          <w:p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92" w:type="pct"/>
            <w:vMerge/>
            <w:tcBorders>
              <w:left w:val="nil"/>
              <w:bottom w:val="single" w:sz="4" w:space="0" w:color="auto"/>
              <w:right w:val="single" w:sz="4" w:space="0" w:color="auto"/>
            </w:tcBorders>
            <w:shd w:val="clear" w:color="000000" w:fill="9BC2E6"/>
            <w:vAlign w:val="center"/>
          </w:tcPr>
          <w:p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742" w:type="pct"/>
            <w:vMerge/>
            <w:tcBorders>
              <w:left w:val="single" w:sz="4" w:space="0" w:color="auto"/>
              <w:right w:val="single" w:sz="4" w:space="0" w:color="auto"/>
            </w:tcBorders>
            <w:shd w:val="clear" w:color="000000" w:fill="9BC2E6"/>
            <w:vAlign w:val="center"/>
          </w:tcPr>
          <w:p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435" w:type="pct"/>
            <w:vMerge/>
            <w:tcBorders>
              <w:left w:val="single" w:sz="4" w:space="0" w:color="auto"/>
              <w:right w:val="single" w:sz="4" w:space="0" w:color="auto"/>
            </w:tcBorders>
            <w:shd w:val="clear" w:color="auto" w:fill="F4B083" w:themeFill="accent2" w:themeFillTint="99"/>
            <w:vAlign w:val="center"/>
          </w:tcPr>
          <w:p w:rsidR="00D87A52" w:rsidRPr="00862B04" w:rsidRDefault="00D87A52"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65" w:type="pct"/>
            <w:vMerge/>
            <w:tcBorders>
              <w:left w:val="single" w:sz="4" w:space="0" w:color="auto"/>
              <w:right w:val="single" w:sz="4" w:space="0" w:color="auto"/>
            </w:tcBorders>
            <w:shd w:val="clear" w:color="auto" w:fill="F4B083" w:themeFill="accent2" w:themeFillTint="99"/>
            <w:vAlign w:val="center"/>
          </w:tcPr>
          <w:p w:rsidR="00D87A52" w:rsidRPr="00862B04" w:rsidRDefault="00D87A52" w:rsidP="003F5EF0">
            <w:pPr>
              <w:spacing w:before="0" w:after="0" w:line="240" w:lineRule="auto"/>
              <w:rPr>
                <w:rFonts w:ascii="Times New Roman" w:eastAsia="Times New Roman" w:hAnsi="Times New Roman" w:cs="Times New Roman"/>
                <w:sz w:val="14"/>
                <w:szCs w:val="14"/>
                <w:lang w:val="sr-Cyrl-RS"/>
              </w:rPr>
            </w:pPr>
          </w:p>
        </w:tc>
        <w:tc>
          <w:tcPr>
            <w:tcW w:w="433" w:type="pct"/>
            <w:vMerge/>
            <w:tcBorders>
              <w:left w:val="single" w:sz="4" w:space="0" w:color="auto"/>
              <w:right w:val="single" w:sz="4" w:space="0" w:color="auto"/>
            </w:tcBorders>
            <w:shd w:val="clear" w:color="auto" w:fill="9CC2E5" w:themeFill="accent1" w:themeFillTint="99"/>
            <w:vAlign w:val="center"/>
          </w:tcPr>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c>
          <w:tcPr>
            <w:tcW w:w="417" w:type="pct"/>
            <w:vMerge/>
            <w:tcBorders>
              <w:left w:val="single" w:sz="4" w:space="0" w:color="auto"/>
              <w:right w:val="single" w:sz="4" w:space="0" w:color="auto"/>
            </w:tcBorders>
            <w:shd w:val="clear" w:color="auto" w:fill="F4B083" w:themeFill="accent2" w:themeFillTint="99"/>
            <w:vAlign w:val="center"/>
          </w:tcPr>
          <w:p w:rsidR="00D87A52" w:rsidRPr="00862B04" w:rsidRDefault="00D87A52" w:rsidP="003F5EF0">
            <w:pPr>
              <w:spacing w:before="0" w:after="0" w:line="240" w:lineRule="auto"/>
              <w:rPr>
                <w:rFonts w:ascii="Times New Roman" w:eastAsia="Times New Roman" w:hAnsi="Times New Roman" w:cs="Times New Roman"/>
                <w:sz w:val="14"/>
                <w:szCs w:val="14"/>
                <w:lang w:val="sr-Cyrl-RS"/>
              </w:rPr>
            </w:pPr>
          </w:p>
        </w:tc>
        <w:tc>
          <w:tcPr>
            <w:tcW w:w="648" w:type="pct"/>
            <w:vMerge/>
            <w:tcBorders>
              <w:left w:val="nil"/>
              <w:bottom w:val="single" w:sz="4" w:space="0" w:color="auto"/>
              <w:right w:val="single" w:sz="4" w:space="0" w:color="auto"/>
            </w:tcBorders>
            <w:shd w:val="clear" w:color="auto" w:fill="4472C4" w:themeFill="accent5"/>
            <w:vAlign w:val="center"/>
          </w:tcPr>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c>
          <w:tcPr>
            <w:tcW w:w="644" w:type="pct"/>
            <w:vMerge/>
            <w:tcBorders>
              <w:left w:val="nil"/>
              <w:bottom w:val="single" w:sz="4" w:space="0" w:color="auto"/>
              <w:right w:val="single" w:sz="4" w:space="0" w:color="auto"/>
            </w:tcBorders>
            <w:shd w:val="clear" w:color="auto" w:fill="F4B083" w:themeFill="accent2" w:themeFillTint="99"/>
          </w:tcPr>
          <w:p w:rsidR="00D87A52" w:rsidRPr="00862B04" w:rsidRDefault="00D87A52" w:rsidP="003F5EF0">
            <w:pPr>
              <w:spacing w:before="0" w:after="0" w:line="240" w:lineRule="auto"/>
              <w:jc w:val="center"/>
              <w:rPr>
                <w:rFonts w:ascii="Times New Roman" w:eastAsia="Times New Roman" w:hAnsi="Times New Roman" w:cs="Times New Roman"/>
                <w:sz w:val="14"/>
                <w:szCs w:val="14"/>
                <w:lang w:val="sr-Cyrl-RS"/>
              </w:rPr>
            </w:pPr>
          </w:p>
        </w:tc>
      </w:tr>
      <w:tr w:rsidR="00670D3F" w:rsidRPr="0081082A" w:rsidTr="004131F2">
        <w:trPr>
          <w:trHeight w:val="1034"/>
        </w:trPr>
        <w:tc>
          <w:tcPr>
            <w:tcW w:w="505" w:type="pct"/>
            <w:tcBorders>
              <w:top w:val="nil"/>
              <w:left w:val="single" w:sz="4" w:space="0" w:color="auto"/>
              <w:bottom w:val="single" w:sz="4" w:space="0" w:color="auto"/>
              <w:right w:val="single" w:sz="4" w:space="0" w:color="auto"/>
            </w:tcBorders>
            <w:shd w:val="clear" w:color="auto" w:fill="F4B083" w:themeFill="accent2" w:themeFillTint="99"/>
            <w:vAlign w:val="center"/>
            <w:hideMark/>
          </w:tcPr>
          <w:p w:rsidR="00C74B3F"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Negotiation Chapters</w:t>
            </w:r>
            <w:r>
              <w:rPr>
                <w:rFonts w:ascii="Times New Roman" w:eastAsia="Times New Roman" w:hAnsi="Times New Roman" w:cs="Times New Roman"/>
                <w:color w:val="000000"/>
                <w:sz w:val="14"/>
                <w:szCs w:val="14"/>
                <w:lang w:val="sr-Cyrl-RS"/>
              </w:rPr>
              <w:t xml:space="preserve"> 17 and</w:t>
            </w:r>
            <w:r w:rsidR="00C74B3F" w:rsidRPr="00862B04">
              <w:rPr>
                <w:rFonts w:ascii="Times New Roman" w:eastAsia="Times New Roman" w:hAnsi="Times New Roman" w:cs="Times New Roman"/>
                <w:color w:val="000000"/>
                <w:sz w:val="14"/>
                <w:szCs w:val="14"/>
                <w:lang w:val="sr-Cyrl-RS"/>
              </w:rPr>
              <w:t xml:space="preserve"> 33 </w:t>
            </w:r>
          </w:p>
        </w:tc>
        <w:tc>
          <w:tcPr>
            <w:tcW w:w="419" w:type="pct"/>
            <w:tcBorders>
              <w:top w:val="nil"/>
              <w:left w:val="nil"/>
              <w:bottom w:val="single" w:sz="4" w:space="0" w:color="auto"/>
              <w:right w:val="single" w:sz="4" w:space="0" w:color="auto"/>
            </w:tcBorders>
            <w:shd w:val="clear" w:color="auto" w:fill="4472C4" w:themeFill="accent5"/>
            <w:vAlign w:val="center"/>
            <w:hideMark/>
          </w:tcPr>
          <w:p w:rsidR="00C74B3F"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Action plan for implementing Government Program</w:t>
            </w:r>
            <w:r w:rsidR="00C74B3F" w:rsidRPr="00862B04">
              <w:rPr>
                <w:rFonts w:ascii="Times New Roman" w:eastAsia="Times New Roman" w:hAnsi="Times New Roman" w:cs="Times New Roman"/>
                <w:color w:val="000000"/>
                <w:sz w:val="14"/>
                <w:szCs w:val="14"/>
                <w:lang w:val="sr-Cyrl-RS"/>
              </w:rPr>
              <w:t xml:space="preserve"> 2024-2027</w:t>
            </w:r>
          </w:p>
          <w:p w:rsidR="00C74B3F" w:rsidRPr="00862B04" w:rsidRDefault="00C74B3F" w:rsidP="003F5EF0">
            <w:pPr>
              <w:spacing w:before="0" w:after="0" w:line="240" w:lineRule="auto"/>
              <w:jc w:val="center"/>
              <w:rPr>
                <w:rFonts w:ascii="Times New Roman" w:eastAsia="Times New Roman" w:hAnsi="Times New Roman" w:cs="Times New Roman"/>
                <w:color w:val="000000"/>
                <w:sz w:val="14"/>
                <w:szCs w:val="14"/>
                <w:lang w:val="sr-Cyrl-RS"/>
              </w:rPr>
            </w:pPr>
          </w:p>
          <w:p w:rsidR="00C74B3F"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Annual Work plan of the Government</w:t>
            </w:r>
            <w:r w:rsidR="00C74B3F" w:rsidRPr="00862B04">
              <w:rPr>
                <w:rFonts w:ascii="Times New Roman" w:eastAsia="Times New Roman" w:hAnsi="Times New Roman" w:cs="Times New Roman"/>
                <w:color w:val="000000"/>
                <w:sz w:val="14"/>
                <w:szCs w:val="14"/>
                <w:lang w:val="sr-Cyrl-RS"/>
              </w:rPr>
              <w:t xml:space="preserve"> </w:t>
            </w:r>
          </w:p>
        </w:tc>
        <w:tc>
          <w:tcPr>
            <w:tcW w:w="392" w:type="pct"/>
            <w:tcBorders>
              <w:top w:val="nil"/>
              <w:left w:val="nil"/>
              <w:bottom w:val="single" w:sz="4" w:space="0" w:color="auto"/>
              <w:right w:val="single" w:sz="4" w:space="0" w:color="auto"/>
            </w:tcBorders>
            <w:shd w:val="clear" w:color="auto" w:fill="F4B083" w:themeFill="accent2" w:themeFillTint="99"/>
            <w:vAlign w:val="center"/>
            <w:hideMark/>
          </w:tcPr>
          <w:p w:rsidR="00C74B3F"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Negotiation Chapters</w:t>
            </w:r>
            <w:r>
              <w:rPr>
                <w:rFonts w:ascii="Times New Roman" w:eastAsia="Times New Roman" w:hAnsi="Times New Roman" w:cs="Times New Roman"/>
                <w:color w:val="000000"/>
                <w:sz w:val="14"/>
                <w:szCs w:val="14"/>
                <w:lang w:val="sr-Cyrl-RS"/>
              </w:rPr>
              <w:t xml:space="preserve"> </w:t>
            </w:r>
            <w:r>
              <w:rPr>
                <w:rFonts w:ascii="Times New Roman" w:eastAsia="Times New Roman" w:hAnsi="Times New Roman" w:cs="Times New Roman"/>
                <w:color w:val="000000"/>
                <w:sz w:val="14"/>
                <w:szCs w:val="14"/>
                <w:lang w:val="sr-Latn-RS"/>
              </w:rPr>
              <w:t xml:space="preserve">17, </w:t>
            </w:r>
            <w:r>
              <w:rPr>
                <w:rFonts w:ascii="Times New Roman" w:eastAsia="Times New Roman" w:hAnsi="Times New Roman" w:cs="Times New Roman"/>
                <w:color w:val="000000"/>
                <w:sz w:val="14"/>
                <w:szCs w:val="14"/>
                <w:lang w:val="sr-Cyrl-RS"/>
              </w:rPr>
              <w:t xml:space="preserve">29, 33 </w:t>
            </w:r>
          </w:p>
          <w:p w:rsidR="00C74B3F" w:rsidRPr="00862B04" w:rsidRDefault="00C74B3F"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742" w:type="pct"/>
            <w:vMerge/>
            <w:tcBorders>
              <w:left w:val="single" w:sz="4" w:space="0" w:color="auto"/>
              <w:bottom w:val="single" w:sz="4" w:space="0" w:color="auto"/>
              <w:right w:val="single" w:sz="4" w:space="0" w:color="auto"/>
            </w:tcBorders>
            <w:shd w:val="clear" w:color="000000" w:fill="9BC2E6"/>
            <w:vAlign w:val="center"/>
            <w:hideMark/>
          </w:tcPr>
          <w:p w:rsidR="00C74B3F" w:rsidRPr="00862B04" w:rsidRDefault="00C74B3F" w:rsidP="00C74B3F">
            <w:pPr>
              <w:spacing w:before="0" w:after="0" w:line="240" w:lineRule="auto"/>
              <w:jc w:val="center"/>
              <w:rPr>
                <w:rFonts w:ascii="Times New Roman" w:eastAsia="Times New Roman" w:hAnsi="Times New Roman" w:cs="Times New Roman"/>
                <w:color w:val="000000"/>
                <w:sz w:val="14"/>
                <w:szCs w:val="14"/>
                <w:lang w:val="sr-Cyrl-RS"/>
              </w:rPr>
            </w:pPr>
          </w:p>
        </w:tc>
        <w:tc>
          <w:tcPr>
            <w:tcW w:w="435" w:type="pct"/>
            <w:vMerge/>
            <w:tcBorders>
              <w:left w:val="single" w:sz="4" w:space="0" w:color="auto"/>
              <w:bottom w:val="single" w:sz="4" w:space="0" w:color="000000"/>
              <w:right w:val="single" w:sz="4" w:space="0" w:color="auto"/>
            </w:tcBorders>
            <w:shd w:val="clear" w:color="auto" w:fill="F4B083" w:themeFill="accent2" w:themeFillTint="99"/>
            <w:vAlign w:val="center"/>
            <w:hideMark/>
          </w:tcPr>
          <w:p w:rsidR="00C74B3F" w:rsidRPr="00862B04" w:rsidRDefault="00C74B3F" w:rsidP="003F5EF0">
            <w:pPr>
              <w:spacing w:before="0" w:after="0" w:line="240" w:lineRule="auto"/>
              <w:rPr>
                <w:rFonts w:ascii="Times New Roman" w:eastAsia="Times New Roman" w:hAnsi="Times New Roman" w:cs="Times New Roman"/>
                <w:color w:val="000000"/>
                <w:sz w:val="14"/>
                <w:szCs w:val="14"/>
                <w:lang w:val="sr-Cyrl-RS"/>
              </w:rPr>
            </w:pPr>
          </w:p>
        </w:tc>
        <w:tc>
          <w:tcPr>
            <w:tcW w:w="365" w:type="pct"/>
            <w:vMerge/>
            <w:tcBorders>
              <w:left w:val="single" w:sz="4" w:space="0" w:color="auto"/>
              <w:right w:val="single" w:sz="4" w:space="0" w:color="auto"/>
            </w:tcBorders>
            <w:shd w:val="clear" w:color="auto" w:fill="F4B083" w:themeFill="accent2" w:themeFillTint="99"/>
            <w:vAlign w:val="center"/>
            <w:hideMark/>
          </w:tcPr>
          <w:p w:rsidR="00C74B3F" w:rsidRPr="00862B04" w:rsidRDefault="00C74B3F" w:rsidP="003F5EF0">
            <w:pPr>
              <w:spacing w:before="0" w:after="0" w:line="240" w:lineRule="auto"/>
              <w:rPr>
                <w:rFonts w:ascii="Times New Roman" w:eastAsia="Times New Roman" w:hAnsi="Times New Roman" w:cs="Times New Roman"/>
                <w:sz w:val="14"/>
                <w:szCs w:val="14"/>
                <w:lang w:val="sr-Cyrl-RS"/>
              </w:rPr>
            </w:pPr>
          </w:p>
        </w:tc>
        <w:tc>
          <w:tcPr>
            <w:tcW w:w="433" w:type="pct"/>
            <w:vMerge/>
            <w:tcBorders>
              <w:left w:val="single" w:sz="4" w:space="0" w:color="auto"/>
              <w:bottom w:val="single" w:sz="4" w:space="0" w:color="auto"/>
              <w:right w:val="single" w:sz="4" w:space="0" w:color="auto"/>
            </w:tcBorders>
            <w:shd w:val="clear" w:color="auto" w:fill="9CC2E5" w:themeFill="accent1" w:themeFillTint="99"/>
            <w:vAlign w:val="center"/>
            <w:hideMark/>
          </w:tcPr>
          <w:p w:rsidR="00C74B3F" w:rsidRPr="00862B04" w:rsidRDefault="00C74B3F" w:rsidP="003F5EF0">
            <w:pPr>
              <w:spacing w:before="0" w:after="0" w:line="240" w:lineRule="auto"/>
              <w:rPr>
                <w:rFonts w:ascii="Times New Roman" w:eastAsia="Times New Roman" w:hAnsi="Times New Roman" w:cs="Times New Roman"/>
                <w:sz w:val="14"/>
                <w:szCs w:val="14"/>
                <w:lang w:val="sr-Cyrl-RS"/>
              </w:rPr>
            </w:pPr>
          </w:p>
        </w:tc>
        <w:tc>
          <w:tcPr>
            <w:tcW w:w="417" w:type="pct"/>
            <w:vMerge/>
            <w:tcBorders>
              <w:left w:val="single" w:sz="4" w:space="0" w:color="auto"/>
              <w:bottom w:val="single" w:sz="4" w:space="0" w:color="auto"/>
              <w:right w:val="single" w:sz="4" w:space="0" w:color="auto"/>
            </w:tcBorders>
            <w:shd w:val="clear" w:color="auto" w:fill="F4B083" w:themeFill="accent2" w:themeFillTint="99"/>
            <w:vAlign w:val="center"/>
            <w:hideMark/>
          </w:tcPr>
          <w:p w:rsidR="00C74B3F" w:rsidRPr="00862B04" w:rsidRDefault="00C74B3F" w:rsidP="003F5EF0">
            <w:pPr>
              <w:spacing w:before="0" w:after="0" w:line="240" w:lineRule="auto"/>
              <w:rPr>
                <w:rFonts w:ascii="Times New Roman" w:eastAsia="Times New Roman" w:hAnsi="Times New Roman" w:cs="Times New Roman"/>
                <w:sz w:val="14"/>
                <w:szCs w:val="14"/>
                <w:lang w:val="sr-Cyrl-RS"/>
              </w:rPr>
            </w:pPr>
          </w:p>
        </w:tc>
        <w:tc>
          <w:tcPr>
            <w:tcW w:w="648"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C74B3F" w:rsidRPr="00862B04" w:rsidRDefault="00E0437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color w:val="000000"/>
                <w:sz w:val="14"/>
                <w:szCs w:val="14"/>
                <w:lang w:val="sr-Latn-RS"/>
              </w:rPr>
              <w:t>Negotiation Chapter</w:t>
            </w:r>
            <w:r>
              <w:rPr>
                <w:rFonts w:ascii="Times New Roman" w:eastAsia="Times New Roman" w:hAnsi="Times New Roman" w:cs="Times New Roman"/>
                <w:color w:val="000000"/>
                <w:sz w:val="14"/>
                <w:szCs w:val="14"/>
                <w:lang w:val="sr-Cyrl-RS"/>
              </w:rPr>
              <w:t xml:space="preserve"> </w:t>
            </w:r>
            <w:r w:rsidR="00C74B3F" w:rsidRPr="00862B04">
              <w:rPr>
                <w:rFonts w:ascii="Times New Roman" w:eastAsia="Times New Roman" w:hAnsi="Times New Roman" w:cs="Times New Roman"/>
                <w:sz w:val="14"/>
                <w:szCs w:val="14"/>
                <w:lang w:val="sr-Cyrl-RS"/>
              </w:rPr>
              <w:t>17</w:t>
            </w:r>
          </w:p>
        </w:tc>
        <w:tc>
          <w:tcPr>
            <w:tcW w:w="644"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rsidR="00C74B3F" w:rsidRPr="00862B04" w:rsidRDefault="00C74B3F" w:rsidP="003F5EF0">
            <w:pPr>
              <w:spacing w:before="0" w:after="0" w:line="240" w:lineRule="auto"/>
              <w:jc w:val="center"/>
              <w:rPr>
                <w:rFonts w:ascii="Times New Roman" w:eastAsia="Times New Roman" w:hAnsi="Times New Roman" w:cs="Times New Roman"/>
                <w:sz w:val="14"/>
                <w:szCs w:val="14"/>
                <w:lang w:val="sr-Cyrl-RS"/>
              </w:rPr>
            </w:pPr>
          </w:p>
          <w:p w:rsidR="00C74B3F" w:rsidRPr="00862B04" w:rsidRDefault="00C74B3F" w:rsidP="003F5EF0">
            <w:pPr>
              <w:spacing w:before="0" w:after="0" w:line="240" w:lineRule="auto"/>
              <w:jc w:val="center"/>
              <w:rPr>
                <w:rFonts w:ascii="Times New Roman" w:eastAsia="Times New Roman" w:hAnsi="Times New Roman" w:cs="Times New Roman"/>
                <w:sz w:val="14"/>
                <w:szCs w:val="14"/>
                <w:lang w:val="sr-Cyrl-RS"/>
              </w:rPr>
            </w:pPr>
          </w:p>
          <w:p w:rsidR="00C74B3F" w:rsidRPr="00862B04" w:rsidRDefault="00C74B3F" w:rsidP="003F5EF0">
            <w:pPr>
              <w:spacing w:before="0" w:after="0" w:line="240" w:lineRule="auto"/>
              <w:jc w:val="center"/>
              <w:rPr>
                <w:rFonts w:ascii="Times New Roman" w:eastAsia="Times New Roman" w:hAnsi="Times New Roman" w:cs="Times New Roman"/>
                <w:sz w:val="14"/>
                <w:szCs w:val="14"/>
                <w:lang w:val="sr-Cyrl-RS"/>
              </w:rPr>
            </w:pPr>
          </w:p>
          <w:p w:rsidR="00C74B3F" w:rsidRPr="00862B04" w:rsidRDefault="00C74B3F" w:rsidP="003F5EF0">
            <w:pPr>
              <w:spacing w:before="0" w:after="0" w:line="240" w:lineRule="auto"/>
              <w:jc w:val="center"/>
              <w:rPr>
                <w:rFonts w:ascii="Times New Roman" w:eastAsia="Times New Roman" w:hAnsi="Times New Roman" w:cs="Times New Roman"/>
                <w:sz w:val="14"/>
                <w:szCs w:val="14"/>
              </w:rPr>
            </w:pPr>
          </w:p>
          <w:p w:rsidR="00C74B3F" w:rsidRPr="00862B04" w:rsidRDefault="00C74B3F" w:rsidP="003F5EF0">
            <w:pPr>
              <w:spacing w:before="0" w:after="0" w:line="240" w:lineRule="auto"/>
              <w:jc w:val="center"/>
              <w:rPr>
                <w:rFonts w:ascii="Times New Roman" w:eastAsia="Times New Roman" w:hAnsi="Times New Roman" w:cs="Times New Roman"/>
                <w:sz w:val="14"/>
                <w:szCs w:val="14"/>
              </w:rPr>
            </w:pPr>
          </w:p>
          <w:p w:rsidR="00C74B3F" w:rsidRPr="00862B04" w:rsidRDefault="00E0437F" w:rsidP="003F5EF0">
            <w:pPr>
              <w:spacing w:before="0" w:after="0" w:line="240" w:lineRule="auto"/>
              <w:jc w:val="center"/>
              <w:rPr>
                <w:rFonts w:ascii="Times New Roman" w:eastAsia="Times New Roman" w:hAnsi="Times New Roman" w:cs="Times New Roman"/>
                <w:sz w:val="14"/>
                <w:szCs w:val="14"/>
                <w:lang w:val="sr-Cyrl-RS"/>
              </w:rPr>
            </w:pPr>
            <w:r>
              <w:rPr>
                <w:rFonts w:ascii="Times New Roman" w:eastAsia="Times New Roman" w:hAnsi="Times New Roman" w:cs="Times New Roman"/>
                <w:color w:val="000000"/>
                <w:sz w:val="14"/>
                <w:szCs w:val="14"/>
                <w:lang w:val="sr-Latn-RS"/>
              </w:rPr>
              <w:t>Negotiation Chapter</w:t>
            </w:r>
            <w:r>
              <w:rPr>
                <w:rFonts w:ascii="Times New Roman" w:eastAsia="Times New Roman" w:hAnsi="Times New Roman" w:cs="Times New Roman"/>
                <w:color w:val="000000"/>
                <w:sz w:val="14"/>
                <w:szCs w:val="14"/>
                <w:lang w:val="sr-Cyrl-RS"/>
              </w:rPr>
              <w:t xml:space="preserve"> </w:t>
            </w:r>
            <w:r w:rsidR="00C74B3F" w:rsidRPr="00862B04">
              <w:rPr>
                <w:rFonts w:ascii="Times New Roman" w:eastAsia="Times New Roman" w:hAnsi="Times New Roman" w:cs="Times New Roman"/>
                <w:color w:val="000000"/>
                <w:sz w:val="14"/>
                <w:szCs w:val="14"/>
              </w:rPr>
              <w:t>23</w:t>
            </w:r>
          </w:p>
          <w:p w:rsidR="00C74B3F" w:rsidRPr="00862B04" w:rsidRDefault="00C74B3F" w:rsidP="003F5EF0">
            <w:pPr>
              <w:spacing w:before="0" w:after="0" w:line="240" w:lineRule="auto"/>
              <w:rPr>
                <w:rFonts w:ascii="Times New Roman" w:eastAsia="Times New Roman" w:hAnsi="Times New Roman" w:cs="Times New Roman"/>
                <w:sz w:val="14"/>
                <w:szCs w:val="14"/>
                <w:lang w:val="sr-Cyrl-RS"/>
              </w:rPr>
            </w:pPr>
          </w:p>
        </w:tc>
      </w:tr>
      <w:tr w:rsidR="00670D3F" w:rsidRPr="0081082A" w:rsidTr="003F5EF0">
        <w:trPr>
          <w:trHeight w:val="935"/>
        </w:trPr>
        <w:tc>
          <w:tcPr>
            <w:tcW w:w="505" w:type="pct"/>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3F5EF0" w:rsidRPr="00862B04" w:rsidRDefault="005A1846"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Action plan for Chapter</w:t>
            </w:r>
            <w:r w:rsidRPr="00862B04">
              <w:rPr>
                <w:rFonts w:ascii="Times New Roman" w:eastAsia="Times New Roman" w:hAnsi="Times New Roman" w:cs="Times New Roman"/>
                <w:color w:val="000000"/>
                <w:sz w:val="14"/>
                <w:szCs w:val="14"/>
                <w:lang w:val="sr-Cyrl-RS"/>
              </w:rPr>
              <w:t xml:space="preserve"> </w:t>
            </w:r>
            <w:r w:rsidR="003F5EF0" w:rsidRPr="00862B04">
              <w:rPr>
                <w:rFonts w:ascii="Times New Roman" w:eastAsia="Times New Roman" w:hAnsi="Times New Roman" w:cs="Times New Roman"/>
                <w:color w:val="000000"/>
                <w:sz w:val="14"/>
                <w:szCs w:val="14"/>
                <w:lang w:val="sr-Cyrl-RS"/>
              </w:rPr>
              <w:t>22</w:t>
            </w:r>
          </w:p>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rsidR="003F5EF0"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Negotiation Chapters</w:t>
            </w:r>
            <w:r>
              <w:rPr>
                <w:rFonts w:ascii="Times New Roman" w:eastAsia="Times New Roman" w:hAnsi="Times New Roman" w:cs="Times New Roman"/>
                <w:color w:val="000000"/>
                <w:sz w:val="14"/>
                <w:szCs w:val="14"/>
                <w:lang w:val="sr-Cyrl-RS"/>
              </w:rPr>
              <w:t xml:space="preserve"> </w:t>
            </w:r>
            <w:r w:rsidR="003F5EF0" w:rsidRPr="00862B04">
              <w:rPr>
                <w:rFonts w:ascii="Times New Roman" w:eastAsia="Times New Roman" w:hAnsi="Times New Roman" w:cs="Times New Roman"/>
                <w:color w:val="000000"/>
                <w:sz w:val="14"/>
                <w:szCs w:val="14"/>
                <w:lang w:val="sr-Cyrl-RS"/>
              </w:rPr>
              <w:t>23</w:t>
            </w:r>
          </w:p>
        </w:tc>
        <w:tc>
          <w:tcPr>
            <w:tcW w:w="41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rsidR="003F5EF0" w:rsidRPr="00862B04" w:rsidRDefault="005A1846"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Negotiation Chapters</w:t>
            </w:r>
            <w:r w:rsidRPr="00862B04">
              <w:rPr>
                <w:rFonts w:ascii="Times New Roman" w:eastAsia="Times New Roman" w:hAnsi="Times New Roman" w:cs="Times New Roman"/>
                <w:color w:val="000000"/>
                <w:sz w:val="14"/>
                <w:szCs w:val="14"/>
                <w:lang w:val="sr-Cyrl-RS"/>
              </w:rPr>
              <w:t xml:space="preserve"> </w:t>
            </w:r>
            <w:r w:rsidR="003F5EF0" w:rsidRPr="00862B04">
              <w:rPr>
                <w:rFonts w:ascii="Times New Roman" w:eastAsia="Times New Roman" w:hAnsi="Times New Roman" w:cs="Times New Roman"/>
                <w:color w:val="000000"/>
                <w:sz w:val="14"/>
                <w:szCs w:val="14"/>
                <w:lang w:val="sr-Cyrl-RS"/>
              </w:rPr>
              <w:t>16</w:t>
            </w:r>
          </w:p>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rsidR="003F5EF0" w:rsidRPr="00862B04" w:rsidRDefault="005A1846"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 xml:space="preserve">Action plan for Chapter </w:t>
            </w:r>
            <w:r w:rsidRPr="00862B04">
              <w:rPr>
                <w:rFonts w:ascii="Times New Roman" w:eastAsia="Times New Roman" w:hAnsi="Times New Roman" w:cs="Times New Roman"/>
                <w:color w:val="000000"/>
                <w:sz w:val="14"/>
                <w:szCs w:val="14"/>
                <w:lang w:val="sr-Cyrl-RS"/>
              </w:rPr>
              <w:t xml:space="preserve"> </w:t>
            </w:r>
            <w:r w:rsidR="003F5EF0" w:rsidRPr="00862B04">
              <w:rPr>
                <w:rFonts w:ascii="Times New Roman" w:eastAsia="Times New Roman" w:hAnsi="Times New Roman" w:cs="Times New Roman"/>
                <w:color w:val="000000"/>
                <w:sz w:val="14"/>
                <w:szCs w:val="14"/>
                <w:lang w:val="sr-Cyrl-RS"/>
              </w:rPr>
              <w:t>23</w:t>
            </w:r>
          </w:p>
        </w:tc>
        <w:tc>
          <w:tcPr>
            <w:tcW w:w="392" w:type="pct"/>
            <w:vMerge w:val="restart"/>
            <w:tcBorders>
              <w:top w:val="single" w:sz="4" w:space="0" w:color="auto"/>
              <w:left w:val="nil"/>
              <w:bottom w:val="single" w:sz="4" w:space="0" w:color="auto"/>
              <w:right w:val="single" w:sz="4" w:space="0" w:color="auto"/>
            </w:tcBorders>
            <w:shd w:val="clear" w:color="auto" w:fill="F4B083" w:themeFill="accent2" w:themeFillTint="99"/>
            <w:vAlign w:val="center"/>
            <w:hideMark/>
          </w:tcPr>
          <w:p w:rsidR="003F5EF0"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Negotiation Chapter</w:t>
            </w:r>
            <w:r>
              <w:rPr>
                <w:rFonts w:ascii="Times New Roman" w:eastAsia="Times New Roman" w:hAnsi="Times New Roman" w:cs="Times New Roman"/>
                <w:color w:val="000000"/>
                <w:sz w:val="14"/>
                <w:szCs w:val="14"/>
                <w:lang w:val="sr-Cyrl-RS"/>
              </w:rPr>
              <w:t xml:space="preserve"> </w:t>
            </w:r>
            <w:r w:rsidR="003F5EF0" w:rsidRPr="00862B04">
              <w:rPr>
                <w:rFonts w:ascii="Times New Roman" w:eastAsia="Times New Roman" w:hAnsi="Times New Roman" w:cs="Times New Roman"/>
                <w:color w:val="000000"/>
                <w:sz w:val="14"/>
                <w:szCs w:val="14"/>
                <w:lang w:val="sr-Cyrl-RS"/>
              </w:rPr>
              <w:t>23</w:t>
            </w:r>
          </w:p>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p w:rsidR="003F5EF0"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 xml:space="preserve">Negotiation Chapter </w:t>
            </w:r>
            <w:r w:rsidR="003F5EF0" w:rsidRPr="00862B04">
              <w:rPr>
                <w:rFonts w:ascii="Times New Roman" w:eastAsia="Times New Roman" w:hAnsi="Times New Roman" w:cs="Times New Roman"/>
                <w:color w:val="000000"/>
                <w:sz w:val="14"/>
                <w:szCs w:val="14"/>
                <w:lang w:val="sr-Cyrl-RS"/>
              </w:rPr>
              <w:t>24</w:t>
            </w:r>
          </w:p>
        </w:tc>
        <w:tc>
          <w:tcPr>
            <w:tcW w:w="742" w:type="pct"/>
            <w:vMerge w:val="restart"/>
            <w:tcBorders>
              <w:top w:val="single" w:sz="4" w:space="0" w:color="auto"/>
              <w:left w:val="single" w:sz="4" w:space="0" w:color="auto"/>
              <w:right w:val="single" w:sz="4" w:space="0" w:color="auto"/>
            </w:tcBorders>
            <w:shd w:val="clear" w:color="auto" w:fill="F4B083" w:themeFill="accent2" w:themeFillTint="99"/>
            <w:vAlign w:val="center"/>
            <w:hideMark/>
          </w:tcPr>
          <w:p w:rsidR="003F5EF0" w:rsidRPr="00862B04" w:rsidRDefault="00670D3F" w:rsidP="003F5EF0">
            <w:pPr>
              <w:spacing w:before="0" w:after="0" w:line="240" w:lineRule="auto"/>
              <w:rPr>
                <w:rFonts w:ascii="Times New Roman" w:eastAsia="Times New Roman" w:hAnsi="Times New Roman" w:cs="Times New Roman"/>
                <w:sz w:val="14"/>
                <w:szCs w:val="14"/>
                <w:lang w:val="sr-Cyrl-RS"/>
              </w:rPr>
            </w:pPr>
            <w:r>
              <w:rPr>
                <w:rFonts w:ascii="Times New Roman" w:eastAsia="Times New Roman" w:hAnsi="Times New Roman" w:cs="Times New Roman"/>
                <w:color w:val="000000"/>
                <w:sz w:val="14"/>
                <w:szCs w:val="14"/>
                <w:lang w:val="sr-Latn-RS"/>
              </w:rPr>
              <w:t>Negotiation Chapter</w:t>
            </w:r>
            <w:r>
              <w:rPr>
                <w:rFonts w:ascii="Times New Roman" w:eastAsia="Times New Roman" w:hAnsi="Times New Roman" w:cs="Times New Roman"/>
                <w:color w:val="000000"/>
                <w:sz w:val="14"/>
                <w:szCs w:val="14"/>
                <w:lang w:val="sr-Cyrl-RS"/>
              </w:rPr>
              <w:t xml:space="preserve"> </w:t>
            </w:r>
            <w:r w:rsidR="003F5EF0" w:rsidRPr="00862B04">
              <w:rPr>
                <w:rFonts w:ascii="Times New Roman" w:eastAsia="Times New Roman" w:hAnsi="Times New Roman" w:cs="Times New Roman"/>
                <w:sz w:val="14"/>
                <w:szCs w:val="14"/>
                <w:lang w:val="sr-Cyrl-RS"/>
              </w:rPr>
              <w:t>17</w:t>
            </w:r>
          </w:p>
          <w:p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435" w:type="pct"/>
            <w:vMerge w:val="restart"/>
            <w:tcBorders>
              <w:top w:val="nil"/>
              <w:left w:val="single" w:sz="4" w:space="0" w:color="auto"/>
              <w:right w:val="single" w:sz="4" w:space="0" w:color="auto"/>
            </w:tcBorders>
            <w:shd w:val="clear" w:color="auto" w:fill="F4B083" w:themeFill="accent2" w:themeFillTint="99"/>
            <w:vAlign w:val="center"/>
            <w:hideMark/>
          </w:tcPr>
          <w:p w:rsidR="003F5EF0" w:rsidRPr="00862B04" w:rsidRDefault="00670D3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 xml:space="preserve">Action plan for Chapter </w:t>
            </w:r>
            <w:r w:rsidR="003F5EF0" w:rsidRPr="00862B04">
              <w:rPr>
                <w:rFonts w:ascii="Times New Roman" w:eastAsia="Times New Roman" w:hAnsi="Times New Roman" w:cs="Times New Roman"/>
                <w:color w:val="000000"/>
                <w:sz w:val="14"/>
                <w:szCs w:val="14"/>
                <w:lang w:val="sr-Cyrl-RS"/>
              </w:rPr>
              <w:t xml:space="preserve"> 22</w:t>
            </w:r>
          </w:p>
        </w:tc>
        <w:tc>
          <w:tcPr>
            <w:tcW w:w="365" w:type="pct"/>
            <w:vMerge/>
            <w:tcBorders>
              <w:left w:val="single" w:sz="4" w:space="0" w:color="auto"/>
              <w:right w:val="single" w:sz="4" w:space="0" w:color="auto"/>
            </w:tcBorders>
            <w:shd w:val="clear" w:color="auto" w:fill="F4B083" w:themeFill="accent2" w:themeFillTint="99"/>
            <w:vAlign w:val="center"/>
            <w:hideMark/>
          </w:tcPr>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433" w:type="pct"/>
            <w:vMerge w:val="restart"/>
            <w:tcBorders>
              <w:top w:val="single" w:sz="4" w:space="0" w:color="auto"/>
              <w:left w:val="single" w:sz="4" w:space="0" w:color="auto"/>
              <w:bottom w:val="single" w:sz="4" w:space="0" w:color="auto"/>
              <w:right w:val="single" w:sz="4" w:space="0" w:color="auto"/>
            </w:tcBorders>
            <w:shd w:val="clear" w:color="000000" w:fill="F4B084"/>
            <w:vAlign w:val="center"/>
            <w:hideMark/>
          </w:tcPr>
          <w:p w:rsidR="003F5EF0" w:rsidRPr="00862B04" w:rsidRDefault="00E0437F" w:rsidP="003F5EF0">
            <w:pPr>
              <w:spacing w:before="0" w:after="0" w:line="240" w:lineRule="auto"/>
              <w:jc w:val="center"/>
              <w:rPr>
                <w:rFonts w:ascii="Times New Roman" w:eastAsia="Times New Roman" w:hAnsi="Times New Roman" w:cs="Times New Roman"/>
                <w:color w:val="000000"/>
                <w:sz w:val="14"/>
                <w:szCs w:val="14"/>
                <w:lang w:val="sr-Cyrl-RS"/>
              </w:rPr>
            </w:pPr>
            <w:r>
              <w:rPr>
                <w:rFonts w:ascii="Times New Roman" w:eastAsia="Times New Roman" w:hAnsi="Times New Roman" w:cs="Times New Roman"/>
                <w:color w:val="000000"/>
                <w:sz w:val="14"/>
                <w:szCs w:val="14"/>
                <w:lang w:val="sr-Latn-RS"/>
              </w:rPr>
              <w:t>Negotiation Chapter</w:t>
            </w:r>
            <w:r>
              <w:rPr>
                <w:rFonts w:ascii="Times New Roman" w:eastAsia="Times New Roman" w:hAnsi="Times New Roman" w:cs="Times New Roman"/>
                <w:color w:val="000000"/>
                <w:sz w:val="14"/>
                <w:szCs w:val="14"/>
                <w:lang w:val="sr-Cyrl-RS"/>
              </w:rPr>
              <w:t xml:space="preserve"> </w:t>
            </w:r>
            <w:r w:rsidR="003F5EF0" w:rsidRPr="00862B04">
              <w:rPr>
                <w:rFonts w:ascii="Times New Roman" w:eastAsia="Times New Roman" w:hAnsi="Times New Roman" w:cs="Times New Roman"/>
                <w:color w:val="000000"/>
                <w:sz w:val="14"/>
                <w:szCs w:val="14"/>
                <w:lang w:val="sr-Cyrl-RS"/>
              </w:rPr>
              <w:t>32</w:t>
            </w:r>
          </w:p>
          <w:p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41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F5EF0" w:rsidRPr="00862B04" w:rsidRDefault="003F5EF0" w:rsidP="003F5EF0">
            <w:pPr>
              <w:spacing w:before="0" w:after="0" w:line="240" w:lineRule="auto"/>
              <w:rPr>
                <w:rFonts w:ascii="Times New Roman" w:eastAsia="Times New Roman" w:hAnsi="Times New Roman" w:cs="Times New Roman"/>
                <w:i/>
                <w:color w:val="000000"/>
                <w:sz w:val="14"/>
                <w:szCs w:val="14"/>
                <w:lang w:val="sr-Cyrl-RS"/>
              </w:rPr>
            </w:pPr>
          </w:p>
          <w:p w:rsidR="003F5EF0" w:rsidRPr="00E0437F" w:rsidRDefault="003F5EF0" w:rsidP="00E0437F">
            <w:pPr>
              <w:spacing w:before="0" w:after="0" w:line="240" w:lineRule="auto"/>
              <w:rPr>
                <w:rFonts w:ascii="Times New Roman" w:eastAsia="Times New Roman" w:hAnsi="Times New Roman" w:cs="Times New Roman"/>
                <w:i/>
                <w:color w:val="000000"/>
                <w:sz w:val="14"/>
                <w:szCs w:val="14"/>
                <w:lang w:val="sr-Latn-RS"/>
              </w:rPr>
            </w:pPr>
            <w:r w:rsidRPr="00862B04">
              <w:rPr>
                <w:rFonts w:ascii="Times New Roman" w:eastAsia="Times New Roman" w:hAnsi="Times New Roman" w:cs="Times New Roman"/>
                <w:i/>
                <w:color w:val="000000"/>
                <w:sz w:val="14"/>
                <w:szCs w:val="14"/>
                <w:lang w:val="sr-Cyrl-RS"/>
              </w:rPr>
              <w:t xml:space="preserve">COSO </w:t>
            </w:r>
            <w:r w:rsidR="00E0437F">
              <w:rPr>
                <w:rFonts w:ascii="Times New Roman" w:eastAsia="Times New Roman" w:hAnsi="Times New Roman" w:cs="Times New Roman"/>
                <w:i/>
                <w:color w:val="000000"/>
                <w:sz w:val="14"/>
                <w:szCs w:val="14"/>
                <w:lang w:val="sr-Latn-RS"/>
              </w:rPr>
              <w:t>framework</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F5EF0" w:rsidRPr="00862B04" w:rsidRDefault="00E0437F" w:rsidP="003F5EF0">
            <w:pPr>
              <w:spacing w:before="0" w:after="0" w:line="240" w:lineRule="auto"/>
              <w:rPr>
                <w:rFonts w:ascii="Times New Roman" w:eastAsia="Times New Roman" w:hAnsi="Times New Roman" w:cs="Times New Roman"/>
                <w:i/>
                <w:color w:val="000000"/>
                <w:sz w:val="14"/>
                <w:szCs w:val="14"/>
                <w:lang w:val="sr-Cyrl-RS"/>
              </w:rPr>
            </w:pPr>
            <w:r w:rsidRPr="00E0437F">
              <w:rPr>
                <w:rFonts w:ascii="Times New Roman" w:eastAsia="Times New Roman" w:hAnsi="Times New Roman" w:cs="Times New Roman"/>
                <w:i/>
                <w:color w:val="000000"/>
                <w:sz w:val="14"/>
                <w:szCs w:val="14"/>
              </w:rPr>
              <w:t>IPSAS (International Public Sector Accounting Standards)</w:t>
            </w:r>
          </w:p>
        </w:tc>
        <w:tc>
          <w:tcPr>
            <w:tcW w:w="64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rsidR="003F5EF0" w:rsidRPr="00862B04" w:rsidRDefault="003F5EF0" w:rsidP="003F5EF0">
            <w:pPr>
              <w:spacing w:before="0" w:after="0" w:line="240" w:lineRule="auto"/>
              <w:rPr>
                <w:rFonts w:ascii="Times New Roman" w:eastAsia="Times New Roman" w:hAnsi="Times New Roman" w:cs="Times New Roman"/>
                <w:i/>
                <w:color w:val="000000"/>
                <w:sz w:val="14"/>
                <w:szCs w:val="14"/>
              </w:rPr>
            </w:pPr>
          </w:p>
          <w:p w:rsidR="003F5EF0" w:rsidRPr="00862B04" w:rsidRDefault="003F5EF0" w:rsidP="003F5EF0">
            <w:pPr>
              <w:spacing w:before="0" w:after="0" w:line="240" w:lineRule="auto"/>
              <w:rPr>
                <w:rFonts w:ascii="Times New Roman" w:eastAsia="Times New Roman" w:hAnsi="Times New Roman" w:cs="Times New Roman"/>
                <w:i/>
                <w:color w:val="000000"/>
                <w:sz w:val="14"/>
                <w:szCs w:val="14"/>
              </w:rPr>
            </w:pPr>
          </w:p>
          <w:p w:rsidR="003F5EF0" w:rsidRPr="00862B04" w:rsidRDefault="00E0437F" w:rsidP="003F5EF0">
            <w:pPr>
              <w:spacing w:before="0" w:after="0" w:line="240" w:lineRule="auto"/>
              <w:rPr>
                <w:rFonts w:ascii="Times New Roman" w:eastAsia="Times New Roman" w:hAnsi="Times New Roman" w:cs="Times New Roman"/>
                <w:i/>
                <w:color w:val="000000"/>
                <w:sz w:val="14"/>
                <w:szCs w:val="14"/>
                <w:lang w:val="sr-Cyrl-RS"/>
              </w:rPr>
            </w:pPr>
            <w:r w:rsidRPr="00E0437F">
              <w:rPr>
                <w:rFonts w:ascii="Times New Roman" w:eastAsia="Times New Roman" w:hAnsi="Times New Roman" w:cs="Times New Roman"/>
                <w:i/>
                <w:color w:val="000000"/>
                <w:sz w:val="14"/>
                <w:szCs w:val="14"/>
              </w:rPr>
              <w:t>INTOSAI (International Organization of Supreme Audit Institutions)</w:t>
            </w:r>
          </w:p>
        </w:tc>
      </w:tr>
      <w:tr w:rsidR="00670D3F" w:rsidRPr="0081082A" w:rsidTr="00E0437F">
        <w:trPr>
          <w:trHeight w:val="827"/>
        </w:trPr>
        <w:tc>
          <w:tcPr>
            <w:tcW w:w="505"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419" w:type="pct"/>
            <w:tcBorders>
              <w:top w:val="single" w:sz="4" w:space="0" w:color="auto"/>
              <w:left w:val="single" w:sz="4" w:space="0" w:color="auto"/>
              <w:bottom w:val="single" w:sz="4" w:space="0" w:color="000000"/>
              <w:right w:val="single" w:sz="4" w:space="0" w:color="auto"/>
            </w:tcBorders>
            <w:shd w:val="clear" w:color="auto" w:fill="A8D08D" w:themeFill="accent6" w:themeFillTint="99"/>
            <w:vAlign w:val="center"/>
          </w:tcPr>
          <w:p w:rsidR="003F5EF0" w:rsidRPr="00862B04" w:rsidRDefault="005A1846" w:rsidP="003F5EF0">
            <w:pPr>
              <w:spacing w:before="0" w:after="0" w:line="240" w:lineRule="auto"/>
              <w:jc w:val="center"/>
              <w:rPr>
                <w:rFonts w:ascii="Times New Roman" w:eastAsia="Times New Roman" w:hAnsi="Times New Roman" w:cs="Times New Roman"/>
                <w:i/>
                <w:color w:val="000000"/>
                <w:sz w:val="14"/>
                <w:szCs w:val="14"/>
                <w:lang w:val="sr-Cyrl-RS"/>
              </w:rPr>
            </w:pPr>
            <w:r w:rsidRPr="005A1846">
              <w:rPr>
                <w:rFonts w:ascii="Times New Roman" w:eastAsia="Times New Roman" w:hAnsi="Times New Roman" w:cs="Times New Roman"/>
                <w:i/>
                <w:color w:val="000000"/>
                <w:sz w:val="14"/>
                <w:szCs w:val="14"/>
              </w:rPr>
              <w:t>BEPS (Base Erosion and Profit Shifting)</w:t>
            </w:r>
          </w:p>
        </w:tc>
        <w:tc>
          <w:tcPr>
            <w:tcW w:w="392" w:type="pct"/>
            <w:vMerge/>
            <w:tcBorders>
              <w:top w:val="single" w:sz="4" w:space="0" w:color="auto"/>
              <w:left w:val="nil"/>
              <w:right w:val="single" w:sz="4" w:space="0" w:color="auto"/>
            </w:tcBorders>
            <w:shd w:val="clear" w:color="auto" w:fill="F4B083" w:themeFill="accent2" w:themeFillTint="99"/>
            <w:vAlign w:val="center"/>
          </w:tcPr>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742" w:type="pct"/>
            <w:vMerge/>
            <w:tcBorders>
              <w:left w:val="single" w:sz="4" w:space="0" w:color="auto"/>
              <w:bottom w:val="single" w:sz="4" w:space="0" w:color="auto"/>
              <w:right w:val="single" w:sz="4" w:space="0" w:color="auto"/>
            </w:tcBorders>
            <w:shd w:val="clear" w:color="auto" w:fill="F4B083" w:themeFill="accent2" w:themeFillTint="99"/>
            <w:vAlign w:val="center"/>
          </w:tcPr>
          <w:p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435" w:type="pct"/>
            <w:vMerge/>
            <w:tcBorders>
              <w:left w:val="single" w:sz="4" w:space="0" w:color="auto"/>
              <w:bottom w:val="single" w:sz="4" w:space="0" w:color="auto"/>
              <w:right w:val="single" w:sz="4" w:space="0" w:color="auto"/>
            </w:tcBorders>
            <w:shd w:val="clear" w:color="auto" w:fill="F4B083" w:themeFill="accent2" w:themeFillTint="99"/>
            <w:vAlign w:val="center"/>
          </w:tcPr>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365" w:type="pct"/>
            <w:vMerge/>
            <w:tcBorders>
              <w:left w:val="single" w:sz="4" w:space="0" w:color="auto"/>
              <w:bottom w:val="single" w:sz="4" w:space="0" w:color="auto"/>
              <w:right w:val="single" w:sz="4" w:space="0" w:color="auto"/>
            </w:tcBorders>
            <w:shd w:val="clear" w:color="auto" w:fill="F4B083" w:themeFill="accent2" w:themeFillTint="99"/>
            <w:vAlign w:val="center"/>
          </w:tcPr>
          <w:p w:rsidR="003F5EF0" w:rsidRPr="00862B04" w:rsidRDefault="003F5EF0" w:rsidP="003F5EF0">
            <w:pPr>
              <w:spacing w:before="0" w:after="0" w:line="240" w:lineRule="auto"/>
              <w:jc w:val="center"/>
              <w:rPr>
                <w:rFonts w:ascii="Times New Roman" w:eastAsia="Times New Roman" w:hAnsi="Times New Roman" w:cs="Times New Roman"/>
                <w:color w:val="000000"/>
                <w:sz w:val="14"/>
                <w:szCs w:val="14"/>
                <w:lang w:val="sr-Cyrl-RS"/>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41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F5EF0" w:rsidRPr="00862B04" w:rsidRDefault="00E0437F" w:rsidP="003F5EF0">
            <w:pPr>
              <w:spacing w:before="0" w:after="0" w:line="240" w:lineRule="auto"/>
              <w:rPr>
                <w:rFonts w:ascii="Times New Roman" w:eastAsia="Times New Roman" w:hAnsi="Times New Roman" w:cs="Times New Roman"/>
                <w:color w:val="000000"/>
                <w:sz w:val="14"/>
                <w:szCs w:val="14"/>
                <w:lang w:val="sr-Cyrl-RS"/>
              </w:rPr>
            </w:pPr>
            <w:r w:rsidRPr="00E0437F">
              <w:rPr>
                <w:rFonts w:ascii="Times New Roman" w:eastAsia="Times New Roman" w:hAnsi="Times New Roman" w:cs="Times New Roman"/>
                <w:i/>
                <w:color w:val="000000"/>
                <w:sz w:val="14"/>
                <w:szCs w:val="14"/>
              </w:rPr>
              <w:t>INTOSAI (International Organization of Supreme Audit Institutions)</w:t>
            </w:r>
          </w:p>
        </w:tc>
        <w:tc>
          <w:tcPr>
            <w:tcW w:w="648" w:type="pct"/>
            <w:vMerge/>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c>
          <w:tcPr>
            <w:tcW w:w="644"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p w:rsidR="00EB6B63" w:rsidRPr="00EB6B63" w:rsidRDefault="00EB6B63" w:rsidP="00EB6B63">
            <w:pPr>
              <w:spacing w:before="0" w:after="0" w:line="240" w:lineRule="auto"/>
              <w:rPr>
                <w:rFonts w:ascii="Times New Roman" w:eastAsia="Times New Roman" w:hAnsi="Times New Roman" w:cs="Times New Roman"/>
                <w:i/>
                <w:color w:val="000000"/>
                <w:sz w:val="14"/>
                <w:szCs w:val="14"/>
              </w:rPr>
            </w:pPr>
            <w:r w:rsidRPr="00EB6B63">
              <w:rPr>
                <w:rFonts w:ascii="Times New Roman" w:eastAsia="Times New Roman" w:hAnsi="Times New Roman" w:cs="Times New Roman"/>
                <w:i/>
                <w:color w:val="000000"/>
                <w:sz w:val="14"/>
                <w:szCs w:val="14"/>
              </w:rPr>
              <w:t>EUROSAI (European Organization of Supreme Audit Institutions)</w:t>
            </w:r>
          </w:p>
          <w:p w:rsidR="003F5EF0" w:rsidRPr="00862B04" w:rsidRDefault="003F5EF0" w:rsidP="003F5EF0">
            <w:pPr>
              <w:spacing w:before="0" w:after="0" w:line="240" w:lineRule="auto"/>
              <w:rPr>
                <w:rFonts w:ascii="Times New Roman" w:eastAsia="Times New Roman" w:hAnsi="Times New Roman" w:cs="Times New Roman"/>
                <w:color w:val="000000"/>
                <w:sz w:val="14"/>
                <w:szCs w:val="14"/>
                <w:lang w:val="sr-Cyrl-RS"/>
              </w:rPr>
            </w:pPr>
          </w:p>
        </w:tc>
      </w:tr>
    </w:tbl>
    <w:p w:rsidR="003F5EF0" w:rsidRPr="003F5EF0" w:rsidRDefault="003F5EF0" w:rsidP="003F5EF0">
      <w:pPr>
        <w:spacing w:before="0" w:after="0" w:line="240" w:lineRule="auto"/>
        <w:ind w:left="426"/>
        <w:jc w:val="center"/>
        <w:rPr>
          <w:rFonts w:ascii="Times New Roman" w:eastAsia="Calibri" w:hAnsi="Times New Roman" w:cs="Times New Roman"/>
          <w:b/>
          <w:bCs/>
          <w:lang w:val="sr-Cyrl-RS"/>
        </w:rPr>
        <w:sectPr w:rsidR="003F5EF0" w:rsidRPr="003F5EF0" w:rsidSect="005B6C61">
          <w:headerReference w:type="even" r:id="rId14"/>
          <w:headerReference w:type="default" r:id="rId15"/>
          <w:footerReference w:type="default" r:id="rId16"/>
          <w:headerReference w:type="first" r:id="rId17"/>
          <w:pgSz w:w="16838" w:h="11906" w:orient="landscape"/>
          <w:pgMar w:top="1440" w:right="1440" w:bottom="1440" w:left="1440" w:header="576" w:footer="576" w:gutter="0"/>
          <w:cols w:space="720"/>
          <w:docGrid w:linePitch="360"/>
        </w:sectPr>
      </w:pPr>
      <w:r w:rsidRPr="003F5EF0">
        <w:rPr>
          <w:rFonts w:ascii="Times New Roman" w:eastAsia="Times New Roman" w:hAnsi="Times New Roman" w:cs="Times New Roman"/>
          <w:noProof/>
        </w:rPr>
        <mc:AlternateContent>
          <mc:Choice Requires="wps">
            <w:drawing>
              <wp:anchor distT="0" distB="0" distL="114300" distR="114300" simplePos="0" relativeHeight="251697152" behindDoc="0" locked="0" layoutInCell="1" allowOverlap="1" wp14:anchorId="5DAB10A2" wp14:editId="06A9FEC8">
                <wp:simplePos x="0" y="0"/>
                <wp:positionH relativeFrom="column">
                  <wp:posOffset>436217</wp:posOffset>
                </wp:positionH>
                <wp:positionV relativeFrom="paragraph">
                  <wp:posOffset>-680775</wp:posOffset>
                </wp:positionV>
                <wp:extent cx="1155065" cy="679257"/>
                <wp:effectExtent l="0" t="0" r="6985" b="6985"/>
                <wp:wrapNone/>
                <wp:docPr id="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679257"/>
                        </a:xfrm>
                        <a:custGeom>
                          <a:avLst/>
                          <a:gdLst>
                            <a:gd name="T0" fmla="*/ 1205 w 1205"/>
                            <a:gd name="T1" fmla="*/ 0 h 1746"/>
                            <a:gd name="T2" fmla="*/ 1205 w 1205"/>
                            <a:gd name="T3" fmla="*/ 1136 h 1746"/>
                            <a:gd name="T4" fmla="*/ 602 w 1205"/>
                            <a:gd name="T5" fmla="*/ 1746 h 1746"/>
                            <a:gd name="T6" fmla="*/ 0 w 1205"/>
                            <a:gd name="T7" fmla="*/ 1136 h 1746"/>
                            <a:gd name="T8" fmla="*/ 0 w 1205"/>
                            <a:gd name="T9" fmla="*/ 0 h 1746"/>
                            <a:gd name="T10" fmla="*/ 602 w 1205"/>
                            <a:gd name="T11" fmla="*/ 611 h 1746"/>
                            <a:gd name="T12" fmla="*/ 1205 w 1205"/>
                            <a:gd name="T13" fmla="*/ 0 h 1746"/>
                          </a:gdLst>
                          <a:ahLst/>
                          <a:cxnLst>
                            <a:cxn ang="0">
                              <a:pos x="T0" y="T1"/>
                            </a:cxn>
                            <a:cxn ang="0">
                              <a:pos x="T2" y="T3"/>
                            </a:cxn>
                            <a:cxn ang="0">
                              <a:pos x="T4" y="T5"/>
                            </a:cxn>
                            <a:cxn ang="0">
                              <a:pos x="T6" y="T7"/>
                            </a:cxn>
                            <a:cxn ang="0">
                              <a:pos x="T8" y="T9"/>
                            </a:cxn>
                            <a:cxn ang="0">
                              <a:pos x="T10" y="T11"/>
                            </a:cxn>
                            <a:cxn ang="0">
                              <a:pos x="T12" y="T13"/>
                            </a:cxn>
                          </a:cxnLst>
                          <a:rect l="0" t="0" r="r" b="b"/>
                          <a:pathLst>
                            <a:path w="1205" h="1746">
                              <a:moveTo>
                                <a:pt x="1205" y="0"/>
                              </a:moveTo>
                              <a:lnTo>
                                <a:pt x="1205" y="1136"/>
                              </a:lnTo>
                              <a:lnTo>
                                <a:pt x="602" y="1746"/>
                              </a:lnTo>
                              <a:lnTo>
                                <a:pt x="0" y="1136"/>
                              </a:lnTo>
                              <a:lnTo>
                                <a:pt x="0" y="0"/>
                              </a:lnTo>
                              <a:lnTo>
                                <a:pt x="602" y="611"/>
                              </a:lnTo>
                              <a:lnTo>
                                <a:pt x="1205" y="0"/>
                              </a:lnTo>
                              <a:close/>
                            </a:path>
                          </a:pathLst>
                        </a:custGeom>
                        <a:solidFill>
                          <a:srgbClr val="5B9BD5"/>
                        </a:solidFill>
                        <a:ln>
                          <a:noFill/>
                        </a:ln>
                      </wps:spPr>
                      <wps:txbx>
                        <w:txbxContent>
                          <w:p w:rsidR="00670D3F" w:rsidRDefault="00670D3F" w:rsidP="0046021B">
                            <w:pPr>
                              <w:jc w:val="center"/>
                              <w:rPr>
                                <w:rFonts w:ascii="Times New Roman" w:hAnsi="Times New Roman" w:cs="Times New Roman"/>
                                <w:sz w:val="16"/>
                                <w:szCs w:val="16"/>
                              </w:rPr>
                            </w:pPr>
                            <w:r>
                              <w:rPr>
                                <w:rFonts w:ascii="Times New Roman" w:hAnsi="Times New Roman" w:cs="Times New Roman"/>
                                <w:sz w:val="16"/>
                                <w:szCs w:val="16"/>
                              </w:rPr>
                              <w:t>Specific Objective – Improving Public Financial Management</w:t>
                            </w:r>
                          </w:p>
                          <w:p w:rsidR="00670D3F" w:rsidRDefault="00670D3F" w:rsidP="0046021B">
                            <w:pPr>
                              <w:rPr>
                                <w:rFonts w:ascii="Times New Roman" w:hAnsi="Times New Roman" w:cs="Times New Roman"/>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AB10A2" id="Freeform: Shape 14" o:spid="_x0000_s1026" style="position:absolute;left:0;text-align:left;margin-left:34.35pt;margin-top:-53.6pt;width:90.95pt;height:5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5,17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" adj="-11796480,,5400" path="m1205,r,1136l602,1746,,1136,,,602,611,1205,xe" fillcolor="#5b9bd5" stroked="f">
                <v:stroke joinstyle="miter"/>
                <v:formulas/>
                <v:path arrowok="t" o:connecttype="custom" o:connectlocs="1155065,0;1155065,441945;577053,679257;0,441945;0,0;577053,237701;1155065,0" o:connectangles="0,0,0,0,0,0,0" textboxrect="0,0,1205,1746"/>
                <v:textbox>
                  <w:txbxContent>
                    <w:p w:rsidR="00670D3F" w:rsidRDefault="00670D3F" w:rsidP="0046021B">
                      <w:pPr>
                        <w:jc w:val="center"/>
                        <w:rPr>
                          <w:rFonts w:ascii="Times New Roman" w:hAnsi="Times New Roman" w:cs="Times New Roman"/>
                          <w:sz w:val="16"/>
                          <w:szCs w:val="16"/>
                        </w:rPr>
                      </w:pPr>
                      <w:r>
                        <w:rPr>
                          <w:rFonts w:ascii="Times New Roman" w:hAnsi="Times New Roman" w:cs="Times New Roman"/>
                          <w:sz w:val="16"/>
                          <w:szCs w:val="16"/>
                        </w:rPr>
                        <w:t>Specific Objective – Improving Public Financial Management</w:t>
                      </w:r>
                    </w:p>
                    <w:p w:rsidR="00670D3F" w:rsidRDefault="00670D3F" w:rsidP="0046021B">
                      <w:pPr>
                        <w:rPr>
                          <w:rFonts w:ascii="Times New Roman" w:hAnsi="Times New Roman" w:cs="Times New Roman"/>
                          <w:sz w:val="16"/>
                          <w:szCs w:val="16"/>
                        </w:rPr>
                      </w:pPr>
                    </w:p>
                  </w:txbxContent>
                </v:textbox>
              </v:shape>
            </w:pict>
          </mc:Fallback>
        </mc:AlternateContent>
      </w:r>
      <w:r w:rsidR="00461F64" w:rsidRPr="003F5EF0">
        <w:rPr>
          <w:rFonts w:ascii="Times New Roman" w:hAnsi="Times New Roman"/>
          <w:noProof/>
          <w:color w:val="000000"/>
        </w:rPr>
        <mc:AlternateContent>
          <mc:Choice Requires="wps">
            <w:drawing>
              <wp:anchor distT="0" distB="0" distL="114300" distR="114300" simplePos="0" relativeHeight="251694080" behindDoc="0" locked="0" layoutInCell="1" allowOverlap="1" wp14:anchorId="429FEFA9" wp14:editId="0CB9F84B">
                <wp:simplePos x="0" y="0"/>
                <wp:positionH relativeFrom="margin">
                  <wp:posOffset>246490</wp:posOffset>
                </wp:positionH>
                <wp:positionV relativeFrom="paragraph">
                  <wp:posOffset>-715617</wp:posOffset>
                </wp:positionV>
                <wp:extent cx="8362950" cy="712911"/>
                <wp:effectExtent l="0" t="0" r="0" b="0"/>
                <wp:wrapNone/>
                <wp:docPr id="2"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2950" cy="712911"/>
                        </a:xfrm>
                        <a:prstGeom prst="roundRect">
                          <a:avLst/>
                        </a:prstGeom>
                        <a:solidFill>
                          <a:srgbClr val="70AD47">
                            <a:lumMod val="60000"/>
                            <a:lumOff val="40000"/>
                          </a:srgbClr>
                        </a:solidFill>
                        <a:ln w="12700" cap="flat" cmpd="sng" algn="ctr">
                          <a:noFill/>
                          <a:prstDash val="solid"/>
                          <a:miter lim="800000"/>
                        </a:ln>
                        <a:effectLst/>
                      </wps:spPr>
                      <wps:txbx>
                        <w:txbxContent>
                          <w:p w:rsidR="00670D3F" w:rsidRPr="00E1775D" w:rsidRDefault="00670D3F" w:rsidP="002D3FF7">
                            <w:pPr>
                              <w:spacing w:after="0" w:line="240" w:lineRule="auto"/>
                              <w:jc w:val="center"/>
                              <w:rPr>
                                <w:rFonts w:ascii="Times New Roman" w:hAnsi="Times New Roman"/>
                                <w:b/>
                                <w:color w:val="000000"/>
                                <w:sz w:val="28"/>
                                <w:lang w:val="sr-Cyrl-RS"/>
                              </w:rPr>
                            </w:pPr>
                            <w:r>
                              <w:rPr>
                                <w:rFonts w:ascii="Times New Roman" w:hAnsi="Times New Roman"/>
                                <w:b/>
                                <w:color w:val="000000"/>
                                <w:sz w:val="28"/>
                                <w:lang w:val="sr-Latn-RS"/>
                              </w:rPr>
                              <w:t>Public Administration Reform Strategy</w:t>
                            </w:r>
                            <w:r w:rsidRPr="00E1775D">
                              <w:rPr>
                                <w:rFonts w:ascii="Times New Roman" w:hAnsi="Times New Roman"/>
                                <w:b/>
                                <w:color w:val="000000"/>
                                <w:sz w:val="28"/>
                                <w:lang w:val="sr-Cyrl-RS"/>
                              </w:rPr>
                              <w:t xml:space="preserve"> 2021-2030</w:t>
                            </w:r>
                          </w:p>
                          <w:p w:rsidR="00670D3F" w:rsidRPr="00E1775D" w:rsidRDefault="00670D3F" w:rsidP="002D3FF7">
                            <w:pPr>
                              <w:spacing w:after="0" w:line="240" w:lineRule="auto"/>
                              <w:jc w:val="center"/>
                              <w:rPr>
                                <w:rFonts w:ascii="Times New Roman" w:hAnsi="Times New Roman"/>
                                <w:sz w:val="28"/>
                              </w:rPr>
                            </w:pPr>
                            <w:r>
                              <w:rPr>
                                <w:rFonts w:ascii="Times New Roman" w:hAnsi="Times New Roman"/>
                                <w:b/>
                                <w:color w:val="000000"/>
                                <w:sz w:val="28"/>
                                <w:lang w:val="sr-Latn-RS"/>
                              </w:rPr>
                              <w:t>Public Financial Management Reform Program</w:t>
                            </w:r>
                            <w:r>
                              <w:rPr>
                                <w:rFonts w:ascii="Times New Roman" w:hAnsi="Times New Roman"/>
                                <w:b/>
                                <w:color w:val="000000"/>
                                <w:sz w:val="28"/>
                              </w:rPr>
                              <w:t xml:space="preserve"> 2026-2030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29FEFA9" id="Rectangle: Rounded Corners 11" o:spid="_x0000_s1027" style="position:absolute;left:0;text-align:left;margin-left:19.4pt;margin-top:-56.35pt;width:658.5pt;height:56.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" fillcolor="#a9d18e" stroked="f" strokeweight="1pt">
                <v:stroke joinstyle="miter"/>
                <v:path arrowok="t"/>
                <v:textbox>
                  <w:txbxContent>
                    <w:p w:rsidR="00670D3F" w:rsidRPr="00E1775D" w:rsidRDefault="00670D3F" w:rsidP="002D3FF7">
                      <w:pPr>
                        <w:spacing w:after="0" w:line="240" w:lineRule="auto"/>
                        <w:jc w:val="center"/>
                        <w:rPr>
                          <w:rFonts w:ascii="Times New Roman" w:hAnsi="Times New Roman"/>
                          <w:b/>
                          <w:color w:val="000000"/>
                          <w:sz w:val="28"/>
                          <w:lang w:val="sr-Cyrl-RS"/>
                        </w:rPr>
                      </w:pPr>
                      <w:r>
                        <w:rPr>
                          <w:rFonts w:ascii="Times New Roman" w:hAnsi="Times New Roman"/>
                          <w:b/>
                          <w:color w:val="000000"/>
                          <w:sz w:val="28"/>
                          <w:lang w:val="sr-Latn-RS"/>
                        </w:rPr>
                        <w:t>Public Administration Reform Strategy</w:t>
                      </w:r>
                      <w:r w:rsidRPr="00E1775D">
                        <w:rPr>
                          <w:rFonts w:ascii="Times New Roman" w:hAnsi="Times New Roman"/>
                          <w:b/>
                          <w:color w:val="000000"/>
                          <w:sz w:val="28"/>
                          <w:lang w:val="sr-Cyrl-RS"/>
                        </w:rPr>
                        <w:t xml:space="preserve"> 2021-2030</w:t>
                      </w:r>
                    </w:p>
                    <w:p w:rsidR="00670D3F" w:rsidRPr="00E1775D" w:rsidRDefault="00670D3F" w:rsidP="002D3FF7">
                      <w:pPr>
                        <w:spacing w:after="0" w:line="240" w:lineRule="auto"/>
                        <w:jc w:val="center"/>
                        <w:rPr>
                          <w:rFonts w:ascii="Times New Roman" w:hAnsi="Times New Roman"/>
                          <w:sz w:val="28"/>
                        </w:rPr>
                      </w:pPr>
                      <w:r>
                        <w:rPr>
                          <w:rFonts w:ascii="Times New Roman" w:hAnsi="Times New Roman"/>
                          <w:b/>
                          <w:color w:val="000000"/>
                          <w:sz w:val="28"/>
                          <w:lang w:val="sr-Latn-RS"/>
                        </w:rPr>
                        <w:t>Public Financial Management Reform Program</w:t>
                      </w:r>
                      <w:r>
                        <w:rPr>
                          <w:rFonts w:ascii="Times New Roman" w:hAnsi="Times New Roman"/>
                          <w:b/>
                          <w:color w:val="000000"/>
                          <w:sz w:val="28"/>
                        </w:rPr>
                        <w:t xml:space="preserve"> 2026-2030</w:t>
                      </w:r>
                    </w:p>
                  </w:txbxContent>
                </v:textbox>
                <w10:wrap anchorx="margin"/>
              </v:roundrect>
            </w:pict>
          </mc:Fallback>
        </mc:AlternateContent>
      </w:r>
      <w:r w:rsidR="002D3FF7" w:rsidRPr="003F5EF0">
        <w:rPr>
          <w:rFonts w:ascii="Times New Roman" w:eastAsia="Times New Roman" w:hAnsi="Times New Roman" w:cs="Times New Roman"/>
          <w:noProof/>
          <w:color w:val="000000"/>
        </w:rPr>
        <mc:AlternateContent>
          <mc:Choice Requires="wps">
            <w:drawing>
              <wp:anchor distT="0" distB="0" distL="114300" distR="114300" simplePos="0" relativeHeight="251695104" behindDoc="0" locked="0" layoutInCell="1" allowOverlap="1" wp14:anchorId="55771D2D" wp14:editId="55A72F92">
                <wp:simplePos x="0" y="0"/>
                <wp:positionH relativeFrom="column">
                  <wp:posOffset>-7590790</wp:posOffset>
                </wp:positionH>
                <wp:positionV relativeFrom="paragraph">
                  <wp:posOffset>-965835</wp:posOffset>
                </wp:positionV>
                <wp:extent cx="1155065" cy="959485"/>
                <wp:effectExtent l="0" t="0" r="6985" b="0"/>
                <wp:wrapNone/>
                <wp:docPr id="6"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959485"/>
                        </a:xfrm>
                        <a:custGeom>
                          <a:avLst/>
                          <a:gdLst>
                            <a:gd name="T0" fmla="*/ 1205 w 1205"/>
                            <a:gd name="T1" fmla="*/ 0 h 1746"/>
                            <a:gd name="T2" fmla="*/ 1205 w 1205"/>
                            <a:gd name="T3" fmla="*/ 1136 h 1746"/>
                            <a:gd name="T4" fmla="*/ 602 w 1205"/>
                            <a:gd name="T5" fmla="*/ 1746 h 1746"/>
                            <a:gd name="T6" fmla="*/ 0 w 1205"/>
                            <a:gd name="T7" fmla="*/ 1136 h 1746"/>
                            <a:gd name="T8" fmla="*/ 0 w 1205"/>
                            <a:gd name="T9" fmla="*/ 0 h 1746"/>
                            <a:gd name="T10" fmla="*/ 602 w 1205"/>
                            <a:gd name="T11" fmla="*/ 611 h 1746"/>
                            <a:gd name="T12" fmla="*/ 1205 w 1205"/>
                            <a:gd name="T13" fmla="*/ 0 h 1746"/>
                          </a:gdLst>
                          <a:ahLst/>
                          <a:cxnLst>
                            <a:cxn ang="0">
                              <a:pos x="T0" y="T1"/>
                            </a:cxn>
                            <a:cxn ang="0">
                              <a:pos x="T2" y="T3"/>
                            </a:cxn>
                            <a:cxn ang="0">
                              <a:pos x="T4" y="T5"/>
                            </a:cxn>
                            <a:cxn ang="0">
                              <a:pos x="T6" y="T7"/>
                            </a:cxn>
                            <a:cxn ang="0">
                              <a:pos x="T8" y="T9"/>
                            </a:cxn>
                            <a:cxn ang="0">
                              <a:pos x="T10" y="T11"/>
                            </a:cxn>
                            <a:cxn ang="0">
                              <a:pos x="T12" y="T13"/>
                            </a:cxn>
                          </a:cxnLst>
                          <a:rect l="0" t="0" r="r" b="b"/>
                          <a:pathLst>
                            <a:path w="1205" h="1746">
                              <a:moveTo>
                                <a:pt x="1205" y="0"/>
                              </a:moveTo>
                              <a:lnTo>
                                <a:pt x="1205" y="1136"/>
                              </a:lnTo>
                              <a:lnTo>
                                <a:pt x="602" y="1746"/>
                              </a:lnTo>
                              <a:lnTo>
                                <a:pt x="0" y="1136"/>
                              </a:lnTo>
                              <a:lnTo>
                                <a:pt x="0" y="0"/>
                              </a:lnTo>
                              <a:lnTo>
                                <a:pt x="602" y="611"/>
                              </a:lnTo>
                              <a:lnTo>
                                <a:pt x="1205" y="0"/>
                              </a:lnTo>
                              <a:close/>
                            </a:path>
                          </a:pathLst>
                        </a:custGeom>
                        <a:solidFill>
                          <a:srgbClr val="5B9BD5"/>
                        </a:solidFill>
                        <a:ln>
                          <a:noFill/>
                        </a:ln>
                      </wps:spPr>
                      <wps:txbx>
                        <w:txbxContent>
                          <w:p w:rsidR="00670D3F" w:rsidRDefault="00670D3F" w:rsidP="002D3FF7">
                            <w:pPr>
                              <w:jc w:val="center"/>
                              <w:rPr>
                                <w:rFonts w:ascii="Arial" w:hAnsi="Arial" w:cs="Arial"/>
                                <w:sz w:val="16"/>
                                <w:szCs w:val="16"/>
                              </w:rPr>
                            </w:pPr>
                          </w:p>
                          <w:p w:rsidR="00670D3F" w:rsidRPr="00D804E8" w:rsidRDefault="00670D3F" w:rsidP="002D3FF7">
                            <w:pPr>
                              <w:jc w:val="center"/>
                              <w:rPr>
                                <w:rFonts w:ascii="Times New Roman" w:hAnsi="Times New Roman" w:cs="Times New Roman"/>
                                <w:sz w:val="16"/>
                                <w:szCs w:val="16"/>
                              </w:rPr>
                            </w:pPr>
                            <w:r w:rsidRPr="00D804E8">
                              <w:rPr>
                                <w:rFonts w:ascii="Times New Roman" w:hAnsi="Times New Roman" w:cs="Times New Roman"/>
                                <w:sz w:val="16"/>
                                <w:szCs w:val="16"/>
                              </w:rPr>
                              <w:t>Посебни циљ за унапређење управљања јавним финансијама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771D2D" id="_x0000_s1028" style="position:absolute;left:0;text-align:left;margin-left:-597.7pt;margin-top:-76.05pt;width:90.95pt;height:7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5,17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" adj="-11796480,,5400" path="m1205,r,1136l602,1746,,1136,,,602,611,1205,xe" fillcolor="#5b9bd5" stroked="f">
                <v:stroke joinstyle="miter"/>
                <v:formulas/>
                <v:path arrowok="t" o:connecttype="custom" o:connectlocs="1155065,0;1155065,624270;577053,959485;0,624270;0,0;577053,335765;1155065,0" o:connectangles="0,0,0,0,0,0,0" textboxrect="0,0,1205,1746"/>
                <v:textbox>
                  <w:txbxContent>
                    <w:p w:rsidR="00670D3F" w:rsidRDefault="00670D3F" w:rsidP="002D3FF7">
                      <w:pPr>
                        <w:jc w:val="center"/>
                        <w:rPr>
                          <w:rFonts w:ascii="Arial" w:hAnsi="Arial" w:cs="Arial"/>
                          <w:sz w:val="16"/>
                          <w:szCs w:val="16"/>
                        </w:rPr>
                      </w:pPr>
                    </w:p>
                    <w:p w:rsidR="00670D3F" w:rsidRPr="00D804E8" w:rsidRDefault="00670D3F" w:rsidP="002D3FF7">
                      <w:pPr>
                        <w:jc w:val="center"/>
                        <w:rPr>
                          <w:rFonts w:ascii="Times New Roman" w:hAnsi="Times New Roman" w:cs="Times New Roman"/>
                          <w:sz w:val="16"/>
                          <w:szCs w:val="16"/>
                        </w:rPr>
                      </w:pPr>
                      <w:r w:rsidRPr="00D804E8">
                        <w:rPr>
                          <w:rFonts w:ascii="Times New Roman" w:hAnsi="Times New Roman" w:cs="Times New Roman"/>
                          <w:sz w:val="16"/>
                          <w:szCs w:val="16"/>
                        </w:rPr>
                        <w:t>Посебни циљ за унапређење управљања јавним финансијама</w:t>
                      </w:r>
                    </w:p>
                  </w:txbxContent>
                </v:textbox>
              </v:shape>
            </w:pict>
          </mc:Fallback>
        </mc:AlternateContent>
      </w:r>
      <w:r w:rsidR="00CA2667" w:rsidRPr="00CA2667">
        <w:rPr>
          <w:rFonts w:ascii="Times New Roman" w:eastAsia="Calibri" w:hAnsi="Times New Roman" w:cs="Times New Roman"/>
          <w:b/>
          <w:bCs/>
        </w:rPr>
        <w:t>Figure 1: Overview and interconnection of planning documents relevant to public financial management</w:t>
      </w:r>
    </w:p>
    <w:p w:rsidR="001C77DF" w:rsidRPr="00B26B4D" w:rsidRDefault="00C87CB9" w:rsidP="00B26B4D">
      <w:pPr>
        <w:pStyle w:val="Heading1"/>
        <w:jc w:val="center"/>
        <w:rPr>
          <w:rFonts w:ascii="Times New Roman" w:hAnsi="Times New Roman" w:cs="Times New Roman"/>
          <w:sz w:val="24"/>
          <w:szCs w:val="24"/>
        </w:rPr>
      </w:pPr>
      <w:r w:rsidRPr="00C87CB9">
        <w:rPr>
          <w:rFonts w:ascii="Times New Roman" w:hAnsi="Times New Roman" w:cs="Times New Roman"/>
          <w:sz w:val="24"/>
          <w:szCs w:val="24"/>
        </w:rPr>
        <w:lastRenderedPageBreak/>
        <w:t>DESCRIPTION OF THE CURRENT SITUATION: MAIN RESULTS OF THE REFORM MEASURES IMPLEMENTED DURING THE PERIOD 2021–2025</w:t>
      </w:r>
    </w:p>
    <w:p w:rsidR="001C77DF" w:rsidRDefault="001C77DF" w:rsidP="001C00C3">
      <w:pPr>
        <w:spacing w:after="0" w:line="240" w:lineRule="auto"/>
        <w:ind w:firstLine="708"/>
        <w:jc w:val="both"/>
        <w:rPr>
          <w:rFonts w:ascii="Times New Roman" w:hAnsi="Times New Roman"/>
          <w:sz w:val="24"/>
          <w:lang w:val="sr-Cyrl-RS"/>
        </w:rPr>
      </w:pPr>
    </w:p>
    <w:p w:rsid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Available data indicate that during the implementation of the Public Financial Management Reform Program (PFMRP) 2021–2025, covering the period from 2021 to 2024, a total of 45 activities were successfully completed, while 11 activities remained unimplemented. In accordance with the plan, an additional 43 activities are scheduled for implementation by the end of 2025. The level of their realization will be determined upon completion of the final report for 2025, which, in line with the Law on the Planning System, must be finalized by June 2026. This report will provide a detailed overview of the achieved results.</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Between 2021 and 2025, the Government of the Republic of Serbia successfully implemented a series of reform measures within the PFMRP framework, which significantly contributed to continuous economic growth and the stability of the financial system. By the end of 2024, GDP reached EUR 82.3 billion, marking a cumulative growth of 29.8% compared to 2018. For 2025, GDP is projected to rise to EUR 88.5 billion, confirming a positive trend of economic development and a stable macroeconomic environment.</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Economic data for 2024 show a GDP growth rate of 3.9%, while public sector debt stabilized at 46.9% of GDP. The unemployment rate declined to 8.6%, with 2.37 million people employed, indicating a stable labor market and wage growth. Foreign direct investment inflows reached EUR 5.2 billion, contributing to economic stability and growth. Total tax revenues amounted to RSD 1,874.6 billion, while total expenditures stood at RSD 2,353.6 billion, of which capital expenditures accounted for RSD 569.6 billion.</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At the central government level, the fiscal deficit amounted to RSD 212 billion, while the primary fiscal deficit was RSD 46 billion. Through the implementation of PFMRP activities and following the adoption of amendments to the Program, the public financial management system was further strengthened, now providing a stable foundation for ongoing structural reforms and the creation of a favorable business environment.</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Under Specific Objective I, the application of the Methodology for Green Project Tagging in 2024 led to the development of a “green budget”, integrated into budget documentation, thereby strengthening the focus on sustainability and environmentally friendly projects. Medium-term planning improved through the adoption of 29 new medium-term plans, supported by training and mentoring provided by the Republic Secretariat for Public Policies. Public investment management, as a key priority, continued to evolve through the implementation of the Decree on Capital Projects and the development of PIMIS, contributing to more efficient resource management.</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Under Specific Objective II, the Tax Administration continued its business process transformation and modernization with technical assistance, resulting in improved revenue collection and management modernization. Strengthening public procurement capacities and improving the Public Procurement Portal were also priorities, leading to greater transparency and efficiency. Additionally, inspection capacity building and the increase in the number of inspections represented significant achievements under this objective, which also included improvements to the procurement system.</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 xml:space="preserve">Under Specific Objective III, strengthening the capacity of the Audit Authority for the Management of EU Funds was one of the key priorities. The organizational and staffing structure was enhanced, a methodological framework for IPA III audit was developed, and an </w:t>
      </w:r>
      <w:r w:rsidRPr="00C87CB9">
        <w:rPr>
          <w:rFonts w:ascii="Times New Roman" w:hAnsi="Times New Roman"/>
          <w:sz w:val="24"/>
          <w:lang w:val="sr-Cyrl-RS"/>
        </w:rPr>
        <w:lastRenderedPageBreak/>
        <w:t>internal audit group was established. All European Commission recommendations under the Office’s mandate were successfully implemented. The closure process for IPA 2014–2020 programs was launched, while Serbia was entrusted with managing EU funds under IPA III, including Annual Action Programmes 2021 and 2022, as well as cross-border cooperation and the IPARD program. At the same time, administrative and functional capacities in inspection oversight were strengthened, leading to a higher number of inspections, broader coverage, and more consistent enforcement across Serbia.</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Within Specific Objective IV, emphasis was placed on strengthening internal financial control in the public sector, supported by improvements in management and control systems through new regulatory frameworks and employee training.</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Under Specific Objective V, the public sector accounting reform continued through alignment with international standards, enabling greater accuracy and transparency in financial reporting. This process was supported by capacity-building programs and the development of new accounting procedures aimed at improving the financial reporting system.</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Specific Objective VI focused on strengthening external oversight of public finances, with significant investments in building the capacity of the State Audit Institution (SAI) and through the activities of the National Assembly’s Committee, which, during this period, held sessions to review SAI reports with the participation of auditees, relevant ministries, and other stakeholders, as well as sessions dedicated to discussing legislative amendments in the presence of the SAI and Ministry of Finance. These efforts contributed to an increase in the number of audits and improvements in the quality of oversight, which are essential for transparency and accountability in managing public resources.</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Given the existence of numerous IT systems within the Ministry of Finance, often lacking interoperability, and the planned introduction of several new systems, a dedicated Department for Digitalization in Public Finance was established. This department plays a key role in coordinating the development of new IT systems (e-invoicing, e-delivery notes, e-excise, etc.), ensuring their integration and compatibility with existing infrastructure. It enables more efficient data management and functionality improvement within the Ministry, which is vital for the modernization and digitalization of public finances in Serbia.</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In recent years, Serbia has also made significant progress in advancing green public financial management, most notably through the introduction of a green budget in the 2025 Budget Law—for the first time, a publicly available list of projects contributing directly to environmental protection and climate goals was published. This innovation marks a major step toward aligning fiscal policy with sustainable development principles, allowing systematic tagging of environmentally relevant budget items in line with EU best practices.</w:t>
      </w:r>
    </w:p>
    <w:p w:rsidR="00C87CB9" w:rsidRPr="00C87CB9"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Furthermore, as evidence of its commitment to the green agenda, Serbia has issued green and sustainable bonds in previous years, securing financing for key infrastructure, environmental, and social projects such as railway development, wastewater treatment, and reforestation. As a new step forward, in early 2025, at the initiative of the Ministry of Finance, Serbia requested the first climate PEFA assessment from the World Bank, becoming one of the first countries in the region to undergo such a specialized evaluation. This approach will enable the country to further enhance budgetary processes, instruments, and measures for climate- and green-responsive public financial management, and to design a new set of measures to strengthen fiscal resilience to environmental and climate risks.</w:t>
      </w:r>
    </w:p>
    <w:p w:rsidR="0092653C" w:rsidRPr="005B1398" w:rsidRDefault="00C87CB9" w:rsidP="00C87CB9">
      <w:pPr>
        <w:spacing w:after="0" w:line="240" w:lineRule="auto"/>
        <w:ind w:firstLine="708"/>
        <w:jc w:val="both"/>
        <w:rPr>
          <w:rFonts w:ascii="Times New Roman" w:hAnsi="Times New Roman"/>
          <w:sz w:val="24"/>
          <w:lang w:val="sr-Cyrl-RS"/>
        </w:rPr>
      </w:pPr>
      <w:r w:rsidRPr="00C87CB9">
        <w:rPr>
          <w:rFonts w:ascii="Times New Roman" w:hAnsi="Times New Roman"/>
          <w:sz w:val="24"/>
          <w:lang w:val="sr-Cyrl-RS"/>
        </w:rPr>
        <w:t>Although significant results have been achieved, challenges remain regarding the provision of financing and technical expertise. The foundations laid during this period provide a solid basis for the continued development and implementation of future reforms that will further strengthen Serbia’s public finance system.</w:t>
      </w:r>
    </w:p>
    <w:p w:rsidR="00440797" w:rsidRPr="00B26B4D" w:rsidRDefault="00362D10" w:rsidP="00B26B4D">
      <w:pPr>
        <w:pStyle w:val="Heading1"/>
        <w:jc w:val="center"/>
        <w:rPr>
          <w:rFonts w:ascii="Times New Roman" w:hAnsi="Times New Roman" w:cs="Times New Roman"/>
          <w:sz w:val="24"/>
          <w:szCs w:val="24"/>
        </w:rPr>
      </w:pPr>
      <w:r w:rsidRPr="00362D10">
        <w:rPr>
          <w:rFonts w:ascii="Times New Roman" w:hAnsi="Times New Roman" w:cs="Times New Roman"/>
          <w:sz w:val="24"/>
          <w:szCs w:val="24"/>
        </w:rPr>
        <w:lastRenderedPageBreak/>
        <w:t>PROCESS OF PREPARATION OF THE PUBLIC FINANCIAL MANAGEMENT REFORM PROGRAM 2026–2030</w:t>
      </w:r>
    </w:p>
    <w:p w:rsidR="00424668" w:rsidRPr="00424668" w:rsidRDefault="00424668" w:rsidP="00424668">
      <w:pPr>
        <w:spacing w:after="0" w:line="240" w:lineRule="auto"/>
        <w:jc w:val="both"/>
        <w:rPr>
          <w:rFonts w:ascii="Times New Roman" w:hAnsi="Times New Roman"/>
          <w:sz w:val="24"/>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In June 2025, by the Decision of the Minister of Finance, a Working Group for the Development, Monitoring, and Reporting on the Implementation of the Public Financial Management Reform Program 2026–2030 (hereinafter: the Working Group) was established, officially marking the beginning of the process of preparing the new Program.</w:t>
      </w:r>
    </w:p>
    <w:p w:rsidR="00362D10" w:rsidRPr="00362D10" w:rsidRDefault="00362D10" w:rsidP="00362D10">
      <w:pPr>
        <w:spacing w:before="0" w:after="0" w:line="240" w:lineRule="auto"/>
        <w:ind w:left="1260"/>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The new Program is based on the findings of the PEFA assessment prepared by the World Bank, following the request of the Ministry of Finance submitted in August 2024. The first working version of the PEFA report was shared with members of the Working Group in July 2025, while the first draft was presented at the beginning of September of the same year. The Working Group highly valued the continuous support of public finance experts, provided under EU assistance, which greatly contributed to the understanding of the PEFA methodology and scoring, and to linking the PFMRP with PEFA results and SIGMA recommendations, particularly in formulating indicators at the level of specific objectives and measures.</w:t>
      </w:r>
    </w:p>
    <w:p w:rsidR="00362D10" w:rsidRPr="00362D10" w:rsidRDefault="00362D10" w:rsidP="00362D10">
      <w:pPr>
        <w:spacing w:before="0" w:after="0" w:line="240" w:lineRule="auto"/>
        <w:ind w:left="1260"/>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The workshops held during the preparation of the new Public Financial Management Reform Program 2026–2030 played a key role in developing the document.</w:t>
      </w:r>
    </w:p>
    <w:p w:rsidR="00362D10" w:rsidRPr="00362D10" w:rsidRDefault="00362D10" w:rsidP="00362D10">
      <w:pPr>
        <w:spacing w:before="0" w:after="0" w:line="240" w:lineRule="auto"/>
        <w:ind w:left="1260"/>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The first workshop focused on analyzing the progress of activities planned under the existing program in 2025, as well as on reviewing the available baseline information — including the ex-ante analysis of the sector, available strategic, planning, and diagnostic documents, the links with Cluster 1 – Fundamentals, relevant negotiation chapters, and Serbia’s commitments under the EU accession process. It also included a discussion on indicators that should be improved in the new Program. It was agreed that, to optimize monitoring and reporting, the new PFMRP should avoid duplicating measures and activities already included in other documents (strategies, programs, and projects) relevant to the public financial management system, such as the Public Administration Reform Strategy 2021–2030, the Reform Agenda 2024–2027, and targets under the “Improving Public Financial Management for Climate Change” project funded by the World Bank and AFD, among others.</w:t>
      </w:r>
    </w:p>
    <w:p w:rsidR="00362D10" w:rsidRDefault="00362D10" w:rsidP="00362D10">
      <w:pPr>
        <w:spacing w:before="0" w:after="0" w:line="240" w:lineRule="auto"/>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Special attention was devoted to the conclusions of meetings of the Special Group on Public Administration Reform and the High-Level Dialogue on Public Administration Reform with the European Commission, as well as to the central importance of public financial management in the implementation of Serbia’s Reform Agenda. Participants also reviewed the preliminary PEFA assessment results and SIGMA recommendations, which formed the foundation for further work.</w:t>
      </w:r>
    </w:p>
    <w:p w:rsidR="00362D10" w:rsidRPr="00362D10" w:rsidRDefault="00362D10" w:rsidP="00362D10">
      <w:pPr>
        <w:spacing w:before="0" w:after="0" w:line="240" w:lineRule="auto"/>
        <w:ind w:left="1260"/>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During the second workshop, comments received from SIGMA on the first draft of the Action Plan for 2026–2028 proved crucial. Participants worked on refining the activities, indicators, and narrative content, resulting in the creation of the Draft PFMRP 2026–2030. This process ensured that the proposed measures were aligned with the reform’s needs and objectives, providing the Program with a clearer structure and strategic direction.</w:t>
      </w:r>
    </w:p>
    <w:p w:rsidR="00362D10" w:rsidRPr="00362D10" w:rsidRDefault="00362D10" w:rsidP="00362D10">
      <w:pPr>
        <w:spacing w:before="0" w:after="0" w:line="240" w:lineRule="auto"/>
        <w:ind w:left="1260"/>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 xml:space="preserve">(This section will be updated subsequently.) The third workshop, held at the end of November, was dedicated to finalizing the document following the comprehensive public consultation process. This event consolidated feedback from all relevant partners, including conclusions from the “Public Financial Management Policy Dialogue Meeting.” The final </w:t>
      </w:r>
      <w:r w:rsidRPr="00362D10">
        <w:rPr>
          <w:rFonts w:ascii="Times New Roman" w:hAnsi="Times New Roman"/>
          <w:sz w:val="24"/>
          <w:lang w:val="sr-Cyrl-RS"/>
        </w:rPr>
        <w:lastRenderedPageBreak/>
        <w:t>version of the document was successfully completed in line with the planned timeline, underscoring the importance of coordination and joint efforts among institutions. These workshops not only ensured the effective preparation of the document but also strengthened coherence, expertise, and collaboration among all stakeholders involved.</w:t>
      </w:r>
    </w:p>
    <w:p w:rsidR="00362D10" w:rsidRPr="00362D10" w:rsidRDefault="00362D10" w:rsidP="00362D10">
      <w:pPr>
        <w:spacing w:before="0" w:after="0" w:line="240" w:lineRule="auto"/>
        <w:ind w:left="1260"/>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The Draft PFMRP 2026–2030 was published on the Ministry of Finance website and the e-Consultation Portal, thereby enabling a broad public discussion. A meeting titled “Public Financial Management Policy Dialogue” was organized, bringing together representatives of all relevant Serbian institutions, including the Ministry of Finance, Public Procurement Office, Republic Secretariat for Public Policies, General Secretariat of the Government, Ministry of Public Administration and Local Self-Government, Human Resources Management Service, Ministry for European Integration, Audit Authority for the Management of EU Funds, State Audit Institution, and the National Assembly Committee on Finance, the Republic Budget, and Control of Public Expenditure.</w:t>
      </w:r>
    </w:p>
    <w:p w:rsidR="00362D10" w:rsidRPr="00362D10" w:rsidRDefault="00362D10" w:rsidP="00362D10">
      <w:pPr>
        <w:spacing w:before="0" w:after="0" w:line="240" w:lineRule="auto"/>
        <w:ind w:left="1260"/>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The dialogue also involved representatives of international financial institutions, the donor community, and civil society organizations, who actively participated in the discussion.</w:t>
      </w:r>
    </w:p>
    <w:p w:rsidR="00362D10" w:rsidRPr="00362D10" w:rsidRDefault="00362D10" w:rsidP="00362D10">
      <w:pPr>
        <w:spacing w:before="0" w:after="0" w:line="240" w:lineRule="auto"/>
        <w:ind w:left="1260"/>
        <w:contextualSpacing/>
        <w:jc w:val="both"/>
        <w:rPr>
          <w:rFonts w:ascii="Times New Roman" w:hAnsi="Times New Roman"/>
          <w:sz w:val="24"/>
          <w:lang w:val="sr-Cyrl-RS"/>
        </w:rPr>
      </w:pPr>
    </w:p>
    <w:p w:rsidR="00CE6F45" w:rsidRPr="0081082A" w:rsidRDefault="00362D10" w:rsidP="00362D10">
      <w:pPr>
        <w:spacing w:before="0" w:after="0" w:line="240" w:lineRule="auto"/>
        <w:ind w:firstLine="708"/>
        <w:contextualSpacing/>
        <w:jc w:val="both"/>
        <w:rPr>
          <w:rFonts w:ascii="Times New Roman" w:hAnsi="Times New Roman"/>
          <w:sz w:val="24"/>
          <w:lang w:val="sr-Cyrl-RS"/>
        </w:rPr>
        <w:sectPr w:rsidR="00CE6F45" w:rsidRPr="0081082A" w:rsidSect="000476C0">
          <w:headerReference w:type="even" r:id="rId18"/>
          <w:headerReference w:type="default" r:id="rId19"/>
          <w:footerReference w:type="default" r:id="rId20"/>
          <w:headerReference w:type="first" r:id="rId21"/>
          <w:pgSz w:w="11906" w:h="16838" w:code="9"/>
          <w:pgMar w:top="1440" w:right="1440" w:bottom="1440" w:left="1440" w:header="720" w:footer="720" w:gutter="0"/>
          <w:cols w:space="720"/>
          <w:docGrid w:linePitch="360"/>
        </w:sectPr>
      </w:pPr>
      <w:r w:rsidRPr="00362D10">
        <w:rPr>
          <w:rFonts w:ascii="Times New Roman" w:hAnsi="Times New Roman"/>
          <w:sz w:val="24"/>
          <w:lang w:val="sr-Cyrl-RS"/>
        </w:rPr>
        <w:t>The Ministry of Finance demonstrated a highly proactive approach in strengthening cooperation with civil society organizations, having previously organized, in 2022, a workshop aimed at familiarizing them with the public financial management system in order to enhance their capacities and understanding in this area.</w:t>
      </w:r>
    </w:p>
    <w:p w:rsidR="00262260" w:rsidRDefault="00F24BD3" w:rsidP="00262260">
      <w:pPr>
        <w:keepNext/>
        <w:jc w:val="center"/>
      </w:pPr>
      <w:r w:rsidRPr="00F24BD3">
        <w:rPr>
          <w:noProof/>
        </w:rPr>
        <w:lastRenderedPageBreak/>
        <w:drawing>
          <wp:inline distT="0" distB="0" distL="0" distR="0" wp14:anchorId="425DC3CF" wp14:editId="673EFD63">
            <wp:extent cx="13291185" cy="810450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291185" cy="8104505"/>
                    </a:xfrm>
                    <a:prstGeom prst="rect">
                      <a:avLst/>
                    </a:prstGeom>
                  </pic:spPr>
                </pic:pic>
              </a:graphicData>
            </a:graphic>
          </wp:inline>
        </w:drawing>
      </w:r>
    </w:p>
    <w:p w:rsidR="005703FA" w:rsidRPr="00BA5E36" w:rsidRDefault="001C6B13" w:rsidP="00262260">
      <w:pPr>
        <w:pStyle w:val="Caption"/>
        <w:jc w:val="center"/>
        <w:rPr>
          <w:rFonts w:ascii="Times New Roman" w:hAnsi="Times New Roman"/>
          <w:sz w:val="22"/>
          <w:szCs w:val="22"/>
          <w:lang w:val="sr-Cyrl-RS"/>
        </w:rPr>
      </w:pPr>
      <w:r>
        <w:rPr>
          <w:sz w:val="22"/>
          <w:szCs w:val="22"/>
        </w:rPr>
        <w:t>Problem analyses from the PAR Strategy 2021-2030</w:t>
      </w:r>
    </w:p>
    <w:p w:rsidR="004228EE" w:rsidRPr="0081082A" w:rsidRDefault="004228EE" w:rsidP="005703FA">
      <w:pPr>
        <w:jc w:val="center"/>
        <w:rPr>
          <w:rFonts w:ascii="Times New Roman" w:hAnsi="Times New Roman"/>
          <w:sz w:val="24"/>
          <w:lang w:val="sr-Cyrl-RS"/>
        </w:rPr>
        <w:sectPr w:rsidR="004228EE" w:rsidRPr="0081082A" w:rsidSect="00FD1E65">
          <w:pgSz w:w="23811" w:h="16838" w:orient="landscape" w:code="8"/>
          <w:pgMar w:top="1440" w:right="1440" w:bottom="1440" w:left="1440" w:header="720" w:footer="720" w:gutter="0"/>
          <w:cols w:space="720"/>
          <w:docGrid w:linePitch="360"/>
        </w:sectPr>
      </w:pPr>
    </w:p>
    <w:p w:rsidR="004228EE" w:rsidRPr="00B26B4D" w:rsidRDefault="00362D10" w:rsidP="00B26B4D">
      <w:pPr>
        <w:pStyle w:val="Heading1"/>
        <w:jc w:val="center"/>
        <w:rPr>
          <w:rFonts w:ascii="Times New Roman" w:hAnsi="Times New Roman" w:cs="Times New Roman"/>
          <w:sz w:val="24"/>
          <w:szCs w:val="24"/>
        </w:rPr>
      </w:pPr>
      <w:r>
        <w:rPr>
          <w:rFonts w:ascii="Times New Roman" w:hAnsi="Times New Roman" w:cs="Times New Roman"/>
          <w:sz w:val="24"/>
          <w:szCs w:val="24"/>
        </w:rPr>
        <w:lastRenderedPageBreak/>
        <w:t>VISION</w:t>
      </w:r>
    </w:p>
    <w:p w:rsidR="00362D10" w:rsidRDefault="00362D10" w:rsidP="00362D10">
      <w:pPr>
        <w:spacing w:before="0" w:after="0" w:line="240" w:lineRule="auto"/>
        <w:ind w:firstLine="708"/>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The vision of the Public Financial Management Reform Program (PFMRP) 2026–2030 is a system that supports stable economic development, ensures the efficient use of public resources, and guarantees citizens access to higher-quality public services.</w:t>
      </w: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The implementation of PFMRP 2026–2030 should enable the creation of a modern, transparent, and accountable public finance system, fully aligned with European standards and practices. The continuation of ongoing reforms should ensure that the public financial management system is strengthened, guaranteeing efficiency, transparency, and accountability in accordance with the highest European standards.</w:t>
      </w: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Fiscal policy and the macroeconomic framework should become fully predictable and sustainable, with reinforced spending discipline and improved medium-term planning—building the trust of both investors and citizens. Revenue management should result in a tax administration that is efficient, digitalized, and taxpayer-oriented, accompanied by a significant reduction of the shadow economy and the strengthening of fiscal culture.</w:t>
      </w: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Public expenditure management should ensure that public funds are directed toward strategic priorities, with systematic measurement of results and reinforced accountability for outcomes. Public investments should be prepared, selected, and implemented based on clear criteria and long-term priorities, with full transparency and monitoring of the benefits for citizens and the economy.</w:t>
      </w: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Public procurement should become fully electronic, competitive, and resistant to abuse, thereby increasing public trust and reducing costs. Public debt management should be based on sustainability and modern financing instruments to preserve fiscal stability and the state’s financial independence. Internal financial control should become a management standard across all institutions, with strong internal audit mechanisms and a culture of sound financial governance.</w:t>
      </w: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r w:rsidRPr="00362D10">
        <w:rPr>
          <w:rFonts w:ascii="Times New Roman" w:hAnsi="Times New Roman"/>
          <w:sz w:val="24"/>
          <w:lang w:val="sr-Cyrl-RS"/>
        </w:rPr>
        <w:t>External audit should be fully independent and effective, with recommendations that are consistently implemented and lead to lasting improvements in the functioning of the public sector. Transparency and public participation should reach a level that enables citizens and civil society to actively monitor and influence how public funds are spent.</w:t>
      </w:r>
    </w:p>
    <w:p w:rsidR="00362D10" w:rsidRPr="00362D10" w:rsidRDefault="00362D10" w:rsidP="00362D10">
      <w:pPr>
        <w:spacing w:before="0" w:after="0" w:line="240" w:lineRule="auto"/>
        <w:ind w:firstLine="708"/>
        <w:contextualSpacing/>
        <w:jc w:val="both"/>
        <w:rPr>
          <w:rFonts w:ascii="Times New Roman" w:hAnsi="Times New Roman"/>
          <w:sz w:val="24"/>
          <w:lang w:val="sr-Cyrl-RS"/>
        </w:rPr>
      </w:pPr>
    </w:p>
    <w:p w:rsidR="004228EE" w:rsidRDefault="00362D10" w:rsidP="00362D10">
      <w:pPr>
        <w:spacing w:before="0" w:after="0" w:line="240" w:lineRule="auto"/>
        <w:ind w:firstLine="708"/>
        <w:contextualSpacing/>
        <w:jc w:val="both"/>
        <w:rPr>
          <w:rFonts w:ascii="Times New Roman" w:hAnsi="Times New Roman"/>
          <w:sz w:val="24"/>
        </w:rPr>
      </w:pPr>
      <w:r w:rsidRPr="00362D10">
        <w:rPr>
          <w:rFonts w:ascii="Times New Roman" w:hAnsi="Times New Roman"/>
          <w:sz w:val="24"/>
          <w:lang w:val="sr-Cyrl-RS"/>
        </w:rPr>
        <w:t>This transformation is not merely technical or administrative—it represents a step toward building institutions that operate in the interest of citizens, guided by clear rules, accountability, and measurable results. In this way, the public financial management system stands as one of the key pillars of a modern state.</w:t>
      </w:r>
    </w:p>
    <w:p w:rsidR="00362D10" w:rsidRDefault="00362D10" w:rsidP="00362D10">
      <w:pPr>
        <w:spacing w:before="0" w:after="0" w:line="240" w:lineRule="auto"/>
        <w:ind w:firstLine="708"/>
        <w:contextualSpacing/>
        <w:jc w:val="both"/>
        <w:rPr>
          <w:rFonts w:ascii="Times New Roman" w:hAnsi="Times New Roman"/>
          <w:sz w:val="24"/>
        </w:rPr>
      </w:pPr>
    </w:p>
    <w:p w:rsidR="00362D10" w:rsidRDefault="00362D10" w:rsidP="00362D10">
      <w:pPr>
        <w:spacing w:before="0" w:after="0" w:line="240" w:lineRule="auto"/>
        <w:ind w:firstLine="708"/>
        <w:contextualSpacing/>
        <w:jc w:val="both"/>
        <w:rPr>
          <w:rFonts w:ascii="Times New Roman" w:hAnsi="Times New Roman"/>
          <w:sz w:val="24"/>
        </w:rPr>
      </w:pPr>
    </w:p>
    <w:p w:rsidR="00362D10" w:rsidRDefault="00362D10" w:rsidP="00362D10">
      <w:pPr>
        <w:spacing w:before="0" w:after="0" w:line="240" w:lineRule="auto"/>
        <w:ind w:firstLine="708"/>
        <w:contextualSpacing/>
        <w:jc w:val="both"/>
        <w:rPr>
          <w:rFonts w:ascii="Times New Roman" w:hAnsi="Times New Roman"/>
          <w:sz w:val="24"/>
        </w:rPr>
      </w:pPr>
    </w:p>
    <w:p w:rsidR="00362D10" w:rsidRDefault="00362D10" w:rsidP="00362D10">
      <w:pPr>
        <w:spacing w:before="0" w:after="0" w:line="240" w:lineRule="auto"/>
        <w:ind w:firstLine="708"/>
        <w:contextualSpacing/>
        <w:jc w:val="both"/>
        <w:rPr>
          <w:rFonts w:ascii="Times New Roman" w:hAnsi="Times New Roman"/>
          <w:sz w:val="24"/>
        </w:rPr>
      </w:pPr>
    </w:p>
    <w:p w:rsidR="006C4D05" w:rsidRDefault="006C4D05" w:rsidP="00362D10">
      <w:pPr>
        <w:spacing w:before="0" w:after="0" w:line="240" w:lineRule="auto"/>
        <w:ind w:firstLine="708"/>
        <w:contextualSpacing/>
        <w:jc w:val="both"/>
        <w:rPr>
          <w:rFonts w:ascii="Times New Roman" w:hAnsi="Times New Roman"/>
          <w:sz w:val="24"/>
        </w:rPr>
      </w:pPr>
    </w:p>
    <w:p w:rsidR="00362D10" w:rsidRDefault="00362D10" w:rsidP="00362D10">
      <w:pPr>
        <w:spacing w:before="0" w:after="0" w:line="240" w:lineRule="auto"/>
        <w:ind w:firstLine="708"/>
        <w:contextualSpacing/>
        <w:jc w:val="both"/>
        <w:rPr>
          <w:rFonts w:ascii="Times New Roman" w:hAnsi="Times New Roman"/>
          <w:sz w:val="24"/>
        </w:rPr>
      </w:pPr>
    </w:p>
    <w:p w:rsidR="00362D10" w:rsidRDefault="00362D10" w:rsidP="00362D10">
      <w:pPr>
        <w:spacing w:before="0" w:after="0" w:line="240" w:lineRule="auto"/>
        <w:ind w:firstLine="708"/>
        <w:contextualSpacing/>
        <w:jc w:val="both"/>
        <w:rPr>
          <w:rFonts w:ascii="Times New Roman" w:hAnsi="Times New Roman"/>
          <w:sz w:val="24"/>
        </w:rPr>
      </w:pPr>
    </w:p>
    <w:p w:rsidR="00362D10" w:rsidRPr="00362D10" w:rsidRDefault="00362D10" w:rsidP="00362D10">
      <w:pPr>
        <w:spacing w:before="0" w:after="0" w:line="240" w:lineRule="auto"/>
        <w:ind w:firstLine="708"/>
        <w:contextualSpacing/>
        <w:jc w:val="both"/>
        <w:rPr>
          <w:rFonts w:ascii="Times New Roman" w:hAnsi="Times New Roman"/>
          <w:sz w:val="24"/>
        </w:rPr>
      </w:pPr>
    </w:p>
    <w:p w:rsidR="00412510" w:rsidRPr="00B26B4D" w:rsidRDefault="006C4D05" w:rsidP="00B26B4D">
      <w:pPr>
        <w:pStyle w:val="Heading1"/>
        <w:jc w:val="center"/>
        <w:rPr>
          <w:rFonts w:ascii="Times New Roman" w:hAnsi="Times New Roman" w:cs="Times New Roman"/>
          <w:sz w:val="24"/>
          <w:szCs w:val="24"/>
        </w:rPr>
      </w:pPr>
      <w:bookmarkStart w:id="4" w:name="_Toc72488791"/>
      <w:r>
        <w:rPr>
          <w:rFonts w:ascii="Times New Roman" w:hAnsi="Times New Roman" w:cs="Times New Roman"/>
          <w:sz w:val="24"/>
          <w:szCs w:val="24"/>
        </w:rPr>
        <w:lastRenderedPageBreak/>
        <w:t>PART II</w:t>
      </w:r>
    </w:p>
    <w:bookmarkEnd w:id="4"/>
    <w:p w:rsidR="00412510" w:rsidRPr="00B26B4D" w:rsidRDefault="001362D1" w:rsidP="00362D10">
      <w:pPr>
        <w:pStyle w:val="Heading1"/>
        <w:jc w:val="center"/>
        <w:rPr>
          <w:rFonts w:ascii="Times New Roman" w:hAnsi="Times New Roman" w:cs="Times New Roman"/>
          <w:sz w:val="24"/>
          <w:szCs w:val="24"/>
        </w:rPr>
      </w:pPr>
      <w:r>
        <w:rPr>
          <w:rFonts w:ascii="Times New Roman" w:hAnsi="Times New Roman" w:cs="Times New Roman"/>
          <w:sz w:val="24"/>
          <w:szCs w:val="24"/>
        </w:rPr>
        <w:t>OVERALL</w:t>
      </w:r>
      <w:r w:rsidR="00362D10" w:rsidRPr="00362D10">
        <w:rPr>
          <w:rFonts w:ascii="Times New Roman" w:hAnsi="Times New Roman" w:cs="Times New Roman"/>
          <w:sz w:val="24"/>
          <w:szCs w:val="24"/>
        </w:rPr>
        <w:t xml:space="preserve"> and Specific Objectives of the Public Financial Management Reform Program 2026–2030</w:t>
      </w:r>
    </w:p>
    <w:p w:rsidR="00412510" w:rsidRDefault="00412510" w:rsidP="00EC4CC2">
      <w:pPr>
        <w:spacing w:after="0" w:line="240" w:lineRule="auto"/>
        <w:ind w:firstLine="708"/>
        <w:jc w:val="both"/>
        <w:rPr>
          <w:rFonts w:ascii="Times New Roman" w:eastAsia="Calibri" w:hAnsi="Times New Roman" w:cs="Times New Roman"/>
          <w:sz w:val="24"/>
          <w:szCs w:val="24"/>
          <w:lang w:val="sr-Cyrl-RS"/>
        </w:rPr>
      </w:pPr>
    </w:p>
    <w:p w:rsidR="00362D10" w:rsidRPr="00362D10" w:rsidRDefault="00362D10" w:rsidP="00B178F4">
      <w:pPr>
        <w:pStyle w:val="NormalWeb"/>
        <w:jc w:val="both"/>
        <w:rPr>
          <w:lang w:val="en-US" w:eastAsia="en-US"/>
        </w:rPr>
      </w:pPr>
      <w:r w:rsidRPr="00362D10">
        <w:rPr>
          <w:lang w:val="en-US" w:eastAsia="en-US"/>
        </w:rPr>
        <w:t>The general objective of the Public Financial Management Reform Program (PFMRP) 2026–2030 is to achieve a sustainable budget with a stable level of public debt in relation to GDP through improved financial management and control, auditing processes, and the alignment of budget planning with government policies. This general objective is linked to the Public Administration Reform Strategy 2021–2030, where it is defined as Specific Objective 7. The general objective remains the same as defined in the overarching Public Administration Reform Strategy, ensuring continuity and consistency in the implementation of public policies and reforms.</w:t>
      </w:r>
    </w:p>
    <w:p w:rsidR="00362D10" w:rsidRPr="00362D10" w:rsidRDefault="00362D10" w:rsidP="00B178F4">
      <w:p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Progress toward achieving the general objective of PFMRP 2026–2030 will be monitored through the following indicators:</w:t>
      </w:r>
    </w:p>
    <w:p w:rsidR="00362D10" w:rsidRPr="00362D10" w:rsidRDefault="00362D10" w:rsidP="00B178F4">
      <w:pPr>
        <w:numPr>
          <w:ilvl w:val="0"/>
          <w:numId w:val="23"/>
        </w:num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Real GDP growth</w:t>
      </w:r>
    </w:p>
    <w:p w:rsidR="00362D10" w:rsidRPr="00362D10" w:rsidRDefault="00362D10" w:rsidP="00B178F4">
      <w:pPr>
        <w:numPr>
          <w:ilvl w:val="0"/>
          <w:numId w:val="23"/>
        </w:num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Level of general government debt</w:t>
      </w:r>
    </w:p>
    <w:p w:rsidR="00362D10" w:rsidRPr="00362D10" w:rsidRDefault="00362D10" w:rsidP="00B178F4">
      <w:p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The specific objectives of PFMRP 2026–2030 also remain unchanged compared to the previous program, as they are defined in the Public Administration Reform Strategy, and include:</w:t>
      </w:r>
    </w:p>
    <w:p w:rsidR="00362D10" w:rsidRPr="00362D10" w:rsidRDefault="00362D10" w:rsidP="00B178F4">
      <w:pPr>
        <w:numPr>
          <w:ilvl w:val="0"/>
          <w:numId w:val="24"/>
        </w:num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Specific Objective I – Improved capacities for budget planning, public investment management, and fiscal risk monitoring</w:t>
      </w:r>
    </w:p>
    <w:p w:rsidR="00362D10" w:rsidRPr="00362D10" w:rsidRDefault="00362D10" w:rsidP="00B178F4">
      <w:pPr>
        <w:numPr>
          <w:ilvl w:val="0"/>
          <w:numId w:val="24"/>
        </w:num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Specific Objective II – Efficient collection and management of budgetary resources</w:t>
      </w:r>
    </w:p>
    <w:p w:rsidR="00362D10" w:rsidRPr="00362D10" w:rsidRDefault="00362D10" w:rsidP="00B178F4">
      <w:pPr>
        <w:numPr>
          <w:ilvl w:val="0"/>
          <w:numId w:val="24"/>
        </w:num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Specific Objective III – Improved budget discipline and more transparent use of public funds</w:t>
      </w:r>
    </w:p>
    <w:p w:rsidR="00362D10" w:rsidRPr="00362D10" w:rsidRDefault="00362D10" w:rsidP="00B178F4">
      <w:pPr>
        <w:numPr>
          <w:ilvl w:val="0"/>
          <w:numId w:val="24"/>
        </w:num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Specific Objective IV – Enhanced implementation of the internal financial control system in the public sector</w:t>
      </w:r>
    </w:p>
    <w:p w:rsidR="00362D10" w:rsidRPr="00362D10" w:rsidRDefault="00362D10" w:rsidP="00B178F4">
      <w:pPr>
        <w:numPr>
          <w:ilvl w:val="0"/>
          <w:numId w:val="24"/>
        </w:num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Specific Objective V – Improved public sector accounting through the application of International Public Sector Accounting Standards (IPSAS)</w:t>
      </w:r>
    </w:p>
    <w:p w:rsidR="00362D10" w:rsidRPr="00362D10" w:rsidRDefault="00362D10" w:rsidP="00B178F4">
      <w:pPr>
        <w:numPr>
          <w:ilvl w:val="0"/>
          <w:numId w:val="24"/>
        </w:num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Specific Objective VI – Strengthened external oversight of public finances</w:t>
      </w:r>
    </w:p>
    <w:p w:rsidR="00362D10" w:rsidRPr="00362D10" w:rsidRDefault="00362D10" w:rsidP="00B178F4">
      <w:p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The objectives, measures, and activities under each specific objective of PFMRP 2026–2030 are designed to improve the legal and organizational framework, as well as human and technical capacities in the area of public financial management. These initiatives aim to ensure alignment with Serbia’s commitments under the European integration process and with international standards.</w:t>
      </w:r>
    </w:p>
    <w:p w:rsidR="00362D10" w:rsidRPr="00362D10" w:rsidRDefault="00362D10" w:rsidP="00B178F4">
      <w:pPr>
        <w:spacing w:beforeAutospacing="1" w:after="100" w:afterAutospacing="1" w:line="240" w:lineRule="auto"/>
        <w:jc w:val="both"/>
        <w:rPr>
          <w:rFonts w:ascii="Times New Roman" w:eastAsia="Times New Roman" w:hAnsi="Times New Roman" w:cs="Times New Roman"/>
          <w:sz w:val="24"/>
          <w:szCs w:val="24"/>
        </w:rPr>
      </w:pPr>
      <w:r w:rsidRPr="00362D10">
        <w:rPr>
          <w:rFonts w:ascii="Times New Roman" w:eastAsia="Times New Roman" w:hAnsi="Times New Roman" w:cs="Times New Roman"/>
          <w:sz w:val="24"/>
          <w:szCs w:val="24"/>
        </w:rPr>
        <w:t>Special attention has been given to the formulation of indicators at the level of specific objectives and measures, with the goal of improving their quality compared to the previous program and ensuring that they adequately reflect progress in the public financial management system.</w:t>
      </w:r>
    </w:p>
    <w:p w:rsidR="006C0D01" w:rsidRDefault="006C0D01" w:rsidP="00DE3678">
      <w:pPr>
        <w:ind w:firstLine="708"/>
        <w:jc w:val="both"/>
        <w:rPr>
          <w:rFonts w:ascii="Times New Roman" w:eastAsia="Times New Roman" w:hAnsi="Times New Roman" w:cs="Times New Roman"/>
          <w:sz w:val="24"/>
          <w:szCs w:val="24"/>
          <w:shd w:val="clear" w:color="auto" w:fill="FFFFFF"/>
          <w:lang w:val="sr-Cyrl-RS"/>
        </w:rPr>
      </w:pPr>
    </w:p>
    <w:tbl>
      <w:tblPr>
        <w:tblW w:w="0" w:type="auto"/>
        <w:jc w:val="center"/>
        <w:tblCellMar>
          <w:left w:w="0" w:type="dxa"/>
          <w:right w:w="0" w:type="dxa"/>
        </w:tblCellMar>
        <w:tblLook w:val="04A0" w:firstRow="1" w:lastRow="0" w:firstColumn="1" w:lastColumn="0" w:noHBand="0" w:noVBand="1"/>
      </w:tblPr>
      <w:tblGrid>
        <w:gridCol w:w="3052"/>
        <w:gridCol w:w="5765"/>
      </w:tblGrid>
      <w:tr w:rsidR="00512E73" w:rsidRPr="00512E73" w:rsidTr="00F06D1C">
        <w:trPr>
          <w:trHeight w:val="293"/>
          <w:jc w:val="center"/>
        </w:trPr>
        <w:tc>
          <w:tcPr>
            <w:tcW w:w="3052" w:type="dxa"/>
            <w:tcBorders>
              <w:top w:val="single" w:sz="8" w:space="0" w:color="auto"/>
              <w:left w:val="single" w:sz="8" w:space="0" w:color="auto"/>
              <w:bottom w:val="single" w:sz="4" w:space="0" w:color="auto"/>
              <w:right w:val="single" w:sz="8" w:space="0" w:color="auto"/>
            </w:tcBorders>
            <w:shd w:val="clear" w:color="auto" w:fill="D9E2F3" w:themeFill="accent5" w:themeFillTint="33"/>
            <w:tcMar>
              <w:top w:w="0" w:type="dxa"/>
              <w:left w:w="108" w:type="dxa"/>
              <w:bottom w:w="0" w:type="dxa"/>
              <w:right w:w="108" w:type="dxa"/>
            </w:tcMar>
            <w:hideMark/>
          </w:tcPr>
          <w:p w:rsidR="00512E73" w:rsidRPr="00296637" w:rsidRDefault="00296637" w:rsidP="00512E73">
            <w:pPr>
              <w:spacing w:before="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Objectives</w:t>
            </w:r>
          </w:p>
        </w:tc>
        <w:tc>
          <w:tcPr>
            <w:tcW w:w="5765" w:type="dxa"/>
            <w:tcBorders>
              <w:top w:val="single" w:sz="8" w:space="0" w:color="auto"/>
              <w:left w:val="nil"/>
              <w:bottom w:val="single" w:sz="4" w:space="0" w:color="auto"/>
              <w:right w:val="single" w:sz="8" w:space="0" w:color="auto"/>
            </w:tcBorders>
            <w:shd w:val="clear" w:color="auto" w:fill="D9E2F3" w:themeFill="accent5" w:themeFillTint="33"/>
            <w:tcMar>
              <w:top w:w="0" w:type="dxa"/>
              <w:left w:w="108" w:type="dxa"/>
              <w:bottom w:w="0" w:type="dxa"/>
              <w:right w:w="108" w:type="dxa"/>
            </w:tcMar>
            <w:hideMark/>
          </w:tcPr>
          <w:p w:rsidR="00512E73" w:rsidRPr="00296637" w:rsidRDefault="00296637" w:rsidP="00296637">
            <w:pPr>
              <w:spacing w:before="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Objectives</w:t>
            </w:r>
            <w:r w:rsidR="00512E73" w:rsidRPr="00512E73">
              <w:rPr>
                <w:rFonts w:ascii="Times New Roman" w:eastAsia="Calibri" w:hAnsi="Times New Roman" w:cs="Times New Roman"/>
                <w:sz w:val="24"/>
                <w:szCs w:val="24"/>
                <w:lang w:val="sr-Cyrl-RS"/>
              </w:rPr>
              <w:t>/</w:t>
            </w:r>
            <w:r>
              <w:rPr>
                <w:rFonts w:ascii="Times New Roman" w:eastAsia="Calibri" w:hAnsi="Times New Roman" w:cs="Times New Roman"/>
                <w:sz w:val="24"/>
                <w:szCs w:val="24"/>
              </w:rPr>
              <w:t>subobjectives</w:t>
            </w:r>
            <w:r w:rsidR="00512E73" w:rsidRPr="00512E73">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of sustainable development</w:t>
            </w:r>
          </w:p>
        </w:tc>
      </w:tr>
      <w:tr w:rsidR="00512E73" w:rsidRPr="00512E73" w:rsidTr="00F06D1C">
        <w:trPr>
          <w:trHeight w:val="278"/>
          <w:jc w:val="center"/>
        </w:trPr>
        <w:tc>
          <w:tcPr>
            <w:tcW w:w="30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2E73" w:rsidRPr="00296637" w:rsidRDefault="00296637" w:rsidP="00512E73">
            <w:pPr>
              <w:spacing w:before="0"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Overall Objective</w:t>
            </w:r>
          </w:p>
        </w:tc>
        <w:tc>
          <w:tcPr>
            <w:tcW w:w="576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8.1, 16.6, 17.1, 17.4</w:t>
            </w:r>
          </w:p>
        </w:tc>
      </w:tr>
      <w:tr w:rsidR="00512E73" w:rsidRPr="00512E73"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2E73" w:rsidRPr="00512E73" w:rsidRDefault="00296637" w:rsidP="00512E73">
            <w:pPr>
              <w:spacing w:before="0"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rPr>
              <w:t>Specific Objective</w:t>
            </w:r>
            <w:r w:rsidR="00512E73" w:rsidRPr="00512E73">
              <w:rPr>
                <w:rFonts w:ascii="Times New Roman" w:eastAsia="Calibri" w:hAnsi="Times New Roman" w:cs="Times New Roman"/>
                <w:sz w:val="24"/>
                <w:szCs w:val="24"/>
                <w:lang w:val="sr-Cyrl-RS"/>
              </w:rPr>
              <w:t xml:space="preserve"> 1</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16.6, 17.1, 17.4</w:t>
            </w:r>
          </w:p>
        </w:tc>
      </w:tr>
      <w:tr w:rsidR="00512E73" w:rsidRPr="00512E73"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2E73" w:rsidRPr="00512E73" w:rsidRDefault="00296637" w:rsidP="00512E73">
            <w:pPr>
              <w:spacing w:before="0"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rPr>
              <w:t>Specific Objective</w:t>
            </w:r>
            <w:r w:rsidRPr="00512E73">
              <w:rPr>
                <w:rFonts w:ascii="Times New Roman" w:eastAsia="Calibri" w:hAnsi="Times New Roman" w:cs="Times New Roman"/>
                <w:sz w:val="24"/>
                <w:szCs w:val="24"/>
                <w:lang w:val="sr-Cyrl-RS"/>
              </w:rPr>
              <w:t xml:space="preserve"> </w:t>
            </w:r>
            <w:r w:rsidR="00512E73" w:rsidRPr="00512E73">
              <w:rPr>
                <w:rFonts w:ascii="Times New Roman" w:eastAsia="Calibri" w:hAnsi="Times New Roman" w:cs="Times New Roman"/>
                <w:sz w:val="24"/>
                <w:szCs w:val="24"/>
                <w:lang w:val="sr-Cyrl-RS"/>
              </w:rPr>
              <w:t>2</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w:t>
            </w:r>
          </w:p>
        </w:tc>
      </w:tr>
      <w:tr w:rsidR="00512E73" w:rsidRPr="00512E73"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2E73" w:rsidRPr="00512E73" w:rsidRDefault="00296637" w:rsidP="00512E73">
            <w:pPr>
              <w:spacing w:before="0"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rPr>
              <w:t>Specific Objective</w:t>
            </w:r>
            <w:r w:rsidRPr="00512E73">
              <w:rPr>
                <w:rFonts w:ascii="Times New Roman" w:eastAsia="Calibri" w:hAnsi="Times New Roman" w:cs="Times New Roman"/>
                <w:sz w:val="24"/>
                <w:szCs w:val="24"/>
                <w:lang w:val="sr-Cyrl-RS"/>
              </w:rPr>
              <w:t xml:space="preserve"> </w:t>
            </w:r>
            <w:r w:rsidR="00512E73" w:rsidRPr="00512E73">
              <w:rPr>
                <w:rFonts w:ascii="Times New Roman" w:eastAsia="Calibri" w:hAnsi="Times New Roman" w:cs="Times New Roman"/>
                <w:sz w:val="24"/>
                <w:szCs w:val="24"/>
                <w:lang w:val="sr-Cyrl-RS"/>
              </w:rPr>
              <w:t>3</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17.1, 17.4</w:t>
            </w:r>
          </w:p>
        </w:tc>
      </w:tr>
      <w:tr w:rsidR="00512E73" w:rsidRPr="00512E73" w:rsidTr="00F06D1C">
        <w:trPr>
          <w:trHeight w:val="278"/>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2E73" w:rsidRPr="00512E73" w:rsidRDefault="00296637" w:rsidP="00512E73">
            <w:pPr>
              <w:spacing w:before="0"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rPr>
              <w:t>Specific Objective</w:t>
            </w:r>
            <w:r w:rsidRPr="00512E73">
              <w:rPr>
                <w:rFonts w:ascii="Times New Roman" w:eastAsia="Calibri" w:hAnsi="Times New Roman" w:cs="Times New Roman"/>
                <w:sz w:val="24"/>
                <w:szCs w:val="24"/>
                <w:lang w:val="sr-Cyrl-RS"/>
              </w:rPr>
              <w:t xml:space="preserve"> </w:t>
            </w:r>
            <w:r w:rsidR="00512E73" w:rsidRPr="00512E73">
              <w:rPr>
                <w:rFonts w:ascii="Times New Roman" w:eastAsia="Calibri" w:hAnsi="Times New Roman" w:cs="Times New Roman"/>
                <w:sz w:val="24"/>
                <w:szCs w:val="24"/>
                <w:lang w:val="sr-Cyrl-RS"/>
              </w:rPr>
              <w:t>4</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w:t>
            </w:r>
          </w:p>
        </w:tc>
      </w:tr>
      <w:tr w:rsidR="00512E73" w:rsidRPr="00512E73"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2E73" w:rsidRPr="00512E73" w:rsidRDefault="00296637" w:rsidP="00512E73">
            <w:pPr>
              <w:spacing w:before="0"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rPr>
              <w:t>Specific Objective</w:t>
            </w:r>
            <w:r w:rsidRPr="00512E73">
              <w:rPr>
                <w:rFonts w:ascii="Times New Roman" w:eastAsia="Calibri" w:hAnsi="Times New Roman" w:cs="Times New Roman"/>
                <w:sz w:val="24"/>
                <w:szCs w:val="24"/>
                <w:lang w:val="sr-Cyrl-RS"/>
              </w:rPr>
              <w:t xml:space="preserve"> </w:t>
            </w:r>
            <w:r w:rsidR="00512E73" w:rsidRPr="00512E73">
              <w:rPr>
                <w:rFonts w:ascii="Times New Roman" w:eastAsia="Calibri" w:hAnsi="Times New Roman" w:cs="Times New Roman"/>
                <w:sz w:val="24"/>
                <w:szCs w:val="24"/>
                <w:lang w:val="sr-Cyrl-RS"/>
              </w:rPr>
              <w:t>5</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w:t>
            </w:r>
          </w:p>
        </w:tc>
      </w:tr>
      <w:tr w:rsidR="00512E73" w:rsidRPr="00512E73" w:rsidTr="00F06D1C">
        <w:trPr>
          <w:trHeight w:val="293"/>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2E73" w:rsidRPr="00512E73" w:rsidRDefault="00296637" w:rsidP="00512E73">
            <w:pPr>
              <w:spacing w:before="0" w:after="0"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rPr>
              <w:t>Specific Objective</w:t>
            </w:r>
            <w:r w:rsidRPr="00512E73">
              <w:rPr>
                <w:rFonts w:ascii="Times New Roman" w:eastAsia="Calibri" w:hAnsi="Times New Roman" w:cs="Times New Roman"/>
                <w:sz w:val="24"/>
                <w:szCs w:val="24"/>
                <w:lang w:val="sr-Cyrl-RS"/>
              </w:rPr>
              <w:t xml:space="preserve"> </w:t>
            </w:r>
            <w:r w:rsidR="00512E73" w:rsidRPr="00512E73">
              <w:rPr>
                <w:rFonts w:ascii="Times New Roman" w:eastAsia="Calibri" w:hAnsi="Times New Roman" w:cs="Times New Roman"/>
                <w:sz w:val="24"/>
                <w:szCs w:val="24"/>
                <w:lang w:val="sr-Cyrl-RS"/>
              </w:rPr>
              <w:t>6</w:t>
            </w:r>
          </w:p>
        </w:tc>
        <w:tc>
          <w:tcPr>
            <w:tcW w:w="5765" w:type="dxa"/>
            <w:tcBorders>
              <w:top w:val="nil"/>
              <w:left w:val="nil"/>
              <w:bottom w:val="single" w:sz="8" w:space="0" w:color="auto"/>
              <w:right w:val="single" w:sz="8" w:space="0" w:color="auto"/>
            </w:tcBorders>
            <w:tcMar>
              <w:top w:w="0" w:type="dxa"/>
              <w:left w:w="108" w:type="dxa"/>
              <w:bottom w:w="0" w:type="dxa"/>
              <w:right w:w="108" w:type="dxa"/>
            </w:tcMar>
            <w:hideMark/>
          </w:tcPr>
          <w:p w:rsidR="00512E73" w:rsidRPr="00512E73" w:rsidRDefault="00512E73" w:rsidP="00512E73">
            <w:pPr>
              <w:spacing w:before="0" w:after="0" w:line="240" w:lineRule="auto"/>
              <w:jc w:val="center"/>
              <w:rPr>
                <w:rFonts w:ascii="Times New Roman" w:eastAsia="Calibri" w:hAnsi="Times New Roman" w:cs="Times New Roman"/>
                <w:sz w:val="24"/>
                <w:szCs w:val="24"/>
                <w:lang w:val="sr-Cyrl-RS"/>
              </w:rPr>
            </w:pPr>
            <w:r w:rsidRPr="00512E73">
              <w:rPr>
                <w:rFonts w:ascii="Times New Roman" w:eastAsia="Calibri" w:hAnsi="Times New Roman" w:cs="Times New Roman"/>
                <w:sz w:val="24"/>
                <w:szCs w:val="24"/>
                <w:lang w:val="sr-Cyrl-RS"/>
              </w:rPr>
              <w:t>16.6</w:t>
            </w:r>
          </w:p>
        </w:tc>
      </w:tr>
    </w:tbl>
    <w:p w:rsidR="00512E73" w:rsidRPr="00512E73" w:rsidRDefault="00296637" w:rsidP="00512E73">
      <w:pPr>
        <w:ind w:firstLine="708"/>
        <w:jc w:val="center"/>
        <w:rPr>
          <w:rFonts w:ascii="Times New Roman" w:eastAsia="Times New Roman" w:hAnsi="Times New Roman" w:cs="Times New Roman"/>
          <w:sz w:val="18"/>
          <w:szCs w:val="18"/>
          <w:shd w:val="clear" w:color="auto" w:fill="FFFFFF"/>
          <w:lang w:val="sr-Cyrl-RS"/>
        </w:rPr>
      </w:pPr>
      <w:r>
        <w:rPr>
          <w:rFonts w:ascii="Times New Roman" w:eastAsia="Times New Roman" w:hAnsi="Times New Roman" w:cs="Times New Roman"/>
          <w:sz w:val="18"/>
          <w:szCs w:val="18"/>
          <w:shd w:val="clear" w:color="auto" w:fill="FFFFFF"/>
        </w:rPr>
        <w:t>Link of PFM</w:t>
      </w:r>
      <w:r w:rsidR="00512E73" w:rsidRPr="00512E73">
        <w:rPr>
          <w:rFonts w:ascii="Times New Roman" w:eastAsia="Times New Roman" w:hAnsi="Times New Roman" w:cs="Times New Roman"/>
          <w:sz w:val="18"/>
          <w:szCs w:val="18"/>
          <w:shd w:val="clear" w:color="auto" w:fill="FFFFFF"/>
          <w:lang w:val="sr-Cyrl-RS"/>
        </w:rPr>
        <w:t xml:space="preserve"> 2026-2060 </w:t>
      </w:r>
      <w:r>
        <w:rPr>
          <w:rFonts w:ascii="Times New Roman" w:eastAsia="Times New Roman" w:hAnsi="Times New Roman" w:cs="Times New Roman"/>
          <w:sz w:val="18"/>
          <w:szCs w:val="18"/>
          <w:shd w:val="clear" w:color="auto" w:fill="FFFFFF"/>
        </w:rPr>
        <w:t>objectives with objectives of sustainable development goals</w:t>
      </w:r>
      <w:r w:rsidR="003A1A01">
        <w:rPr>
          <w:rStyle w:val="FootnoteReference"/>
          <w:rFonts w:ascii="Times New Roman" w:eastAsia="Times New Roman" w:hAnsi="Times New Roman" w:cs="Times New Roman"/>
          <w:sz w:val="18"/>
          <w:szCs w:val="18"/>
          <w:shd w:val="clear" w:color="auto" w:fill="FFFFFF"/>
          <w:lang w:val="sr-Cyrl-RS"/>
        </w:rPr>
        <w:footnoteReference w:id="2"/>
      </w:r>
    </w:p>
    <w:p w:rsidR="00C83FCD" w:rsidRPr="00B26B4D" w:rsidRDefault="00296637" w:rsidP="00B26B4D">
      <w:pPr>
        <w:pStyle w:val="Heading1"/>
        <w:jc w:val="center"/>
        <w:rPr>
          <w:rFonts w:ascii="Times New Roman" w:hAnsi="Times New Roman" w:cs="Times New Roman"/>
          <w:sz w:val="24"/>
          <w:szCs w:val="24"/>
        </w:rPr>
      </w:pPr>
      <w:r w:rsidRPr="00296637">
        <w:rPr>
          <w:rFonts w:ascii="Times New Roman" w:hAnsi="Times New Roman" w:cs="Times New Roman"/>
          <w:sz w:val="24"/>
          <w:szCs w:val="24"/>
        </w:rPr>
        <w:t>Specific Objective I – Improved Capacities for Budget Planning, Public Investment Management, and Fiscal Risk Monitoring</w:t>
      </w:r>
    </w:p>
    <w:p w:rsidR="00C83FCD" w:rsidRDefault="00C83FCD" w:rsidP="00FF7AA9">
      <w:pPr>
        <w:spacing w:after="0" w:line="240" w:lineRule="auto"/>
        <w:ind w:firstLine="706"/>
        <w:jc w:val="both"/>
        <w:rPr>
          <w:rFonts w:ascii="Times New Roman" w:hAnsi="Times New Roman"/>
          <w:sz w:val="24"/>
          <w:lang w:val="sr-Cyrl-RS"/>
        </w:rPr>
      </w:pPr>
    </w:p>
    <w:p w:rsidR="00F24F33" w:rsidRPr="00F24F33" w:rsidRDefault="007B7688" w:rsidP="004D6DF0">
      <w:pPr>
        <w:spacing w:after="0" w:line="240" w:lineRule="auto"/>
        <w:ind w:firstLine="706"/>
        <w:rPr>
          <w:rFonts w:ascii="Times New Roman" w:hAnsi="Times New Roman" w:cs="Times New Roman"/>
          <w:sz w:val="22"/>
          <w:szCs w:val="22"/>
          <w:lang w:val="sr-Cyrl-RS"/>
        </w:rPr>
      </w:pPr>
      <w:r w:rsidRPr="007B7688">
        <w:rPr>
          <w:rFonts w:ascii="Times New Roman" w:eastAsia="Times New Roman" w:hAnsi="Times New Roman" w:cs="Times New Roman"/>
          <w:b/>
          <w:i/>
          <w:color w:val="365F91"/>
          <w:sz w:val="22"/>
          <w:szCs w:val="22"/>
          <w:lang w:val="sr-Cyrl-RS" w:eastAsia="en-GB"/>
        </w:rPr>
        <w:t>Measure 1.1: Improvement of the Program Budget and the Medium-Term Expenditure Framework</w:t>
      </w:r>
    </w:p>
    <w:p w:rsidR="007B7688" w:rsidRPr="007B7688" w:rsidRDefault="007B7688" w:rsidP="007B7688">
      <w:pPr>
        <w:spacing w:after="0" w:line="240" w:lineRule="auto"/>
        <w:ind w:firstLine="706"/>
        <w:jc w:val="both"/>
        <w:rPr>
          <w:rFonts w:ascii="Times New Roman" w:eastAsia="Calibri" w:hAnsi="Times New Roman" w:cs="Times New Roman"/>
          <w:bCs/>
          <w:sz w:val="24"/>
          <w:szCs w:val="24"/>
          <w:shd w:val="clear" w:color="auto" w:fill="FFFFFF"/>
        </w:rPr>
      </w:pPr>
      <w:r w:rsidRPr="007B7688">
        <w:rPr>
          <w:rFonts w:ascii="Times New Roman" w:eastAsia="Calibri" w:hAnsi="Times New Roman" w:cs="Times New Roman"/>
          <w:bCs/>
          <w:sz w:val="24"/>
          <w:szCs w:val="24"/>
          <w:shd w:val="clear" w:color="auto" w:fill="FFFFFF"/>
        </w:rPr>
        <w:t>Serbia has made satisfactory progress in ensuring the accessibility, timeliness, and reliability of budget information available to the public. The Government of the Republic of Serbia recognizes budget transparency and oversight as key elements of good governance and is systematically implementing measures to further improve this area. According to the latest PEFA report from 2025, greater credibility and comprehensiveness of budget documentation have been recognized. In addition, budget transparency has been enhanced through the introduction of a legal obligation to publish program-related information, as well as through the preparation and publication of an annual report on the performance of budget programs. In 2024, all budget beneficiaries prepared program performance reports, ensuring a high level of quality and structure of information.</w:t>
      </w:r>
    </w:p>
    <w:p w:rsidR="007B7688" w:rsidRPr="007B7688" w:rsidRDefault="007B7688" w:rsidP="007B7688">
      <w:pPr>
        <w:spacing w:after="0" w:line="240" w:lineRule="auto"/>
        <w:ind w:firstLine="706"/>
        <w:jc w:val="both"/>
        <w:rPr>
          <w:rFonts w:ascii="Times New Roman" w:eastAsia="Calibri" w:hAnsi="Times New Roman" w:cs="Times New Roman"/>
          <w:bCs/>
          <w:sz w:val="24"/>
          <w:szCs w:val="24"/>
          <w:shd w:val="clear" w:color="auto" w:fill="FFFFFF"/>
        </w:rPr>
      </w:pPr>
      <w:r w:rsidRPr="007B7688">
        <w:rPr>
          <w:rFonts w:ascii="Times New Roman" w:eastAsia="Calibri" w:hAnsi="Times New Roman" w:cs="Times New Roman"/>
          <w:bCs/>
          <w:sz w:val="24"/>
          <w:szCs w:val="24"/>
          <w:shd w:val="clear" w:color="auto" w:fill="FFFFFF"/>
        </w:rPr>
        <w:t>Within the PFMRP 2026–2030, the introduction of program budgeting in healthcare institutions is planned, which will contribute to improved management and transparency in this sector. The preparation of methodologies and manuals for all levels of government is also envisaged to ensure consistency and efficiency in the application of program budgeting. The improvement of modules for monitoring and evaluating program performance, along with the preparation of a consolidated performance report, will enable better assessment and control of public spending. These activities will strengthen the expenditure projection system and increase budget transparency, which will positively influence Serbia’s ranking in international budget transparency indices.</w:t>
      </w:r>
    </w:p>
    <w:p w:rsidR="005074AB" w:rsidRDefault="005074AB" w:rsidP="00595278">
      <w:pPr>
        <w:spacing w:after="0" w:line="240" w:lineRule="auto"/>
        <w:jc w:val="both"/>
        <w:rPr>
          <w:rFonts w:ascii="Times New Roman" w:eastAsia="Calibri" w:hAnsi="Times New Roman" w:cs="Times New Roman"/>
          <w:bCs/>
          <w:sz w:val="24"/>
          <w:szCs w:val="24"/>
          <w:shd w:val="clear" w:color="auto" w:fill="FFFFFF"/>
        </w:rPr>
      </w:pPr>
    </w:p>
    <w:p w:rsidR="00530C3A" w:rsidRPr="004D6DF0" w:rsidRDefault="007B7688" w:rsidP="004D6DF0">
      <w:pPr>
        <w:spacing w:after="0" w:line="240" w:lineRule="auto"/>
        <w:ind w:firstLine="706"/>
        <w:rPr>
          <w:rFonts w:ascii="Times New Roman" w:eastAsia="Times New Roman" w:hAnsi="Times New Roman" w:cs="Times New Roman"/>
          <w:b/>
          <w:i/>
          <w:color w:val="365F91"/>
          <w:sz w:val="22"/>
          <w:szCs w:val="22"/>
          <w:lang w:val="sr-Cyrl-RS" w:eastAsia="en-GB"/>
        </w:rPr>
      </w:pPr>
      <w:r w:rsidRPr="007B7688">
        <w:rPr>
          <w:rFonts w:ascii="Times New Roman" w:eastAsia="Times New Roman" w:hAnsi="Times New Roman" w:cs="Times New Roman"/>
          <w:b/>
          <w:i/>
          <w:color w:val="365F91"/>
          <w:sz w:val="22"/>
          <w:szCs w:val="22"/>
          <w:lang w:eastAsia="en-GB"/>
        </w:rPr>
        <w:t>Measure 1.2: Strengthening Institutional Capacities and Improving the Methodological Framework for Green Budgeting</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 xml:space="preserve">In Serbia, an initiative for green budgeting has been launched at the national level, aimed at tagging expenditures that are relevant to the environment. This development represents a positive step forward and will be included in future analyses. The methodology </w:t>
      </w:r>
      <w:r w:rsidRPr="007B7688">
        <w:rPr>
          <w:rFonts w:ascii="Times New Roman" w:eastAsia="Times New Roman" w:hAnsi="Times New Roman" w:cs="Times New Roman"/>
          <w:sz w:val="24"/>
          <w:szCs w:val="24"/>
        </w:rPr>
        <w:lastRenderedPageBreak/>
        <w:t>for green budgeting in Serbia is a structured approach that identifies and categorizes budget measures with an impact on the environment and climate. The process includes tagging projects that affect the environment, even if this is not their primary purpose. The methodology has been adapted to Serbia’s specific needs, incorporating elements from the EU reference framework for green budgeting. Serbia has adopted a phased plan for the implementation of this methodology from 2022 to 2026, which includes the development and approval of a roadmap and the integration of the methodology into budget preparation guidelines.</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Following the successful introduction of the green budget in the Budget Law of the Republic of Serbia for 2025, the focus in the coming period will be on strengthening capacities and expanding the green budgeting methodology. This will include organizing workshops for budget analysts to strengthen their capacities for green budgeting and ensure their effective participation in the process. The expansion of the methodology will cover different types of expenditures and levels of government, enabling a more comprehensive approach. The Working Group for Green Budgeting will receive additional support and training to ensure that all members are fully prepared for effective implementation of these activities. Study visits to countries with successful green budgeting practices are also planned to exchange experiences and examples of good practice.</w:t>
      </w:r>
    </w:p>
    <w:p w:rsidR="00530C3A" w:rsidRPr="001F7E43" w:rsidRDefault="00530C3A" w:rsidP="00C83FCD">
      <w:pPr>
        <w:spacing w:after="0" w:line="240" w:lineRule="auto"/>
        <w:ind w:firstLine="706"/>
        <w:jc w:val="both"/>
        <w:rPr>
          <w:rFonts w:ascii="Times New Roman" w:eastAsia="Calibri" w:hAnsi="Times New Roman" w:cs="Times New Roman"/>
          <w:bCs/>
          <w:sz w:val="22"/>
          <w:szCs w:val="22"/>
          <w:shd w:val="clear" w:color="auto" w:fill="FFFFFF"/>
        </w:rPr>
      </w:pPr>
    </w:p>
    <w:p w:rsidR="005074AB" w:rsidRPr="001F7E43" w:rsidRDefault="007B7688"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7B7688">
        <w:rPr>
          <w:rFonts w:ascii="Times New Roman" w:eastAsia="Times New Roman" w:hAnsi="Times New Roman" w:cs="Times New Roman"/>
          <w:b/>
          <w:i/>
          <w:color w:val="365F91"/>
          <w:sz w:val="22"/>
          <w:szCs w:val="22"/>
          <w:lang w:val="sr-Cyrl-RS" w:eastAsia="en-GB"/>
        </w:rPr>
        <w:t>Measure 1.3: Alignment of the Budget Process in the Republic of Serbia with the Budget Process in the European Union</w:t>
      </w:r>
    </w:p>
    <w:p w:rsid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The budget process in the Republic of Serbia has made significant progress over the past decade</w:t>
      </w:r>
      <w:r w:rsidR="00BF153C">
        <w:rPr>
          <w:rFonts w:ascii="Times New Roman" w:eastAsia="Times New Roman" w:hAnsi="Times New Roman" w:cs="Times New Roman"/>
          <w:sz w:val="24"/>
          <w:szCs w:val="24"/>
        </w:rPr>
        <w:t>.</w:t>
      </w:r>
      <w:r w:rsidRPr="007B7688">
        <w:rPr>
          <w:rFonts w:ascii="Times New Roman" w:eastAsia="Times New Roman" w:hAnsi="Times New Roman" w:cs="Times New Roman"/>
          <w:sz w:val="24"/>
          <w:szCs w:val="24"/>
        </w:rPr>
        <w:t xml:space="preserve"> </w:t>
      </w:r>
      <w:r w:rsidR="00BF153C">
        <w:rPr>
          <w:rFonts w:ascii="Times New Roman" w:eastAsia="Times New Roman" w:hAnsi="Times New Roman" w:cs="Times New Roman"/>
          <w:sz w:val="24"/>
          <w:szCs w:val="24"/>
        </w:rPr>
        <w:t>H</w:t>
      </w:r>
      <w:r w:rsidRPr="007B7688">
        <w:rPr>
          <w:rFonts w:ascii="Times New Roman" w:eastAsia="Times New Roman" w:hAnsi="Times New Roman" w:cs="Times New Roman"/>
          <w:sz w:val="24"/>
          <w:szCs w:val="24"/>
        </w:rPr>
        <w:t>owever, further alignment with European Union standards is still needed. This involves not only technical improvements but also institutional and regulatory changes. Currently, the process of budget preparation and execution is characterized by relatively good transparency and efficiency, but there remain areas requiring improvement in order to achieve full compliance with EU practices. According to reports, although budget documentation is comprehensive and provides key fiscal information, there is a need for better integration and application of program budgeting, as well as for strengthening the capacities of budget analysts.</w:t>
      </w:r>
    </w:p>
    <w:p w:rsidR="00BF153C" w:rsidRPr="007B7688" w:rsidRDefault="007B7688" w:rsidP="00BF153C">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In the coming period, the focus will be on a detailed analysis of the existing budget process in Serbia and its alignment with EU processes. Based on this analysis, guidelines will be developed to help direct reforms and adjust procedures. The improvement of budget analysts’ capacities through training and workshops is also planned.</w:t>
      </w:r>
    </w:p>
    <w:p w:rsidR="007B7688" w:rsidRPr="007B7688" w:rsidRDefault="007B7688" w:rsidP="00BF153C">
      <w:pPr>
        <w:spacing w:after="0" w:line="240" w:lineRule="auto"/>
        <w:ind w:firstLine="706"/>
        <w:rPr>
          <w:rFonts w:ascii="Times New Roman" w:eastAsia="Times New Roman" w:hAnsi="Times New Roman" w:cs="Times New Roman"/>
          <w:b/>
          <w:i/>
          <w:color w:val="365F91"/>
          <w:sz w:val="22"/>
          <w:szCs w:val="22"/>
          <w:lang w:val="sr-Cyrl-RS" w:eastAsia="en-GB"/>
        </w:rPr>
      </w:pPr>
      <w:r w:rsidRPr="007B7688">
        <w:rPr>
          <w:rFonts w:ascii="Times New Roman" w:eastAsia="Times New Roman" w:hAnsi="Times New Roman" w:cs="Times New Roman"/>
          <w:b/>
          <w:i/>
          <w:color w:val="365F91"/>
          <w:sz w:val="22"/>
          <w:szCs w:val="22"/>
          <w:lang w:val="sr-Cyrl-RS" w:eastAsia="en-GB"/>
        </w:rPr>
        <w:t>Measure 1.4: Improvement of the Environment for Efficient Management of Capital Projects</w:t>
      </w:r>
    </w:p>
    <w:p w:rsidR="007B7688" w:rsidRPr="007B7688" w:rsidRDefault="007B7688" w:rsidP="00B178F4">
      <w:pPr>
        <w:spacing w:after="0" w:line="240" w:lineRule="auto"/>
        <w:ind w:firstLine="706"/>
        <w:jc w:val="both"/>
        <w:rPr>
          <w:rFonts w:ascii="Times New Roman" w:eastAsia="Times New Roman" w:hAnsi="Times New Roman" w:cs="Times New Roman"/>
          <w:sz w:val="24"/>
          <w:szCs w:val="24"/>
          <w:shd w:val="clear" w:color="auto" w:fill="FFFFFF"/>
        </w:rPr>
      </w:pPr>
      <w:r w:rsidRPr="007B7688">
        <w:rPr>
          <w:rFonts w:ascii="Times New Roman" w:eastAsia="Times New Roman" w:hAnsi="Times New Roman" w:cs="Times New Roman"/>
          <w:sz w:val="24"/>
          <w:szCs w:val="24"/>
          <w:shd w:val="clear" w:color="auto" w:fill="FFFFFF"/>
        </w:rPr>
        <w:t>Capital project management in Serbia has undergone significant changes in recent years, accompanied by continuous efforts to improve the effectiveness and transparency of public spending. Capital projects included in the budget are now subject to evaluation in accordance with the established methodology regulating capital projects. This progress has been supported by training sessions for civil servants from line ministries and other institutions, as well as from autonomous provinces and local self-governments involved in project management. These initiatives have contributed to a better understanding of the processes and to enhanced competencies in managing capital investments.</w:t>
      </w:r>
    </w:p>
    <w:p w:rsidR="007B7688" w:rsidRPr="007B7688" w:rsidRDefault="007B7688" w:rsidP="00B178F4">
      <w:pPr>
        <w:spacing w:after="0" w:line="240" w:lineRule="auto"/>
        <w:ind w:firstLine="706"/>
        <w:jc w:val="both"/>
        <w:rPr>
          <w:rFonts w:ascii="Times New Roman" w:eastAsia="Times New Roman" w:hAnsi="Times New Roman" w:cs="Times New Roman"/>
          <w:sz w:val="24"/>
          <w:szCs w:val="24"/>
          <w:shd w:val="clear" w:color="auto" w:fill="FFFFFF"/>
        </w:rPr>
      </w:pPr>
      <w:r w:rsidRPr="007B7688">
        <w:rPr>
          <w:rFonts w:ascii="Times New Roman" w:eastAsia="Times New Roman" w:hAnsi="Times New Roman" w:cs="Times New Roman"/>
          <w:sz w:val="24"/>
          <w:szCs w:val="24"/>
          <w:shd w:val="clear" w:color="auto" w:fill="FFFFFF"/>
        </w:rPr>
        <w:lastRenderedPageBreak/>
        <w:t>In the coming period, amendments to the legal framework are planned to address the weaknesses identified in practice. This includes improving and standardizing public reporting on the status of capital projects, in line with the adopted methodology. To ensure the application of good international practices, study visits and workshops are planned to facilitate the exchange of experiences and knowledge with other countries. In addition, the preparation of a manual on the methodology for capital projects will provide further support for the implementation of standardized approaches. These activities aim to strengthen institutional capacities and increase transparency and efficiency in the management of capital projects.</w:t>
      </w:r>
    </w:p>
    <w:p w:rsidR="007B7688" w:rsidRDefault="007B7688" w:rsidP="001F7E43">
      <w:pPr>
        <w:spacing w:after="0" w:line="240" w:lineRule="auto"/>
        <w:ind w:firstLine="706"/>
        <w:rPr>
          <w:rFonts w:ascii="Times New Roman" w:eastAsia="Times New Roman" w:hAnsi="Times New Roman" w:cs="Times New Roman"/>
          <w:sz w:val="24"/>
          <w:szCs w:val="24"/>
          <w:shd w:val="clear" w:color="auto" w:fill="FFFFFF"/>
          <w:lang w:val="sr-Cyrl-RS"/>
        </w:rPr>
      </w:pPr>
    </w:p>
    <w:p w:rsidR="00CC3A5E" w:rsidRPr="009152CD" w:rsidRDefault="007B7688" w:rsidP="007B7688">
      <w:pPr>
        <w:spacing w:after="0"/>
        <w:ind w:firstLine="706"/>
        <w:rPr>
          <w:rFonts w:ascii="Times New Roman" w:hAnsi="Times New Roman" w:cs="Times New Roman"/>
          <w:b/>
          <w:i/>
          <w:color w:val="365F91"/>
          <w:sz w:val="22"/>
          <w:szCs w:val="22"/>
          <w:lang w:val="en-GB"/>
        </w:rPr>
      </w:pPr>
      <w:r w:rsidRPr="009152CD">
        <w:rPr>
          <w:rFonts w:ascii="Times New Roman" w:hAnsi="Times New Roman" w:cs="Times New Roman"/>
          <w:b/>
          <w:i/>
          <w:color w:val="365F91"/>
          <w:sz w:val="22"/>
          <w:szCs w:val="22"/>
          <w:lang w:val="en-GB"/>
        </w:rPr>
        <w:t>Measure 1.5: Strengthening the Capacities of the Fiscal Risk Monitoring Department</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The integration of the Fiscal Risk Monitoring Unit within the Budget Department of the Ministry of Finance represents an important step toward strengthening coordination and improving activities in the area of fiscal risk management. This integration has enhanced the connection between risk monitoring, budget planning, and budget execution, contributing to a more comprehensive and efficient approach to managing public finances.</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So far, reporting on fiscal risks within the Fiscal Strategy has been improved, increasing transparency and raising awareness of potential challenges in this area. The Fiscal Risk Monitoring Department continues to develop a unified methodology for fiscal risk monitoring, with the aim of introducing standardized indicators and risk metrics, aligning reporting with the budget cycle, and improving data quality to ensure more comprehensive and reliable fiscal risk monitoring.</w:t>
      </w:r>
    </w:p>
    <w:p w:rsidR="007B7688" w:rsidRPr="004D6DF0" w:rsidRDefault="007B7688" w:rsidP="004D6DF0">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In the coming period, further improvement and standardization of fiscal risk reporting are planned, as well as a revision of the existing methodology for monitoring fiscal risks related to the operations of state-owned enterprises and local self-government units. In addition, new methodologies will be developed to link budgetary reserves with quantified risk indicators and to establish a system for monitoring fiscal risks</w:t>
      </w:r>
      <w:r w:rsidR="004D6DF0">
        <w:rPr>
          <w:rFonts w:ascii="Times New Roman" w:eastAsia="Times New Roman" w:hAnsi="Times New Roman" w:cs="Times New Roman"/>
          <w:sz w:val="24"/>
          <w:szCs w:val="24"/>
        </w:rPr>
        <w:t xml:space="preserve"> arising from climate change.</w:t>
      </w:r>
    </w:p>
    <w:p w:rsidR="003E48BA" w:rsidRPr="004D6DF0" w:rsidRDefault="007B7688" w:rsidP="004D6DF0">
      <w:pPr>
        <w:spacing w:after="0" w:line="240" w:lineRule="auto"/>
        <w:ind w:firstLine="706"/>
        <w:rPr>
          <w:rFonts w:ascii="Times New Roman" w:eastAsia="Times New Roman" w:hAnsi="Times New Roman" w:cs="Times New Roman"/>
          <w:b/>
          <w:i/>
          <w:color w:val="365F91"/>
          <w:sz w:val="22"/>
          <w:szCs w:val="22"/>
          <w:lang w:val="sr-Cyrl-RS" w:eastAsia="en-GB"/>
        </w:rPr>
      </w:pPr>
      <w:r w:rsidRPr="007B7688">
        <w:rPr>
          <w:rFonts w:ascii="Times New Roman" w:eastAsia="Times New Roman" w:hAnsi="Times New Roman" w:cs="Times New Roman"/>
          <w:b/>
          <w:i/>
          <w:color w:val="365F91"/>
          <w:sz w:val="22"/>
          <w:szCs w:val="22"/>
          <w:lang w:eastAsia="en-GB"/>
        </w:rPr>
        <w:t>Measure 1.6: Establishment of the European Union Own Resources System</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The Republic of Serbia has achieved significant, though still incomplete, progress within the context of Chapter 33. The effective functioning of this system requires the development of administrative infrastructure, clearly defined institutional roles, and adequate IT and human capacities for the accurate calculation, collection, control, and reporting of the European Union’s own resources. Within the Ministry of Finance, a Coordination and Management Group for EU Own Resources has been established as the body responsible for the overall process.</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 xml:space="preserve">Legislation in the area of Traditional Own Resources (TOR) is largely aligned with EU rules, including the technical and administrative aspects of customs collection, although reporting is still not fully electronic. National accounts for the purposes of GNI-based resources are aligned with the ESA 2010 standard, but it remains necessary to improve the quality and completeness of data for all required reports. Data for the calculation of VAT-based resources are now available through the Supply and Use Tables, allowing for the calculation of the weighted average VAT rate and the VAT base. A draft Action Plan for the implementation of Chapter 33 is being prepared, and since the chapter’s opening in 2018, initial trainings, </w:t>
      </w:r>
      <w:r w:rsidRPr="007B7688">
        <w:rPr>
          <w:rFonts w:ascii="Times New Roman" w:eastAsia="Times New Roman" w:hAnsi="Times New Roman" w:cs="Times New Roman"/>
          <w:sz w:val="24"/>
          <w:szCs w:val="24"/>
        </w:rPr>
        <w:lastRenderedPageBreak/>
        <w:t>workshops, and study visits have been organized to exchange experience with EU member states. The IT infrastructure and procedures for data collection and control have been partially developed, but not all operational and administrative mechanisms needed for the full readiness of the system have yet been established.</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The Republic of Serbia needs to establish a fully functional and operational system for the calculation, collection, control, planning, and reporting of all categories of own resources in accordance with EU standards. This entails developing complete administrative capacities in all involved institutions, clearly defining roles and responsibilities, establishing operational and procedural links between institutions, and improving IT systems and databases.</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For Traditional Own Resources (TOR), it is necessary to implement an electronic reporting system and harmonize calculation accounts (A and B), or begin full-scale simulations of these accounts in line with EU methodology. For VAT-based resources, Serbia should continue developing the Supply and Use Tables, ensure accurate calculation and reporting of the weighted average VAT rate and VAT base, begin simulations of calculations and projections, and align legislation and IT infrastructure.</w:t>
      </w:r>
    </w:p>
    <w:p w:rsidR="007B7688" w:rsidRPr="007B7688" w:rsidRDefault="007B7688"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GNI-based resources require harmonized methodologies, databases, and estimates, while institutions must have the capacity for precise forecasting and reporting. For resources based on non-recycled plastic packaging waste, a system must be established with accurate methodologies, projections, and reporting in accordance with Chapters 27 and 33.</w:t>
      </w:r>
    </w:p>
    <w:p w:rsidR="00E45240" w:rsidRPr="004D6DF0" w:rsidRDefault="007B7688" w:rsidP="004D6DF0">
      <w:pPr>
        <w:spacing w:beforeAutospacing="1" w:after="100" w:afterAutospacing="1" w:line="240" w:lineRule="auto"/>
        <w:ind w:firstLine="706"/>
        <w:jc w:val="both"/>
        <w:rPr>
          <w:rFonts w:ascii="Times New Roman" w:eastAsia="Times New Roman" w:hAnsi="Times New Roman" w:cs="Times New Roman"/>
          <w:sz w:val="24"/>
          <w:szCs w:val="24"/>
        </w:rPr>
      </w:pPr>
      <w:r w:rsidRPr="007B7688">
        <w:rPr>
          <w:rFonts w:ascii="Times New Roman" w:eastAsia="Times New Roman" w:hAnsi="Times New Roman" w:cs="Times New Roman"/>
          <w:sz w:val="24"/>
          <w:szCs w:val="24"/>
        </w:rPr>
        <w:t>In addition, it is essential to conduct comprehensive training sessions, workshops, and study visits to transfer best practices from EU institutions and member states, adopt an Action Plan with clear deadlines, and ensure effective coordination and communication among all competent institutions and the European Commission—including initial and regular EC missions—so that the system becomes fully operational within the timeframe foreseen for implementation, i.e., by the time of Serbia’s a</w:t>
      </w:r>
      <w:r w:rsidR="004D6DF0">
        <w:rPr>
          <w:rFonts w:ascii="Times New Roman" w:eastAsia="Times New Roman" w:hAnsi="Times New Roman" w:cs="Times New Roman"/>
          <w:sz w:val="24"/>
          <w:szCs w:val="24"/>
        </w:rPr>
        <w:t>ccession to the European Union.</w:t>
      </w:r>
    </w:p>
    <w:p w:rsidR="003E48BA" w:rsidRPr="001F7E43" w:rsidRDefault="006952CB"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6952CB">
        <w:rPr>
          <w:rFonts w:ascii="Times New Roman" w:eastAsia="Times New Roman" w:hAnsi="Times New Roman" w:cs="Times New Roman"/>
          <w:b/>
          <w:i/>
          <w:color w:val="365F91"/>
          <w:sz w:val="22"/>
          <w:szCs w:val="22"/>
          <w:lang w:eastAsia="en-GB"/>
        </w:rPr>
        <w:t>Measure 1.7: Improvement of Medium-Term Planning</w:t>
      </w:r>
    </w:p>
    <w:p w:rsidR="002C00AF" w:rsidRPr="002C00AF" w:rsidRDefault="002C00AF" w:rsidP="00055E14">
      <w:pPr>
        <w:spacing w:after="0" w:line="240" w:lineRule="auto"/>
        <w:jc w:val="both"/>
        <w:rPr>
          <w:rFonts w:ascii="Calibri" w:eastAsia="Times New Roman" w:hAnsi="Calibri" w:cs="Calibri"/>
          <w:b/>
          <w:i/>
          <w:color w:val="2E74B5" w:themeColor="accent1" w:themeShade="BF"/>
          <w:lang w:eastAsia="en-GB"/>
        </w:rPr>
      </w:pPr>
    </w:p>
    <w:p w:rsidR="006952CB" w:rsidRPr="006952CB" w:rsidRDefault="006952CB" w:rsidP="006952CB">
      <w:pPr>
        <w:spacing w:after="0" w:line="240" w:lineRule="auto"/>
        <w:jc w:val="both"/>
        <w:rPr>
          <w:rFonts w:ascii="Times New Roman" w:hAnsi="Times New Roman" w:cs="Times New Roman"/>
          <w:sz w:val="24"/>
          <w:szCs w:val="24"/>
        </w:rPr>
      </w:pPr>
      <w:r w:rsidRPr="006952CB">
        <w:rPr>
          <w:rFonts w:ascii="Times New Roman" w:hAnsi="Times New Roman" w:cs="Times New Roman"/>
          <w:sz w:val="24"/>
          <w:szCs w:val="24"/>
        </w:rPr>
        <w:t>Since the introduction of the obligation to prepare medium-term plans through the adoption of the Law on the Planning System and the Decree on the Preparation of Medium-Term Plans, continuous progress has been achieved over the years. From the initial four medium-term plans adopted for the 2020–2022 planning period, the number has increased to 29 for the 2025–2027 period, while a total of 34 institutions have so far prepared at least one medium-term plan. The preparation of annual reports on the implementation of medium-term plans has also improved, with 26 institutions publishing their reports for 2024.</w:t>
      </w:r>
    </w:p>
    <w:p w:rsidR="006952CB" w:rsidRPr="006952CB" w:rsidRDefault="006952CB" w:rsidP="006952CB">
      <w:pPr>
        <w:spacing w:after="0" w:line="240" w:lineRule="auto"/>
        <w:jc w:val="both"/>
        <w:rPr>
          <w:rFonts w:ascii="Times New Roman" w:hAnsi="Times New Roman" w:cs="Times New Roman"/>
          <w:sz w:val="24"/>
          <w:szCs w:val="24"/>
        </w:rPr>
      </w:pPr>
      <w:r w:rsidRPr="006952CB">
        <w:rPr>
          <w:rFonts w:ascii="Times New Roman" w:hAnsi="Times New Roman" w:cs="Times New Roman"/>
          <w:sz w:val="24"/>
          <w:szCs w:val="24"/>
        </w:rPr>
        <w:t xml:space="preserve">Medium-term plans, as the main management documents of institutions, link commitments arising from public policy documents and the National Programme for the Adoption of the Acquis (NPAA), integrate government priorities from the Action Plan for the Implementation of the Government Programme, and include each institution’s own development plans. Given that some obligated institutions have still not prepared a single medium-term plan, and that institutional changes pose risks to maintaining the continuity of annual planning cycles—and considering the PEFA recommendations emphasizing the need to improve the quality of medium-term plans by better aligning them with the structure of annual budgets—continued </w:t>
      </w:r>
      <w:r w:rsidRPr="006952CB">
        <w:rPr>
          <w:rFonts w:ascii="Times New Roman" w:hAnsi="Times New Roman" w:cs="Times New Roman"/>
          <w:sz w:val="24"/>
          <w:szCs w:val="24"/>
        </w:rPr>
        <w:lastRenderedPageBreak/>
        <w:t>methodological and technical support will be provided to institutions obligated to prepare medium-term plans in order to improve the effectiveness of this reform.</w:t>
      </w:r>
    </w:p>
    <w:p w:rsidR="006952CB" w:rsidRPr="006952CB" w:rsidRDefault="006952CB" w:rsidP="006952CB">
      <w:pPr>
        <w:spacing w:after="0" w:line="240" w:lineRule="auto"/>
        <w:jc w:val="both"/>
        <w:rPr>
          <w:rFonts w:ascii="Times New Roman" w:hAnsi="Times New Roman" w:cs="Times New Roman"/>
          <w:sz w:val="24"/>
          <w:szCs w:val="24"/>
        </w:rPr>
      </w:pPr>
      <w:r w:rsidRPr="006952CB">
        <w:rPr>
          <w:rFonts w:ascii="Times New Roman" w:hAnsi="Times New Roman" w:cs="Times New Roman"/>
          <w:sz w:val="24"/>
          <w:szCs w:val="24"/>
        </w:rPr>
        <w:t>The public administration body responsible for coordinating public policies will continue to provide support to these institutions through direct mentoring and training to strengthen their capacities in medium-term planning. This will include training programs organized by the National Academy for Public Administration (NAPA) on medium-term planning and the use of the Unified Information System for Public Policy Management (JIS).</w:t>
      </w:r>
    </w:p>
    <w:p w:rsidR="006952CB" w:rsidRPr="006952CB" w:rsidRDefault="006952CB" w:rsidP="006952CB">
      <w:pPr>
        <w:spacing w:after="0" w:line="240" w:lineRule="auto"/>
        <w:jc w:val="both"/>
        <w:rPr>
          <w:rFonts w:ascii="Times New Roman" w:hAnsi="Times New Roman" w:cs="Times New Roman"/>
          <w:sz w:val="24"/>
          <w:szCs w:val="24"/>
        </w:rPr>
      </w:pPr>
      <w:r w:rsidRPr="006952CB">
        <w:rPr>
          <w:rFonts w:ascii="Times New Roman" w:hAnsi="Times New Roman" w:cs="Times New Roman"/>
          <w:sz w:val="24"/>
          <w:szCs w:val="24"/>
        </w:rPr>
        <w:t>As a result of this measure, a gradual increase is expected in the number of institutions that consistently prepare their medium-term plans, as well as an improvement in the quality of these plans, particularly in terms of aligning public policy objectives with fiscal and budgetary constraints defined by the budget, the fiscal strategy, and the medium-term expenditure framework.</w:t>
      </w:r>
    </w:p>
    <w:p w:rsidR="001A0DC8" w:rsidRDefault="001A0DC8" w:rsidP="00055E14">
      <w:pPr>
        <w:spacing w:after="0" w:line="240" w:lineRule="auto"/>
        <w:jc w:val="both"/>
        <w:rPr>
          <w:rFonts w:ascii="Times New Roman" w:hAnsi="Times New Roman" w:cs="Times New Roman"/>
          <w:sz w:val="24"/>
          <w:szCs w:val="24"/>
          <w:lang w:val="sr-Cyrl-RS"/>
        </w:rPr>
      </w:pPr>
    </w:p>
    <w:p w:rsidR="009B345C" w:rsidRPr="00B26B4D" w:rsidRDefault="00544942" w:rsidP="00544942">
      <w:pPr>
        <w:pStyle w:val="Heading1"/>
        <w:jc w:val="center"/>
        <w:rPr>
          <w:rFonts w:ascii="Times New Roman" w:hAnsi="Times New Roman" w:cs="Times New Roman"/>
          <w:sz w:val="24"/>
          <w:szCs w:val="24"/>
        </w:rPr>
      </w:pPr>
      <w:r w:rsidRPr="00544942">
        <w:rPr>
          <w:rFonts w:ascii="Times New Roman" w:hAnsi="Times New Roman" w:cs="Times New Roman"/>
          <w:sz w:val="24"/>
          <w:szCs w:val="24"/>
        </w:rPr>
        <w:t>Specific Objective II: Efficient Collection and Management of Budgetary Resources</w:t>
      </w:r>
    </w:p>
    <w:p w:rsidR="00EE3D4D" w:rsidRDefault="00EE3D4D" w:rsidP="00E810A2">
      <w:pPr>
        <w:spacing w:after="0" w:line="240" w:lineRule="auto"/>
        <w:ind w:firstLine="706"/>
        <w:rPr>
          <w:rFonts w:ascii="Times New Roman" w:eastAsia="Times New Roman" w:hAnsi="Times New Roman" w:cs="Times New Roman"/>
          <w:b/>
          <w:i/>
          <w:color w:val="365F91"/>
          <w:sz w:val="22"/>
          <w:szCs w:val="22"/>
          <w:lang w:val="sr-Cyrl-RS" w:eastAsia="en-GB"/>
        </w:rPr>
      </w:pPr>
    </w:p>
    <w:p w:rsidR="00544942" w:rsidRPr="009152CD" w:rsidRDefault="00544942" w:rsidP="00544942">
      <w:pPr>
        <w:spacing w:after="0"/>
        <w:ind w:firstLine="706"/>
        <w:rPr>
          <w:rFonts w:ascii="Times New Roman" w:hAnsi="Times New Roman" w:cs="Times New Roman"/>
          <w:b/>
          <w:i/>
          <w:color w:val="365F91"/>
          <w:sz w:val="22"/>
          <w:szCs w:val="22"/>
          <w:lang w:val="en-GB"/>
        </w:rPr>
      </w:pPr>
      <w:r w:rsidRPr="009152CD">
        <w:rPr>
          <w:rFonts w:ascii="Times New Roman" w:hAnsi="Times New Roman" w:cs="Times New Roman"/>
          <w:b/>
          <w:i/>
          <w:color w:val="365F91"/>
          <w:sz w:val="22"/>
          <w:szCs w:val="22"/>
          <w:lang w:val="en-GB"/>
        </w:rPr>
        <w:t>Measure 2.1: Efficient Collection of Budget Revenues under the Jurisdiction of the Tax Administration</w:t>
      </w:r>
    </w:p>
    <w:p w:rsidR="0084691E" w:rsidRPr="0084691E" w:rsidRDefault="0084691E" w:rsidP="0084691E">
      <w:pPr>
        <w:spacing w:beforeAutospacing="1" w:after="100" w:afterAutospacing="1" w:line="240" w:lineRule="auto"/>
        <w:ind w:firstLine="706"/>
        <w:jc w:val="both"/>
        <w:rPr>
          <w:rFonts w:ascii="Times New Roman" w:eastAsia="Times New Roman" w:hAnsi="Times New Roman" w:cs="Times New Roman"/>
          <w:sz w:val="24"/>
          <w:szCs w:val="24"/>
        </w:rPr>
      </w:pPr>
      <w:r w:rsidRPr="0084691E">
        <w:rPr>
          <w:rFonts w:ascii="Times New Roman" w:eastAsia="Times New Roman" w:hAnsi="Times New Roman" w:cs="Times New Roman"/>
          <w:sz w:val="24"/>
          <w:szCs w:val="24"/>
        </w:rPr>
        <w:t>The strategic objectives of the Tax Administration Transformation Program 2021–2025 have led to increased efficiency in tax collection and a reduced compliance burden for taxpayers. During the previous period, an analysis of the current situation was carried out, primarily in the segment of the existing tax business model, as well as an assessment of the human resources management function, including an analysis of the existing concept of the tax officials’ training system. Based on the results of this analysis and the recommendations of international organizations—primarily the IMF—a new Tax Business Model was developed, along with the corresponding Human Resource Management Strategy 2023–2028.</w:t>
      </w:r>
    </w:p>
    <w:p w:rsidR="0084691E" w:rsidRPr="0084691E" w:rsidRDefault="0084691E" w:rsidP="0084691E">
      <w:pPr>
        <w:spacing w:beforeAutospacing="1" w:after="100" w:afterAutospacing="1" w:line="240" w:lineRule="auto"/>
        <w:ind w:firstLine="706"/>
        <w:jc w:val="both"/>
        <w:rPr>
          <w:rFonts w:ascii="Times New Roman" w:eastAsia="Times New Roman" w:hAnsi="Times New Roman" w:cs="Times New Roman"/>
          <w:sz w:val="24"/>
          <w:szCs w:val="24"/>
        </w:rPr>
      </w:pPr>
      <w:r w:rsidRPr="0084691E">
        <w:rPr>
          <w:rFonts w:ascii="Times New Roman" w:eastAsia="Times New Roman" w:hAnsi="Times New Roman" w:cs="Times New Roman"/>
          <w:sz w:val="24"/>
          <w:szCs w:val="24"/>
        </w:rPr>
        <w:t>In brief, the design of the future business model and the roadmap for changes leading to the full implementation of the commercial off-the-shelf Integrated Tax Management System (COTS-ITMS) were defined. This integrated IT solution represents the core tool for the functioning of the new business model.</w:t>
      </w:r>
    </w:p>
    <w:p w:rsidR="0084691E" w:rsidRPr="0084691E" w:rsidRDefault="0084691E" w:rsidP="0084691E">
      <w:pPr>
        <w:spacing w:beforeAutospacing="1" w:after="100" w:afterAutospacing="1" w:line="240" w:lineRule="auto"/>
        <w:ind w:firstLine="706"/>
        <w:jc w:val="both"/>
        <w:rPr>
          <w:rFonts w:ascii="Times New Roman" w:eastAsia="Times New Roman" w:hAnsi="Times New Roman" w:cs="Times New Roman"/>
          <w:sz w:val="24"/>
          <w:szCs w:val="24"/>
        </w:rPr>
      </w:pPr>
      <w:r w:rsidRPr="0084691E">
        <w:rPr>
          <w:rFonts w:ascii="Times New Roman" w:eastAsia="Times New Roman" w:hAnsi="Times New Roman" w:cs="Times New Roman"/>
          <w:sz w:val="24"/>
          <w:szCs w:val="24"/>
        </w:rPr>
        <w:t>In implementing the Government of Serbia’s fiscal policy, the Tax Administration, together with the Ministry of Finance, introduced the new fiscalization system and participated in the implementation of the e-invoicing system. These initiatives form the infrastructural foundation for introducing the pre-filled VAT return—one of the key measures for reducing the shadow economy and narrowing the VAT gap. Additionally, a project was launched to strengthen the legislative and institutional framework and the capacities of the Ministry of Finance and the Tax Administration to meet the EU pre-accession requirements for developing the VAT Information Exchange System (VIES).</w:t>
      </w:r>
    </w:p>
    <w:p w:rsidR="0084691E" w:rsidRPr="0084691E" w:rsidRDefault="0084691E" w:rsidP="0084691E">
      <w:pPr>
        <w:spacing w:beforeAutospacing="1" w:after="100" w:afterAutospacing="1" w:line="240" w:lineRule="auto"/>
        <w:ind w:firstLine="706"/>
        <w:jc w:val="both"/>
        <w:rPr>
          <w:rFonts w:ascii="Times New Roman" w:eastAsia="Times New Roman" w:hAnsi="Times New Roman" w:cs="Times New Roman"/>
          <w:sz w:val="24"/>
          <w:szCs w:val="24"/>
        </w:rPr>
      </w:pPr>
      <w:r w:rsidRPr="0084691E">
        <w:rPr>
          <w:rFonts w:ascii="Times New Roman" w:eastAsia="Times New Roman" w:hAnsi="Times New Roman" w:cs="Times New Roman"/>
          <w:sz w:val="24"/>
          <w:szCs w:val="24"/>
        </w:rPr>
        <w:t xml:space="preserve">The results achieved in previous years created the conditions for the start of COTS-ITMS implementation. Through a public procurement procedure, the contractor </w:t>
      </w:r>
      <w:r w:rsidRPr="0084691E">
        <w:rPr>
          <w:rFonts w:ascii="Times New Roman" w:eastAsia="Times New Roman" w:hAnsi="Times New Roman" w:cs="Times New Roman"/>
          <w:bCs/>
          <w:sz w:val="24"/>
          <w:szCs w:val="24"/>
        </w:rPr>
        <w:t>Fast Enterprises LLC</w:t>
      </w:r>
      <w:r w:rsidRPr="0084691E">
        <w:rPr>
          <w:rFonts w:ascii="Times New Roman" w:eastAsia="Times New Roman" w:hAnsi="Times New Roman" w:cs="Times New Roman"/>
          <w:sz w:val="24"/>
          <w:szCs w:val="24"/>
        </w:rPr>
        <w:t xml:space="preserve"> was selected in 2025. The implementation of COTS-ITMS will establish the business and infrastructure conditions necessary to improve the efficiency of tax collection and </w:t>
      </w:r>
      <w:r w:rsidRPr="0084691E">
        <w:rPr>
          <w:rFonts w:ascii="Times New Roman" w:eastAsia="Times New Roman" w:hAnsi="Times New Roman" w:cs="Times New Roman"/>
          <w:sz w:val="24"/>
          <w:szCs w:val="24"/>
        </w:rPr>
        <w:lastRenderedPageBreak/>
        <w:t>reduce taxpayers’ compliance burden through a more effective and fully digitalized service system. By the end of 2028, the complete implementation of the IT infrastructure is expected, forming the foundation for the realization of most elements of the new business model.</w:t>
      </w:r>
    </w:p>
    <w:p w:rsidR="0084691E" w:rsidRPr="0084691E" w:rsidRDefault="0084691E" w:rsidP="0084691E">
      <w:pPr>
        <w:spacing w:beforeAutospacing="1" w:after="100" w:afterAutospacing="1" w:line="240" w:lineRule="auto"/>
        <w:ind w:firstLine="706"/>
        <w:jc w:val="both"/>
        <w:rPr>
          <w:rFonts w:ascii="Times New Roman" w:eastAsia="Times New Roman" w:hAnsi="Times New Roman" w:cs="Times New Roman"/>
          <w:sz w:val="24"/>
          <w:szCs w:val="24"/>
        </w:rPr>
      </w:pPr>
      <w:r w:rsidRPr="0084691E">
        <w:rPr>
          <w:rFonts w:ascii="Times New Roman" w:eastAsia="Times New Roman" w:hAnsi="Times New Roman" w:cs="Times New Roman"/>
          <w:sz w:val="24"/>
          <w:szCs w:val="24"/>
        </w:rPr>
        <w:t>Alongside these activities, further improvement of the human resource management function will continue, with special emphasis on strengthening and enhancing the training system for tax officials. This will ensure that employees acquire the new knowledge and skills required to implement and operate the new Tax Administration business model. Work will also continue on achieving full harmonization of the national legal framework with the EU acquis and international standards on information exchange (EU and Global Forum).</w:t>
      </w:r>
    </w:p>
    <w:p w:rsidR="00E810A2" w:rsidRPr="001F7E43" w:rsidRDefault="00E810A2" w:rsidP="0084691E">
      <w:pPr>
        <w:spacing w:after="0" w:line="240" w:lineRule="auto"/>
        <w:rPr>
          <w:rFonts w:ascii="Times New Roman" w:eastAsia="Times New Roman" w:hAnsi="Times New Roman" w:cs="Times New Roman"/>
          <w:b/>
          <w:i/>
          <w:color w:val="365F91"/>
          <w:sz w:val="22"/>
          <w:szCs w:val="22"/>
          <w:lang w:val="sr-Cyrl-RS" w:eastAsia="en-GB"/>
        </w:rPr>
      </w:pPr>
    </w:p>
    <w:p w:rsidR="00E810A2" w:rsidRPr="001F7E43" w:rsidRDefault="005679EE" w:rsidP="00E810A2">
      <w:pPr>
        <w:spacing w:after="0" w:line="240" w:lineRule="auto"/>
        <w:ind w:firstLine="706"/>
        <w:rPr>
          <w:rFonts w:ascii="Times New Roman" w:eastAsia="Times New Roman" w:hAnsi="Times New Roman" w:cs="Times New Roman"/>
          <w:b/>
          <w:i/>
          <w:color w:val="365F91"/>
          <w:sz w:val="22"/>
          <w:szCs w:val="22"/>
          <w:lang w:val="sr-Cyrl-RS" w:eastAsia="en-GB"/>
        </w:rPr>
      </w:pPr>
      <w:r w:rsidRPr="005679EE">
        <w:rPr>
          <w:rFonts w:ascii="Times New Roman" w:eastAsia="Times New Roman" w:hAnsi="Times New Roman" w:cs="Times New Roman"/>
          <w:b/>
          <w:i/>
          <w:color w:val="365F91"/>
          <w:sz w:val="22"/>
          <w:szCs w:val="22"/>
          <w:lang w:eastAsia="en-GB"/>
        </w:rPr>
        <w:t>Measure 2.2: Reduction of Administrative Burden and Improvement of the Efficiency of Electronic Service Delivery</w:t>
      </w:r>
    </w:p>
    <w:p w:rsidR="00695981" w:rsidRPr="00695981" w:rsidRDefault="00695981"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The Tobacco Administration continues its activities to improve the quality of services provided to business entities operating in the tobacco, tobacco products, and related products market. To enhance the efficiency and transparency of collecting reports from producers of tobacco products, wholesale and retail traders, importers and exporters of tobacco, processed tobacco, reconstituted tobacco, or tobacco products, as well as producers and importers of related products, the Tobacco Administration has established a Portal for the submission of business entity reports. The portal will enable electronic submission of reports and the automated collection and processing of data.</w:t>
      </w:r>
    </w:p>
    <w:p w:rsidR="00695981" w:rsidRPr="00695981" w:rsidRDefault="00695981"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Before the establishment of the portal, reports were submitted in paper form or via email, which required manual processing and verification of data.</w:t>
      </w:r>
    </w:p>
    <w:p w:rsidR="00695981" w:rsidRPr="00B178F4" w:rsidRDefault="00695981" w:rsidP="00B178F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 xml:space="preserve">In 2026, all business entities will be required to submit their quarterly, semi-annual, and annual reports exclusively through the electronic portal. Given the large number of business entities operating in the tobacco, tobacco products, and related products market (around 9,000), training sessions and technical support are planned during 2026 and 2027 to ensure full implementation of the system and achieve maximum compliance by the end of 2027, with the goal of significantly reducing the administrative burden and improving the </w:t>
      </w:r>
      <w:r w:rsidR="00B178F4">
        <w:rPr>
          <w:rFonts w:ascii="Times New Roman" w:eastAsia="Times New Roman" w:hAnsi="Times New Roman" w:cs="Times New Roman"/>
          <w:sz w:val="24"/>
          <w:szCs w:val="24"/>
        </w:rPr>
        <w:t>efficiency of service delivery.</w:t>
      </w:r>
    </w:p>
    <w:p w:rsidR="00E810A2" w:rsidRPr="009152CD" w:rsidRDefault="00695981" w:rsidP="00B178F4">
      <w:pPr>
        <w:spacing w:after="0"/>
        <w:ind w:firstLine="706"/>
        <w:rPr>
          <w:rFonts w:ascii="Times New Roman" w:hAnsi="Times New Roman" w:cs="Times New Roman"/>
          <w:b/>
          <w:i/>
          <w:color w:val="365F91"/>
          <w:sz w:val="22"/>
          <w:szCs w:val="22"/>
          <w:lang w:val="en-GB"/>
        </w:rPr>
      </w:pPr>
      <w:r w:rsidRPr="009152CD">
        <w:rPr>
          <w:rFonts w:ascii="Times New Roman" w:hAnsi="Times New Roman" w:cs="Times New Roman"/>
          <w:b/>
          <w:i/>
          <w:color w:val="365F91"/>
          <w:sz w:val="22"/>
          <w:szCs w:val="22"/>
          <w:lang w:val="en-GB"/>
        </w:rPr>
        <w:t>Measure 2.3: Strengthening the Administrative Capacitie</w:t>
      </w:r>
      <w:r w:rsidR="00B178F4" w:rsidRPr="009152CD">
        <w:rPr>
          <w:rFonts w:ascii="Times New Roman" w:hAnsi="Times New Roman" w:cs="Times New Roman"/>
          <w:b/>
          <w:i/>
          <w:color w:val="365F91"/>
          <w:sz w:val="22"/>
          <w:szCs w:val="22"/>
          <w:lang w:val="en-GB"/>
        </w:rPr>
        <w:t>s of the Customs Administration</w:t>
      </w:r>
    </w:p>
    <w:p w:rsidR="00695981" w:rsidRPr="00695981" w:rsidRDefault="00695981" w:rsidP="008E4B1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The Customs Administration of Serbia has achieved significant progress in the digitalization and modernization of customs procedures. Since January 25, 2015, the New Computerized Transit System (NCTS) has been in use, representing the first electronic, paperless customs procedure in the country. This system was upgraded to Phase 5, which has improved security and efficiency in the transport of goods. The upgraded system has been in operation since January 2024, and a further enhancement is expected in May 2026, which will include specific data requirements on safety within transit declarations for goods directed toward the EU, Norway, Switzerland, and Northern Ireland.</w:t>
      </w:r>
    </w:p>
    <w:p w:rsidR="00695981" w:rsidRPr="00695981" w:rsidRDefault="00695981" w:rsidP="008E4B1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 xml:space="preserve">Given that the Customs Administration is currently establishing automated systems with EU pre-accession assistance (implementation of the Automated Import System (AIS), Automated Export System (AES), and Customs Decision System (CDS) under IPA 2020), this </w:t>
      </w:r>
      <w:r w:rsidRPr="00695981">
        <w:rPr>
          <w:rFonts w:ascii="Times New Roman" w:eastAsia="Times New Roman" w:hAnsi="Times New Roman" w:cs="Times New Roman"/>
          <w:sz w:val="24"/>
          <w:szCs w:val="24"/>
        </w:rPr>
        <w:lastRenderedPageBreak/>
        <w:t>process is expected to bring Serbia closer to EU standards regarding customs procedures and to protect the interests of citizens and businesses through automated customs operations. As this project represents a key step toward the full digitalization of the operations of the Customs Administration of the Republic of Serbia, it is expected that, following its implementation, further integration with other e-systems will be required.</w:t>
      </w:r>
    </w:p>
    <w:p w:rsidR="00695981" w:rsidRPr="00695981" w:rsidRDefault="00695981" w:rsidP="008E4B1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The implementation of the automated import and export systems (AIS–AES) and the Customs Decision System (CDS) is planned by the fourth quarter of 2027, enabling more efficient customs procedures and a reduction in administrative costs.</w:t>
      </w:r>
    </w:p>
    <w:p w:rsidR="00695981" w:rsidRPr="00695981" w:rsidRDefault="00695981" w:rsidP="008E4B1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In addition, a project for the development of a post-clearance audit application has been launched, which should be compatible with automated systems such as AIS, AES, and CDS. The Post-Clearance Audit Department has prepared a project proposal for this application, and GIZ has supported the preparation of documentation and analysis of functional requirements.</w:t>
      </w:r>
    </w:p>
    <w:p w:rsidR="00695981" w:rsidRPr="00695981" w:rsidRDefault="00695981" w:rsidP="008E4B1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In the coming period, the Customs Administration will focus on several key activities for further system development and modernization. The first activity is the completion of the post-clearance audit application project by the end of 2026, followed by a testing and implementation period that will last until the end of 2027. This application will enable the automation of procedures and better data management. Additionally, modernization of the customs laboratory and securing adequate premises are planned, which will contribute to more efficient operations and data analysis.</w:t>
      </w:r>
    </w:p>
    <w:p w:rsidR="00695981" w:rsidRPr="00695981" w:rsidRDefault="00695981" w:rsidP="008E4B1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A new system for monitoring the collection of budget revenues is also being developed, which, once integrated with the automated systems, will allow centralized monitoring and management of financial flows. In parallel, software and hardware are being procured for the Integrated Tariff Management System (ITMS) and the Data Warehouse (DWH) for storing customs data, both of which will also be integrated with the automated systems.</w:t>
      </w:r>
    </w:p>
    <w:p w:rsidR="00695981" w:rsidRPr="00695981" w:rsidRDefault="00695981" w:rsidP="008E4B14">
      <w:pPr>
        <w:spacing w:beforeAutospacing="1" w:after="100" w:afterAutospacing="1" w:line="240" w:lineRule="auto"/>
        <w:ind w:firstLine="706"/>
        <w:jc w:val="both"/>
        <w:rPr>
          <w:rFonts w:ascii="Times New Roman" w:eastAsia="Times New Roman" w:hAnsi="Times New Roman" w:cs="Times New Roman"/>
          <w:sz w:val="24"/>
          <w:szCs w:val="24"/>
        </w:rPr>
      </w:pPr>
      <w:r w:rsidRPr="00695981">
        <w:rPr>
          <w:rFonts w:ascii="Times New Roman" w:eastAsia="Times New Roman" w:hAnsi="Times New Roman" w:cs="Times New Roman"/>
          <w:sz w:val="24"/>
          <w:szCs w:val="24"/>
        </w:rPr>
        <w:t>All these activities will significantly contribute to improving customs procedures and strengthening the capacities of the Customs Administration for effective management and supervision of customs operations.</w:t>
      </w:r>
    </w:p>
    <w:p w:rsidR="00E810A2" w:rsidRPr="00103EF3" w:rsidRDefault="00E810A2" w:rsidP="00E810A2">
      <w:pPr>
        <w:spacing w:after="0" w:line="240" w:lineRule="auto"/>
        <w:ind w:firstLine="706"/>
        <w:rPr>
          <w:rFonts w:ascii="Times New Roman" w:eastAsia="Times New Roman" w:hAnsi="Times New Roman" w:cs="Times New Roman"/>
          <w:b/>
          <w:i/>
          <w:color w:val="365F91"/>
          <w:sz w:val="22"/>
          <w:szCs w:val="22"/>
          <w:lang w:val="sr-Cyrl-RS" w:eastAsia="en-GB"/>
        </w:rPr>
      </w:pPr>
    </w:p>
    <w:p w:rsidR="00E810A2" w:rsidRPr="001F7E43" w:rsidRDefault="00695981" w:rsidP="004D6DF0">
      <w:pPr>
        <w:spacing w:after="0" w:line="240" w:lineRule="auto"/>
        <w:ind w:firstLine="706"/>
        <w:rPr>
          <w:rFonts w:ascii="Times New Roman" w:eastAsia="Times New Roman" w:hAnsi="Times New Roman" w:cs="Times New Roman"/>
          <w:b/>
          <w:i/>
          <w:color w:val="365F91"/>
          <w:sz w:val="22"/>
          <w:szCs w:val="22"/>
          <w:lang w:val="sr-Cyrl-RS" w:eastAsia="en-GB"/>
        </w:rPr>
      </w:pPr>
      <w:r w:rsidRPr="00695981">
        <w:rPr>
          <w:rFonts w:ascii="Times New Roman" w:eastAsia="Times New Roman" w:hAnsi="Times New Roman" w:cs="Times New Roman"/>
          <w:b/>
          <w:i/>
          <w:color w:val="365F91"/>
          <w:sz w:val="22"/>
          <w:szCs w:val="22"/>
          <w:lang w:eastAsia="en-GB"/>
        </w:rPr>
        <w:t>Measure 2.4: Efficient Public Debt Management</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Efficient public debt management and ensuring its downward and sustainable trajectory represent one of the most important elements of a sound public financial management system. Thanks to a responsibly conducted fiscal policy and proper public debt management in recent years, the level of general government debt as a share of GDP decreased from 68.4% at the end of 2015 to 46.9% at the end of 2024.</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 xml:space="preserve">In the coming period, the Public Debt Administration plans to further improve the reporting process by expanding its coverage (reporting units) through the development and implementation of an information system for submitting financial reports and the use of business intelligence (BI) tools. Although the debt of entities not currently covered by reporting is very small, efforts will be made to align the sectoral coverage as closely as possible with the </w:t>
      </w:r>
      <w:r w:rsidRPr="008A3456">
        <w:rPr>
          <w:rFonts w:ascii="Times New Roman" w:eastAsia="Times New Roman" w:hAnsi="Times New Roman" w:cs="Times New Roman"/>
          <w:sz w:val="24"/>
          <w:szCs w:val="24"/>
        </w:rPr>
        <w:lastRenderedPageBreak/>
        <w:t>IMF’s Government Finance Statistics (GFS) methodology. At the same time, the introduction of BI tools will significantly improve the technical aspect of reporting.</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The Republic of Serbia is committed to achieving the Sustainable Development Goals set out in the United Nations 2030 Agenda. Serbia supports global efforts toward decarbonization and environmental protection, while also focusing on social inclusion through poverty reduction programs. To achieve these ambitions, significant investment mobilization is required, and a functional and expanding green, social, and sustainable capital market plays a central role in this context.</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In 2021, the Republic of Serbia became the first country in the region—and the first European country outside the European Union—to issue green eurobonds, amounting to one billion euros, with a maturity of seven years and a coupon rate of only 1.00%. Subsequently, in June 2024, Serbia issued sustainable eurobonds in the amount of 1.5 billion US dollars. These bond issues provided substantial funds for financing projects such as railway development, wastewater infrastructure, sustainable agriculture, reforestation and forest protection, waste management, and social programs. Given the significant importance of these projects for society as a whole, securing further funding through such instruments, both in domestic and international markets, will remain one of the priorities in the coming years.</w:t>
      </w:r>
    </w:p>
    <w:p w:rsidR="008A3456" w:rsidRDefault="008A3456" w:rsidP="00E810A2">
      <w:pPr>
        <w:spacing w:after="0" w:line="240" w:lineRule="auto"/>
        <w:ind w:firstLine="706"/>
        <w:rPr>
          <w:rFonts w:ascii="Times New Roman" w:eastAsia="Times New Roman" w:hAnsi="Times New Roman" w:cs="Times New Roman"/>
          <w:b/>
          <w:i/>
          <w:color w:val="365F91"/>
          <w:sz w:val="22"/>
          <w:szCs w:val="22"/>
          <w:lang w:val="sr-Cyrl-RS" w:eastAsia="en-GB"/>
        </w:rPr>
      </w:pPr>
    </w:p>
    <w:p w:rsidR="00E810A2" w:rsidRPr="001F7E43" w:rsidRDefault="00E810A2" w:rsidP="004D6DF0">
      <w:pPr>
        <w:spacing w:after="0" w:line="240" w:lineRule="auto"/>
        <w:ind w:firstLine="706"/>
        <w:rPr>
          <w:rFonts w:ascii="Times New Roman" w:eastAsia="Times New Roman" w:hAnsi="Times New Roman" w:cs="Times New Roman"/>
          <w:b/>
          <w:i/>
          <w:color w:val="365F91"/>
          <w:sz w:val="22"/>
          <w:szCs w:val="22"/>
          <w:lang w:val="sr-Cyrl-RS" w:eastAsia="en-GB"/>
        </w:rPr>
      </w:pPr>
      <w:r w:rsidRPr="008A3456">
        <w:rPr>
          <w:rFonts w:ascii="Times New Roman" w:eastAsia="Times New Roman" w:hAnsi="Times New Roman" w:cs="Times New Roman"/>
          <w:b/>
          <w:i/>
          <w:color w:val="365F91"/>
          <w:sz w:val="22"/>
          <w:szCs w:val="22"/>
          <w:lang w:eastAsia="en-GB"/>
        </w:rPr>
        <w:t>М</w:t>
      </w:r>
      <w:r w:rsidR="008A3456" w:rsidRPr="008A3456">
        <w:rPr>
          <w:rFonts w:ascii="Times New Roman" w:eastAsia="Times New Roman" w:hAnsi="Times New Roman" w:cs="Times New Roman"/>
          <w:b/>
          <w:i/>
          <w:color w:val="365F91"/>
          <w:sz w:val="22"/>
          <w:szCs w:val="22"/>
          <w:lang w:eastAsia="en-GB"/>
        </w:rPr>
        <w:t>easure 2.5: Strengthening the Capacities of Public Procurement Officers</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With the aim of strengthening the capacities of all participants in the public procurement process, the Public Procurement Office continuously organizes trainings and workshops for representatives of contracting authorities and bidders, as well as for individuals preparing to take the public procurement officer certification exam, and for those who are already certified. In accordance with the applicable regulations, the Public Procurement Office defines the procedure and conditions for obtaining the public procurement officer certificate and maintains the official register of certified officers.</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To provide professional assistance in the implementation of public procurement procedures, the Office also publishes various practical tools—such as guidelines, manuals, and handbooks—on its official website. According to the provisions of the Law on Public Procurement, at least one member of each public procurement committee must be a certified public procurement officer. Given that the committee undertakes all actions in the procurement procedure (preparing tender notices, drafting tender documentation, evaluating bids, preparing reports, and handling actions in case of complaints or requests for legal protection), it can be concluded that the success and legality of the procurement process largely depend on the professional competence and training of the public procurement officers.</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 xml:space="preserve">The accompanying Action Plan includes measures and activities aimed at further enhancing the knowledge and capacities of public procurement officers, with the goal of reducing irregularities in public procurement procedures and ensuring the proper application of the Law on Public Procurement and effective use of the Public Procurement Portal. Proposed activities—such as trainings on market research, procurement planning, conflict of interest, corruption prevention, and environmental and social (ENP) criteria, as well as the development of practical tools—will contribute to strengthening the capacities of procurement officers and </w:t>
      </w:r>
      <w:r w:rsidRPr="008A3456">
        <w:rPr>
          <w:rFonts w:ascii="Times New Roman" w:eastAsia="Times New Roman" w:hAnsi="Times New Roman" w:cs="Times New Roman"/>
          <w:sz w:val="24"/>
          <w:szCs w:val="24"/>
        </w:rPr>
        <w:lastRenderedPageBreak/>
        <w:t>improving their ability to identify situations that could potentially lead to irregularities in procurement procedures.</w:t>
      </w:r>
    </w:p>
    <w:p w:rsidR="00E45240" w:rsidRPr="001A0DC8" w:rsidRDefault="00E45240" w:rsidP="003E1D8E">
      <w:pPr>
        <w:jc w:val="both"/>
        <w:rPr>
          <w:rFonts w:ascii="Times New Roman" w:eastAsia="Times New Roman" w:hAnsi="Times New Roman" w:cs="Times New Roman"/>
          <w:sz w:val="24"/>
          <w:szCs w:val="24"/>
          <w:shd w:val="clear" w:color="auto" w:fill="FFFFFF"/>
          <w:lang w:val="sr-Cyrl-RS"/>
        </w:rPr>
      </w:pPr>
    </w:p>
    <w:p w:rsidR="00503A4C" w:rsidRPr="00B26B4D" w:rsidRDefault="008A3456" w:rsidP="00B26B4D">
      <w:pPr>
        <w:pStyle w:val="Heading1"/>
        <w:jc w:val="center"/>
        <w:rPr>
          <w:rFonts w:ascii="Times New Roman" w:hAnsi="Times New Roman" w:cs="Times New Roman"/>
          <w:sz w:val="24"/>
          <w:szCs w:val="24"/>
        </w:rPr>
      </w:pPr>
      <w:bookmarkStart w:id="5" w:name="_Toc211860024"/>
      <w:r>
        <w:rPr>
          <w:rFonts w:ascii="Times New Roman" w:hAnsi="Times New Roman" w:cs="Times New Roman"/>
          <w:sz w:val="24"/>
          <w:szCs w:val="24"/>
        </w:rPr>
        <w:t xml:space="preserve"> </w:t>
      </w:r>
      <w:bookmarkEnd w:id="5"/>
      <w:r w:rsidRPr="008A3456">
        <w:rPr>
          <w:rFonts w:ascii="Times New Roman" w:hAnsi="Times New Roman" w:cs="Times New Roman"/>
          <w:sz w:val="24"/>
          <w:szCs w:val="24"/>
        </w:rPr>
        <w:t>Specific Objective III: Improving Budget Discipline and Ensuring More Transparent Use of Public Funds</w:t>
      </w:r>
    </w:p>
    <w:p w:rsidR="00B963FD" w:rsidRDefault="00B963FD" w:rsidP="00B963FD">
      <w:pPr>
        <w:spacing w:after="100" w:afterAutospacing="1" w:line="240" w:lineRule="auto"/>
        <w:ind w:firstLine="708"/>
        <w:jc w:val="both"/>
        <w:rPr>
          <w:rFonts w:ascii="Times New Roman" w:hAnsi="Times New Roman" w:cs="Times New Roman"/>
          <w:sz w:val="24"/>
          <w:szCs w:val="24"/>
        </w:rPr>
      </w:pPr>
    </w:p>
    <w:p w:rsidR="008A3456" w:rsidRPr="009152CD" w:rsidRDefault="008A3456" w:rsidP="008A3456">
      <w:pPr>
        <w:spacing w:after="0"/>
        <w:ind w:firstLine="706"/>
        <w:rPr>
          <w:rFonts w:ascii="Times New Roman" w:hAnsi="Times New Roman" w:cs="Times New Roman"/>
          <w:b/>
          <w:i/>
          <w:color w:val="365F91"/>
          <w:sz w:val="22"/>
          <w:szCs w:val="22"/>
          <w:lang w:val="en-GB"/>
        </w:rPr>
      </w:pPr>
      <w:r w:rsidRPr="009152CD">
        <w:rPr>
          <w:rFonts w:ascii="Times New Roman" w:hAnsi="Times New Roman" w:cs="Times New Roman"/>
          <w:b/>
          <w:i/>
          <w:color w:val="365F91"/>
          <w:sz w:val="22"/>
          <w:szCs w:val="22"/>
          <w:lang w:val="en-GB"/>
        </w:rPr>
        <w:t>Measure 3.1: Expanding the Scope of Audits and Developing a New Audit Methodology</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In the previous period, the Rulebook on Internal Organization and Job Classification was adopted, establishing the Internal Audit Group. Contacts were made at the management level with the General Secretariat and twelve Government services covered by internal audit, and a series of meetings were held to present the work plan and strengthen coordination.</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In the coming year, the Internal Audit Group is expected to be fully staffed. The development of audit methodology and tools is planned, as well as the implementation of practical training sessions related to the new IPARD III Measures 4 (Agri-Environmental and Organic Farming Measures) and 5 (Implementation of Local Development Strategies – LEADER Approach). The goal is for auditors to receive guidance and acquire the necessary tools and techniques for conducting audits, exchange good practices, and strengthen their capacities through hands-on training and expert consultations. The implementation of this activity is planned with the support of the TAIEX mechanism.</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Given the results-based nature of the Reform and Growth Instrument, with its focus on macroeconomic conditions, performance indicators, and reform objectives, the audit of this instrument requires an adapted approach that differs from the audit of IPA programs—specifically, a performance audit approach. Therefore, it is essential to ensure expert support for the development of a methodological framework and a specialized training program.</w:t>
      </w:r>
    </w:p>
    <w:p w:rsidR="001F7E43" w:rsidRPr="001F7E43" w:rsidRDefault="001F7E43" w:rsidP="008A3456">
      <w:pPr>
        <w:spacing w:after="0" w:line="240" w:lineRule="auto"/>
        <w:rPr>
          <w:rFonts w:ascii="Times New Roman" w:eastAsia="Times New Roman" w:hAnsi="Times New Roman" w:cs="Times New Roman"/>
          <w:b/>
          <w:i/>
          <w:color w:val="365F91"/>
          <w:sz w:val="22"/>
          <w:szCs w:val="22"/>
          <w:lang w:val="sr-Cyrl-RS" w:eastAsia="en-GB"/>
        </w:rPr>
      </w:pPr>
    </w:p>
    <w:p w:rsidR="0067567D" w:rsidRPr="0067567D" w:rsidRDefault="008A3456" w:rsidP="004D6DF0">
      <w:pPr>
        <w:spacing w:after="0" w:line="240" w:lineRule="auto"/>
        <w:ind w:firstLine="706"/>
        <w:rPr>
          <w:rFonts w:ascii="Times New Roman" w:eastAsia="Times New Roman" w:hAnsi="Times New Roman" w:cs="Times New Roman"/>
          <w:b/>
          <w:i/>
          <w:color w:val="365F91"/>
          <w:sz w:val="22"/>
          <w:szCs w:val="22"/>
          <w:lang w:val="sr-Cyrl-RS" w:eastAsia="en-GB"/>
        </w:rPr>
      </w:pPr>
      <w:r w:rsidRPr="008A3456">
        <w:rPr>
          <w:rFonts w:ascii="Times New Roman" w:eastAsia="Times New Roman" w:hAnsi="Times New Roman" w:cs="Times New Roman"/>
          <w:b/>
          <w:i/>
          <w:color w:val="365F91"/>
          <w:sz w:val="22"/>
          <w:szCs w:val="22"/>
          <w:lang w:eastAsia="en-GB"/>
        </w:rPr>
        <w:t>Measure 3.2: Strengthening the System for More Efficient and Effective Management of EU Funds and Enhancing the Capacities of Competent Institutions in the Area of Protection of the European Union’s Financial Interests</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According to the 2024 European Commission Report (Negotiating Chapter 22 – Regional Policy and Coordination of Structural Instruments), in terms of administrative capacities within the system for managing EU funds, it was assessed that the lack of staff continues to hinder the normal functioning of institutions responsible for the indirect management of IPA funds. Although there has been a noticeable increase in the number of employees compared to previous years, certain institutions still experience a shortage of personnel.</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 xml:space="preserve">The Support Unit for the National Authorising Officer within the Ministry of Finance regularly conducts analyses of administrative capacities and training needs in all institutions responsible for implementing IPA programs, both semi-annually and annually, and provides support to institutions in finding optimal staffing solutions. In cooperation with the National </w:t>
      </w:r>
      <w:r w:rsidRPr="008A3456">
        <w:rPr>
          <w:rFonts w:ascii="Times New Roman" w:eastAsia="Times New Roman" w:hAnsi="Times New Roman" w:cs="Times New Roman"/>
          <w:sz w:val="24"/>
          <w:szCs w:val="24"/>
        </w:rPr>
        <w:lastRenderedPageBreak/>
        <w:t>Academy for Public Administration (NAPA), and with the goal of strengthening administrative capacities and improving the professional competencies of all participants in EU fund management, a significant number of training sessions have been held in recent years, with particular focus on the management of irregularities and fraud in the use of EU funds.</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In the upcoming period, continued cooperation with NAPA is expected, particularly in preparing the annual training program for civil servants in the field of EU project and program management, identifying training needs, and coordinating training implementation. The protection of the financial interests of the European Union and the budget of the Republic of Serbia remains one of the key priorities of the Ministry of Finance. Its structures are dedicated to improving cooperation and communication between all bodies involved in the IPA framework, as well as to strengthening activities aimed at raising awareness about the consequences of irresponsible and ineffective management of EU funds and their potential impact on the national budget.</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In this regard, to ensure consistency in the actions of the Serbian institutions and bodies responsible for managing EU pre-accession assistance programs, amendments to the national legal framework are planned. These amendments will address the determination of financial corrections to expenditures financed by the European Union in cases of non-compliance with rules on public procurement and the award of grants under the Instrument for Pre-Accession Assistance (IPA).</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To establish more efficient coordination and communication mechanisms, and to develop joint approaches to preventing and detecting financial misuse, special emphasis is placed on organizing regional conferences, seminars, and workshops. These events serve as platforms for sharing experiences, best practices, and professional knowledge among AFCOS, OLAF, judicial authorities, and other relevant stakeholders.</w:t>
      </w:r>
    </w:p>
    <w:p w:rsidR="008A3456" w:rsidRPr="008A3456" w:rsidRDefault="008A3456" w:rsidP="008A3456">
      <w:pPr>
        <w:spacing w:beforeAutospacing="1" w:after="100" w:afterAutospacing="1" w:line="240" w:lineRule="auto"/>
        <w:ind w:firstLine="706"/>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Furthermore, to provide institutional and technical support for the strategic planning process within AFCOS, work is planned on evaluating the previous three-year Strategic Plan for the Fight against Fraud and the Management of Irregularities in Handling EU Financial Resources in the Republic of Serbia for the period 2024–2026, and on preparing a new strategic document for the period 2028–2030. The process will also include improving interinstitutional cooperation through capacity building and coordination activities.</w:t>
      </w:r>
    </w:p>
    <w:p w:rsidR="008A3456" w:rsidRDefault="008A3456" w:rsidP="00FB61C7">
      <w:pPr>
        <w:spacing w:before="0" w:after="160" w:line="259" w:lineRule="auto"/>
        <w:jc w:val="center"/>
        <w:rPr>
          <w:rFonts w:ascii="Times New Roman" w:eastAsia="Aptos" w:hAnsi="Times New Roman" w:cs="Times New Roman"/>
          <w:b/>
          <w:i/>
          <w:color w:val="2F5496" w:themeColor="accent5" w:themeShade="BF"/>
          <w:kern w:val="2"/>
          <w:sz w:val="22"/>
          <w:szCs w:val="22"/>
          <w:lang w:val="ru-RU"/>
          <w14:ligatures w14:val="standardContextual"/>
        </w:rPr>
      </w:pPr>
    </w:p>
    <w:p w:rsidR="00E45240" w:rsidRPr="009152CD" w:rsidRDefault="008A3456" w:rsidP="009152CD">
      <w:pPr>
        <w:spacing w:before="0" w:after="160" w:line="259" w:lineRule="auto"/>
        <w:jc w:val="center"/>
        <w:rPr>
          <w:rFonts w:ascii="Times New Roman" w:eastAsia="Aptos" w:hAnsi="Times New Roman" w:cs="Times New Roman"/>
          <w:b/>
          <w:i/>
          <w:color w:val="2F5496" w:themeColor="accent5" w:themeShade="BF"/>
          <w:kern w:val="2"/>
          <w:sz w:val="22"/>
          <w:szCs w:val="22"/>
          <w:lang w:val="ru-RU"/>
          <w14:ligatures w14:val="standardContextual"/>
        </w:rPr>
      </w:pPr>
      <w:r w:rsidRPr="008A3456">
        <w:rPr>
          <w:rFonts w:ascii="Times New Roman" w:eastAsia="Aptos" w:hAnsi="Times New Roman" w:cs="Times New Roman"/>
          <w:b/>
          <w:i/>
          <w:color w:val="2F5496" w:themeColor="accent5" w:themeShade="BF"/>
          <w:kern w:val="2"/>
          <w:sz w:val="22"/>
          <w:szCs w:val="22"/>
          <w14:ligatures w14:val="standardContextual"/>
        </w:rPr>
        <w:t>Measure 3.3: Increasing the Efficiency and Effectiveness of Inspection Oversight</w:t>
      </w:r>
    </w:p>
    <w:p w:rsidR="008A3456" w:rsidRPr="008A3456" w:rsidRDefault="008A3456" w:rsidP="008A3456">
      <w:pPr>
        <w:spacing w:beforeAutospacing="1" w:after="100" w:afterAutospacing="1" w:line="240" w:lineRule="auto"/>
        <w:ind w:firstLine="708"/>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t>With the adoption of the Budget Inspection Law in December 2021, the legislative framework for the comprehensive application of control mechanisms within the public finance system of the Republic of Serbia was completed. The Law on Budget Inspection has been in force since January 1, 2023, and it systematically regulates the jurisdiction, procedures, operations, and powers of the budget inspection. In line with this Law and the previous Strategic Plan of the Budget Inspection, the process of centralizing the budget inspection was carried out by transferring budget inspectors from the autonomous province and local self-government units, and establishing regional inspection units in Belgrade, Novi Sad, Kragujevac, and Niš.</w:t>
      </w:r>
    </w:p>
    <w:p w:rsidR="008A3456" w:rsidRPr="008A3456" w:rsidRDefault="008A3456" w:rsidP="008A3456">
      <w:pPr>
        <w:spacing w:beforeAutospacing="1" w:after="100" w:afterAutospacing="1" w:line="240" w:lineRule="auto"/>
        <w:ind w:firstLine="708"/>
        <w:jc w:val="both"/>
        <w:rPr>
          <w:rFonts w:ascii="Times New Roman" w:eastAsia="Times New Roman" w:hAnsi="Times New Roman" w:cs="Times New Roman"/>
          <w:sz w:val="24"/>
          <w:szCs w:val="24"/>
        </w:rPr>
      </w:pPr>
      <w:r w:rsidRPr="008A3456">
        <w:rPr>
          <w:rFonts w:ascii="Times New Roman" w:eastAsia="Times New Roman" w:hAnsi="Times New Roman" w:cs="Times New Roman"/>
          <w:sz w:val="24"/>
          <w:szCs w:val="24"/>
        </w:rPr>
        <w:lastRenderedPageBreak/>
        <w:t>The general strategic goal set out in the Strategic Plan of the Budget Inspection for the period 2026–2030 is to improve the budget discipline of public fund beneficiaries and increase accountability in the management of budgetary and public funds. The essence of all measures and activities defined in the Action Plan is to protect the public interest within the entire budgetary system of the Republic of Serbia. The new Strategic Plan will focus on the further development of the budget inspection function, improvement of performance management, and enhancement of the inspection’s influence in establishing fiscal discipline among public fund beneficiaries. Additionally, by the end of 2030, methodological guidelines on the procedures and practices of the budget inspection by specific oversight areas are planned to be adopted.</w:t>
      </w:r>
    </w:p>
    <w:p w:rsidR="00982416" w:rsidRPr="001A0DC8" w:rsidRDefault="00982416" w:rsidP="001A0DC8">
      <w:pPr>
        <w:ind w:firstLine="708"/>
        <w:jc w:val="both"/>
        <w:rPr>
          <w:rFonts w:ascii="Times New Roman" w:eastAsia="Times New Roman" w:hAnsi="Times New Roman" w:cs="Times New Roman"/>
          <w:sz w:val="24"/>
          <w:szCs w:val="24"/>
          <w:shd w:val="clear" w:color="auto" w:fill="FFFFFF"/>
          <w:lang w:val="sr-Cyrl-RS"/>
        </w:rPr>
      </w:pPr>
    </w:p>
    <w:p w:rsidR="00C63E40" w:rsidRPr="00B26B4D" w:rsidRDefault="008A3456" w:rsidP="00B26B4D">
      <w:pPr>
        <w:pStyle w:val="Heading1"/>
        <w:jc w:val="center"/>
        <w:rPr>
          <w:rFonts w:ascii="Times New Roman" w:hAnsi="Times New Roman" w:cs="Times New Roman"/>
          <w:sz w:val="24"/>
          <w:szCs w:val="24"/>
        </w:rPr>
      </w:pPr>
      <w:r w:rsidRPr="008A3456">
        <w:rPr>
          <w:rFonts w:ascii="Times New Roman" w:hAnsi="Times New Roman" w:cs="Times New Roman"/>
          <w:sz w:val="24"/>
          <w:szCs w:val="24"/>
        </w:rPr>
        <w:t>Specific Objective IV: Improving the Implementation of the Public Internal Financial Control System in the Public Sector</w:t>
      </w:r>
    </w:p>
    <w:p w:rsidR="00C63E40" w:rsidRPr="00055E14" w:rsidRDefault="00C63E40" w:rsidP="00055E14">
      <w:pPr>
        <w:spacing w:after="0" w:line="240" w:lineRule="auto"/>
        <w:jc w:val="both"/>
        <w:rPr>
          <w:rFonts w:ascii="Times New Roman" w:hAnsi="Times New Roman" w:cs="Times New Roman"/>
          <w:color w:val="000000" w:themeColor="text1"/>
          <w:sz w:val="24"/>
          <w:szCs w:val="24"/>
          <w:lang w:val="sr-Cyrl-RS"/>
        </w:rPr>
      </w:pPr>
    </w:p>
    <w:p w:rsidR="001A0DC8" w:rsidRDefault="008A3456" w:rsidP="004D6DF0">
      <w:pPr>
        <w:spacing w:after="0" w:line="240" w:lineRule="auto"/>
        <w:ind w:firstLine="706"/>
        <w:rPr>
          <w:rFonts w:ascii="Times New Roman" w:eastAsia="Times New Roman" w:hAnsi="Times New Roman" w:cs="Times New Roman"/>
          <w:b/>
          <w:i/>
          <w:color w:val="365F91"/>
          <w:sz w:val="22"/>
          <w:szCs w:val="22"/>
          <w:lang w:val="sr-Cyrl-RS" w:eastAsia="en-GB"/>
        </w:rPr>
      </w:pPr>
      <w:r w:rsidRPr="008A3456">
        <w:rPr>
          <w:rFonts w:ascii="Times New Roman" w:eastAsia="Times New Roman" w:hAnsi="Times New Roman" w:cs="Times New Roman"/>
          <w:b/>
          <w:i/>
          <w:color w:val="365F91"/>
          <w:sz w:val="22"/>
          <w:szCs w:val="22"/>
          <w:lang w:eastAsia="en-GB"/>
        </w:rPr>
        <w:t>Measure 4.1: Improvement of the Public Internal Financial Control (PIFC) System in Public Sector Institutions</w:t>
      </w:r>
    </w:p>
    <w:p w:rsidR="00DA7398" w:rsidRPr="00DA7398" w:rsidRDefault="00DA7398" w:rsidP="00DA7398">
      <w:pPr>
        <w:spacing w:beforeAutospacing="1" w:after="100" w:afterAutospacing="1" w:line="240" w:lineRule="auto"/>
        <w:ind w:firstLine="706"/>
        <w:jc w:val="both"/>
        <w:rPr>
          <w:rFonts w:ascii="Times New Roman" w:eastAsia="Times New Roman" w:hAnsi="Times New Roman" w:cs="Times New Roman"/>
          <w:sz w:val="24"/>
          <w:szCs w:val="24"/>
        </w:rPr>
      </w:pPr>
      <w:r w:rsidRPr="00DA7398">
        <w:rPr>
          <w:rFonts w:ascii="Times New Roman" w:eastAsia="Times New Roman" w:hAnsi="Times New Roman" w:cs="Times New Roman"/>
          <w:sz w:val="24"/>
          <w:szCs w:val="24"/>
        </w:rPr>
        <w:t>Financial Management and Control (FMC) is a system of policies, procedures, and activities established, maintained, and regularly updated by the head of a public funds beneficiary. Through effective risk management, this system provides reasonable assurance that the institution’s objectives will be achieved in a proper, economical, efficient, and effective manner.</w:t>
      </w:r>
    </w:p>
    <w:p w:rsidR="00DA7398" w:rsidRPr="00DA7398" w:rsidRDefault="00DA7398" w:rsidP="00DA7398">
      <w:pPr>
        <w:spacing w:beforeAutospacing="1" w:after="100" w:afterAutospacing="1" w:line="240" w:lineRule="auto"/>
        <w:ind w:firstLine="706"/>
        <w:jc w:val="both"/>
        <w:rPr>
          <w:rFonts w:ascii="Times New Roman" w:eastAsia="Times New Roman" w:hAnsi="Times New Roman" w:cs="Times New Roman"/>
          <w:sz w:val="24"/>
          <w:szCs w:val="24"/>
        </w:rPr>
      </w:pPr>
      <w:r w:rsidRPr="00DA7398">
        <w:rPr>
          <w:rFonts w:ascii="Times New Roman" w:eastAsia="Times New Roman" w:hAnsi="Times New Roman" w:cs="Times New Roman"/>
          <w:sz w:val="24"/>
          <w:szCs w:val="24"/>
        </w:rPr>
        <w:t>The entire field of internal control has been embedded in Serbian legislation for more than a decade and has developed continuously over the previous programming period. The European Commission promotes the reform of public financial management systems based on international standards of internal control for the public sector to achieve a higher level of managerial accountability and good governance. The goal is to strengthen the FMC syst</w:t>
      </w:r>
      <w:r w:rsidR="00F43562">
        <w:rPr>
          <w:rFonts w:ascii="Times New Roman" w:eastAsia="Times New Roman" w:hAnsi="Times New Roman" w:cs="Times New Roman"/>
          <w:sz w:val="24"/>
          <w:szCs w:val="24"/>
        </w:rPr>
        <w:t xml:space="preserve">em so that an organization can: </w:t>
      </w:r>
      <w:r w:rsidRPr="00DA7398">
        <w:rPr>
          <w:rFonts w:ascii="Times New Roman" w:eastAsia="Times New Roman" w:hAnsi="Times New Roman" w:cs="Times New Roman"/>
          <w:sz w:val="24"/>
          <w:szCs w:val="24"/>
        </w:rPr>
        <w:t>a) achieve its objectives with minim</w:t>
      </w:r>
      <w:r w:rsidR="00F43562">
        <w:rPr>
          <w:rFonts w:ascii="Times New Roman" w:eastAsia="Times New Roman" w:hAnsi="Times New Roman" w:cs="Times New Roman"/>
          <w:sz w:val="24"/>
          <w:szCs w:val="24"/>
        </w:rPr>
        <w:t>al costs and protect its assets-</w:t>
      </w:r>
      <w:r w:rsidRPr="00DA7398">
        <w:rPr>
          <w:rFonts w:ascii="Times New Roman" w:eastAsia="Times New Roman" w:hAnsi="Times New Roman" w:cs="Times New Roman"/>
          <w:sz w:val="24"/>
          <w:szCs w:val="24"/>
        </w:rPr>
        <w:t>in other words, functi</w:t>
      </w:r>
      <w:r w:rsidR="00F43562">
        <w:rPr>
          <w:rFonts w:ascii="Times New Roman" w:eastAsia="Times New Roman" w:hAnsi="Times New Roman" w:cs="Times New Roman"/>
          <w:sz w:val="24"/>
          <w:szCs w:val="24"/>
        </w:rPr>
        <w:t xml:space="preserve">on effectively and efficiently; </w:t>
      </w:r>
      <w:r w:rsidRPr="00DA7398">
        <w:rPr>
          <w:rFonts w:ascii="Times New Roman" w:eastAsia="Times New Roman" w:hAnsi="Times New Roman" w:cs="Times New Roman"/>
          <w:sz w:val="24"/>
          <w:szCs w:val="24"/>
        </w:rPr>
        <w:t>b) operate in compliance with laws, regulatio</w:t>
      </w:r>
      <w:r w:rsidR="00F43562">
        <w:rPr>
          <w:rFonts w:ascii="Times New Roman" w:eastAsia="Times New Roman" w:hAnsi="Times New Roman" w:cs="Times New Roman"/>
          <w:sz w:val="24"/>
          <w:szCs w:val="24"/>
        </w:rPr>
        <w:t xml:space="preserve">ns, and relevant standards; and </w:t>
      </w:r>
      <w:r w:rsidRPr="00DA7398">
        <w:rPr>
          <w:rFonts w:ascii="Times New Roman" w:eastAsia="Times New Roman" w:hAnsi="Times New Roman" w:cs="Times New Roman"/>
          <w:sz w:val="24"/>
          <w:szCs w:val="24"/>
        </w:rPr>
        <w:t>c) prepare and provide timely, complete, and accurate financial and non-financial reports to all external and/or internal stakeholders, in accordance with regulations, relevant standards, and internal acts.</w:t>
      </w:r>
    </w:p>
    <w:p w:rsidR="00DA7398" w:rsidRPr="00DA7398" w:rsidRDefault="00DA7398" w:rsidP="00DA7398">
      <w:pPr>
        <w:spacing w:beforeAutospacing="1" w:after="100" w:afterAutospacing="1" w:line="240" w:lineRule="auto"/>
        <w:ind w:firstLine="708"/>
        <w:jc w:val="both"/>
        <w:rPr>
          <w:rFonts w:ascii="Times New Roman" w:eastAsia="Times New Roman" w:hAnsi="Times New Roman" w:cs="Times New Roman"/>
          <w:sz w:val="24"/>
          <w:szCs w:val="24"/>
        </w:rPr>
      </w:pPr>
      <w:r w:rsidRPr="00DA7398">
        <w:rPr>
          <w:rFonts w:ascii="Times New Roman" w:eastAsia="Times New Roman" w:hAnsi="Times New Roman" w:cs="Times New Roman"/>
          <w:sz w:val="24"/>
          <w:szCs w:val="24"/>
        </w:rPr>
        <w:t>The existing legal framework in the Republic of Serbia is based on international internal control standards. The FMC Rulebook stipulates that the system’s elements are aligned with international internal control standards (INTOSAI), which include the COSO framework concept. Strategic planning for the period 2021–2025 was well executed, and activities planned within the existing documents aimed at improving PIFC were implemented on schedule and through regular operations. During the previous period, significant field communication was achieved with public sector entities (PSEs) at both the central and local levels, leading to new approaches and improved practices.</w:t>
      </w:r>
    </w:p>
    <w:p w:rsidR="00DA7398" w:rsidRPr="00DA7398" w:rsidRDefault="00DA7398" w:rsidP="00DA7398">
      <w:pPr>
        <w:spacing w:beforeAutospacing="1" w:after="100" w:afterAutospacing="1" w:line="240" w:lineRule="auto"/>
        <w:ind w:firstLine="708"/>
        <w:jc w:val="both"/>
        <w:rPr>
          <w:rFonts w:ascii="Times New Roman" w:eastAsia="Times New Roman" w:hAnsi="Times New Roman" w:cs="Times New Roman"/>
          <w:sz w:val="24"/>
          <w:szCs w:val="24"/>
        </w:rPr>
      </w:pPr>
      <w:r w:rsidRPr="00DA7398">
        <w:rPr>
          <w:rFonts w:ascii="Times New Roman" w:eastAsia="Times New Roman" w:hAnsi="Times New Roman" w:cs="Times New Roman"/>
          <w:sz w:val="24"/>
          <w:szCs w:val="24"/>
        </w:rPr>
        <w:t xml:space="preserve">The concept of managerial accountability connects all aspects of responsibility of managers arising from regulations, planning documents, and the public interest. Therefore, the </w:t>
      </w:r>
      <w:r w:rsidRPr="00DA7398">
        <w:rPr>
          <w:rFonts w:ascii="Times New Roman" w:eastAsia="Times New Roman" w:hAnsi="Times New Roman" w:cs="Times New Roman"/>
          <w:sz w:val="24"/>
          <w:szCs w:val="24"/>
        </w:rPr>
        <w:lastRenderedPageBreak/>
        <w:t>previous period focused on understanding and embedding this concept into the administrative culture of the public sector as a prerequisite for an effective internal control system within organizations. The Government adopted the Roadmap for Further Strengthening Managerial Accountability in the Public Administration of the Republic of Serbia on December 26, 2024. This roadmap encompasses three thematic areas with defined goals, activities, timelines, responsible institutions, and verification sources, all aimed at strengthening managerial accountability.</w:t>
      </w:r>
    </w:p>
    <w:p w:rsidR="00DA7398" w:rsidRPr="00DA7398" w:rsidRDefault="00DA7398" w:rsidP="00DA7398">
      <w:pPr>
        <w:spacing w:beforeAutospacing="1" w:after="100" w:afterAutospacing="1" w:line="240" w:lineRule="auto"/>
        <w:ind w:firstLine="708"/>
        <w:jc w:val="both"/>
        <w:rPr>
          <w:rFonts w:ascii="Times New Roman" w:eastAsia="Times New Roman" w:hAnsi="Times New Roman" w:cs="Times New Roman"/>
          <w:sz w:val="24"/>
          <w:szCs w:val="24"/>
        </w:rPr>
      </w:pPr>
      <w:r w:rsidRPr="00DA7398">
        <w:rPr>
          <w:rFonts w:ascii="Times New Roman" w:eastAsia="Times New Roman" w:hAnsi="Times New Roman" w:cs="Times New Roman"/>
          <w:sz w:val="24"/>
          <w:szCs w:val="24"/>
        </w:rPr>
        <w:t xml:space="preserve">Since the internal control system is no longer a novelty in the public sector and most organizations have established systems at different levels of maturity, recent efforts have focused on system development and raising awareness about responsible management. Basic FMC and internal audit trainings have been modernized, and one-day tailored training sessions for specific PSEs have been introduced. The Central Harmonization Unit (CHU) has produced video trainings on FMC and internal audit, available on the </w:t>
      </w:r>
      <w:r w:rsidR="00F43562">
        <w:rPr>
          <w:rFonts w:ascii="Times New Roman" w:eastAsia="Times New Roman" w:hAnsi="Times New Roman" w:cs="Times New Roman"/>
          <w:sz w:val="24"/>
          <w:szCs w:val="24"/>
        </w:rPr>
        <w:t>NAPA</w:t>
      </w:r>
      <w:r w:rsidRPr="00DA7398">
        <w:rPr>
          <w:rFonts w:ascii="Times New Roman" w:eastAsia="Times New Roman" w:hAnsi="Times New Roman" w:cs="Times New Roman"/>
          <w:sz w:val="24"/>
          <w:szCs w:val="24"/>
        </w:rPr>
        <w:t xml:space="preserve"> platform. These initiatives have strengthened awareness among PSE managers and employees about the importance of continuous internal control system development, leading to higher system maturity levels.</w:t>
      </w:r>
    </w:p>
    <w:p w:rsidR="00DA7398" w:rsidRPr="00DA7398" w:rsidRDefault="00DA7398" w:rsidP="00DA7398">
      <w:pPr>
        <w:spacing w:beforeAutospacing="1" w:after="100" w:afterAutospacing="1" w:line="240" w:lineRule="auto"/>
        <w:ind w:firstLine="708"/>
        <w:jc w:val="both"/>
        <w:rPr>
          <w:rFonts w:ascii="Times New Roman" w:eastAsia="Times New Roman" w:hAnsi="Times New Roman" w:cs="Times New Roman"/>
          <w:sz w:val="24"/>
          <w:szCs w:val="24"/>
        </w:rPr>
      </w:pPr>
      <w:r w:rsidRPr="00DA7398">
        <w:rPr>
          <w:rFonts w:ascii="Times New Roman" w:eastAsia="Times New Roman" w:hAnsi="Times New Roman" w:cs="Times New Roman"/>
          <w:sz w:val="24"/>
          <w:szCs w:val="24"/>
        </w:rPr>
        <w:t>Some progress has been achieved regarding risk assessment principles, but there remains room for improvement. Risk management is a continuous process, yet in some cases it is treated as a one-time activity without adequate updates or responses to internal and external changes. Annual reporting and system quality assessments have shown that risk registers are not sufficiently used as a practical management tool. Many PSEs have not defined risk mitigation measures, and even when they exist, they are not regularly implemented or updated.</w:t>
      </w:r>
    </w:p>
    <w:p w:rsidR="00DA7398" w:rsidRPr="00DA7398" w:rsidRDefault="00DA7398" w:rsidP="00DA7398">
      <w:pPr>
        <w:spacing w:beforeAutospacing="1" w:after="100" w:afterAutospacing="1" w:line="240" w:lineRule="auto"/>
        <w:ind w:firstLine="708"/>
        <w:jc w:val="both"/>
        <w:rPr>
          <w:rFonts w:ascii="Times New Roman" w:eastAsia="Times New Roman" w:hAnsi="Times New Roman" w:cs="Times New Roman"/>
          <w:sz w:val="24"/>
          <w:szCs w:val="24"/>
        </w:rPr>
      </w:pPr>
      <w:r w:rsidRPr="00DA7398">
        <w:rPr>
          <w:rFonts w:ascii="Times New Roman" w:eastAsia="Times New Roman" w:hAnsi="Times New Roman" w:cs="Times New Roman"/>
          <w:sz w:val="24"/>
          <w:szCs w:val="24"/>
        </w:rPr>
        <w:t>Regarding irregularities management, mechanisms for reporting, recording, and decision-making in cases of suspected corruption, fraud, financial misreporting, procurement irregularities, equipment misuse, or false information have not been adequately established.</w:t>
      </w:r>
    </w:p>
    <w:p w:rsidR="00DA7398" w:rsidRPr="00DA7398" w:rsidRDefault="00DA7398" w:rsidP="00DA7398">
      <w:pPr>
        <w:spacing w:beforeAutospacing="1" w:after="100" w:afterAutospacing="1" w:line="240" w:lineRule="auto"/>
        <w:ind w:firstLine="706"/>
        <w:jc w:val="both"/>
        <w:rPr>
          <w:rFonts w:ascii="Times New Roman" w:eastAsia="Times New Roman" w:hAnsi="Times New Roman" w:cs="Times New Roman"/>
          <w:sz w:val="24"/>
          <w:szCs w:val="24"/>
        </w:rPr>
      </w:pPr>
      <w:r w:rsidRPr="00DA7398">
        <w:rPr>
          <w:rFonts w:ascii="Times New Roman" w:eastAsia="Times New Roman" w:hAnsi="Times New Roman" w:cs="Times New Roman"/>
          <w:sz w:val="24"/>
          <w:szCs w:val="24"/>
        </w:rPr>
        <w:t>To strengthen these areas, the focus in the upcoming period—as reflected in the PFMRP 2026–2028 Action Plan—will be on introducing irregularities management within public sector organizations and improving risk management practices through targeted support to PSEs. Additionally, continued promotion of FMC is essential to highlight good management practices among public sector entities and enhance understanding of the benefits that well-established internal control systems provide to both managers and employees.</w:t>
      </w:r>
    </w:p>
    <w:p w:rsidR="00DA7398" w:rsidRPr="001A0DC8" w:rsidRDefault="00DA7398" w:rsidP="00A15900">
      <w:pPr>
        <w:spacing w:after="0" w:line="240" w:lineRule="auto"/>
        <w:rPr>
          <w:rFonts w:ascii="Times New Roman" w:eastAsia="Times New Roman" w:hAnsi="Times New Roman" w:cs="Times New Roman"/>
          <w:b/>
          <w:i/>
          <w:color w:val="365F91"/>
          <w:sz w:val="22"/>
          <w:szCs w:val="22"/>
          <w:lang w:val="sr-Cyrl-RS" w:eastAsia="en-GB"/>
        </w:rPr>
      </w:pPr>
    </w:p>
    <w:p w:rsidR="00C56C38" w:rsidRDefault="00F30F34" w:rsidP="00C56C38">
      <w:pPr>
        <w:spacing w:after="0" w:line="240" w:lineRule="auto"/>
        <w:ind w:firstLine="706"/>
        <w:rPr>
          <w:rFonts w:ascii="Times New Roman" w:eastAsia="Times New Roman" w:hAnsi="Times New Roman" w:cs="Times New Roman"/>
          <w:b/>
          <w:i/>
          <w:color w:val="365F91"/>
          <w:sz w:val="22"/>
          <w:szCs w:val="22"/>
          <w:lang w:val="sr-Cyrl-RS" w:eastAsia="en-GB"/>
        </w:rPr>
      </w:pPr>
      <w:r w:rsidRPr="00F30F34">
        <w:rPr>
          <w:rFonts w:ascii="Times New Roman" w:eastAsia="Times New Roman" w:hAnsi="Times New Roman" w:cs="Times New Roman"/>
          <w:b/>
          <w:i/>
          <w:color w:val="365F91"/>
          <w:sz w:val="22"/>
          <w:szCs w:val="22"/>
          <w:lang w:eastAsia="en-GB"/>
        </w:rPr>
        <w:t>Measure 4.2: Improved Internal Audit Function in the Public Sector in Accordance with International Standards and Principles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According to the Law on the Budget System and the Rulebook on Internal Audit, internal audit is defined as an activity that provides independent, objective assurance and consulting services with the purpose of adding value and improving an organization’s operations. It helps the organization achieve its objectives by systematically and disciplinedly evaluating and enhancing the effectiveness of risk management, control, and governance processes.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 xml:space="preserve">During the previous period, special emphasis was placed on amending the legal framework for internal audit to ensure broader coverage of the internal audit function. The </w:t>
      </w:r>
      <w:r w:rsidRPr="00F30F34">
        <w:rPr>
          <w:rFonts w:ascii="Times New Roman" w:eastAsia="Times New Roman" w:hAnsi="Times New Roman" w:cs="Times New Roman"/>
          <w:sz w:val="24"/>
          <w:szCs w:val="24"/>
        </w:rPr>
        <w:lastRenderedPageBreak/>
        <w:t>adopted amendments accelerated and simplified the process of certifying internal auditors in the public sector.</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In the upcoming programming period, the focus will be on aligning the existing regulatory framework and methodological materials with the new global standards for internal auditing. In line with this, improvements to the certification process for obtaining the title of Certified Internal Auditor in the public sector are being prepared. Under the previous PFMRP, activities within the measure related to modernization of training led to significant improvements in training and promotion of FMC and internal audit. The Central Harmonization Unit (CHU) developed an e-learning course on IT internal audit intended for public sector internal auditors, and organized continuous professional development training sessions for internal auditors. In the upcoming programming period, thematic workshops on various internal audit topics are planned.</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Within Measure 4.2, an activity implemented by the Office for Audit of EU Funds Management Systems in partnership with the CHU is included. This activity focuses on developing a model of the Internal Audit Charter, a Strategic and Annual Audit Plan based on a risk matrix for the audit universe, and a methodology for conducting horizontal audits. The goal of this activity is to expand the internal audit function to cover government services, thereby contributing directly to achieving the performance indicators at the level of this measure.</w:t>
      </w:r>
    </w:p>
    <w:p w:rsidR="00C56C38" w:rsidRPr="001F7E43" w:rsidRDefault="00C56C38" w:rsidP="00C56C38">
      <w:pPr>
        <w:spacing w:after="0" w:line="240" w:lineRule="auto"/>
        <w:ind w:firstLine="706"/>
        <w:rPr>
          <w:rFonts w:ascii="Times New Roman" w:eastAsia="Times New Roman" w:hAnsi="Times New Roman" w:cs="Times New Roman"/>
          <w:b/>
          <w:i/>
          <w:color w:val="365F91"/>
          <w:sz w:val="22"/>
          <w:szCs w:val="22"/>
          <w:lang w:val="sr-Cyrl-RS" w:eastAsia="en-GB"/>
        </w:rPr>
      </w:pPr>
    </w:p>
    <w:p w:rsidR="00C56C38" w:rsidRPr="001F7E43" w:rsidRDefault="00F30F34" w:rsidP="004D6DF0">
      <w:pPr>
        <w:spacing w:after="0" w:line="240" w:lineRule="auto"/>
        <w:ind w:firstLine="706"/>
        <w:rPr>
          <w:rFonts w:ascii="Times New Roman" w:eastAsia="Times New Roman" w:hAnsi="Times New Roman" w:cs="Times New Roman"/>
          <w:b/>
          <w:i/>
          <w:color w:val="365F91"/>
          <w:sz w:val="22"/>
          <w:szCs w:val="22"/>
          <w:lang w:val="sr-Cyrl-RS" w:eastAsia="en-GB"/>
        </w:rPr>
      </w:pPr>
      <w:r w:rsidRPr="00F30F34">
        <w:rPr>
          <w:rFonts w:ascii="Times New Roman" w:eastAsia="Times New Roman" w:hAnsi="Times New Roman" w:cs="Times New Roman"/>
          <w:b/>
          <w:i/>
          <w:color w:val="365F91"/>
          <w:sz w:val="22"/>
          <w:szCs w:val="22"/>
          <w:lang w:eastAsia="en-GB"/>
        </w:rPr>
        <w:t>Measure 4.3: Improvement of the IT System to Include Modules for Internal Control and Internal Audit</w:t>
      </w:r>
    </w:p>
    <w:p w:rsidR="00F30F34" w:rsidRPr="00F30F34" w:rsidRDefault="00F30F34" w:rsidP="008E4B1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The application for annual reporting on the Financial Management and Control (FMC) system and internal audit activities has become fully operational. Annual reporting is now carried out in an automated manner through the application developed in the previous period. Given the growing number of users reporting on FMC and internal audit, as well as the need to maintain registers for internal audit, further enhancement of the reporting application is planned in the coming period. A technical specification has been developed, providing for improvements to the reporting module and the development of new modules for FMC and internal audit. These upgrades will enable more systematic and efficient management of internal audit registers, maintenance of risk registers, and easier tracking of internal audit recommendations.</w:t>
      </w:r>
    </w:p>
    <w:p w:rsidR="004D6DF0" w:rsidRPr="008E4B14" w:rsidRDefault="00F30F34" w:rsidP="00F43562">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Overall, the activity under Measure 4.3 planned for the new programming period aims to strengthen the database of internal auditors, improve training and mentorship programs, and enhance automation of internal audit processes.</w:t>
      </w:r>
    </w:p>
    <w:p w:rsidR="00F30F34" w:rsidRDefault="00F30F34" w:rsidP="00251FB0">
      <w:pPr>
        <w:spacing w:after="0" w:line="240" w:lineRule="auto"/>
        <w:jc w:val="both"/>
        <w:rPr>
          <w:rFonts w:ascii="Calibri" w:eastAsia="Times New Roman" w:hAnsi="Calibri" w:cs="Calibri"/>
          <w:b/>
          <w:bCs/>
          <w:i/>
          <w:color w:val="1F4E79"/>
          <w:lang w:val="sr-Cyrl-RS" w:eastAsia="en-GB"/>
        </w:rPr>
      </w:pPr>
    </w:p>
    <w:p w:rsidR="00417DB9" w:rsidRPr="00B26B4D" w:rsidRDefault="00F30F34" w:rsidP="00B26B4D">
      <w:pPr>
        <w:pStyle w:val="Heading1"/>
        <w:jc w:val="center"/>
        <w:rPr>
          <w:rFonts w:ascii="Times New Roman" w:hAnsi="Times New Roman" w:cs="Times New Roman"/>
          <w:sz w:val="24"/>
          <w:szCs w:val="24"/>
        </w:rPr>
      </w:pPr>
      <w:r w:rsidRPr="00F30F34">
        <w:rPr>
          <w:rFonts w:ascii="Times New Roman" w:hAnsi="Times New Roman" w:cs="Times New Roman"/>
          <w:sz w:val="24"/>
          <w:szCs w:val="24"/>
        </w:rPr>
        <w:t>Specific Objective V: Improved Public Sector Accounting through the Application of International Public Sector Accounting Standards (IPSAS)</w:t>
      </w:r>
    </w:p>
    <w:p w:rsidR="00C12207" w:rsidRDefault="00C12207" w:rsidP="00251FB0">
      <w:pPr>
        <w:spacing w:after="0" w:line="240" w:lineRule="auto"/>
        <w:jc w:val="both"/>
        <w:rPr>
          <w:rFonts w:ascii="Times New Roman" w:hAnsi="Times New Roman" w:cs="Times New Roman"/>
          <w:sz w:val="24"/>
          <w:szCs w:val="21"/>
          <w:highlight w:val="cyan"/>
          <w:lang w:val="sr-Cyrl-RS"/>
        </w:rPr>
      </w:pPr>
    </w:p>
    <w:p w:rsidR="00496C9D" w:rsidRPr="00496C9D" w:rsidRDefault="00F30F34" w:rsidP="00496C9D">
      <w:pPr>
        <w:spacing w:after="0" w:line="240" w:lineRule="auto"/>
        <w:ind w:firstLine="706"/>
        <w:rPr>
          <w:rFonts w:ascii="Times New Roman" w:eastAsia="Times New Roman" w:hAnsi="Times New Roman" w:cs="Times New Roman"/>
          <w:b/>
          <w:i/>
          <w:color w:val="365F91"/>
          <w:sz w:val="22"/>
          <w:szCs w:val="22"/>
          <w:lang w:val="sr-Cyrl-RS" w:eastAsia="en-GB"/>
        </w:rPr>
      </w:pPr>
      <w:r w:rsidRPr="00F30F34">
        <w:rPr>
          <w:rFonts w:ascii="Times New Roman" w:eastAsia="Times New Roman" w:hAnsi="Times New Roman" w:cs="Times New Roman"/>
          <w:b/>
          <w:i/>
          <w:color w:val="365F91"/>
          <w:sz w:val="22"/>
          <w:szCs w:val="22"/>
          <w:lang w:eastAsia="en-GB"/>
        </w:rPr>
        <w:t>Measure 5.1: Implementation of IPSAS Cash-Basis Standards for All Budget Beneficiaries</w:t>
      </w:r>
    </w:p>
    <w:p w:rsidR="00496C9D" w:rsidRPr="00496C9D" w:rsidRDefault="00496C9D" w:rsidP="00496C9D">
      <w:pPr>
        <w:spacing w:after="0" w:line="240" w:lineRule="auto"/>
        <w:jc w:val="both"/>
        <w:rPr>
          <w:rFonts w:ascii="Times New Roman" w:hAnsi="Times New Roman" w:cs="Times New Roman"/>
          <w:sz w:val="24"/>
          <w:szCs w:val="21"/>
          <w:lang w:val="sr-Cyrl-RS"/>
        </w:rPr>
      </w:pP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Ensuring high-quality and transparent financial reporting through the application of International Public Sector Accounting Standards (IPSAS) contributes to greater fiscal accountability and more efficient management of public funds. Reporting in line with international practice ensures global comparability and the provision of consistent and comprehensible information to a wide range of users.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The implementation of IPSAS increases accountability in the use of public resources and provides information that enables more economical, efficient, and effective use of all assets managed by the public sector.</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In the previous period, to harmonize the accounting regulations of the Republic of Serbia with IPSAS, a Commission for Monitoring the Implementation of IPSAS was established. Additionally, the IPSAS Cash Basis Standard was translated into Serbian by the Association of Accountants and Auditors of Serbia (a member of IFAC). In cooperation with consultants, the relevant national regulations were amended to ensure alignment with IPSAS Cash Basis standards. The Rulebook on the Preparation, Compilation, and Submission of Financial Statements of Budget Beneficiaries and Beneficiaries of Mandatory Social Security Funds was adopted, regulating the preparation, structure, and submission of financial statements and defining the content of reporting forms. Furthermore, the Rulebook on Accounting Policies of Budget Beneficiaries and Beneficiaries of Mandatory Social Security Funds was adopted, prescribing the accounting policies to be used for preparing, compiling, and presenting financial statements in line with IPSAS Cash Basis standards. To improve the competencies of public sector accountants, several training sessions and workshops have been organized in recent years.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The key indicator of improved financial reporting quality in the application of IPSAS Cash Basis standards will be the report of the State Audit Institution on the audit of the Final Account of the Budget of the Republic of Serbia or a separate report. This report will include the State Audit Institution’s opinion on whether the financial report complies with IPSAS Cash Basis requirements.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At the measure level, the main indicator for all budget beneficiaries will be the Draft Financial Statement prepared in accordance with IPSAS Cash Basis standards.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Implementation of this measure requires the preparation of financial statements in compliance with IPSAS Cash Basis – including the development of reports reflecting actual cash inflows and outflows, consistent with IPSAS requirements.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To ensure transparency and a better understanding of financial data, detailed notes and explanations accompanying the financial statements will be prepared, providing additional information on significant items, policies, and transactions.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 xml:space="preserve">Improving the professional competence of accountants will remain one of the main priorities for strengthening the entire accounting system. In this regard, the Commission for Monitoring the Implementation of IPSAS will be invited, when necessary, to provide opinions on the development of detailed guidelines or training programs for bookkeeping, preparation, and presentation of financial statements in line with IPSAS. This will facilitate the acquisition </w:t>
      </w:r>
      <w:r w:rsidRPr="00F30F34">
        <w:rPr>
          <w:rFonts w:ascii="Times New Roman" w:eastAsia="Times New Roman" w:hAnsi="Times New Roman" w:cs="Times New Roman"/>
          <w:sz w:val="24"/>
          <w:szCs w:val="24"/>
        </w:rPr>
        <w:lastRenderedPageBreak/>
        <w:t>of knowledge required for IPSAS implementation and further strengthen human resource capacities in the field of public sector accounting.</w:t>
      </w:r>
    </w:p>
    <w:p w:rsidR="00496C9D" w:rsidRPr="00496C9D" w:rsidRDefault="00496C9D" w:rsidP="00496C9D">
      <w:pPr>
        <w:spacing w:after="0" w:line="240" w:lineRule="auto"/>
        <w:jc w:val="both"/>
        <w:rPr>
          <w:rFonts w:ascii="Times New Roman" w:hAnsi="Times New Roman" w:cs="Times New Roman"/>
          <w:sz w:val="24"/>
          <w:szCs w:val="21"/>
          <w:lang w:val="sr-Cyrl-RS"/>
        </w:rPr>
      </w:pPr>
    </w:p>
    <w:p w:rsidR="00496C9D" w:rsidRPr="004D6DF0" w:rsidRDefault="00F30F34" w:rsidP="004D6DF0">
      <w:pPr>
        <w:spacing w:after="0" w:line="240" w:lineRule="auto"/>
        <w:ind w:firstLine="706"/>
        <w:rPr>
          <w:rFonts w:ascii="Times New Roman" w:eastAsia="Times New Roman" w:hAnsi="Times New Roman" w:cs="Times New Roman"/>
          <w:b/>
          <w:i/>
          <w:color w:val="365F91"/>
          <w:sz w:val="22"/>
          <w:szCs w:val="22"/>
          <w:lang w:val="sr-Cyrl-RS" w:eastAsia="en-GB"/>
        </w:rPr>
      </w:pPr>
      <w:r w:rsidRPr="00F30F34">
        <w:rPr>
          <w:rFonts w:ascii="Times New Roman" w:eastAsia="Times New Roman" w:hAnsi="Times New Roman" w:cs="Times New Roman"/>
          <w:b/>
          <w:i/>
          <w:color w:val="365F91"/>
          <w:sz w:val="22"/>
          <w:szCs w:val="22"/>
          <w:lang w:eastAsia="en-GB"/>
        </w:rPr>
        <w:t>Measure 5.2: Further Improvements of Budgetary Accounting According to the Public Sector Accounting Improvement Plan in Line with IPSAS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This measure focuses on the gradual improvement of the normative and institutional framework of public sector accounting. The main result within this measure will be the development of the Public Sector Accounting Improvement Plan in line with IPSAS, which will serve as a roadmap for further activities and steps toward full alignment with international standards.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The planned activities will include the preparation of the Accounting Improvement Plan, with defined recommendations for the development and modernization of IT systems to support better reporting and the implementation of IPSAS.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By developing the guidelines set out in the Accounting Improvement Plan, the foundations will be established for a systematic approach to harmonizing national budgetary accounting with IPSAS standards, thereby improving the quality of financial reporting and strengthening trust in public finances.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In addition, the IPSAS standards will be translated and made available in Serbian, and the professional capacities of Treasury Administration staff will be enhanced through targeted training, including study visits focused on analyzing the alignment of Serbia’s budgetary accounting with that of countries already applying IPSAS. These visits aim to facilitate the transfer of practical experience and identification of good practices.</w:t>
      </w:r>
    </w:p>
    <w:p w:rsidR="00F30F34" w:rsidRPr="00F30F34" w:rsidRDefault="00F30F34" w:rsidP="00F30F34">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Countries with similar legal and institutional frameworks that have already successfully implemented IPSAS will be carefully selected. Study visits will be organized to learn about their implementation approaches, legislative solutions, IT systems, and staff training methods. This will lay the groundwork for more consistent and effective application of IPSAS standards in the subsequent phases of the reform.</w:t>
      </w:r>
    </w:p>
    <w:p w:rsidR="004D6DF0" w:rsidRDefault="004D6DF0" w:rsidP="00251FB0">
      <w:pPr>
        <w:spacing w:after="0" w:line="240" w:lineRule="auto"/>
        <w:jc w:val="both"/>
        <w:rPr>
          <w:rFonts w:ascii="Times New Roman" w:hAnsi="Times New Roman" w:cs="Times New Roman"/>
          <w:sz w:val="24"/>
          <w:szCs w:val="21"/>
          <w:highlight w:val="cyan"/>
          <w:lang w:val="sr-Cyrl-RS"/>
        </w:rPr>
      </w:pPr>
    </w:p>
    <w:p w:rsidR="004D6DF0" w:rsidRDefault="004D6DF0" w:rsidP="00251FB0">
      <w:pPr>
        <w:spacing w:after="0" w:line="240" w:lineRule="auto"/>
        <w:jc w:val="both"/>
        <w:rPr>
          <w:rFonts w:ascii="Times New Roman" w:hAnsi="Times New Roman" w:cs="Times New Roman"/>
          <w:sz w:val="24"/>
          <w:szCs w:val="21"/>
          <w:highlight w:val="cyan"/>
          <w:lang w:val="sr-Cyrl-RS"/>
        </w:rPr>
      </w:pPr>
    </w:p>
    <w:p w:rsidR="000E082B" w:rsidRPr="00B26B4D" w:rsidRDefault="00F30F34" w:rsidP="00B26B4D">
      <w:pPr>
        <w:pStyle w:val="Heading1"/>
        <w:jc w:val="center"/>
        <w:rPr>
          <w:rFonts w:ascii="Times New Roman" w:hAnsi="Times New Roman" w:cs="Times New Roman"/>
          <w:sz w:val="24"/>
          <w:szCs w:val="24"/>
        </w:rPr>
      </w:pPr>
      <w:r w:rsidRPr="00F30F34">
        <w:rPr>
          <w:rFonts w:ascii="Times New Roman" w:hAnsi="Times New Roman" w:cs="Times New Roman"/>
          <w:sz w:val="24"/>
          <w:szCs w:val="24"/>
        </w:rPr>
        <w:t>Specific Objective VI: Strengthening External Oversight of Public Finances</w:t>
      </w:r>
    </w:p>
    <w:p w:rsidR="00417DB9" w:rsidRDefault="00417DB9" w:rsidP="00251FB0">
      <w:pPr>
        <w:spacing w:after="0" w:line="240" w:lineRule="auto"/>
        <w:jc w:val="both"/>
        <w:rPr>
          <w:rFonts w:ascii="Times New Roman" w:hAnsi="Times New Roman" w:cs="Times New Roman"/>
          <w:sz w:val="24"/>
          <w:szCs w:val="21"/>
          <w:highlight w:val="cyan"/>
          <w:lang w:val="sr-Cyrl-RS"/>
        </w:rPr>
      </w:pPr>
    </w:p>
    <w:p w:rsidR="000E082B" w:rsidRPr="001F7E43" w:rsidRDefault="00F30F34" w:rsidP="001F7E43">
      <w:pPr>
        <w:spacing w:after="0" w:line="240" w:lineRule="auto"/>
        <w:ind w:firstLine="706"/>
        <w:rPr>
          <w:rFonts w:ascii="Times New Roman" w:eastAsia="Times New Roman" w:hAnsi="Times New Roman" w:cs="Times New Roman"/>
          <w:b/>
          <w:i/>
          <w:color w:val="365F91"/>
          <w:sz w:val="22"/>
          <w:szCs w:val="22"/>
          <w:lang w:val="sr-Cyrl-RS" w:eastAsia="en-GB"/>
        </w:rPr>
      </w:pPr>
      <w:r w:rsidRPr="00F30F34">
        <w:rPr>
          <w:rFonts w:ascii="Times New Roman" w:eastAsia="Times New Roman" w:hAnsi="Times New Roman" w:cs="Times New Roman"/>
          <w:b/>
          <w:i/>
          <w:color w:val="365F91"/>
          <w:sz w:val="22"/>
          <w:szCs w:val="22"/>
          <w:lang w:eastAsia="en-GB"/>
        </w:rPr>
        <w:t>Measure 6.1: Strengthening the Efficiency and Impact of External Audit through the Integration of Modern Technologies, Improvement of Methodology, and Communication with Stakeholders</w:t>
      </w:r>
    </w:p>
    <w:p w:rsidR="00F30F34" w:rsidRPr="00F30F34" w:rsidRDefault="00F30F34" w:rsidP="0061335D">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 xml:space="preserve">In the previous programming period, the State Audit Institution (SAI) significantly improved the scope and quality of its work in the areas of performance and compliance audits. Between 2021 and 2024, a total of 64 performance audits were conducted, and 71 performance audit reports were published, establishing this type of audit as a standard practice within the </w:t>
      </w:r>
      <w:r w:rsidRPr="00F30F34">
        <w:rPr>
          <w:rFonts w:ascii="Times New Roman" w:eastAsia="Times New Roman" w:hAnsi="Times New Roman" w:cs="Times New Roman"/>
          <w:sz w:val="24"/>
          <w:szCs w:val="24"/>
        </w:rPr>
        <w:lastRenderedPageBreak/>
        <w:t>SAI. These reports covered topics of great public importance, with the selection of audit subjects based on risk assessment, relevance to citizens, and the potential to improve public financial management. The expansion of performance audits increased public interest in the SAI’s reports and strengthened the institution’s role in promoting public accountability.</w:t>
      </w:r>
    </w:p>
    <w:p w:rsidR="00F30F34" w:rsidRPr="00F30F34" w:rsidRDefault="00F30F34" w:rsidP="0061335D">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Alongside the expansion of audit coverage, the SAI worked on improving its methodological framework. Internal procedures were enhanced, and new methodological documents were developed. Guidelines were prepared for formulating findings, conclusions, and recommendations to standardize reporting and facilitate the implementation of recommendations by audited entities. Risk analysis procedures, topic selection, and report structure were also improved. To further enhance the monitoring of recommendation implementation, the SAI upgraded its internal recommendation tracking system. Transparency of SAI’s work was also strengthened through the development and use of communication tools targeting different stakeholder groups. In its cooperation with the National Assembly, the SAI improved the presentation of its results and deepened collaboration with the Committee on Finance, the Republic Budget, and the Control of Public Spending, as well as the Subcommittee for Reviewing SAI Audit Reports.</w:t>
      </w:r>
    </w:p>
    <w:p w:rsidR="00F30F34" w:rsidRPr="00F30F34" w:rsidRDefault="00F30F34" w:rsidP="0061335D">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Further improvement of the efficiency and impact of external audit represents one of the key contributions to strengthening public accountability, transparency, and trust in the management of public funds. Under Measure 6.1, the SAI will develop and apply enhanced methodological frameworks for conducting performance and compliance audits, including procedures for topic selection, formulation of findings and recommendations, and drafting reports with a stronger focus on impact. Special attention will be devoted to establishing the foundations for follow-up audits—audits of effects—in line with good international practice. Guidelines and procedures will be developed to ensure consistent application of standards and greater practical relevance of recommendations.</w:t>
      </w:r>
    </w:p>
    <w:p w:rsidR="00F30F34" w:rsidRPr="00F30F34" w:rsidRDefault="00F30F34" w:rsidP="0061335D">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The introduction of technological solutions will be implemented in phases: research and design → pilot testing in selected audits → full rollout across relevant teams, in line with the SAI’s Strategy for the Use of Technology in Auditing and the Audit of Technology Use by Public Sector Entities for the period 2025–2028. The modernization of audit processes through the integration of advanced technologies will ensure that the SAI remains relevant and efficient in line with modern trends and challenges arising from digital transformation in the public sector. Audit process development will include the use of advanced technologies in audits, audits of technology systems used by public sector entities, and the strengthening of digital skills and capacities of SAI staff.</w:t>
      </w:r>
    </w:p>
    <w:p w:rsidR="00F30F34" w:rsidRPr="00F30F34" w:rsidRDefault="00F30F34" w:rsidP="0061335D">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In addition, the SAI will invest in strengthening communication with key stakeholders—primarily the National Assembly, through regular presentation of audit reports to the Committee on Finance, the Republic Budget, and the Control of Public Spending, as well as the Subcommittee for Reviewing SAI Audit Reports—while continuously improving communication with the public. This will allow better use of audit reports in decision-making and in tracking the implementation of recommendations.</w:t>
      </w:r>
    </w:p>
    <w:p w:rsidR="00F30F34" w:rsidRPr="00F30F34" w:rsidRDefault="00F30F34" w:rsidP="0061335D">
      <w:pPr>
        <w:spacing w:beforeAutospacing="1" w:after="100" w:afterAutospacing="1" w:line="240" w:lineRule="auto"/>
        <w:ind w:firstLine="706"/>
        <w:jc w:val="both"/>
        <w:rPr>
          <w:rFonts w:ascii="Times New Roman" w:eastAsia="Times New Roman" w:hAnsi="Times New Roman" w:cs="Times New Roman"/>
          <w:sz w:val="24"/>
          <w:szCs w:val="24"/>
        </w:rPr>
      </w:pPr>
      <w:r w:rsidRPr="00F30F34">
        <w:rPr>
          <w:rFonts w:ascii="Times New Roman" w:eastAsia="Times New Roman" w:hAnsi="Times New Roman" w:cs="Times New Roman"/>
          <w:sz w:val="24"/>
          <w:szCs w:val="24"/>
        </w:rPr>
        <w:t>The measure also includes investment in human resource development through training, on-the-job learning, peer mentoring, and internal knowledge exchange, as well as the creation of an internal database of audit findings and good practices, aimed at ensuring consistency and continuous improvement of audit practices.</w:t>
      </w:r>
    </w:p>
    <w:p w:rsidR="000E082B" w:rsidRPr="009152CD" w:rsidRDefault="000E082B" w:rsidP="00251FB0">
      <w:pPr>
        <w:spacing w:after="0" w:line="240" w:lineRule="auto"/>
        <w:jc w:val="both"/>
        <w:rPr>
          <w:rFonts w:ascii="Times New Roman" w:hAnsi="Times New Roman" w:cs="Times New Roman"/>
          <w:sz w:val="22"/>
          <w:szCs w:val="22"/>
          <w:highlight w:val="cyan"/>
          <w:lang w:val="sr-Cyrl-RS"/>
        </w:rPr>
      </w:pPr>
    </w:p>
    <w:p w:rsidR="000F493F" w:rsidRPr="004D6DF0" w:rsidRDefault="00A862B9" w:rsidP="004D6DF0">
      <w:pPr>
        <w:spacing w:after="0" w:line="240" w:lineRule="auto"/>
        <w:ind w:firstLine="706"/>
        <w:rPr>
          <w:rFonts w:ascii="Calibri" w:eastAsia="Times New Roman" w:hAnsi="Calibri" w:cs="Calibri"/>
          <w:b/>
          <w:i/>
          <w:color w:val="365F91"/>
          <w:sz w:val="22"/>
          <w:szCs w:val="22"/>
          <w:lang w:eastAsia="en-GB"/>
        </w:rPr>
      </w:pPr>
      <w:r w:rsidRPr="009152CD">
        <w:rPr>
          <w:rFonts w:ascii="Times New Roman" w:eastAsia="Times New Roman" w:hAnsi="Times New Roman" w:cs="Times New Roman"/>
          <w:b/>
          <w:i/>
          <w:color w:val="365F91"/>
          <w:sz w:val="22"/>
          <w:szCs w:val="22"/>
          <w:lang w:eastAsia="en-GB"/>
        </w:rPr>
        <w:t>Measure 6.2: Ensuring Effective Parliamentary Oversight of Public Finances</w:t>
      </w:r>
    </w:p>
    <w:p w:rsidR="00A862B9" w:rsidRPr="00A862B9" w:rsidRDefault="00A862B9" w:rsidP="00A862B9">
      <w:pPr>
        <w:spacing w:beforeAutospacing="1" w:after="100" w:afterAutospacing="1" w:line="240" w:lineRule="auto"/>
        <w:ind w:firstLine="706"/>
        <w:jc w:val="both"/>
        <w:rPr>
          <w:rFonts w:ascii="Times New Roman" w:eastAsia="Times New Roman" w:hAnsi="Times New Roman" w:cs="Times New Roman"/>
          <w:sz w:val="24"/>
          <w:szCs w:val="24"/>
        </w:rPr>
      </w:pPr>
      <w:r w:rsidRPr="00A862B9">
        <w:rPr>
          <w:rFonts w:ascii="Times New Roman" w:eastAsia="Times New Roman" w:hAnsi="Times New Roman" w:cs="Times New Roman"/>
          <w:sz w:val="24"/>
          <w:szCs w:val="24"/>
        </w:rPr>
        <w:t>Since the establishment of the Public Financial Management Reform Program, the system of external oversight of public finances has been based on the partnership between two independent bodies — the State Audit Institution (SAI) and the National Assembly of the Republic of Serbia, through its Committee on Finance, the Republic Budget and Control of Public Spending. In June 2015, these institutions signed a Memorandum of Understanding, which defined the framework for the exchange of information related to the implementation, adoption, and enforcement of policies and regulations, as well as to projects, activities, and initiatives in the field of financial control and accountability. Parliamentary oversight of public finances was significantly strengthened by the establishment of the Subcommittee for Reviewing the State Audit Institution’s Audit Reports and further improved through the adoption of the Guidelines for Reviewing SAI Audit Reports on Public Sector Entities.</w:t>
      </w:r>
    </w:p>
    <w:p w:rsidR="00A862B9" w:rsidRPr="00A862B9" w:rsidRDefault="00A862B9" w:rsidP="00A862B9">
      <w:pPr>
        <w:spacing w:beforeAutospacing="1" w:after="100" w:afterAutospacing="1" w:line="240" w:lineRule="auto"/>
        <w:ind w:firstLine="706"/>
        <w:jc w:val="both"/>
        <w:rPr>
          <w:rFonts w:ascii="Times New Roman" w:eastAsia="Times New Roman" w:hAnsi="Times New Roman" w:cs="Times New Roman"/>
          <w:sz w:val="24"/>
          <w:szCs w:val="24"/>
        </w:rPr>
      </w:pPr>
      <w:r w:rsidRPr="00A862B9">
        <w:rPr>
          <w:rFonts w:ascii="Times New Roman" w:eastAsia="Times New Roman" w:hAnsi="Times New Roman" w:cs="Times New Roman"/>
          <w:sz w:val="24"/>
          <w:szCs w:val="24"/>
        </w:rPr>
        <w:t>In line with the recommendations of the PEFA assessment for Serbia, the Committee will continue to develop its oversight function over the next five-year period, particularly by organizing Committee and Subcommittee sessions outside the National Assembly headquarters, where SAI audit reports will be discussed in the presence of representatives of audited institutions and, when necessary, other relevant authorities and organizations at both the central and local levels. To strengthen parliamentary oversight of public finances, the Committee will monitor the implementation of measures outlined in the conclusions of the National Assembly adopted upon consideration of the State Audit Institution’s annual report. These measures often involve the preparation of new regulations or amendments to existing ones, as identified in the SAI’s annual report, which the Government is expected to submit to the National Assembly for review and approval. To improve the efficiency of oversight and track the implementation of the National Assembly’s conclusions—particularly those falling under the competence of the Government and the Ministry of Finance—the Ministry will periodically submit progress reports on actions taken in response to the National Assembly’s conclusions following the adoption of the SAI’s annual report.</w:t>
      </w:r>
    </w:p>
    <w:p w:rsidR="00A862B9" w:rsidRPr="00A862B9" w:rsidRDefault="00A862B9" w:rsidP="00A862B9">
      <w:pPr>
        <w:spacing w:beforeAutospacing="1" w:after="100" w:afterAutospacing="1" w:line="240" w:lineRule="auto"/>
        <w:ind w:firstLine="706"/>
        <w:jc w:val="both"/>
        <w:rPr>
          <w:rFonts w:ascii="Times New Roman" w:eastAsia="Times New Roman" w:hAnsi="Times New Roman" w:cs="Times New Roman"/>
          <w:sz w:val="24"/>
          <w:szCs w:val="24"/>
        </w:rPr>
      </w:pPr>
      <w:r w:rsidRPr="00A862B9">
        <w:rPr>
          <w:rFonts w:ascii="Times New Roman" w:eastAsia="Times New Roman" w:hAnsi="Times New Roman" w:cs="Times New Roman"/>
          <w:sz w:val="24"/>
          <w:szCs w:val="24"/>
        </w:rPr>
        <w:t>As one of the PEFA recommendations highlighted the need for broader involvement of other parliamentary committees in the review of audit reports, the Committee will, in the upcoming period, hold joint sessions with other relevant committees to further enhance the efficiency of public spending oversight and increase the implementation of recommendations related to drafting new or amending existing regulations. These joint sessions—primarily focusing on performance audit reports—will be held with the participation of SAI representatives as well as other relevant authorities and institutions. The ultimate goal of such sessions is to develop joint conclusions by the competent committees, which would then be submitted to the National Assembly for consideration and adoption. This approach will ensure stronger supervision over the use of public funds and reinforce the overall public financial management system.</w:t>
      </w:r>
    </w:p>
    <w:p w:rsidR="00A862B9" w:rsidRPr="00A862B9" w:rsidRDefault="00A862B9" w:rsidP="00A862B9">
      <w:pPr>
        <w:spacing w:beforeAutospacing="1" w:after="100" w:afterAutospacing="1" w:line="240" w:lineRule="auto"/>
        <w:ind w:firstLine="706"/>
        <w:jc w:val="both"/>
        <w:rPr>
          <w:rFonts w:ascii="Times New Roman" w:eastAsia="Times New Roman" w:hAnsi="Times New Roman" w:cs="Times New Roman"/>
          <w:sz w:val="24"/>
          <w:szCs w:val="24"/>
        </w:rPr>
      </w:pPr>
      <w:r w:rsidRPr="00A862B9">
        <w:rPr>
          <w:rFonts w:ascii="Times New Roman" w:eastAsia="Times New Roman" w:hAnsi="Times New Roman" w:cs="Times New Roman"/>
          <w:sz w:val="24"/>
          <w:szCs w:val="24"/>
        </w:rPr>
        <w:t xml:space="preserve">In addition to recommendations aimed at strengthening executive accountability to the National Assembly, the previous PEFA assessment also encouraged public participation in the preparation and oversight of the budget. In this regard, alongside measures to enhance its control function in relation to audited entities, the National Assembly plans to continue organizing public hearings on the Draft Law on the Budget and the Draft Law on the Final Account of the Budget of the Republic of Serbia. Based on the Rules of Procedure of the </w:t>
      </w:r>
      <w:r w:rsidRPr="00A862B9">
        <w:rPr>
          <w:rFonts w:ascii="Times New Roman" w:eastAsia="Times New Roman" w:hAnsi="Times New Roman" w:cs="Times New Roman"/>
          <w:sz w:val="24"/>
          <w:szCs w:val="24"/>
        </w:rPr>
        <w:lastRenderedPageBreak/>
        <w:t>National Assembly, which allow each committee to hold public hearings to gather expert opinions and clarifications on proposed legislation, the Committee on Finance, the Republic Budget and Control of Public Spending will continue organizing such hearings. This will provide Members of Parliament and other participants the opportunity to raise questions and obtain timely information before the start of the plenary debate, thereby promoting greater transparency and public engagement in the parliamentary budget process.</w:t>
      </w:r>
    </w:p>
    <w:p w:rsidR="004D23EA" w:rsidRDefault="004D23EA" w:rsidP="00836B41">
      <w:pPr>
        <w:pStyle w:val="Heading5"/>
        <w:rPr>
          <w:rFonts w:ascii="Times New Roman" w:hAnsi="Times New Roman" w:cs="Times New Roman"/>
          <w:sz w:val="24"/>
          <w:szCs w:val="24"/>
        </w:rPr>
        <w:sectPr w:rsidR="004D23EA" w:rsidSect="005B6C61">
          <w:headerReference w:type="even" r:id="rId23"/>
          <w:headerReference w:type="default" r:id="rId24"/>
          <w:footerReference w:type="default" r:id="rId25"/>
          <w:headerReference w:type="first" r:id="rId26"/>
          <w:pgSz w:w="11906" w:h="16838"/>
          <w:pgMar w:top="1440" w:right="1440" w:bottom="1440" w:left="1440" w:header="432" w:footer="720" w:gutter="0"/>
          <w:cols w:space="720"/>
          <w:docGrid w:linePitch="360"/>
        </w:sectPr>
      </w:pPr>
    </w:p>
    <w:p w:rsidR="004D23EA" w:rsidRPr="004D23EA" w:rsidRDefault="004D23EA" w:rsidP="004D23EA">
      <w:pPr>
        <w:pStyle w:val="Heading5"/>
        <w:jc w:val="center"/>
        <w:rPr>
          <w:rFonts w:ascii="Times New Roman" w:hAnsi="Times New Roman" w:cs="Times New Roman"/>
          <w:sz w:val="24"/>
          <w:szCs w:val="24"/>
        </w:rPr>
      </w:pPr>
    </w:p>
    <w:p w:rsidR="004D23EA" w:rsidRPr="00CA73DE" w:rsidRDefault="00A862B9" w:rsidP="00B26B4D">
      <w:pPr>
        <w:pStyle w:val="Heading1"/>
        <w:jc w:val="center"/>
        <w:rPr>
          <w:rFonts w:ascii="Times New Roman" w:hAnsi="Times New Roman" w:cs="Times New Roman"/>
          <w:sz w:val="24"/>
          <w:szCs w:val="24"/>
        </w:rPr>
      </w:pPr>
      <w:r w:rsidRPr="00A862B9">
        <w:rPr>
          <w:rFonts w:ascii="Times New Roman" w:hAnsi="Times New Roman" w:cs="Times New Roman"/>
          <w:sz w:val="24"/>
          <w:szCs w:val="24"/>
        </w:rPr>
        <w:t>Key Performance Indicators in Relation to the General and Specific Objectives and the Measures for Their Implementation</w:t>
      </w:r>
    </w:p>
    <w:p w:rsidR="004D23EA" w:rsidRDefault="004D23EA" w:rsidP="00426D9C">
      <w:pPr>
        <w:spacing w:after="0" w:line="240" w:lineRule="auto"/>
        <w:ind w:firstLine="706"/>
        <w:jc w:val="both"/>
        <w:rPr>
          <w:rFonts w:ascii="Times New Roman" w:hAnsi="Times New Roman" w:cs="Times New Roman"/>
          <w:sz w:val="24"/>
          <w:szCs w:val="24"/>
          <w:lang w:val="sr-Cyrl-RS"/>
        </w:rPr>
      </w:pPr>
    </w:p>
    <w:p w:rsidR="004D23EA" w:rsidRDefault="004D23EA" w:rsidP="00426D9C">
      <w:pPr>
        <w:spacing w:after="0" w:line="240" w:lineRule="auto"/>
        <w:ind w:firstLine="706"/>
        <w:jc w:val="both"/>
        <w:rPr>
          <w:rFonts w:ascii="Times New Roman" w:hAnsi="Times New Roman" w:cs="Times New Roman"/>
          <w:sz w:val="24"/>
          <w:szCs w:val="24"/>
          <w:lang w:val="sr-Cyrl-R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8"/>
        <w:gridCol w:w="1771"/>
        <w:gridCol w:w="1312"/>
        <w:gridCol w:w="1312"/>
        <w:gridCol w:w="1509"/>
        <w:gridCol w:w="1524"/>
      </w:tblGrid>
      <w:tr w:rsidR="007E62F4" w:rsidRPr="00E61FCC" w:rsidTr="00E61FCC">
        <w:trPr>
          <w:tblHeader/>
          <w:tblCellSpacing w:w="15" w:type="dxa"/>
        </w:trPr>
        <w:tc>
          <w:tcPr>
            <w:tcW w:w="0" w:type="auto"/>
            <w:vAlign w:val="center"/>
            <w:hideMark/>
          </w:tcPr>
          <w:p w:rsidR="00E61FCC" w:rsidRPr="00E61FCC" w:rsidRDefault="00E61FCC" w:rsidP="00E61FCC">
            <w:pPr>
              <w:spacing w:before="0" w:after="0" w:line="240" w:lineRule="auto"/>
              <w:jc w:val="center"/>
              <w:rPr>
                <w:rFonts w:ascii="Times New Roman" w:eastAsia="Times New Roman" w:hAnsi="Times New Roman" w:cs="Times New Roman"/>
                <w:b/>
                <w:bCs/>
                <w:sz w:val="24"/>
                <w:szCs w:val="24"/>
              </w:rPr>
            </w:pPr>
            <w:r w:rsidRPr="00E61FCC">
              <w:rPr>
                <w:rFonts w:ascii="Times New Roman" w:eastAsia="Times New Roman" w:hAnsi="Times New Roman" w:cs="Times New Roman"/>
                <w:b/>
                <w:bCs/>
                <w:sz w:val="24"/>
                <w:szCs w:val="24"/>
              </w:rPr>
              <w:t>Objectives</w:t>
            </w:r>
          </w:p>
        </w:tc>
        <w:tc>
          <w:tcPr>
            <w:tcW w:w="0" w:type="auto"/>
            <w:vAlign w:val="center"/>
            <w:hideMark/>
          </w:tcPr>
          <w:p w:rsidR="00E61FCC" w:rsidRPr="00E61FCC" w:rsidRDefault="00E61FCC" w:rsidP="00E61FCC">
            <w:pPr>
              <w:spacing w:before="0" w:after="0" w:line="240" w:lineRule="auto"/>
              <w:jc w:val="center"/>
              <w:rPr>
                <w:rFonts w:ascii="Times New Roman" w:eastAsia="Times New Roman" w:hAnsi="Times New Roman" w:cs="Times New Roman"/>
                <w:b/>
                <w:bCs/>
                <w:sz w:val="24"/>
                <w:szCs w:val="24"/>
              </w:rPr>
            </w:pPr>
            <w:r w:rsidRPr="00E61FCC">
              <w:rPr>
                <w:rFonts w:ascii="Times New Roman" w:eastAsia="Times New Roman" w:hAnsi="Times New Roman" w:cs="Times New Roman"/>
                <w:b/>
                <w:bCs/>
                <w:sz w:val="24"/>
                <w:szCs w:val="24"/>
              </w:rPr>
              <w:t>Indicator</w:t>
            </w:r>
          </w:p>
        </w:tc>
        <w:tc>
          <w:tcPr>
            <w:tcW w:w="0" w:type="auto"/>
            <w:vAlign w:val="center"/>
            <w:hideMark/>
          </w:tcPr>
          <w:p w:rsidR="00E61FCC" w:rsidRPr="00E61FCC" w:rsidRDefault="00E61FCC" w:rsidP="00E61FCC">
            <w:pPr>
              <w:spacing w:before="0" w:after="0" w:line="240" w:lineRule="auto"/>
              <w:jc w:val="center"/>
              <w:rPr>
                <w:rFonts w:ascii="Times New Roman" w:eastAsia="Times New Roman" w:hAnsi="Times New Roman" w:cs="Times New Roman"/>
                <w:b/>
                <w:bCs/>
                <w:sz w:val="24"/>
                <w:szCs w:val="24"/>
              </w:rPr>
            </w:pPr>
            <w:r w:rsidRPr="00E61FCC">
              <w:rPr>
                <w:rFonts w:ascii="Times New Roman" w:eastAsia="Times New Roman" w:hAnsi="Times New Roman" w:cs="Times New Roman"/>
                <w:b/>
                <w:bCs/>
                <w:sz w:val="24"/>
                <w:szCs w:val="24"/>
              </w:rPr>
              <w:t>Baseline Value</w:t>
            </w:r>
          </w:p>
        </w:tc>
        <w:tc>
          <w:tcPr>
            <w:tcW w:w="0" w:type="auto"/>
            <w:vAlign w:val="center"/>
            <w:hideMark/>
          </w:tcPr>
          <w:p w:rsidR="00E61FCC" w:rsidRPr="00E61FCC" w:rsidRDefault="00E61FCC" w:rsidP="00E61FCC">
            <w:pPr>
              <w:spacing w:before="0" w:after="0" w:line="240" w:lineRule="auto"/>
              <w:jc w:val="center"/>
              <w:rPr>
                <w:rFonts w:ascii="Times New Roman" w:eastAsia="Times New Roman" w:hAnsi="Times New Roman" w:cs="Times New Roman"/>
                <w:b/>
                <w:bCs/>
                <w:sz w:val="24"/>
                <w:szCs w:val="24"/>
              </w:rPr>
            </w:pPr>
            <w:r w:rsidRPr="00E61FCC">
              <w:rPr>
                <w:rFonts w:ascii="Times New Roman" w:eastAsia="Times New Roman" w:hAnsi="Times New Roman" w:cs="Times New Roman"/>
                <w:b/>
                <w:bCs/>
                <w:sz w:val="24"/>
                <w:szCs w:val="24"/>
              </w:rPr>
              <w:t>Target Value 2028</w:t>
            </w:r>
          </w:p>
        </w:tc>
        <w:tc>
          <w:tcPr>
            <w:tcW w:w="0" w:type="auto"/>
            <w:vAlign w:val="center"/>
            <w:hideMark/>
          </w:tcPr>
          <w:p w:rsidR="00E61FCC" w:rsidRPr="00E61FCC" w:rsidRDefault="00E61FCC" w:rsidP="00E61FCC">
            <w:pPr>
              <w:spacing w:before="0" w:after="0" w:line="240" w:lineRule="auto"/>
              <w:jc w:val="center"/>
              <w:rPr>
                <w:rFonts w:ascii="Times New Roman" w:eastAsia="Times New Roman" w:hAnsi="Times New Roman" w:cs="Times New Roman"/>
                <w:b/>
                <w:bCs/>
                <w:sz w:val="24"/>
                <w:szCs w:val="24"/>
              </w:rPr>
            </w:pPr>
            <w:r w:rsidRPr="00E61FCC">
              <w:rPr>
                <w:rFonts w:ascii="Times New Roman" w:eastAsia="Times New Roman" w:hAnsi="Times New Roman" w:cs="Times New Roman"/>
                <w:b/>
                <w:bCs/>
                <w:sz w:val="24"/>
                <w:szCs w:val="24"/>
              </w:rPr>
              <w:t>Responsible Institution</w:t>
            </w:r>
          </w:p>
        </w:tc>
        <w:tc>
          <w:tcPr>
            <w:tcW w:w="0" w:type="auto"/>
            <w:vAlign w:val="center"/>
            <w:hideMark/>
          </w:tcPr>
          <w:p w:rsidR="00E61FCC" w:rsidRPr="00E61FCC" w:rsidRDefault="00E61FCC" w:rsidP="00E61FCC">
            <w:pPr>
              <w:spacing w:before="0" w:after="0" w:line="240" w:lineRule="auto"/>
              <w:jc w:val="center"/>
              <w:rPr>
                <w:rFonts w:ascii="Times New Roman" w:eastAsia="Times New Roman" w:hAnsi="Times New Roman" w:cs="Times New Roman"/>
                <w:b/>
                <w:bCs/>
                <w:sz w:val="24"/>
                <w:szCs w:val="24"/>
              </w:rPr>
            </w:pPr>
            <w:r w:rsidRPr="00E61FCC">
              <w:rPr>
                <w:rFonts w:ascii="Times New Roman" w:eastAsia="Times New Roman" w:hAnsi="Times New Roman" w:cs="Times New Roman"/>
                <w:b/>
                <w:bCs/>
                <w:sz w:val="24"/>
                <w:szCs w:val="24"/>
              </w:rPr>
              <w:t>Source of Verification</w:t>
            </w:r>
          </w:p>
        </w:tc>
      </w:tr>
      <w:tr w:rsidR="00E61FCC" w:rsidRPr="00E61FCC" w:rsidTr="00E61FCC">
        <w:trPr>
          <w:trHeight w:val="968"/>
          <w:tblCellSpacing w:w="15" w:type="dxa"/>
        </w:trPr>
        <w:tc>
          <w:tcPr>
            <w:tcW w:w="0" w:type="auto"/>
            <w:vMerge w:val="restart"/>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General Objective:</w:t>
            </w:r>
            <w:r w:rsidRPr="00E61FCC">
              <w:rPr>
                <w:rFonts w:ascii="Times New Roman" w:eastAsia="Times New Roman" w:hAnsi="Times New Roman" w:cs="Times New Roman"/>
                <w:sz w:val="24"/>
                <w:szCs w:val="24"/>
              </w:rPr>
              <w:t xml:space="preserve"> Achieving a sustainable budget with stable public debt relative to GDP through improved financial management and control, audit processes, and stronger linkage between budget planning and government policies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Real GDP growth (%)</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3.9</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3.5</w:t>
            </w:r>
          </w:p>
        </w:tc>
        <w:tc>
          <w:tcPr>
            <w:tcW w:w="0" w:type="auto"/>
            <w:vMerge w:val="restart"/>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Merge w:val="restart"/>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Fiscal Strategy, Economic Reform Program</w:t>
            </w:r>
          </w:p>
        </w:tc>
      </w:tr>
      <w:tr w:rsidR="00E61FCC" w:rsidRPr="00E61FCC" w:rsidTr="00E61FCC">
        <w:trPr>
          <w:trHeight w:val="967"/>
          <w:tblCellSpacing w:w="15" w:type="dxa"/>
        </w:trPr>
        <w:tc>
          <w:tcPr>
            <w:tcW w:w="0" w:type="auto"/>
            <w:vMerge/>
            <w:vAlign w:val="center"/>
          </w:tcPr>
          <w:p w:rsidR="00E61FCC" w:rsidRPr="00E61FCC" w:rsidRDefault="00E61FCC" w:rsidP="00E61FCC">
            <w:pPr>
              <w:spacing w:before="0" w:after="0" w:line="240" w:lineRule="auto"/>
              <w:rPr>
                <w:rFonts w:ascii="Times New Roman" w:eastAsia="Times New Roman" w:hAnsi="Times New Roman" w:cs="Times New Roman"/>
                <w:b/>
                <w:bCs/>
                <w:sz w:val="24"/>
                <w:szCs w:val="24"/>
              </w:rPr>
            </w:pPr>
          </w:p>
        </w:tc>
        <w:tc>
          <w:tcPr>
            <w:tcW w:w="0" w:type="auto"/>
            <w:vAlign w:val="center"/>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Public debt-to-GDP ratio (%)</w:t>
            </w:r>
          </w:p>
        </w:tc>
        <w:tc>
          <w:tcPr>
            <w:tcW w:w="0" w:type="auto"/>
            <w:vAlign w:val="center"/>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46.9</w:t>
            </w:r>
          </w:p>
        </w:tc>
        <w:tc>
          <w:tcPr>
            <w:tcW w:w="0" w:type="auto"/>
            <w:vAlign w:val="center"/>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44.1</w:t>
            </w:r>
          </w:p>
        </w:tc>
        <w:tc>
          <w:tcPr>
            <w:tcW w:w="0" w:type="auto"/>
            <w:vMerge/>
            <w:vAlign w:val="center"/>
          </w:tcPr>
          <w:p w:rsidR="00E61FCC" w:rsidRPr="00E61FCC" w:rsidRDefault="00E61FCC" w:rsidP="00E61FCC">
            <w:pPr>
              <w:spacing w:before="0" w:after="0" w:line="240" w:lineRule="auto"/>
              <w:rPr>
                <w:rFonts w:ascii="Times New Roman" w:eastAsia="Times New Roman" w:hAnsi="Times New Roman" w:cs="Times New Roman"/>
                <w:sz w:val="24"/>
                <w:szCs w:val="24"/>
              </w:rPr>
            </w:pPr>
          </w:p>
        </w:tc>
        <w:tc>
          <w:tcPr>
            <w:tcW w:w="0" w:type="auto"/>
            <w:vMerge/>
            <w:vAlign w:val="center"/>
          </w:tcPr>
          <w:p w:rsidR="00E61FCC" w:rsidRPr="00E61FCC" w:rsidRDefault="00E61FCC" w:rsidP="00E61FCC">
            <w:pPr>
              <w:spacing w:before="0" w:after="0" w:line="240" w:lineRule="auto"/>
              <w:rPr>
                <w:rFonts w:ascii="Times New Roman" w:eastAsia="Times New Roman" w:hAnsi="Times New Roman" w:cs="Times New Roman"/>
                <w:sz w:val="24"/>
                <w:szCs w:val="24"/>
              </w:rPr>
            </w:pP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Specific Objective I:</w:t>
            </w:r>
            <w:r w:rsidRPr="00E61FCC">
              <w:rPr>
                <w:rFonts w:ascii="Times New Roman" w:eastAsia="Times New Roman" w:hAnsi="Times New Roman" w:cs="Times New Roman"/>
                <w:sz w:val="24"/>
                <w:szCs w:val="24"/>
              </w:rPr>
              <w:t xml:space="preserve"> Strengthened capacities for budget planning and public investment management</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Government sector deficit up to 3% of GDP</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2% in 2024</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2.5% in 2028</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Revised Fiscal Strategy</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Measure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Indicator</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Baseline / Year</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Target Value 2028</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Responsible Institution</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Source of Verification</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 xml:space="preserve">Measure 1.1: Improvement of program budgeting and </w:t>
            </w:r>
            <w:r w:rsidRPr="00E61FCC">
              <w:rPr>
                <w:rFonts w:ascii="Times New Roman" w:eastAsia="Times New Roman" w:hAnsi="Times New Roman" w:cs="Times New Roman"/>
                <w:sz w:val="24"/>
                <w:szCs w:val="24"/>
              </w:rPr>
              <w:lastRenderedPageBreak/>
              <w:t>medium-term expenditure framework</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lastRenderedPageBreak/>
              <w:t xml:space="preserve">Percentage of healthcare institutions applying </w:t>
            </w:r>
            <w:r w:rsidRPr="00E61FCC">
              <w:rPr>
                <w:rFonts w:ascii="Times New Roman" w:eastAsia="Times New Roman" w:hAnsi="Times New Roman" w:cs="Times New Roman"/>
                <w:sz w:val="24"/>
                <w:szCs w:val="24"/>
              </w:rPr>
              <w:lastRenderedPageBreak/>
              <w:t>program budgeting</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lastRenderedPageBreak/>
              <w:t>0 (2025)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100%</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 xml:space="preserve">Budget preparation software for </w:t>
            </w:r>
            <w:r w:rsidRPr="00E61FCC">
              <w:rPr>
                <w:rFonts w:ascii="Times New Roman" w:eastAsia="Times New Roman" w:hAnsi="Times New Roman" w:cs="Times New Roman"/>
                <w:sz w:val="24"/>
                <w:szCs w:val="24"/>
              </w:rPr>
              <w:lastRenderedPageBreak/>
              <w:t>healthcare institutions</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1.2: Strengthening institutional capacity and methodological framework for green budgeting</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Coverage of methodology application for all levels of government</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50% (2025)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100%</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MoF report</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1.3: Alignment of the Serbian budget process with the EU budget process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trained budget analysts in the 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0 (2025)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100%</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MoF report</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1.4: Improvement of the environment for capital project management</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capital projects included in the budget, assessed in line with the capital project methodology</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60% (2025)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80%</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Budget Law / PIMIS list</w:t>
            </w:r>
          </w:p>
        </w:tc>
      </w:tr>
      <w:tr w:rsidR="00E61FCC" w:rsidRPr="00E61FCC" w:rsidTr="00E61FCC">
        <w:trPr>
          <w:tblCellSpacing w:w="15" w:type="dxa"/>
        </w:trPr>
        <w:tc>
          <w:tcPr>
            <w:tcW w:w="0" w:type="auto"/>
            <w:vMerge w:val="restart"/>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1.5: Strengthening the Fiscal Risk Monitoring Department</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Fiscal risk report published</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No (2024)</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Yes (2026)</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MoF website</w:t>
            </w:r>
          </w:p>
        </w:tc>
      </w:tr>
      <w:tr w:rsidR="00E61FCC" w:rsidRPr="00E61FCC" w:rsidTr="00E61FCC">
        <w:trPr>
          <w:tblCellSpacing w:w="15" w:type="dxa"/>
        </w:trPr>
        <w:tc>
          <w:tcPr>
            <w:tcW w:w="0" w:type="auto"/>
            <w:vMerge/>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 xml:space="preserve">Revised methodology for monitoring fiscal risks related to SOEs and local governments </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No (2024)</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Adopted (2027)</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 xml:space="preserve">Ministry of Finance </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MoF website</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1.6: Establishment of a coordination system for managing own EU resources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Progress level for Negotiating Chapter 33</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Early stage (2025)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EC report</w:t>
            </w:r>
          </w:p>
        </w:tc>
      </w:tr>
      <w:tr w:rsidR="00E61FCC" w:rsidRPr="00E61FCC" w:rsidTr="00E61FCC">
        <w:trPr>
          <w:tblCellSpacing w:w="15" w:type="dxa"/>
        </w:trPr>
        <w:tc>
          <w:tcPr>
            <w:tcW w:w="0" w:type="auto"/>
            <w:vMerge w:val="restart"/>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1.7: Improvement of medium-term planning</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 xml:space="preserve">Number of adopted and published medium-term </w:t>
            </w:r>
            <w:r w:rsidRPr="00E61FCC">
              <w:rPr>
                <w:rFonts w:ascii="Times New Roman" w:eastAsia="Times New Roman" w:hAnsi="Times New Roman" w:cs="Times New Roman"/>
                <w:sz w:val="24"/>
                <w:szCs w:val="24"/>
              </w:rPr>
              <w:lastRenderedPageBreak/>
              <w:t>plans at the central level</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lastRenderedPageBreak/>
              <w:t>29 (2025)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34</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Republic Secretariat for Public Policies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Institutional websites</w:t>
            </w:r>
          </w:p>
        </w:tc>
      </w:tr>
      <w:tr w:rsidR="00E61FCC" w:rsidRPr="00E61FCC" w:rsidTr="00E61FCC">
        <w:trPr>
          <w:tblCellSpacing w:w="15" w:type="dxa"/>
        </w:trPr>
        <w:tc>
          <w:tcPr>
            <w:tcW w:w="0" w:type="auto"/>
            <w:vMerge/>
            <w:vAlign w:val="center"/>
          </w:tcPr>
          <w:p w:rsidR="00E61FCC" w:rsidRPr="00E61FCC" w:rsidRDefault="00E61FCC" w:rsidP="00E61FCC">
            <w:pPr>
              <w:spacing w:before="0" w:after="0" w:line="240" w:lineRule="auto"/>
              <w:rPr>
                <w:rFonts w:ascii="Times New Roman" w:eastAsia="Times New Roman" w:hAnsi="Times New Roman" w:cs="Times New Roman"/>
                <w:sz w:val="24"/>
                <w:szCs w:val="24"/>
              </w:rPr>
            </w:pPr>
          </w:p>
        </w:tc>
        <w:tc>
          <w:tcPr>
            <w:tcW w:w="0" w:type="auto"/>
            <w:vAlign w:val="center"/>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published implementation reports on medium-term plans relative to total valid plans for the reporting year</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95%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Republic Secretariat for Public Policies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Institutional websites</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Specific Objective II:</w:t>
            </w:r>
            <w:r w:rsidRPr="00E61FCC">
              <w:rPr>
                <w:rFonts w:ascii="Times New Roman" w:eastAsia="Times New Roman" w:hAnsi="Times New Roman" w:cs="Times New Roman"/>
                <w:sz w:val="24"/>
                <w:szCs w:val="24"/>
              </w:rPr>
              <w:t xml:space="preserve"> Efficient collection and management of budget funds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Actual revenues and expenditures of the general government within ±5% of the fiscal strategy projection</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2025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Within ±5% for all years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Fiscal Strategy</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Measure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Indicator</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Baseline / Year</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Target Value 2028</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Responsible Institution</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Source of Verification</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2.1: Efficient collection of revenues under the jurisdiction of the Tax Administration</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collected revenues versus approved budget estimate (income tax, corporate tax, gross VAT, gross excises)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2024</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100</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Tax Administration</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Budget Law / TA report</w:t>
            </w:r>
          </w:p>
        </w:tc>
      </w:tr>
      <w:tr w:rsidR="007E62F4" w:rsidRPr="00E61FCC" w:rsidTr="00E61FCC">
        <w:trPr>
          <w:tblCellSpacing w:w="15" w:type="dxa"/>
        </w:trPr>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2.2: Reduction of administrative burden and improvement of efficiency in providing e-services</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businesses submitting reports electronically through the portal</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0 (2025)</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100</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E61FCC" w:rsidRPr="00E61FCC" w:rsidRDefault="00E61FCC"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E-submission portal</w:t>
            </w:r>
          </w:p>
        </w:tc>
      </w:tr>
      <w:tr w:rsidR="007E62F4" w:rsidRPr="00E61FCC" w:rsidTr="00E61FCC">
        <w:trPr>
          <w:tblCellSpacing w:w="15" w:type="dxa"/>
        </w:trPr>
        <w:tc>
          <w:tcPr>
            <w:tcW w:w="0" w:type="auto"/>
            <w:vMerge w:val="restart"/>
            <w:vAlign w:val="center"/>
            <w:hideMark/>
          </w:tcPr>
          <w:p w:rsidR="007E62F4" w:rsidRPr="00E61FCC" w:rsidRDefault="007E62F4"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 xml:space="preserve">Measure 2.3: Strengthening administrative capacities of </w:t>
            </w:r>
            <w:r w:rsidRPr="00E61FCC">
              <w:rPr>
                <w:rFonts w:ascii="Times New Roman" w:eastAsia="Times New Roman" w:hAnsi="Times New Roman" w:cs="Times New Roman"/>
                <w:sz w:val="24"/>
                <w:szCs w:val="24"/>
              </w:rPr>
              <w:lastRenderedPageBreak/>
              <w:t>the Customs Administration</w:t>
            </w:r>
          </w:p>
        </w:tc>
        <w:tc>
          <w:tcPr>
            <w:tcW w:w="0" w:type="auto"/>
            <w:vAlign w:val="center"/>
            <w:hideMark/>
          </w:tcPr>
          <w:p w:rsidR="007E62F4" w:rsidRPr="00E61FCC" w:rsidRDefault="007E62F4"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lastRenderedPageBreak/>
              <w:t>Percentage of collected customs duties vs approved budget estimate</w:t>
            </w:r>
          </w:p>
        </w:tc>
        <w:tc>
          <w:tcPr>
            <w:tcW w:w="0" w:type="auto"/>
            <w:vAlign w:val="center"/>
            <w:hideMark/>
          </w:tcPr>
          <w:p w:rsidR="007E62F4" w:rsidRPr="00E61FCC" w:rsidRDefault="007E62F4"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101.64% (2024)</w:t>
            </w:r>
          </w:p>
        </w:tc>
        <w:tc>
          <w:tcPr>
            <w:tcW w:w="0" w:type="auto"/>
            <w:vAlign w:val="center"/>
            <w:hideMark/>
          </w:tcPr>
          <w:p w:rsidR="007E62F4" w:rsidRPr="00E61FCC" w:rsidRDefault="007E62F4"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100</w:t>
            </w:r>
          </w:p>
        </w:tc>
        <w:tc>
          <w:tcPr>
            <w:tcW w:w="0" w:type="auto"/>
            <w:vAlign w:val="center"/>
            <w:hideMark/>
          </w:tcPr>
          <w:p w:rsidR="007E62F4" w:rsidRPr="00E61FCC" w:rsidRDefault="007E62F4"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Customs Administration</w:t>
            </w:r>
          </w:p>
        </w:tc>
        <w:tc>
          <w:tcPr>
            <w:tcW w:w="0" w:type="auto"/>
            <w:vAlign w:val="center"/>
            <w:hideMark/>
          </w:tcPr>
          <w:p w:rsidR="007E62F4" w:rsidRPr="00E61FCC" w:rsidRDefault="007E62F4" w:rsidP="00E61FCC">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Budget Law</w:t>
            </w:r>
          </w:p>
        </w:tc>
      </w:tr>
      <w:tr w:rsidR="007E62F4" w:rsidRPr="00E61FCC" w:rsidTr="007E62F4">
        <w:trPr>
          <w:tblCellSpacing w:w="15" w:type="dxa"/>
        </w:trPr>
        <w:tc>
          <w:tcPr>
            <w:tcW w:w="0" w:type="auto"/>
            <w:vMerge/>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VAT collected on imports vs approved budget estimate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97.72% (2024)</w:t>
            </w:r>
          </w:p>
        </w:tc>
        <w:tc>
          <w:tcPr>
            <w:tcW w:w="0" w:type="auto"/>
            <w:vAlign w:val="center"/>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100</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Customs Administration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Budget Law</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2.4: Efficient public debt management</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Share of debt in domestic currency</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21.8% (2024)</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25%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Public Debt Administration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Annual Report</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2.5: Strengthening the capacities of public procurement officers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Number of certified public procurement officers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5,529 (2024)</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5,950</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PPO / Ministry of Finance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Annual Public Procurement Report</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Specific Objective III:</w:t>
            </w:r>
            <w:r w:rsidRPr="00E61FCC">
              <w:rPr>
                <w:rFonts w:ascii="Times New Roman" w:eastAsia="Times New Roman" w:hAnsi="Times New Roman" w:cs="Times New Roman"/>
                <w:sz w:val="24"/>
                <w:szCs w:val="24"/>
              </w:rPr>
              <w:t xml:space="preserve"> Improved budget discipline and more transparent use of public funds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Progress level under Negotiating Chapter 22</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Yes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EC Annual Progress Report</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Measure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Indicator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Baseline / Year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Target Value 2028</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Responsible Institution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Source of Verification</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3.1: Expanding audit coverage and developing new audit methodology</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Number of developed audit methodologies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0 (2025)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2 (2026)</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Audit Authority for EU Funds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Adoption decision</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3.2: Strengthening systems for efficient and effective management of EU funds and enhancing institutional capacity in protecting EU financial interests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confirmed irregularities detected through on-site and administrative checks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85% (2025)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AFIS-IMS system</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lastRenderedPageBreak/>
              <w:t>Measure 3.3: Increasing efficiency and effectiveness of inspection oversight</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inspections carried out per complaints included in the annual inspection plan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47% (2024)</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52%</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Budget Inspection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Annual Report</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Specific Objective IV:</w:t>
            </w:r>
            <w:r w:rsidRPr="00E61FCC">
              <w:rPr>
                <w:rFonts w:ascii="Times New Roman" w:eastAsia="Times New Roman" w:hAnsi="Times New Roman" w:cs="Times New Roman"/>
                <w:sz w:val="24"/>
                <w:szCs w:val="24"/>
              </w:rPr>
              <w:t xml:space="preserve"> Strengthening the implementation of the Public Internal Financial Control (PIFC) system in the public sector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Identified progress on PIFC in the EC Annual Report on Serbia</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2025: moderate preparedness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Good level of preparedness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EC Annual Report on Serbia</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Measure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Indicator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Baseline / Year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Target Value 2028</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Responsible Institution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Source of Verification</w:t>
            </w:r>
          </w:p>
        </w:tc>
      </w:tr>
      <w:tr w:rsidR="007E62F4" w:rsidRPr="00E61FCC" w:rsidTr="00E61FCC">
        <w:trPr>
          <w:tblCellSpacing w:w="15" w:type="dxa"/>
        </w:trPr>
        <w:tc>
          <w:tcPr>
            <w:tcW w:w="0" w:type="auto"/>
            <w:vMerge w:val="restart"/>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4.1: Improvement of the FMC system in public sector institutions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priority POBs submitting FMC system status reports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86.78% (2024)</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95%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Consolidated Annual Report</w:t>
            </w:r>
          </w:p>
        </w:tc>
      </w:tr>
      <w:tr w:rsidR="007E62F4" w:rsidRPr="00E61FCC" w:rsidTr="00E61FCC">
        <w:trPr>
          <w:tblCellSpacing w:w="15" w:type="dxa"/>
        </w:trPr>
        <w:tc>
          <w:tcPr>
            <w:tcW w:w="0" w:type="auto"/>
            <w:vMerge/>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priority POBs with established risk registers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72.19% (2024)</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87%</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Consolidated Annual Report</w:t>
            </w:r>
          </w:p>
        </w:tc>
      </w:tr>
      <w:tr w:rsidR="007E62F4" w:rsidRPr="00E61FCC" w:rsidTr="00E61FCC">
        <w:trPr>
          <w:tblCellSpacing w:w="15" w:type="dxa"/>
        </w:trPr>
        <w:tc>
          <w:tcPr>
            <w:tcW w:w="0" w:type="auto"/>
            <w:vMerge w:val="restart"/>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4.2: Enhanced internal audit function in accordance with international standards and principles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priority POBs with internal auditors employed within the organization (among those legally required to have IA units)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75.34% (2024)</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87%</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Consolidated reports</w:t>
            </w:r>
          </w:p>
        </w:tc>
      </w:tr>
      <w:tr w:rsidR="007E62F4" w:rsidRPr="00E61FCC" w:rsidTr="00E61FCC">
        <w:trPr>
          <w:tblCellSpacing w:w="15" w:type="dxa"/>
        </w:trPr>
        <w:tc>
          <w:tcPr>
            <w:tcW w:w="0" w:type="auto"/>
            <w:vMerge/>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Total number of updated PIFC materials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0 (2025)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4</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Materials published on MoF website</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 xml:space="preserve">Measure 4.3: Improvement of IT systems </w:t>
            </w:r>
            <w:r w:rsidRPr="00E61FCC">
              <w:rPr>
                <w:rFonts w:ascii="Times New Roman" w:eastAsia="Times New Roman" w:hAnsi="Times New Roman" w:cs="Times New Roman"/>
                <w:sz w:val="24"/>
                <w:szCs w:val="24"/>
              </w:rPr>
              <w:lastRenderedPageBreak/>
              <w:t>to include internal control and audit modules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lastRenderedPageBreak/>
              <w:t>Total number of established IT system modules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 (2025)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3 (2027)</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IT system development reports</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Specific Objective V:</w:t>
            </w:r>
            <w:r w:rsidRPr="00E61FCC">
              <w:rPr>
                <w:rFonts w:ascii="Times New Roman" w:eastAsia="Times New Roman" w:hAnsi="Times New Roman" w:cs="Times New Roman"/>
                <w:sz w:val="24"/>
                <w:szCs w:val="24"/>
              </w:rPr>
              <w:t xml:space="preserve"> Improved public sector accounting through implementation of International Public Sector Accounting Standards (IPSAS)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Improved quality of financial statements under IPSAS cash basis, according to SAI audit report</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No</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Yes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SAI Annual Report / Audit Report on Budget Final Account</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Measure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Indicator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Baseline / Year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Target Value 2028</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Responsible Institution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Source of Verification</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5.1: Implementation of IPSAS cash-basis standards for all budget users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Draft financial statement prepared in accordance with IPSAS cash basis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No (2025)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Yes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 / Treasury Administration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SAI report</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5.2: Further improvements in budget accounting per the Public Sector Accounting Improvement Plan aligned with IPSAS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Public Sector Accounting Improvement Plan prepared in line with IPSAS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No (2025)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Yes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Ministry of Finance / Treasury Administration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Treasury Administration website</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Specific Objective VI:</w:t>
            </w:r>
            <w:r w:rsidRPr="00E61FCC">
              <w:rPr>
                <w:rFonts w:ascii="Times New Roman" w:eastAsia="Times New Roman" w:hAnsi="Times New Roman" w:cs="Times New Roman"/>
                <w:sz w:val="24"/>
                <w:szCs w:val="24"/>
              </w:rPr>
              <w:t xml:space="preserve"> Strengthening external oversight of public finances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audited public sector entities with internal control deficiencies</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85% (2024)</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82% (2028)</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SAI</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SAI Annual Report</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lastRenderedPageBreak/>
              <w:t>Measure</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Indicator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Baseline / Year</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Target Value 2028</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Responsible Institution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b/>
                <w:bCs/>
                <w:sz w:val="24"/>
                <w:szCs w:val="24"/>
              </w:rPr>
              <w:t>Source of Verification</w:t>
            </w:r>
          </w:p>
        </w:tc>
      </w:tr>
      <w:tr w:rsidR="007E62F4" w:rsidRPr="00E61FCC" w:rsidTr="00E61FCC">
        <w:trPr>
          <w:tblCellSpacing w:w="15" w:type="dxa"/>
        </w:trPr>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6.1: Strengthening the efficiency and impact of external audit through integration of modern technologies, improved methodology, and stakeholder communication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SAI recommendations implemented within two years of report publication</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75% (2025)</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81%</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SAI</w:t>
            </w:r>
          </w:p>
        </w:tc>
        <w:tc>
          <w:tcPr>
            <w:tcW w:w="0" w:type="auto"/>
            <w:vAlign w:val="center"/>
            <w:hideMark/>
          </w:tcPr>
          <w:p w:rsidR="007E62F4" w:rsidRPr="00E61FCC" w:rsidRDefault="007E62F4"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Internal monitoring reports</w:t>
            </w:r>
          </w:p>
        </w:tc>
      </w:tr>
      <w:tr w:rsidR="00A560B7" w:rsidRPr="00E61FCC" w:rsidTr="00E61FCC">
        <w:trPr>
          <w:tblCellSpacing w:w="15" w:type="dxa"/>
        </w:trPr>
        <w:tc>
          <w:tcPr>
            <w:tcW w:w="0" w:type="auto"/>
            <w:vMerge w:val="restart"/>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Measure 6.2: Ensuring effective parliamentary oversight of public finances</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Percentage of SAI reports reviewed by the National Assembly</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50% (2025)</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65%</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National Assembly / Committee on Finance</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Parliamentary minutes</w:t>
            </w:r>
          </w:p>
        </w:tc>
      </w:tr>
      <w:tr w:rsidR="00A560B7" w:rsidRPr="00E61FCC" w:rsidTr="00E61FCC">
        <w:trPr>
          <w:tblCellSpacing w:w="15" w:type="dxa"/>
        </w:trPr>
        <w:tc>
          <w:tcPr>
            <w:tcW w:w="0" w:type="auto"/>
            <w:vMerge/>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Number of annual sessions/meetings of the Committee to discuss legislative amendment recommendations with SAI and MoF participation</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 (2025)</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1</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National Assembly</w:t>
            </w:r>
          </w:p>
        </w:tc>
        <w:tc>
          <w:tcPr>
            <w:tcW w:w="0" w:type="auto"/>
            <w:vAlign w:val="center"/>
            <w:hideMark/>
          </w:tcPr>
          <w:p w:rsidR="00A560B7" w:rsidRPr="00E61FCC" w:rsidRDefault="00A560B7" w:rsidP="007E62F4">
            <w:pPr>
              <w:spacing w:before="0" w:after="0" w:line="240" w:lineRule="auto"/>
              <w:rPr>
                <w:rFonts w:ascii="Times New Roman" w:eastAsia="Times New Roman" w:hAnsi="Times New Roman" w:cs="Times New Roman"/>
                <w:sz w:val="24"/>
                <w:szCs w:val="24"/>
              </w:rPr>
            </w:pPr>
            <w:r w:rsidRPr="00E61FCC">
              <w:rPr>
                <w:rFonts w:ascii="Times New Roman" w:eastAsia="Times New Roman" w:hAnsi="Times New Roman" w:cs="Times New Roman"/>
                <w:sz w:val="24"/>
                <w:szCs w:val="24"/>
              </w:rPr>
              <w:t>Session minutes</w:t>
            </w:r>
          </w:p>
        </w:tc>
      </w:tr>
    </w:tbl>
    <w:p w:rsidR="00E61FCC" w:rsidRDefault="00E61FCC" w:rsidP="00426D9C">
      <w:pPr>
        <w:spacing w:after="0" w:line="240" w:lineRule="auto"/>
        <w:ind w:firstLine="706"/>
        <w:jc w:val="both"/>
        <w:rPr>
          <w:rFonts w:ascii="Times New Roman" w:hAnsi="Times New Roman" w:cs="Times New Roman"/>
          <w:sz w:val="24"/>
          <w:szCs w:val="24"/>
          <w:lang w:val="sr-Cyrl-RS"/>
        </w:rPr>
      </w:pPr>
    </w:p>
    <w:p w:rsidR="00E61FCC" w:rsidRDefault="00E61FCC" w:rsidP="00561C92">
      <w:pPr>
        <w:spacing w:after="0" w:line="240" w:lineRule="auto"/>
        <w:jc w:val="both"/>
        <w:rPr>
          <w:rFonts w:ascii="Times New Roman" w:hAnsi="Times New Roman" w:cs="Times New Roman"/>
          <w:sz w:val="24"/>
          <w:szCs w:val="24"/>
          <w:lang w:val="sr-Cyrl-RS"/>
        </w:rPr>
      </w:pPr>
    </w:p>
    <w:p w:rsidR="00E61FCC" w:rsidRDefault="00E61FCC" w:rsidP="00561C92">
      <w:pPr>
        <w:spacing w:after="0" w:line="240" w:lineRule="auto"/>
        <w:jc w:val="both"/>
        <w:rPr>
          <w:rFonts w:ascii="Times New Roman" w:hAnsi="Times New Roman" w:cs="Times New Roman"/>
          <w:sz w:val="24"/>
          <w:szCs w:val="24"/>
          <w:lang w:val="sr-Cyrl-RS"/>
        </w:rPr>
      </w:pPr>
    </w:p>
    <w:p w:rsidR="00E61FCC" w:rsidRDefault="00E61FCC" w:rsidP="00426D9C">
      <w:pPr>
        <w:spacing w:after="0" w:line="240" w:lineRule="auto"/>
        <w:ind w:firstLine="706"/>
        <w:jc w:val="both"/>
        <w:rPr>
          <w:rFonts w:ascii="Times New Roman" w:hAnsi="Times New Roman" w:cs="Times New Roman"/>
          <w:sz w:val="24"/>
          <w:szCs w:val="24"/>
          <w:lang w:val="sr-Cyrl-RS"/>
        </w:rPr>
      </w:pPr>
    </w:p>
    <w:p w:rsidR="00E61FCC" w:rsidRDefault="00E61FCC" w:rsidP="00426D9C">
      <w:pPr>
        <w:spacing w:after="0" w:line="240" w:lineRule="auto"/>
        <w:ind w:firstLine="706"/>
        <w:jc w:val="both"/>
        <w:rPr>
          <w:rFonts w:ascii="Times New Roman" w:hAnsi="Times New Roman" w:cs="Times New Roman"/>
          <w:sz w:val="24"/>
          <w:szCs w:val="24"/>
          <w:lang w:val="sr-Cyrl-RS"/>
        </w:rPr>
      </w:pPr>
    </w:p>
    <w:p w:rsidR="00E61FCC" w:rsidRDefault="00E61FCC" w:rsidP="00426D9C">
      <w:pPr>
        <w:spacing w:after="0" w:line="240" w:lineRule="auto"/>
        <w:ind w:firstLine="706"/>
        <w:jc w:val="both"/>
        <w:rPr>
          <w:rFonts w:ascii="Times New Roman" w:hAnsi="Times New Roman" w:cs="Times New Roman"/>
          <w:sz w:val="24"/>
          <w:szCs w:val="24"/>
          <w:lang w:val="sr-Cyrl-RS"/>
        </w:rPr>
      </w:pPr>
    </w:p>
    <w:p w:rsidR="00E61FCC" w:rsidRDefault="00E61FCC" w:rsidP="00426D9C">
      <w:pPr>
        <w:spacing w:after="0" w:line="240" w:lineRule="auto"/>
        <w:ind w:firstLine="706"/>
        <w:jc w:val="both"/>
        <w:rPr>
          <w:rFonts w:ascii="Times New Roman" w:hAnsi="Times New Roman" w:cs="Times New Roman"/>
          <w:sz w:val="24"/>
          <w:szCs w:val="24"/>
          <w:lang w:val="sr-Cyrl-RS"/>
        </w:rPr>
      </w:pPr>
    </w:p>
    <w:p w:rsidR="004D23EA" w:rsidRDefault="004D23EA" w:rsidP="001A0DC8">
      <w:pPr>
        <w:spacing w:after="0" w:line="240" w:lineRule="auto"/>
        <w:jc w:val="both"/>
        <w:rPr>
          <w:rFonts w:ascii="Times New Roman" w:hAnsi="Times New Roman" w:cs="Times New Roman"/>
          <w:sz w:val="24"/>
          <w:szCs w:val="24"/>
          <w:lang w:val="sr-Cyrl-RS"/>
        </w:rPr>
      </w:pPr>
    </w:p>
    <w:p w:rsidR="007C70A9" w:rsidRPr="00B26B4D" w:rsidRDefault="007C70A9" w:rsidP="00B26B4D">
      <w:pPr>
        <w:pStyle w:val="Heading1"/>
        <w:jc w:val="center"/>
      </w:pPr>
      <w:r w:rsidRPr="00B26B4D">
        <w:lastRenderedPageBreak/>
        <w:t xml:space="preserve">  </w:t>
      </w:r>
      <w:r w:rsidR="003705F3" w:rsidRPr="003705F3">
        <w:rPr>
          <w:rFonts w:ascii="Times New Roman" w:hAnsi="Times New Roman" w:cs="Times New Roman"/>
          <w:sz w:val="24"/>
          <w:szCs w:val="24"/>
        </w:rPr>
        <w:t>Indicative Estimate of the Financial Resources Required for the Implementation of the Public Financial Management Reform Program 2026–2030</w:t>
      </w:r>
    </w:p>
    <w:p w:rsidR="007C70A9" w:rsidRPr="0081082A" w:rsidRDefault="007C70A9" w:rsidP="003705F3">
      <w:pPr>
        <w:spacing w:after="100" w:afterAutospacing="1" w:line="240" w:lineRule="auto"/>
        <w:ind w:left="360"/>
        <w:rPr>
          <w:rFonts w:ascii="Times New Roman" w:hAnsi="Times New Roman" w:cs="Times New Roman"/>
          <w:lang w:val="sr-Cyrl-RS"/>
        </w:rPr>
      </w:pPr>
    </w:p>
    <w:p w:rsidR="003705F3" w:rsidRDefault="003705F3" w:rsidP="003705F3">
      <w:pPr>
        <w:spacing w:beforeAutospacing="1" w:after="100" w:afterAutospacing="1" w:line="240" w:lineRule="auto"/>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(This section</w:t>
      </w:r>
      <w:r>
        <w:rPr>
          <w:rFonts w:ascii="Times New Roman" w:eastAsia="Times New Roman" w:hAnsi="Times New Roman" w:cs="Times New Roman"/>
          <w:sz w:val="24"/>
          <w:szCs w:val="24"/>
        </w:rPr>
        <w:t xml:space="preserve"> will be updated subsequently.)</w:t>
      </w:r>
    </w:p>
    <w:p w:rsidR="003705F3" w:rsidRPr="003705F3" w:rsidRDefault="003705F3" w:rsidP="003705F3">
      <w:pPr>
        <w:spacing w:beforeAutospacing="1" w:after="100" w:afterAutospacing="1" w:line="240" w:lineRule="auto"/>
        <w:ind w:firstLine="708"/>
        <w:jc w:val="both"/>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An integral part of the Public Financial Management Reform Program (PFMRP) for the period 2026–2030 is the accompanying Action Plan for its implementation covering the period 2026–2028. The Action Plan contains detailed measures and activities that contribute to the achievement of the specific objectives of the PFMRP and includes an estimate of the costs, i.e., the financial resources required for their implement</w:t>
      </w:r>
      <w:r>
        <w:rPr>
          <w:rFonts w:ascii="Times New Roman" w:eastAsia="Times New Roman" w:hAnsi="Times New Roman" w:cs="Times New Roman"/>
          <w:sz w:val="24"/>
          <w:szCs w:val="24"/>
        </w:rPr>
        <w:t xml:space="preserve">ation. </w:t>
      </w:r>
      <w:r w:rsidRPr="003705F3">
        <w:rPr>
          <w:rFonts w:ascii="Times New Roman" w:eastAsia="Times New Roman" w:hAnsi="Times New Roman" w:cs="Times New Roman"/>
          <w:sz w:val="24"/>
          <w:szCs w:val="24"/>
        </w:rPr>
        <w:t xml:space="preserve">The total costs for the implementation of the PFMRP 2026–2030 are estimated at </w:t>
      </w:r>
      <w:r w:rsidRPr="003705F3">
        <w:rPr>
          <w:rFonts w:ascii="Times New Roman" w:eastAsia="Times New Roman" w:hAnsi="Times New Roman" w:cs="Times New Roman"/>
          <w:b/>
          <w:bCs/>
          <w:sz w:val="24"/>
          <w:szCs w:val="24"/>
        </w:rPr>
        <w:t>X billion dinars</w:t>
      </w:r>
      <w:r w:rsidRPr="003705F3">
        <w:rPr>
          <w:rFonts w:ascii="Times New Roman" w:eastAsia="Times New Roman" w:hAnsi="Times New Roman" w:cs="Times New Roman"/>
          <w:sz w:val="24"/>
          <w:szCs w:val="24"/>
        </w:rPr>
        <w:t xml:space="preserve">, of which </w:t>
      </w:r>
      <w:r w:rsidRPr="003705F3">
        <w:rPr>
          <w:rFonts w:ascii="Times New Roman" w:eastAsia="Times New Roman" w:hAnsi="Times New Roman" w:cs="Times New Roman"/>
          <w:b/>
          <w:bCs/>
          <w:sz w:val="24"/>
          <w:szCs w:val="24"/>
        </w:rPr>
        <w:t>Y million dinars</w:t>
      </w:r>
      <w:r w:rsidRPr="003705F3">
        <w:rPr>
          <w:rFonts w:ascii="Times New Roman" w:eastAsia="Times New Roman" w:hAnsi="Times New Roman" w:cs="Times New Roman"/>
          <w:sz w:val="24"/>
          <w:szCs w:val="24"/>
        </w:rPr>
        <w:t xml:space="preserve"> are budget funds, </w:t>
      </w:r>
      <w:r w:rsidRPr="003705F3">
        <w:rPr>
          <w:rFonts w:ascii="Times New Roman" w:eastAsia="Times New Roman" w:hAnsi="Times New Roman" w:cs="Times New Roman"/>
          <w:b/>
          <w:bCs/>
          <w:sz w:val="24"/>
          <w:szCs w:val="24"/>
        </w:rPr>
        <w:t>Z billion dinars</w:t>
      </w:r>
      <w:r w:rsidRPr="003705F3">
        <w:rPr>
          <w:rFonts w:ascii="Times New Roman" w:eastAsia="Times New Roman" w:hAnsi="Times New Roman" w:cs="Times New Roman"/>
          <w:sz w:val="24"/>
          <w:szCs w:val="24"/>
        </w:rPr>
        <w:t xml:space="preserve"> represent development assistance (grants and loans), and </w:t>
      </w:r>
      <w:r w:rsidRPr="003705F3">
        <w:rPr>
          <w:rFonts w:ascii="Times New Roman" w:eastAsia="Times New Roman" w:hAnsi="Times New Roman" w:cs="Times New Roman"/>
          <w:b/>
          <w:bCs/>
          <w:sz w:val="24"/>
          <w:szCs w:val="24"/>
        </w:rPr>
        <w:t>M million dinars</w:t>
      </w:r>
      <w:r w:rsidRPr="003705F3">
        <w:rPr>
          <w:rFonts w:ascii="Times New Roman" w:eastAsia="Times New Roman" w:hAnsi="Times New Roman" w:cs="Times New Roman"/>
          <w:sz w:val="24"/>
          <w:szCs w:val="24"/>
        </w:rPr>
        <w:t xml:space="preserve"> are missing funds.</w:t>
      </w:r>
    </w:p>
    <w:p w:rsidR="003705F3" w:rsidRPr="003705F3" w:rsidRDefault="003705F3" w:rsidP="003705F3">
      <w:pPr>
        <w:spacing w:beforeAutospacing="1" w:after="100" w:afterAutospacing="1" w:line="240" w:lineRule="auto"/>
        <w:ind w:firstLine="708"/>
        <w:jc w:val="both"/>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 xml:space="preserve">The costing of the Action Plan for the implementation of the PFMRP is carried out in accordance with the </w:t>
      </w:r>
      <w:r w:rsidRPr="003705F3">
        <w:rPr>
          <w:rFonts w:ascii="Times New Roman" w:eastAsia="Times New Roman" w:hAnsi="Times New Roman" w:cs="Times New Roman"/>
          <w:i/>
          <w:iCs/>
          <w:sz w:val="24"/>
          <w:szCs w:val="24"/>
        </w:rPr>
        <w:t>Manual for the Calculation of Public Policy Costs</w:t>
      </w:r>
      <w:r w:rsidRPr="003705F3">
        <w:rPr>
          <w:rFonts w:ascii="Times New Roman" w:eastAsia="Times New Roman" w:hAnsi="Times New Roman" w:cs="Times New Roman"/>
          <w:sz w:val="24"/>
          <w:szCs w:val="24"/>
        </w:rPr>
        <w:t xml:space="preserve"> and the </w:t>
      </w:r>
      <w:r w:rsidRPr="003705F3">
        <w:rPr>
          <w:rFonts w:ascii="Times New Roman" w:eastAsia="Times New Roman" w:hAnsi="Times New Roman" w:cs="Times New Roman"/>
          <w:i/>
          <w:iCs/>
          <w:sz w:val="24"/>
          <w:szCs w:val="24"/>
        </w:rPr>
        <w:t>Methodology for the Calculation of Standard Costs for the Preparation of Planning Documents</w:t>
      </w:r>
      <w:r w:rsidRPr="003705F3">
        <w:rPr>
          <w:rFonts w:ascii="Times New Roman" w:eastAsia="Times New Roman" w:hAnsi="Times New Roman" w:cs="Times New Roman"/>
          <w:sz w:val="24"/>
          <w:szCs w:val="24"/>
        </w:rPr>
        <w:t>. In line with these, the cost estimate is based on the calculation of additional, direct, and variable costs arising from new or expanded activities, and therefore regular activities of institutions are not included.</w:t>
      </w:r>
    </w:p>
    <w:p w:rsidR="003705F3" w:rsidRPr="003705F3" w:rsidRDefault="003705F3" w:rsidP="004D6DF0">
      <w:pPr>
        <w:spacing w:beforeAutospacing="1" w:after="100" w:afterAutospacing="1" w:line="240" w:lineRule="auto"/>
        <w:ind w:firstLine="708"/>
        <w:jc w:val="both"/>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As in the previous period, significant donor and development assistance is expected to support the implementation of the PFMRP 2026–2030. The figure below presents a graphical overview of the financial resources required for the implementation of the PFMRP 2026–2030, while a detailed tabular overview is provided in the Annex of this document.</w:t>
      </w:r>
    </w:p>
    <w:p w:rsidR="002878F3" w:rsidRPr="00B26B4D" w:rsidRDefault="003705F3" w:rsidP="00B26B4D">
      <w:pPr>
        <w:pStyle w:val="Heading1"/>
        <w:jc w:val="center"/>
        <w:rPr>
          <w:rFonts w:ascii="Times New Roman" w:hAnsi="Times New Roman" w:cs="Times New Roman"/>
          <w:sz w:val="24"/>
          <w:szCs w:val="24"/>
        </w:rPr>
      </w:pPr>
      <w:r w:rsidRPr="003705F3">
        <w:rPr>
          <w:rFonts w:ascii="Times New Roman" w:hAnsi="Times New Roman" w:cs="Times New Roman"/>
          <w:sz w:val="24"/>
          <w:szCs w:val="24"/>
        </w:rPr>
        <w:t>Analysis of the Effects of the Measures</w:t>
      </w:r>
    </w:p>
    <w:p w:rsidR="004E35E6" w:rsidRDefault="004E35E6" w:rsidP="00E603AA">
      <w:pPr>
        <w:ind w:firstLine="708"/>
        <w:jc w:val="both"/>
        <w:rPr>
          <w:rFonts w:ascii="Times New Roman" w:eastAsia="Times New Roman" w:hAnsi="Times New Roman" w:cs="Times New Roman"/>
          <w:sz w:val="24"/>
          <w:szCs w:val="24"/>
          <w:shd w:val="clear" w:color="auto" w:fill="FFFFFF"/>
          <w:lang w:val="sr-Cyrl-RS"/>
        </w:rPr>
      </w:pPr>
    </w:p>
    <w:p w:rsidR="003705F3" w:rsidRPr="003705F3" w:rsidRDefault="003705F3" w:rsidP="003705F3">
      <w:pPr>
        <w:ind w:firstLine="708"/>
        <w:jc w:val="both"/>
        <w:rPr>
          <w:rFonts w:ascii="Times New Roman" w:eastAsia="Times New Roman" w:hAnsi="Times New Roman" w:cs="Times New Roman"/>
          <w:sz w:val="24"/>
          <w:szCs w:val="24"/>
          <w:shd w:val="clear" w:color="auto" w:fill="FFFFFF"/>
        </w:rPr>
      </w:pPr>
      <w:r w:rsidRPr="003705F3">
        <w:rPr>
          <w:rFonts w:ascii="Times New Roman" w:eastAsia="Times New Roman" w:hAnsi="Times New Roman" w:cs="Times New Roman"/>
          <w:sz w:val="24"/>
          <w:szCs w:val="24"/>
          <w:shd w:val="clear" w:color="auto" w:fill="FFFFFF"/>
        </w:rPr>
        <w:t xml:space="preserve">The implementation of the measures defined by the Public Financial Management Reform Program (PFMRP) for the period 2026–2030 is expected to generate numerous positive effects on society, the economy, the environment, management processes, and the stability of public finances. In accordance with Articles 11–16 of the </w:t>
      </w:r>
      <w:r w:rsidRPr="003705F3">
        <w:rPr>
          <w:rFonts w:ascii="Times New Roman" w:eastAsia="Times New Roman" w:hAnsi="Times New Roman" w:cs="Times New Roman"/>
          <w:i/>
          <w:iCs/>
          <w:sz w:val="24"/>
          <w:szCs w:val="24"/>
          <w:shd w:val="clear" w:color="auto" w:fill="FFFFFF"/>
        </w:rPr>
        <w:t>Regulation on the Methodology for the Preparation of Public Policy Documents</w:t>
      </w:r>
      <w:r w:rsidRPr="003705F3">
        <w:rPr>
          <w:rFonts w:ascii="Times New Roman" w:eastAsia="Times New Roman" w:hAnsi="Times New Roman" w:cs="Times New Roman"/>
          <w:sz w:val="24"/>
          <w:szCs w:val="24"/>
          <w:shd w:val="clear" w:color="auto" w:fill="FFFFFF"/>
        </w:rPr>
        <w:t>, this analysis represents an assessment of the direct and indirect consequences of implementing the proposed measures, focusing not on their operational content but rather on the results and impacts expected on the state system and society as a whole.</w:t>
      </w:r>
    </w:p>
    <w:p w:rsidR="003705F3" w:rsidRPr="003705F3" w:rsidRDefault="003705F3" w:rsidP="003705F3">
      <w:pPr>
        <w:ind w:firstLine="708"/>
        <w:jc w:val="both"/>
        <w:rPr>
          <w:rFonts w:ascii="Times New Roman" w:eastAsia="Times New Roman" w:hAnsi="Times New Roman" w:cs="Times New Roman"/>
          <w:sz w:val="24"/>
          <w:szCs w:val="24"/>
          <w:shd w:val="clear" w:color="auto" w:fill="FFFFFF"/>
        </w:rPr>
      </w:pPr>
      <w:r w:rsidRPr="003705F3">
        <w:rPr>
          <w:rFonts w:ascii="Times New Roman" w:eastAsia="Times New Roman" w:hAnsi="Times New Roman" w:cs="Times New Roman"/>
          <w:sz w:val="24"/>
          <w:szCs w:val="24"/>
          <w:shd w:val="clear" w:color="auto" w:fill="FFFFFF"/>
        </w:rPr>
        <w:t xml:space="preserve">The proposed measures—particularly in the areas of budget planning, public revenues, public investments, and internal financial control—are expected to have strong positive social effects. By introducing program budgeting across all relevant institutions and establishing a standardized system for monitoring and evaluating performance, citizens will gain clearer insight into how public funds are spent, thus increasing transparency and trust in government </w:t>
      </w:r>
      <w:r w:rsidRPr="003705F3">
        <w:rPr>
          <w:rFonts w:ascii="Times New Roman" w:eastAsia="Times New Roman" w:hAnsi="Times New Roman" w:cs="Times New Roman"/>
          <w:sz w:val="24"/>
          <w:szCs w:val="24"/>
          <w:shd w:val="clear" w:color="auto" w:fill="FFFFFF"/>
        </w:rPr>
        <w:lastRenderedPageBreak/>
        <w:t>institutions. These measures will improve the quality of public services, as cost planning will become more closely linked to measurable outcomes. Strengthening internal control and audit within the public sector will enhance accountability among public officials, while improved data availability on budgetary flows will foster greater public and civil society involvement in monitoring fiscal policies. Indirectly, these effects will lead to increased institutional trust, a more stable governance framework, and simplified access to public services for all citizens.</w:t>
      </w:r>
    </w:p>
    <w:p w:rsidR="003705F3" w:rsidRPr="003705F3" w:rsidRDefault="003705F3" w:rsidP="003705F3">
      <w:pPr>
        <w:ind w:firstLine="708"/>
        <w:jc w:val="both"/>
        <w:rPr>
          <w:rFonts w:ascii="Times New Roman" w:eastAsia="Times New Roman" w:hAnsi="Times New Roman" w:cs="Times New Roman"/>
          <w:sz w:val="24"/>
          <w:szCs w:val="24"/>
          <w:shd w:val="clear" w:color="auto" w:fill="FFFFFF"/>
        </w:rPr>
      </w:pPr>
      <w:r w:rsidRPr="003705F3">
        <w:rPr>
          <w:rFonts w:ascii="Times New Roman" w:eastAsia="Times New Roman" w:hAnsi="Times New Roman" w:cs="Times New Roman"/>
          <w:sz w:val="24"/>
          <w:szCs w:val="24"/>
          <w:shd w:val="clear" w:color="auto" w:fill="FFFFFF"/>
        </w:rPr>
        <w:t>The economic effects of the measures are expected at multiple levels. Reforms in revenue management—particularly the modernization of the Tax Administration through the implementation of a Commercial Off-the-Shelf Integrated Tax Management System—will create infrastructural and business conditions that improve the efficiency of tax collection through a more effective and comprehensive digital service system. The digital transformation of the Customs Administration through the implementation of modern IT systems in all operational areas forms part of Serbia’s alignment with the broader EU customs modernization agenda, focusing on sustainable capacity-building that enables efficient revenue collection, trade facilitation, and compliance with national legislation, international standards, and professional ethics for the benefit of all citizens—while safeguarding human rights, public health, environmental protection, and social security. Better coordination in public investment management, along with enhanced control over the preparation, appraisal, and monitoring of capital projects, will ensure more rational use of budget funds, reduce cost overruns, and accelerate project implementation. Altogether, these measures will increase investor confidence and stimulate economic growth. The introduction of green budgeting methodology will have long-term positive effects on the competitiveness of the economy by encouraging investments in energy efficiency, sustainable infrastructure, and projects that mitigate negative environmental externalities. Indirectly, these reforms will improve the business climate and strengthen the confidence of domestic and foreign investors in Serbia’s fiscal stability and institutional framework.</w:t>
      </w:r>
    </w:p>
    <w:p w:rsidR="003705F3" w:rsidRPr="003705F3" w:rsidRDefault="003705F3" w:rsidP="003705F3">
      <w:pPr>
        <w:ind w:firstLine="708"/>
        <w:jc w:val="both"/>
        <w:rPr>
          <w:rFonts w:ascii="Times New Roman" w:eastAsia="Times New Roman" w:hAnsi="Times New Roman" w:cs="Times New Roman"/>
          <w:sz w:val="24"/>
          <w:szCs w:val="24"/>
          <w:shd w:val="clear" w:color="auto" w:fill="FFFFFF"/>
        </w:rPr>
      </w:pPr>
      <w:r w:rsidRPr="003705F3">
        <w:rPr>
          <w:rFonts w:ascii="Times New Roman" w:eastAsia="Times New Roman" w:hAnsi="Times New Roman" w:cs="Times New Roman"/>
          <w:sz w:val="24"/>
          <w:szCs w:val="24"/>
          <w:shd w:val="clear" w:color="auto" w:fill="FFFFFF"/>
        </w:rPr>
        <w:t>Environmental effects, although not the primary focus of fiscal and economic reforms, are of visible importance in the context of integrating green policies into the public finance system. By applying a methodology for tagging and monitoring green expenditures, public policies will increasingly incorporate climate and environmental considerations into the budgetary planning process. This will allow tracking of the share of funds contributing to the reduction of carbon dioxide emissions, increased energy efficiency, and investment in sustainable infrastructure. Indirect environmental impacts will include better allocation of public funds, promotion of responsible natural resource management, and increased awareness among public institutions of climate risks that need to be integrated into decision-making processes.</w:t>
      </w:r>
    </w:p>
    <w:p w:rsidR="003705F3" w:rsidRPr="003705F3" w:rsidRDefault="003705F3" w:rsidP="003705F3">
      <w:pPr>
        <w:ind w:firstLine="708"/>
        <w:jc w:val="both"/>
        <w:rPr>
          <w:rFonts w:ascii="Times New Roman" w:eastAsia="Times New Roman" w:hAnsi="Times New Roman" w:cs="Times New Roman"/>
          <w:sz w:val="24"/>
          <w:szCs w:val="24"/>
          <w:shd w:val="clear" w:color="auto" w:fill="FFFFFF"/>
        </w:rPr>
      </w:pPr>
      <w:r w:rsidRPr="003705F3">
        <w:rPr>
          <w:rFonts w:ascii="Times New Roman" w:eastAsia="Times New Roman" w:hAnsi="Times New Roman" w:cs="Times New Roman"/>
          <w:sz w:val="24"/>
          <w:szCs w:val="24"/>
          <w:shd w:val="clear" w:color="auto" w:fill="FFFFFF"/>
        </w:rPr>
        <w:t xml:space="preserve">The managerial effects of the measures will be reflected in the improvement of institutional capacities, coordination, and accountability. Enhancing the regulatory and methodological framework for capital projects, internal financial control, and the establishment of integrated IT systems for monitoring outcomes will ensure more consistent resource management and uniform application of standards at all levels of government. A particularly </w:t>
      </w:r>
      <w:r w:rsidRPr="003705F3">
        <w:rPr>
          <w:rFonts w:ascii="Times New Roman" w:eastAsia="Times New Roman" w:hAnsi="Times New Roman" w:cs="Times New Roman"/>
          <w:sz w:val="24"/>
          <w:szCs w:val="24"/>
          <w:shd w:val="clear" w:color="auto" w:fill="FFFFFF"/>
        </w:rPr>
        <w:lastRenderedPageBreak/>
        <w:t>significant managerial effect will be the strengthened coordination between the Ministry of Finance, the Public Policy Secretariat, and other institutions involved in the preparation and implementation of public policy documents, contributing to greater coherence and efficiency of the planning and reporting system.</w:t>
      </w:r>
    </w:p>
    <w:p w:rsidR="003705F3" w:rsidRPr="003705F3" w:rsidRDefault="003705F3" w:rsidP="003705F3">
      <w:pPr>
        <w:ind w:firstLine="708"/>
        <w:jc w:val="both"/>
        <w:rPr>
          <w:rFonts w:ascii="Times New Roman" w:eastAsia="Times New Roman" w:hAnsi="Times New Roman" w:cs="Times New Roman"/>
          <w:sz w:val="24"/>
          <w:szCs w:val="24"/>
          <w:shd w:val="clear" w:color="auto" w:fill="FFFFFF"/>
        </w:rPr>
      </w:pPr>
      <w:r w:rsidRPr="003705F3">
        <w:rPr>
          <w:rFonts w:ascii="Times New Roman" w:eastAsia="Times New Roman" w:hAnsi="Times New Roman" w:cs="Times New Roman"/>
          <w:sz w:val="24"/>
          <w:szCs w:val="24"/>
          <w:shd w:val="clear" w:color="auto" w:fill="FFFFFF"/>
        </w:rPr>
        <w:t>The financial effects of the proposed measures are assessed as moderate in the short term and positive in the medium and long term. The implementation costs mainly relate to the development and maintenance of IT systems, organization of trainings and workshops, preparation of methodological manuals, and fiscal risk analyses—largely financed through the budget and donor assistance. In the medium term, savings are expected from better allocation of public expenditures, more efficient investment management, and reduced administrative costs. In the long term, the implementation of these measures will contribute to greater fiscal discipline, public debt sustainability, and credibility of fiscal policy. By improving the monitoring of budgetary results and program performance evaluation, it will be possible to rationalize expenditures and optimize costs.</w:t>
      </w:r>
    </w:p>
    <w:p w:rsidR="004D246A" w:rsidRPr="004D6DF0" w:rsidRDefault="003705F3" w:rsidP="004D6DF0">
      <w:pPr>
        <w:ind w:firstLine="708"/>
        <w:jc w:val="both"/>
        <w:rPr>
          <w:rFonts w:ascii="Times New Roman" w:eastAsia="Times New Roman" w:hAnsi="Times New Roman" w:cs="Times New Roman"/>
          <w:sz w:val="24"/>
          <w:szCs w:val="24"/>
          <w:shd w:val="clear" w:color="auto" w:fill="FFFFFF"/>
        </w:rPr>
      </w:pPr>
      <w:r w:rsidRPr="003705F3">
        <w:rPr>
          <w:rFonts w:ascii="Times New Roman" w:eastAsia="Times New Roman" w:hAnsi="Times New Roman" w:cs="Times New Roman"/>
          <w:sz w:val="24"/>
          <w:szCs w:val="24"/>
          <w:shd w:val="clear" w:color="auto" w:fill="FFFFFF"/>
        </w:rPr>
        <w:t>Overall, the measures defined by this Program have strong synergistic value, as their combined implementation leads to systemic improvements in public financial management. The positive effects on society, the economy, and governance processes will foster more responsible institutional behavior and enhance public and private sector understanding of public finances. The application of the new public policy methodology and the improvement of planning, monitoring, and evaluation instruments ensure that reforms are feasible, fiscally sustainable, and results-oriented—thus achieving the fundamental goal: effective, transparent, and accountable management of public funds in the Republic of Serbia, in line with good governance pri</w:t>
      </w:r>
      <w:r w:rsidR="004D6DF0">
        <w:rPr>
          <w:rFonts w:ascii="Times New Roman" w:eastAsia="Times New Roman" w:hAnsi="Times New Roman" w:cs="Times New Roman"/>
          <w:sz w:val="24"/>
          <w:szCs w:val="24"/>
          <w:shd w:val="clear" w:color="auto" w:fill="FFFFFF"/>
        </w:rPr>
        <w:t>nciples and European standards.</w:t>
      </w:r>
    </w:p>
    <w:p w:rsidR="002878F3" w:rsidRPr="00B26B4D" w:rsidRDefault="00A7700B" w:rsidP="00B26B4D">
      <w:pPr>
        <w:pStyle w:val="Heading1"/>
        <w:jc w:val="center"/>
        <w:rPr>
          <w:rFonts w:ascii="Times New Roman" w:hAnsi="Times New Roman" w:cs="Times New Roman"/>
          <w:sz w:val="24"/>
          <w:szCs w:val="24"/>
        </w:rPr>
      </w:pPr>
      <w:r w:rsidRPr="00A7700B">
        <w:rPr>
          <w:rFonts w:ascii="Times New Roman" w:hAnsi="Times New Roman" w:cs="Times New Roman"/>
          <w:sz w:val="24"/>
          <w:szCs w:val="24"/>
        </w:rPr>
        <w:t>Risk Management</w:t>
      </w:r>
    </w:p>
    <w:p w:rsidR="00A17F3A" w:rsidRDefault="00A17F3A" w:rsidP="00931A2C">
      <w:pPr>
        <w:spacing w:before="0" w:after="0" w:line="240" w:lineRule="auto"/>
        <w:rPr>
          <w:rFonts w:ascii="Times New Roman" w:eastAsia="Calibri" w:hAnsi="Times New Roman" w:cs="Times New Roman"/>
          <w:b/>
          <w:bCs/>
          <w:sz w:val="22"/>
          <w:szCs w:val="22"/>
          <w:lang w:val="sr-Cyrl-RS"/>
        </w:rPr>
      </w:pPr>
    </w:p>
    <w:p w:rsidR="003705F3" w:rsidRPr="003705F3" w:rsidRDefault="003705F3" w:rsidP="003705F3">
      <w:pPr>
        <w:spacing w:beforeAutospacing="1" w:after="100" w:afterAutospacing="1" w:line="240" w:lineRule="auto"/>
        <w:ind w:firstLine="708"/>
        <w:jc w:val="both"/>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Achieving the desired change through the preparation, adoption, and implementation of the Public Financial Management Reform Program (PFMRP) 2026–2030 is subject to certain risks, some of which have been identified based on previous experience gained during the implementation of the two earlier PFMRPs in the period 2016–2025. Since 2015, when the first PFMRP was prepared and adopted in the Republic of Serbia, this public policy document has represented one of the strategic priorities of the Ministry of Finance. The fact that the PFMRP and its annual implementation reports are reviewed and adopted at Government sessions has demonstrated that the risk related to the lack of political support for the reform of public financial management has been minimized, and that there is full and continuous commitment to this process.</w:t>
      </w:r>
    </w:p>
    <w:p w:rsidR="003705F3" w:rsidRPr="003705F3" w:rsidRDefault="003705F3" w:rsidP="003705F3">
      <w:pPr>
        <w:spacing w:beforeAutospacing="1" w:after="100" w:afterAutospacing="1" w:line="240" w:lineRule="auto"/>
        <w:ind w:firstLine="708"/>
        <w:jc w:val="both"/>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 xml:space="preserve">One of the main challenges that had to be overcome during the implementation of the previous PFMRP 2021–2025 was the inadequacy of the planning process, meaning that the Action Plan for PFMRP implementation was overly ambitious and the timelines were not sufficiently well estimated. This risk was mitigated through the revision of the PFMRP. Consequently, it was concluded that the new PFMRP 2026–2030 and the accompanying Action Plan must be ambitious but, at the same time, realistic and—most importantly—financially </w:t>
      </w:r>
      <w:r w:rsidRPr="003705F3">
        <w:rPr>
          <w:rFonts w:ascii="Times New Roman" w:eastAsia="Times New Roman" w:hAnsi="Times New Roman" w:cs="Times New Roman"/>
          <w:sz w:val="24"/>
          <w:szCs w:val="24"/>
        </w:rPr>
        <w:lastRenderedPageBreak/>
        <w:t>feasible. This means that there must be sufficient resources available, both from the national budget and from donor funds, to ensure timely and full implementation of all planned activities. In this regard, the Action Plan has been designed to cover the first three years of PFMRP implementation. Furthermore, continuous monitoring and improvement of the reporting process on the implementation of planned PFMRP activities remain key elements for ensuring stronger implementation.</w:t>
      </w:r>
    </w:p>
    <w:p w:rsidR="003705F3" w:rsidRPr="003705F3" w:rsidRDefault="003705F3" w:rsidP="003705F3">
      <w:pPr>
        <w:spacing w:beforeAutospacing="1" w:after="100" w:afterAutospacing="1" w:line="240" w:lineRule="auto"/>
        <w:ind w:firstLine="708"/>
        <w:jc w:val="both"/>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One of the main risks considered during the preparation of the new PFMRP, which also contributed to delays in the implementation of certain activities from the previous period, relates to the lengthy adoption procedures for new legislative solutions, which often took longer than expected due to complex and time-consuming consultation processes. There were also certain difficulties related to strengthening administrative capacities within the public administration. Another identified risk is the possibility that relevant institutions involved in PFMRP implementation may not have sufficient resources to carry out the activities envisaged by the Action Plan.</w:t>
      </w:r>
    </w:p>
    <w:p w:rsidR="003705F3" w:rsidRPr="003705F3" w:rsidRDefault="003705F3" w:rsidP="003705F3">
      <w:pPr>
        <w:spacing w:beforeAutospacing="1" w:after="100" w:afterAutospacing="1" w:line="240" w:lineRule="auto"/>
        <w:ind w:firstLine="708"/>
        <w:jc w:val="both"/>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Inadequate, fragmented, and non-interoperable IT systems currently in use—or still under development—may also pose a significant risk to the implementation of certain measures and to the achievement of specific objectives. In addition to securing adequate financial resources, key efforts should be directed toward strengthening coordination among all institutions and organizational units of the Ministry of Finance responsible for the implementation of IT-related measures within the PFMRP reform, as well as ensuring close coordination and cooperation with the Office for Information Technologies and eGovernment, as the Government body responsible for designing, harmonizing, developing, and maintaining the functioning of the eGovernment system.</w:t>
      </w:r>
    </w:p>
    <w:p w:rsidR="003705F3" w:rsidRPr="004D6DF0" w:rsidRDefault="003705F3" w:rsidP="004D6DF0">
      <w:pPr>
        <w:spacing w:beforeAutospacing="1" w:after="100" w:afterAutospacing="1" w:line="240" w:lineRule="auto"/>
        <w:ind w:firstLine="708"/>
        <w:jc w:val="both"/>
        <w:rPr>
          <w:rFonts w:ascii="Times New Roman" w:eastAsia="Times New Roman" w:hAnsi="Times New Roman" w:cs="Times New Roman"/>
          <w:sz w:val="24"/>
          <w:szCs w:val="24"/>
        </w:rPr>
      </w:pPr>
      <w:r w:rsidRPr="003705F3">
        <w:rPr>
          <w:rFonts w:ascii="Times New Roman" w:eastAsia="Times New Roman" w:hAnsi="Times New Roman" w:cs="Times New Roman"/>
          <w:sz w:val="24"/>
          <w:szCs w:val="24"/>
        </w:rPr>
        <w:t xml:space="preserve">To mitigate this risk, the Ministry of Finance established in 2020 the </w:t>
      </w:r>
      <w:r w:rsidRPr="003705F3">
        <w:rPr>
          <w:rFonts w:ascii="Times New Roman" w:eastAsia="Times New Roman" w:hAnsi="Times New Roman" w:cs="Times New Roman"/>
          <w:b/>
          <w:bCs/>
          <w:sz w:val="24"/>
          <w:szCs w:val="24"/>
        </w:rPr>
        <w:t>Department for Digitalization in the Field of Public Finance</w:t>
      </w:r>
      <w:r w:rsidRPr="003705F3">
        <w:rPr>
          <w:rFonts w:ascii="Times New Roman" w:eastAsia="Times New Roman" w:hAnsi="Times New Roman" w:cs="Times New Roman"/>
          <w:sz w:val="24"/>
          <w:szCs w:val="24"/>
        </w:rPr>
        <w:t>, which will continue to oversee IT projects implemented by the Ministry’s sectors and administrations, ensuring their interoperability and consistency in the upcoming period.</w:t>
      </w:r>
    </w:p>
    <w:p w:rsidR="003705F3" w:rsidRDefault="003705F3" w:rsidP="00931A2C">
      <w:pPr>
        <w:spacing w:before="0" w:after="0" w:line="240" w:lineRule="auto"/>
        <w:rPr>
          <w:rFonts w:ascii="Times New Roman" w:eastAsia="Calibri" w:hAnsi="Times New Roman" w:cs="Times New Roman"/>
          <w:b/>
          <w:bCs/>
          <w:sz w:val="22"/>
          <w:szCs w:val="22"/>
          <w:lang w:val="sr-Cyrl-RS"/>
        </w:rPr>
      </w:pPr>
    </w:p>
    <w:p w:rsidR="00931A2C" w:rsidRDefault="001E6BFA" w:rsidP="00CF47F7">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Table – Risk Analysis for the Implementation of the PFMRP 2026–2030</w:t>
      </w:r>
    </w:p>
    <w:p w:rsidR="001E6BFA" w:rsidRDefault="001E6BFA" w:rsidP="00CF47F7">
      <w:pPr>
        <w:spacing w:before="0" w:after="0" w:line="240" w:lineRule="auto"/>
        <w:jc w:val="center"/>
        <w:rPr>
          <w:rFonts w:ascii="Times New Roman" w:eastAsia="Calibri" w:hAnsi="Times New Roman" w:cs="Times New Roman"/>
          <w:b/>
          <w:bCs/>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9"/>
        <w:gridCol w:w="1291"/>
        <w:gridCol w:w="1234"/>
        <w:gridCol w:w="4142"/>
      </w:tblGrid>
      <w:tr w:rsidR="001E6BFA" w:rsidRPr="001E6BFA" w:rsidTr="001E6BFA">
        <w:trPr>
          <w:tblHeader/>
          <w:tblCellSpacing w:w="15" w:type="dxa"/>
        </w:trPr>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Risk Assessment</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Probability Assessment</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Risk Mitigation Measure</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Responsible Institution</w:t>
            </w:r>
          </w:p>
        </w:tc>
      </w:tr>
      <w:tr w:rsidR="001E6BFA" w:rsidRPr="001E6BFA" w:rsidTr="001E6BFA">
        <w:trPr>
          <w:tblCellSpacing w:w="15" w:type="dxa"/>
        </w:trPr>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Political commitment to PFMRP</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High</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Low</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The PFMRP is adopted by the Government. The Government adopts annual reports on PFMRP implementation.</w:t>
            </w:r>
          </w:p>
        </w:tc>
      </w:tr>
      <w:tr w:rsidR="001E6BFA" w:rsidRPr="001E6BFA" w:rsidTr="001E6BFA">
        <w:trPr>
          <w:tblCellSpacing w:w="15" w:type="dxa"/>
        </w:trPr>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Involvement of all relevant institutions and stakeholders in PFMRP implementation</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High</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Low</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A Working Group has been established. All relevant stakeholders are included in the process of preparation, monitoring, and reporting on PFMRP progress. A transparent reporting process for stakeholders on achieved results is ensured.</w:t>
            </w:r>
          </w:p>
        </w:tc>
      </w:tr>
      <w:tr w:rsidR="001E6BFA" w:rsidRPr="001E6BFA" w:rsidTr="001E6BFA">
        <w:trPr>
          <w:tblCellSpacing w:w="15" w:type="dxa"/>
        </w:trPr>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lastRenderedPageBreak/>
              <w:t>Inadequate human capacities for PFMRP implementation</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High</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Medium</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Filling vacancies in accordance with job classification plans.</w:t>
            </w:r>
          </w:p>
        </w:tc>
      </w:tr>
      <w:tr w:rsidR="001E6BFA" w:rsidRPr="001E6BFA" w:rsidTr="001E6BFA">
        <w:trPr>
          <w:tblCellSpacing w:w="15" w:type="dxa"/>
        </w:trPr>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Insufficient funds for PFMRP financing</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High</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Medium</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Planning necessary appropriations in the state budget. Planning bilateral and donor support.</w:t>
            </w:r>
          </w:p>
        </w:tc>
      </w:tr>
      <w:tr w:rsidR="001E6BFA" w:rsidRPr="001E6BFA" w:rsidTr="001E6BFA">
        <w:trPr>
          <w:tblCellSpacing w:w="15" w:type="dxa"/>
        </w:trPr>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Inadequate, fragmented, and non-interoperable IT systems</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Medium</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Medium</w:t>
            </w:r>
          </w:p>
        </w:tc>
        <w:tc>
          <w:tcPr>
            <w:tcW w:w="0" w:type="auto"/>
            <w:vAlign w:val="center"/>
            <w:hideMark/>
          </w:tcPr>
          <w:p w:rsidR="001E6BFA" w:rsidRPr="001E6BFA" w:rsidRDefault="001E6BFA" w:rsidP="001E6BFA">
            <w:pPr>
              <w:spacing w:before="0" w:after="0" w:line="240" w:lineRule="auto"/>
              <w:jc w:val="center"/>
              <w:rPr>
                <w:rFonts w:ascii="Times New Roman" w:eastAsia="Calibri" w:hAnsi="Times New Roman" w:cs="Times New Roman"/>
                <w:b/>
                <w:bCs/>
                <w:sz w:val="22"/>
                <w:szCs w:val="22"/>
              </w:rPr>
            </w:pPr>
            <w:r w:rsidRPr="001E6BFA">
              <w:rPr>
                <w:rFonts w:ascii="Times New Roman" w:eastAsia="Calibri" w:hAnsi="Times New Roman" w:cs="Times New Roman"/>
                <w:b/>
                <w:bCs/>
                <w:sz w:val="22"/>
                <w:szCs w:val="22"/>
              </w:rPr>
              <w:t>Further investments in IT infrastructure and improved coordination among institutions. Strengthened cooperation with the Office for Information Technologies and eGovernment.</w:t>
            </w:r>
          </w:p>
        </w:tc>
      </w:tr>
    </w:tbl>
    <w:p w:rsidR="001E6BFA" w:rsidRDefault="001E6BFA" w:rsidP="00CF47F7">
      <w:pPr>
        <w:spacing w:before="0" w:after="0" w:line="240" w:lineRule="auto"/>
        <w:jc w:val="center"/>
        <w:rPr>
          <w:rFonts w:ascii="Times New Roman" w:eastAsia="Calibri" w:hAnsi="Times New Roman" w:cs="Times New Roman"/>
          <w:b/>
          <w:bCs/>
          <w:sz w:val="22"/>
          <w:szCs w:val="22"/>
        </w:rPr>
      </w:pPr>
    </w:p>
    <w:p w:rsidR="001E6BFA" w:rsidRPr="0081082A" w:rsidRDefault="001E6BFA" w:rsidP="00CF47F7">
      <w:pPr>
        <w:spacing w:before="0" w:after="0" w:line="240" w:lineRule="auto"/>
        <w:jc w:val="center"/>
        <w:rPr>
          <w:rFonts w:ascii="Times New Roman" w:eastAsia="Calibri" w:hAnsi="Times New Roman" w:cs="Times New Roman"/>
          <w:b/>
          <w:bCs/>
          <w:sz w:val="22"/>
          <w:szCs w:val="22"/>
          <w:lang w:val="sr-Cyrl-RS"/>
        </w:rPr>
      </w:pPr>
    </w:p>
    <w:p w:rsidR="006A6D6D" w:rsidRPr="00B26B4D" w:rsidRDefault="000F455F" w:rsidP="00B26B4D">
      <w:pPr>
        <w:pStyle w:val="Heading1"/>
        <w:jc w:val="center"/>
        <w:rPr>
          <w:rFonts w:ascii="Times New Roman" w:hAnsi="Times New Roman" w:cs="Times New Roman"/>
          <w:sz w:val="24"/>
          <w:szCs w:val="24"/>
        </w:rPr>
      </w:pPr>
      <w:r w:rsidRPr="000F455F">
        <w:rPr>
          <w:rFonts w:ascii="Times New Roman" w:hAnsi="Times New Roman" w:cs="Times New Roman"/>
          <w:sz w:val="24"/>
          <w:szCs w:val="24"/>
        </w:rPr>
        <w:t>Monitoring, Evaluation, and Reporting Process on the Implementation of the Public Financial Management Reform Program 2026–2030</w:t>
      </w:r>
    </w:p>
    <w:p w:rsidR="006A6D6D" w:rsidRDefault="006A6D6D" w:rsidP="00FB6EDF">
      <w:pPr>
        <w:spacing w:before="120" w:after="0" w:line="240" w:lineRule="auto"/>
        <w:ind w:firstLine="708"/>
        <w:jc w:val="both"/>
        <w:rPr>
          <w:rFonts w:ascii="Times New Roman" w:eastAsia="Calibri" w:hAnsi="Times New Roman" w:cs="Times New Roman"/>
          <w:sz w:val="24"/>
          <w:szCs w:val="24"/>
          <w:highlight w:val="yellow"/>
          <w:lang w:val="sr-Cyrl-RS"/>
        </w:rPr>
      </w:pP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t>The Working Group for the PFM Reform Program (PFMRP) 2026–2030 is composed of representatives of the following relevant institutions:</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Pr>
          <w:rFonts w:ascii="Times New Roman" w:eastAsia="Times New Roman" w:hAnsi="Times New Roman" w:cs="Times New Roman"/>
          <w:sz w:val="24"/>
          <w:szCs w:val="24"/>
          <w:shd w:val="clear" w:color="auto" w:fill="FFFFFF"/>
        </w:rPr>
        <w:t>T</w:t>
      </w:r>
      <w:r w:rsidRPr="000F455F">
        <w:rPr>
          <w:rFonts w:ascii="Times New Roman" w:eastAsia="Times New Roman" w:hAnsi="Times New Roman" w:cs="Times New Roman"/>
          <w:sz w:val="24"/>
          <w:szCs w:val="24"/>
          <w:shd w:val="clear" w:color="auto" w:fill="FFFFFF"/>
          <w:lang w:val="sr-Cyrl-RS"/>
        </w:rPr>
        <w:t>he Ministry of Finance (Department for International Cooperation and European Integration; Central Harmonization Unit; Department for the Customs System and Policy; Fiscal System Department; Budget Inspection Department; Budget Department; Department for Macroeconomic and Fiscal Analyses and Projections; Department for Capital Projects; Department for EU Funds Management; Department for Digitalization in the Field of Finance; Department for the Prevention of Irregularities and Frauds in the Use of EU Financial Assistance; Administration for the Prevention of Money Laundering; Treasury Administration; Tobacco Administration; Tax Administration; Public Debt Administration; and Customs Administration), the Ministry of Public Administration and Local Self-Government, the Ministry for European Integration, the Audit Authority for the Management System of EU Funds, the Public Procurement Office, the General Secretariat of the Government, the Human Resources Management Service, the National Academy for Public Administration, the State Audit Institution, the National Assembly, and the Republic Secretariat for Public Policies.</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t>The Working Group for the PFMRP 2026–2030, which was responsible for preparing the Program, is also in charge of monitoring and reporting on the realization of the identified objectives, measures, and activities, as well as the achievement of the established indicators. An important part of its work is to align the objectives and activities of the PFMRP 2026–2030 with other relevant strategic documents, thereby ensuring consistency and synergy in the implementation of reforms.</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lastRenderedPageBreak/>
        <w:t>Enhancing cooperation among the members of the Working Group is a priority, with the goal of improving coordination, communication, and the exchange of experience. This approach contributes to more effective preparation, monitoring, and reporting on the implementation of the Program, ensuring that all activities are carried out in line with the planned timelines and objectives. The Working Group also performs all other tasks necessary to ensure the successful realization of the Public Financial Management Reform Program 2026–2030.</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t>The Technical Secretariat of the Public Financial Management Reform Program is located within the Department for International Cooperation and European Integration of the Ministry of Finance, in accordance with the Decision of the Minister of Finance on the Establishment of the Working Group for the PFMRP 2026–2030, and is tasked with providing professional and administrative-technical support to the activities of the Working Group.</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t>The Technical Secretariat is responsible for providing administrative, technical, and logistical support to the Working Group throughout the entire process of preparation, implementation, monitoring, updating, and reporting on the implementation of the PFMRP, in accordance with the Rulebook on Internal Organization and Job Classification of the Ministry of Finance.</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t>In line with the Law on the Planning System of the Republic of Serbia, the Technical Secretariat initiates and coordinates the preparation of the Annual Report on the Implementation of the PFMRP Action Plan. The Government adopts this report within 120 days from the beginning of the year for the previous year. The Secretariat also coordinates the process of improving the Program and reporting in various forums where PFM reform is discussed. The report is published on the website of the Ministry of Finance.</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t>Considering the alignment between the Public Administration Reform Strategy 2021–2030 and the PFMRP 2026–2030, as well as the reporting requirements stipulated by the Law on the Planning System, the Reports on the Implementation of the PFMRP will be appropriately integrated into the Reports on the Implementation of the Public Administration Reform Strategy 2021–2030. Representatives of the Ministry of Finance will participate in all working bodies that monitor the implementation of the Public Administration Reform Strategy, including participation in the Public Administration Reform Council, as the central strategic body of the Government for coordinating reforms in public administration and public finances at the political level.</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t>In addition to reporting to the Government, the Ministry of Finance also reports to other stakeholders on progress in the area of PFM reform.</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t>Before the adoption of the PFMRP, the Technical Secretariat organizes the “Public Financial Management Policy Dialogue” meeting, which brings together representatives of all interested stakeholders, including the European Commission, the donor community, international financial institutions, and civil society, in order to take into account their views in this process.</w:t>
      </w:r>
    </w:p>
    <w:p w:rsidR="000F455F" w:rsidRPr="000F455F" w:rsidRDefault="000F455F" w:rsidP="000F455F">
      <w:pPr>
        <w:ind w:firstLine="708"/>
        <w:jc w:val="both"/>
        <w:rPr>
          <w:rFonts w:ascii="Times New Roman" w:eastAsia="Times New Roman" w:hAnsi="Times New Roman" w:cs="Times New Roman"/>
          <w:sz w:val="24"/>
          <w:szCs w:val="24"/>
          <w:shd w:val="clear" w:color="auto" w:fill="FFFFFF"/>
          <w:lang w:val="sr-Cyrl-RS"/>
        </w:rPr>
      </w:pPr>
      <w:r w:rsidRPr="000F455F">
        <w:rPr>
          <w:rFonts w:ascii="Times New Roman" w:eastAsia="Times New Roman" w:hAnsi="Times New Roman" w:cs="Times New Roman"/>
          <w:sz w:val="24"/>
          <w:szCs w:val="24"/>
          <w:shd w:val="clear" w:color="auto" w:fill="FFFFFF"/>
          <w:lang w:val="sr-Cyrl-RS"/>
        </w:rPr>
        <w:lastRenderedPageBreak/>
        <w:t>The Dialogue is organized in the form of a full-day conference, during which progress in PFM reform and plans for the upcoming period are presented, providing all participants with the opportunity to engage in discussion on any topic relevant to the reform. During the preparation of the PFMRP 2026–2030, this meeting was held in November 2025.</w:t>
      </w:r>
    </w:p>
    <w:p w:rsidR="00AE3C4E" w:rsidRPr="000F455F" w:rsidRDefault="000F455F" w:rsidP="009C2A05">
      <w:pPr>
        <w:ind w:firstLine="708"/>
        <w:jc w:val="both"/>
        <w:rPr>
          <w:rFonts w:ascii="Times New Roman" w:eastAsia="Times New Roman" w:hAnsi="Times New Roman" w:cs="Times New Roman"/>
          <w:sz w:val="24"/>
          <w:szCs w:val="24"/>
          <w:shd w:val="clear" w:color="auto" w:fill="FFFFFF"/>
          <w:lang w:val="sr-Cyrl-RS"/>
        </w:rPr>
        <w:sectPr w:rsidR="00AE3C4E" w:rsidRPr="000F455F" w:rsidSect="00836B41">
          <w:pgSz w:w="11906" w:h="16838"/>
          <w:pgMar w:top="1440" w:right="1440" w:bottom="1440" w:left="1440" w:header="432" w:footer="720" w:gutter="0"/>
          <w:cols w:space="720"/>
          <w:docGrid w:linePitch="360"/>
        </w:sectPr>
      </w:pPr>
      <w:r w:rsidRPr="000F455F">
        <w:rPr>
          <w:rFonts w:ascii="Times New Roman" w:eastAsia="Times New Roman" w:hAnsi="Times New Roman" w:cs="Times New Roman"/>
          <w:sz w:val="24"/>
          <w:szCs w:val="24"/>
          <w:shd w:val="clear" w:color="auto" w:fill="FFFFFF"/>
          <w:lang w:val="sr-Cyrl-RS"/>
        </w:rPr>
        <w:t>To further strengthen cooperation, all interested stakeholders may submit their comments and suggestions related to the PFMRP throughout the year via a dedicated email address: pfmdijalog@mfin.gov.rs.</w:t>
      </w:r>
      <w:bookmarkStart w:id="6" w:name="_Toc62403531"/>
      <w:bookmarkStart w:id="7" w:name="_Toc62404250"/>
      <w:bookmarkStart w:id="8" w:name="_Toc62408749"/>
      <w:bookmarkStart w:id="9" w:name="_Toc64555376"/>
      <w:bookmarkStart w:id="10" w:name="_Toc73613632"/>
    </w:p>
    <w:bookmarkEnd w:id="6"/>
    <w:bookmarkEnd w:id="7"/>
    <w:bookmarkEnd w:id="8"/>
    <w:bookmarkEnd w:id="9"/>
    <w:bookmarkEnd w:id="10"/>
    <w:p w:rsidR="005F0C63" w:rsidRPr="009C2A05" w:rsidRDefault="005F0C63" w:rsidP="009C2A05">
      <w:pPr>
        <w:tabs>
          <w:tab w:val="left" w:pos="2265"/>
        </w:tabs>
        <w:rPr>
          <w:rFonts w:ascii="Times New Roman" w:eastAsia="Calibri" w:hAnsi="Times New Roman" w:cs="Times New Roman"/>
          <w:sz w:val="24"/>
          <w:szCs w:val="24"/>
          <w:lang w:val="sr-Cyrl-RS"/>
        </w:rPr>
      </w:pPr>
    </w:p>
    <w:sectPr w:rsidR="005F0C63" w:rsidRPr="009C2A05" w:rsidSect="00CB0D8C">
      <w:pgSz w:w="16838" w:h="11906" w:orient="landscape" w:code="9"/>
      <w:pgMar w:top="1440" w:right="1440" w:bottom="1440" w:left="1440" w:header="431"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09B3B" w16cex:dateUtc="2025-10-0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A2339E" w16cid:durableId="6B409B3B"/>
  <w16cid:commentId w16cid:paraId="05EB6A39" w16cid:durableId="05EB6A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84" w:rsidRDefault="00F90384" w:rsidP="007D6B29">
      <w:pPr>
        <w:spacing w:after="0" w:line="240" w:lineRule="auto"/>
      </w:pPr>
      <w:r>
        <w:separator/>
      </w:r>
    </w:p>
  </w:endnote>
  <w:endnote w:type="continuationSeparator" w:id="0">
    <w:p w:rsidR="00F90384" w:rsidRDefault="00F90384" w:rsidP="007D6B29">
      <w:pPr>
        <w:spacing w:after="0" w:line="240" w:lineRule="auto"/>
      </w:pPr>
      <w:r>
        <w:continuationSeparator/>
      </w:r>
    </w:p>
  </w:endnote>
  <w:endnote w:type="continuationNotice" w:id="1">
    <w:p w:rsidR="00F90384" w:rsidRDefault="00F903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Times">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boto-Regular">
    <w:panose1 w:val="00000000000000000000"/>
    <w:charset w:val="00"/>
    <w:family w:val="roman"/>
    <w:notTrueType/>
    <w:pitch w:val="default"/>
  </w:font>
  <w:font w:name="DejaVu Sans Mono">
    <w:altName w:val="Verdana"/>
    <w:charset w:val="00"/>
    <w:family w:val="modern"/>
    <w:pitch w:val="fixed"/>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Mono">
    <w:altName w:val="MS Gothic"/>
    <w:charset w:val="00"/>
    <w:family w:val="modern"/>
    <w:pitch w:val="fixed"/>
  </w:font>
  <w:font w:name="DejaVu Sans">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iberation Serif">
    <w:altName w:val="Times New Roman"/>
    <w:charset w:val="EE"/>
    <w:family w:val="roman"/>
    <w:pitch w:val="variable"/>
  </w:font>
  <w:font w:name="FreeSans">
    <w:altName w:val="MS 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670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475856"/>
      <w:docPartObj>
        <w:docPartGallery w:val="Page Numbers (Bottom of Page)"/>
        <w:docPartUnique/>
      </w:docPartObj>
    </w:sdtPr>
    <w:sdtEndPr>
      <w:rPr>
        <w:noProof/>
      </w:rPr>
    </w:sdtEndPr>
    <w:sdtContent>
      <w:p w:rsidR="00670D3F" w:rsidRDefault="00670D3F">
        <w:pPr>
          <w:pStyle w:val="Footer"/>
          <w:jc w:val="center"/>
        </w:pPr>
        <w:r>
          <w:fldChar w:fldCharType="begin"/>
        </w:r>
        <w:r>
          <w:instrText xml:space="preserve"> PAGE   \* MERGEFORMAT </w:instrText>
        </w:r>
        <w:r>
          <w:fldChar w:fldCharType="separate"/>
        </w:r>
        <w:r w:rsidR="00566EB8">
          <w:rPr>
            <w:noProof/>
          </w:rPr>
          <w:t>6</w:t>
        </w:r>
        <w:r>
          <w:rPr>
            <w:noProof/>
          </w:rPr>
          <w:fldChar w:fldCharType="end"/>
        </w:r>
      </w:p>
    </w:sdtContent>
  </w:sdt>
  <w:p w:rsidR="00670D3F" w:rsidRDefault="00670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670D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901925"/>
      <w:docPartObj>
        <w:docPartGallery w:val="Page Numbers (Bottom of Page)"/>
        <w:docPartUnique/>
      </w:docPartObj>
    </w:sdtPr>
    <w:sdtEndPr>
      <w:rPr>
        <w:noProof/>
      </w:rPr>
    </w:sdtEndPr>
    <w:sdtContent>
      <w:p w:rsidR="00670D3F" w:rsidRDefault="00670D3F">
        <w:pPr>
          <w:pStyle w:val="Footer"/>
          <w:jc w:val="center"/>
        </w:pPr>
        <w:r>
          <w:fldChar w:fldCharType="begin"/>
        </w:r>
        <w:r>
          <w:instrText xml:space="preserve"> PAGE   \* MERGEFORMAT </w:instrText>
        </w:r>
        <w:r>
          <w:fldChar w:fldCharType="separate"/>
        </w:r>
        <w:r w:rsidR="00566EB8">
          <w:rPr>
            <w:noProof/>
          </w:rPr>
          <w:t>7</w:t>
        </w:r>
        <w:r>
          <w:rPr>
            <w:noProof/>
          </w:rPr>
          <w:fldChar w:fldCharType="end"/>
        </w:r>
      </w:p>
    </w:sdtContent>
  </w:sdt>
  <w:p w:rsidR="00670D3F" w:rsidRDefault="00670D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281448"/>
      <w:docPartObj>
        <w:docPartGallery w:val="Page Numbers (Bottom of Page)"/>
        <w:docPartUnique/>
      </w:docPartObj>
    </w:sdtPr>
    <w:sdtEndPr>
      <w:rPr>
        <w:noProof/>
      </w:rPr>
    </w:sdtEndPr>
    <w:sdtContent>
      <w:p w:rsidR="00670D3F" w:rsidRDefault="00670D3F">
        <w:pPr>
          <w:pStyle w:val="Footer"/>
          <w:jc w:val="center"/>
        </w:pPr>
        <w:r>
          <w:fldChar w:fldCharType="begin"/>
        </w:r>
        <w:r>
          <w:instrText xml:space="preserve"> PAGE   \* MERGEFORMAT </w:instrText>
        </w:r>
        <w:r>
          <w:fldChar w:fldCharType="separate"/>
        </w:r>
        <w:r w:rsidR="00566EB8">
          <w:rPr>
            <w:noProof/>
          </w:rPr>
          <w:t>12</w:t>
        </w:r>
        <w:r>
          <w:rPr>
            <w:noProof/>
          </w:rPr>
          <w:fldChar w:fldCharType="end"/>
        </w:r>
      </w:p>
    </w:sdtContent>
  </w:sdt>
  <w:p w:rsidR="00670D3F" w:rsidRDefault="00670D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606716"/>
      <w:docPartObj>
        <w:docPartGallery w:val="Page Numbers (Bottom of Page)"/>
        <w:docPartUnique/>
      </w:docPartObj>
    </w:sdtPr>
    <w:sdtEndPr>
      <w:rPr>
        <w:noProof/>
      </w:rPr>
    </w:sdtEndPr>
    <w:sdtContent>
      <w:p w:rsidR="00670D3F" w:rsidRDefault="00670D3F">
        <w:pPr>
          <w:pStyle w:val="Footer"/>
          <w:jc w:val="center"/>
        </w:pPr>
        <w:r>
          <w:fldChar w:fldCharType="begin"/>
        </w:r>
        <w:r>
          <w:instrText xml:space="preserve"> PAGE   \* MERGEFORMAT </w:instrText>
        </w:r>
        <w:r>
          <w:fldChar w:fldCharType="separate"/>
        </w:r>
        <w:r w:rsidR="00566EB8">
          <w:rPr>
            <w:noProof/>
          </w:rPr>
          <w:t>22</w:t>
        </w:r>
        <w:r>
          <w:rPr>
            <w:noProof/>
          </w:rPr>
          <w:fldChar w:fldCharType="end"/>
        </w:r>
      </w:p>
    </w:sdtContent>
  </w:sdt>
  <w:p w:rsidR="00670D3F" w:rsidRDefault="00670D3F">
    <w:pPr>
      <w:pStyle w:val="Footer"/>
    </w:pPr>
  </w:p>
  <w:p w:rsidR="00670D3F" w:rsidRDefault="00670D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84" w:rsidRDefault="00F90384" w:rsidP="007D6B29">
      <w:pPr>
        <w:spacing w:after="0" w:line="240" w:lineRule="auto"/>
      </w:pPr>
      <w:r>
        <w:separator/>
      </w:r>
    </w:p>
  </w:footnote>
  <w:footnote w:type="continuationSeparator" w:id="0">
    <w:p w:rsidR="00F90384" w:rsidRDefault="00F90384" w:rsidP="007D6B29">
      <w:pPr>
        <w:spacing w:after="0" w:line="240" w:lineRule="auto"/>
      </w:pPr>
      <w:r>
        <w:continuationSeparator/>
      </w:r>
    </w:p>
  </w:footnote>
  <w:footnote w:type="continuationNotice" w:id="1">
    <w:p w:rsidR="00F90384" w:rsidRDefault="00F90384">
      <w:pPr>
        <w:spacing w:before="0" w:after="0" w:line="240" w:lineRule="auto"/>
      </w:pPr>
    </w:p>
  </w:footnote>
  <w:footnote w:id="2">
    <w:p w:rsidR="00670D3F" w:rsidRPr="003A1A01" w:rsidRDefault="00670D3F">
      <w:pPr>
        <w:pStyle w:val="FootnoteText"/>
        <w:rPr>
          <w:lang w:val="sr-Cyrl-RS"/>
        </w:rPr>
      </w:pPr>
      <w:r>
        <w:rPr>
          <w:rStyle w:val="FootnoteReference"/>
        </w:rPr>
        <w:footnoteRef/>
      </w:r>
      <w:r>
        <w:t xml:space="preserve"> The link between individual specific objectives and the Sustainable Development Goals will be analyzed and further strengthened during the consultation and public discussion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7CFEE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1" o:spid="_x0000_s2062" type="#_x0000_t136" style="position:absolute;margin-left:0;margin-top:0;width:535.8pt;height:100.45pt;rotation:315;z-index:-251652608;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163A4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900" o:spid="_x0000_s2071" type="#_x0000_t136" style="position:absolute;margin-left:0;margin-top:0;width:535.8pt;height:100.45pt;rotation:315;z-index:-251634176;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r>
      <w:rPr>
        <w:noProof/>
      </w:rPr>
      <w:pict w14:anchorId="3B443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901" o:spid="_x0000_s2072" type="#_x0000_t136" style="position:absolute;margin-left:0;margin-top:0;width:535.8pt;height:100.45pt;rotation:315;z-index:-251632128;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18144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9" o:spid="_x0000_s2070" type="#_x0000_t136" style="position:absolute;margin-left:0;margin-top:0;width:535.8pt;height:100.45pt;rotation:315;z-index:-251636224;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04EF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2" o:spid="_x0000_s2063" type="#_x0000_t136" style="position:absolute;margin-left:0;margin-top:0;width:535.8pt;height:100.45pt;rotation:315;z-index:-251650560;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p w:rsidR="00670D3F" w:rsidRDefault="00670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3B21F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0" o:spid="_x0000_s2061" type="#_x0000_t136" style="position:absolute;margin-left:0;margin-top:0;width:535.8pt;height:100.45pt;rotation:315;z-index:-251654656;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3E9C1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4" o:spid="_x0000_s2065" type="#_x0000_t136" style="position:absolute;margin-left:0;margin-top:0;width:535.8pt;height:100.45pt;rotation:315;z-index:-251646464;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1F8C5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5" o:spid="_x0000_s2066" type="#_x0000_t136" style="position:absolute;margin-left:0;margin-top:0;width:535.8pt;height:100.45pt;rotation:315;z-index:-251644416;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sdt>
    <w:sdtPr>
      <w:id w:val="635145940"/>
      <w:docPartObj>
        <w:docPartGallery w:val="Watermarks"/>
        <w:docPartUnique/>
      </w:docPartObj>
    </w:sdtPr>
    <w:sdtEndPr/>
    <w:sdtContent>
      <w:p w:rsidR="00670D3F" w:rsidRDefault="00670D3F">
        <w:pPr>
          <w:pStyle w:val="Header"/>
        </w:pPr>
        <w:r>
          <w:rPr>
            <w:noProof/>
          </w:rPr>
          <mc:AlternateContent>
            <mc:Choice Requires="wps">
              <w:drawing>
                <wp:anchor distT="0" distB="0" distL="114300" distR="114300" simplePos="0" relativeHeight="251659776" behindDoc="1" locked="0" layoutInCell="0" allowOverlap="1" wp14:anchorId="7046B43D" wp14:editId="637D6E96">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70D3F" w:rsidRDefault="00670D3F" w:rsidP="005703FA">
                              <w:pPr>
                                <w:pStyle w:val="NormalWeb"/>
                                <w:spacing w:before="0"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46B43D" id="_x0000_t202" coordsize="21600,21600" o:spt="202" path="m,l,21600r21600,l21600,xe">
                  <v:stroke joinstyle="miter"/>
                  <v:path gradientshapeok="t" o:connecttype="rect"/>
                </v:shapetype>
                <v:shape id="Text Box 10" o:spid="_x0000_s1029" type="#_x0000_t202" style="position:absolute;margin-left:0;margin-top:0;width:412.4pt;height:247.4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MUA&#10;THiHAgAA/w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rsidR="00670D3F" w:rsidRDefault="00670D3F" w:rsidP="005703FA">
                        <w:pPr>
                          <w:pStyle w:val="NormalWeb"/>
                          <w:spacing w:before="0"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54CF6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3" o:spid="_x0000_s2064" type="#_x0000_t136" style="position:absolute;margin-left:0;margin-top:0;width:535.8pt;height:100.45pt;rotation:315;z-index:-251648512;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58D58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7" o:spid="_x0000_s2068" type="#_x0000_t136" style="position:absolute;margin-left:0;margin-top:0;width:535.8pt;height:100.45pt;rotation:315;z-index:-251640320;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17DD7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8" o:spid="_x0000_s2069" type="#_x0000_t136" style="position:absolute;margin-left:0;margin-top:0;width:535.8pt;height:100.45pt;rotation:315;z-index:-251638272;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sdt>
    <w:sdtPr>
      <w:id w:val="1159573505"/>
      <w:docPartObj>
        <w:docPartGallery w:val="Watermarks"/>
        <w:docPartUnique/>
      </w:docPartObj>
    </w:sdtPr>
    <w:sdtEndPr/>
    <w:sdtContent>
      <w:p w:rsidR="00670D3F" w:rsidRDefault="00670D3F">
        <w:pPr>
          <w:pStyle w:val="Header"/>
        </w:pPr>
        <w:r>
          <w:rPr>
            <w:noProof/>
          </w:rPr>
          <mc:AlternateContent>
            <mc:Choice Requires="wps">
              <w:drawing>
                <wp:anchor distT="0" distB="0" distL="114300" distR="114300" simplePos="0" relativeHeight="251657728" behindDoc="1" locked="0" layoutInCell="0" allowOverlap="1" wp14:anchorId="5E085605" wp14:editId="00D8DC61">
                  <wp:simplePos x="0" y="0"/>
                  <wp:positionH relativeFrom="margin">
                    <wp:align>center</wp:align>
                  </wp:positionH>
                  <wp:positionV relativeFrom="margin">
                    <wp:align>center</wp:align>
                  </wp:positionV>
                  <wp:extent cx="5237480" cy="3142615"/>
                  <wp:effectExtent l="0" t="1143000" r="0" b="657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70D3F" w:rsidRDefault="00670D3F" w:rsidP="005703FA">
                              <w:pPr>
                                <w:pStyle w:val="NormalWeb"/>
                                <w:spacing w:before="0"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085605" id="_x0000_t202" coordsize="21600,21600" o:spt="202" path="m,l,21600r21600,l21600,xe">
                  <v:stroke joinstyle="miter"/>
                  <v:path gradientshapeok="t" o:connecttype="rect"/>
                </v:shapetype>
                <v:shape id="Text Box 16" o:spid="_x0000_s1030"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K4jA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LDOyuIwCAAAGBQAADgAAAAAAAAAAAAAAAAAuAgAAZHJzL2Uyb0RvYy54bWxQSwECLQAUAAYA&#10;CAAAACEAOy2kaNsAAAAFAQAADwAAAAAAAAAAAAAAAADmBAAAZHJzL2Rvd25yZXYueG1sUEsFBgAA&#10;AAAEAAQA8wAAAO4FAAAAAA==&#10;" o:allowincell="f" filled="f" stroked="f">
                  <v:stroke joinstyle="round"/>
                  <o:lock v:ext="edit" shapetype="t"/>
                  <v:textbox style="mso-fit-shape-to-text:t">
                    <w:txbxContent>
                      <w:p w:rsidR="00670D3F" w:rsidRDefault="00670D3F" w:rsidP="005703FA">
                        <w:pPr>
                          <w:pStyle w:val="NormalWeb"/>
                          <w:spacing w:before="0"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3F" w:rsidRDefault="00F90384">
    <w:pPr>
      <w:pStyle w:val="Header"/>
    </w:pPr>
    <w:r>
      <w:rPr>
        <w:noProof/>
      </w:rPr>
      <w:pict w14:anchorId="2A3DC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62896" o:spid="_x0000_s2067" type="#_x0000_t136" style="position:absolute;margin-left:0;margin-top:0;width:535.8pt;height:100.45pt;rotation:315;z-index:-251642368;mso-position-horizontal:center;mso-position-horizontal-relative:margin;mso-position-vertical:center;mso-position-vertical-relative:margin" o:allowincell="f" fillcolor="silver" stroked="f">
          <v:fill opacity=".5"/>
          <v:textpath style="font-family:&quot;Calibri&quot;;font-size:1pt" string="Unofficial Trans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9D4"/>
      </v:shape>
    </w:pict>
  </w:numPicBullet>
  <w:abstractNum w:abstractNumId="0" w15:restartNumberingAfterBreak="0">
    <w:nsid w:val="FFFFFF89"/>
    <w:multiLevelType w:val="singleLevel"/>
    <w:tmpl w:val="BD145C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4A2841"/>
    <w:multiLevelType w:val="hybridMultilevel"/>
    <w:tmpl w:val="DAF2FD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05CA9"/>
    <w:multiLevelType w:val="hybridMultilevel"/>
    <w:tmpl w:val="42423320"/>
    <w:lvl w:ilvl="0" w:tplc="D28835AC">
      <w:start w:val="1"/>
      <w:numFmt w:val="decimal"/>
      <w:pStyle w:val="ParagraphNumbering"/>
      <w:lvlText w:val="%1.     "/>
      <w:lvlJc w:val="left"/>
      <w:pPr>
        <w:tabs>
          <w:tab w:val="num" w:pos="1260"/>
        </w:tabs>
        <w:ind w:left="540" w:firstLine="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7384"/>
    <w:multiLevelType w:val="hybridMultilevel"/>
    <w:tmpl w:val="9D12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44564"/>
    <w:multiLevelType w:val="hybridMultilevel"/>
    <w:tmpl w:val="B1F6BB26"/>
    <w:lvl w:ilvl="0" w:tplc="6178AF76">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6448"/>
    <w:multiLevelType w:val="multilevel"/>
    <w:tmpl w:val="A6E4EC1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844F91"/>
    <w:multiLevelType w:val="hybridMultilevel"/>
    <w:tmpl w:val="DA5452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E79B0"/>
    <w:multiLevelType w:val="hybridMultilevel"/>
    <w:tmpl w:val="BB1CB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06749"/>
    <w:multiLevelType w:val="hybridMultilevel"/>
    <w:tmpl w:val="6A0851EE"/>
    <w:lvl w:ilvl="0" w:tplc="04090007">
      <w:start w:val="1"/>
      <w:numFmt w:val="bullet"/>
      <w:lvlText w:val=""/>
      <w:lvlPicBulletId w:val="0"/>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36994A1A"/>
    <w:multiLevelType w:val="multilevel"/>
    <w:tmpl w:val="034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85611"/>
    <w:multiLevelType w:val="multilevel"/>
    <w:tmpl w:val="18667D1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3E27EFB"/>
    <w:multiLevelType w:val="multilevel"/>
    <w:tmpl w:val="864C839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C96157"/>
    <w:multiLevelType w:val="hybridMultilevel"/>
    <w:tmpl w:val="1A20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7119A"/>
    <w:multiLevelType w:val="hybridMultilevel"/>
    <w:tmpl w:val="C7FA6B2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76F3947"/>
    <w:multiLevelType w:val="hybridMultilevel"/>
    <w:tmpl w:val="3FE8018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5" w15:restartNumberingAfterBreak="0">
    <w:nsid w:val="53663EDC"/>
    <w:multiLevelType w:val="multilevel"/>
    <w:tmpl w:val="6A1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B117C"/>
    <w:multiLevelType w:val="hybridMultilevel"/>
    <w:tmpl w:val="B1942A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627C6A8C"/>
    <w:multiLevelType w:val="hybridMultilevel"/>
    <w:tmpl w:val="F7643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62A36"/>
    <w:multiLevelType w:val="multilevel"/>
    <w:tmpl w:val="0ED2E2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60C31DE"/>
    <w:multiLevelType w:val="multilevel"/>
    <w:tmpl w:val="528ACAE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717451FE"/>
    <w:multiLevelType w:val="hybridMultilevel"/>
    <w:tmpl w:val="A33E036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A3FD0"/>
    <w:multiLevelType w:val="hybridMultilevel"/>
    <w:tmpl w:val="04A6B77E"/>
    <w:lvl w:ilvl="0" w:tplc="3DFE8AF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A544BD2"/>
    <w:multiLevelType w:val="multilevel"/>
    <w:tmpl w:val="D4FA0A5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abstractNumId w:val="10"/>
  </w:num>
  <w:num w:numId="2">
    <w:abstractNumId w:val="1"/>
  </w:num>
  <w:num w:numId="3">
    <w:abstractNumId w:val="20"/>
  </w:num>
  <w:num w:numId="4">
    <w:abstractNumId w:val="19"/>
  </w:num>
  <w:num w:numId="5">
    <w:abstractNumId w:val="4"/>
  </w:num>
  <w:num w:numId="6">
    <w:abstractNumId w:val="3"/>
  </w:num>
  <w:num w:numId="7">
    <w:abstractNumId w:val="12"/>
  </w:num>
  <w:num w:numId="8">
    <w:abstractNumId w:val="2"/>
  </w:num>
  <w:num w:numId="9">
    <w:abstractNumId w:val="0"/>
  </w:num>
  <w:num w:numId="10">
    <w:abstractNumId w:val="7"/>
  </w:num>
  <w:num w:numId="11">
    <w:abstractNumId w:val="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num>
  <w:num w:numId="15">
    <w:abstractNumId w:val="1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16"/>
  </w:num>
  <w:num w:numId="21">
    <w:abstractNumId w:val="5"/>
  </w:num>
  <w:num w:numId="22">
    <w:abstractNumId w:val="11"/>
    <w:lvlOverride w:ilvl="0">
      <w:lvl w:ilvl="0">
        <w:numFmt w:val="decimal"/>
        <w:lvlText w:val="%1."/>
        <w:lvlJc w:val="left"/>
      </w:lvl>
    </w:lvlOverride>
  </w:num>
  <w:num w:numId="23">
    <w:abstractNumId w:val="15"/>
  </w:num>
  <w:num w:numId="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73"/>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29"/>
    <w:rsid w:val="000004BE"/>
    <w:rsid w:val="00000851"/>
    <w:rsid w:val="00000957"/>
    <w:rsid w:val="00000BA5"/>
    <w:rsid w:val="000011EB"/>
    <w:rsid w:val="00001817"/>
    <w:rsid w:val="0000259A"/>
    <w:rsid w:val="00002ACB"/>
    <w:rsid w:val="00002D91"/>
    <w:rsid w:val="00003065"/>
    <w:rsid w:val="00003251"/>
    <w:rsid w:val="000032D2"/>
    <w:rsid w:val="00003481"/>
    <w:rsid w:val="000038E4"/>
    <w:rsid w:val="00003FA8"/>
    <w:rsid w:val="00004D42"/>
    <w:rsid w:val="00004EB6"/>
    <w:rsid w:val="00005039"/>
    <w:rsid w:val="000052E7"/>
    <w:rsid w:val="000065E3"/>
    <w:rsid w:val="000066BF"/>
    <w:rsid w:val="0000692E"/>
    <w:rsid w:val="00006E86"/>
    <w:rsid w:val="00006F6F"/>
    <w:rsid w:val="000070E9"/>
    <w:rsid w:val="0000741C"/>
    <w:rsid w:val="00007458"/>
    <w:rsid w:val="00007793"/>
    <w:rsid w:val="00007E0B"/>
    <w:rsid w:val="00010971"/>
    <w:rsid w:val="00010987"/>
    <w:rsid w:val="00010C04"/>
    <w:rsid w:val="00010F1B"/>
    <w:rsid w:val="000110FF"/>
    <w:rsid w:val="00011580"/>
    <w:rsid w:val="0001198A"/>
    <w:rsid w:val="00011E7E"/>
    <w:rsid w:val="000125F1"/>
    <w:rsid w:val="00012D3F"/>
    <w:rsid w:val="000138B4"/>
    <w:rsid w:val="000138E9"/>
    <w:rsid w:val="00013FF2"/>
    <w:rsid w:val="000140FE"/>
    <w:rsid w:val="000143EE"/>
    <w:rsid w:val="00014523"/>
    <w:rsid w:val="00014822"/>
    <w:rsid w:val="00014985"/>
    <w:rsid w:val="00014D12"/>
    <w:rsid w:val="00014EF2"/>
    <w:rsid w:val="000150CE"/>
    <w:rsid w:val="00015112"/>
    <w:rsid w:val="000151DD"/>
    <w:rsid w:val="00015479"/>
    <w:rsid w:val="00015DC7"/>
    <w:rsid w:val="0001602C"/>
    <w:rsid w:val="00016C5E"/>
    <w:rsid w:val="00017D66"/>
    <w:rsid w:val="00017FB4"/>
    <w:rsid w:val="00020857"/>
    <w:rsid w:val="00020C31"/>
    <w:rsid w:val="0002177B"/>
    <w:rsid w:val="00021E43"/>
    <w:rsid w:val="00021F6D"/>
    <w:rsid w:val="000221EF"/>
    <w:rsid w:val="00022548"/>
    <w:rsid w:val="00022740"/>
    <w:rsid w:val="00023B2B"/>
    <w:rsid w:val="00023CA9"/>
    <w:rsid w:val="00023EE1"/>
    <w:rsid w:val="00023FDA"/>
    <w:rsid w:val="00023FF2"/>
    <w:rsid w:val="00024500"/>
    <w:rsid w:val="00024FE0"/>
    <w:rsid w:val="0002643D"/>
    <w:rsid w:val="00026657"/>
    <w:rsid w:val="00026956"/>
    <w:rsid w:val="00026DF3"/>
    <w:rsid w:val="00027DB3"/>
    <w:rsid w:val="00030506"/>
    <w:rsid w:val="00030E6C"/>
    <w:rsid w:val="00031049"/>
    <w:rsid w:val="000312CA"/>
    <w:rsid w:val="00031570"/>
    <w:rsid w:val="0003197F"/>
    <w:rsid w:val="00031AF3"/>
    <w:rsid w:val="00031BDC"/>
    <w:rsid w:val="0003277C"/>
    <w:rsid w:val="00032C0E"/>
    <w:rsid w:val="00032FB8"/>
    <w:rsid w:val="000332D9"/>
    <w:rsid w:val="0003371F"/>
    <w:rsid w:val="000341E9"/>
    <w:rsid w:val="00034445"/>
    <w:rsid w:val="00034E82"/>
    <w:rsid w:val="000358B2"/>
    <w:rsid w:val="00035A83"/>
    <w:rsid w:val="00035A93"/>
    <w:rsid w:val="0003612D"/>
    <w:rsid w:val="000365FE"/>
    <w:rsid w:val="000370B8"/>
    <w:rsid w:val="000372F6"/>
    <w:rsid w:val="00037D70"/>
    <w:rsid w:val="00040009"/>
    <w:rsid w:val="00040787"/>
    <w:rsid w:val="000409BD"/>
    <w:rsid w:val="00040B2F"/>
    <w:rsid w:val="00040D94"/>
    <w:rsid w:val="00041307"/>
    <w:rsid w:val="00042F9F"/>
    <w:rsid w:val="00043066"/>
    <w:rsid w:val="000432F2"/>
    <w:rsid w:val="000433AF"/>
    <w:rsid w:val="00043550"/>
    <w:rsid w:val="00043C29"/>
    <w:rsid w:val="00043D81"/>
    <w:rsid w:val="00044694"/>
    <w:rsid w:val="00044ADB"/>
    <w:rsid w:val="00044E9C"/>
    <w:rsid w:val="00045068"/>
    <w:rsid w:val="00045710"/>
    <w:rsid w:val="00045B77"/>
    <w:rsid w:val="00045CB1"/>
    <w:rsid w:val="00046B2B"/>
    <w:rsid w:val="00046B65"/>
    <w:rsid w:val="000470CE"/>
    <w:rsid w:val="000473AA"/>
    <w:rsid w:val="000476C0"/>
    <w:rsid w:val="00047DE7"/>
    <w:rsid w:val="00051AC5"/>
    <w:rsid w:val="00051D5E"/>
    <w:rsid w:val="00051FFF"/>
    <w:rsid w:val="0005273D"/>
    <w:rsid w:val="00052E0F"/>
    <w:rsid w:val="00053797"/>
    <w:rsid w:val="00053CE7"/>
    <w:rsid w:val="00054755"/>
    <w:rsid w:val="00054A63"/>
    <w:rsid w:val="00054FF0"/>
    <w:rsid w:val="0005532E"/>
    <w:rsid w:val="0005566E"/>
    <w:rsid w:val="00055B50"/>
    <w:rsid w:val="00055CCB"/>
    <w:rsid w:val="00055D2D"/>
    <w:rsid w:val="00055E14"/>
    <w:rsid w:val="00056A94"/>
    <w:rsid w:val="00056CE9"/>
    <w:rsid w:val="00057631"/>
    <w:rsid w:val="00057939"/>
    <w:rsid w:val="00060301"/>
    <w:rsid w:val="00061054"/>
    <w:rsid w:val="00061E9A"/>
    <w:rsid w:val="0006253C"/>
    <w:rsid w:val="00062A72"/>
    <w:rsid w:val="00062CED"/>
    <w:rsid w:val="00062E07"/>
    <w:rsid w:val="00062F15"/>
    <w:rsid w:val="000630ED"/>
    <w:rsid w:val="00064977"/>
    <w:rsid w:val="00064B74"/>
    <w:rsid w:val="00064DBC"/>
    <w:rsid w:val="00064F1A"/>
    <w:rsid w:val="00064F24"/>
    <w:rsid w:val="000656BD"/>
    <w:rsid w:val="0006580D"/>
    <w:rsid w:val="000659F8"/>
    <w:rsid w:val="00065DB1"/>
    <w:rsid w:val="00066178"/>
    <w:rsid w:val="00066A22"/>
    <w:rsid w:val="00066E28"/>
    <w:rsid w:val="00066E89"/>
    <w:rsid w:val="00067329"/>
    <w:rsid w:val="0006754F"/>
    <w:rsid w:val="00067A2C"/>
    <w:rsid w:val="00067C14"/>
    <w:rsid w:val="00067DF3"/>
    <w:rsid w:val="0007017D"/>
    <w:rsid w:val="000708F5"/>
    <w:rsid w:val="00070E4E"/>
    <w:rsid w:val="00070E58"/>
    <w:rsid w:val="000713DC"/>
    <w:rsid w:val="000713F4"/>
    <w:rsid w:val="000726FF"/>
    <w:rsid w:val="00072C42"/>
    <w:rsid w:val="00072ECC"/>
    <w:rsid w:val="00072EF7"/>
    <w:rsid w:val="0007317B"/>
    <w:rsid w:val="00073184"/>
    <w:rsid w:val="000734C3"/>
    <w:rsid w:val="00073AD2"/>
    <w:rsid w:val="00074CEF"/>
    <w:rsid w:val="00074EF7"/>
    <w:rsid w:val="00074FE4"/>
    <w:rsid w:val="00074FFE"/>
    <w:rsid w:val="000750AD"/>
    <w:rsid w:val="00075979"/>
    <w:rsid w:val="00075F40"/>
    <w:rsid w:val="000765BD"/>
    <w:rsid w:val="00077AAF"/>
    <w:rsid w:val="0008066B"/>
    <w:rsid w:val="000809F5"/>
    <w:rsid w:val="000811C4"/>
    <w:rsid w:val="00081258"/>
    <w:rsid w:val="00081AC2"/>
    <w:rsid w:val="00081B32"/>
    <w:rsid w:val="00081F02"/>
    <w:rsid w:val="00081FA1"/>
    <w:rsid w:val="00082214"/>
    <w:rsid w:val="00082246"/>
    <w:rsid w:val="00082CDA"/>
    <w:rsid w:val="000830B6"/>
    <w:rsid w:val="0008312A"/>
    <w:rsid w:val="0008381D"/>
    <w:rsid w:val="00083C0B"/>
    <w:rsid w:val="000846BE"/>
    <w:rsid w:val="00084955"/>
    <w:rsid w:val="000866D7"/>
    <w:rsid w:val="0008698D"/>
    <w:rsid w:val="00087CD4"/>
    <w:rsid w:val="000901D9"/>
    <w:rsid w:val="00090B79"/>
    <w:rsid w:val="00090CBA"/>
    <w:rsid w:val="00090F6B"/>
    <w:rsid w:val="0009149A"/>
    <w:rsid w:val="00091516"/>
    <w:rsid w:val="0009174C"/>
    <w:rsid w:val="0009210D"/>
    <w:rsid w:val="00092464"/>
    <w:rsid w:val="0009311A"/>
    <w:rsid w:val="000940CD"/>
    <w:rsid w:val="000941A9"/>
    <w:rsid w:val="0009423C"/>
    <w:rsid w:val="00094490"/>
    <w:rsid w:val="00094B9F"/>
    <w:rsid w:val="0009529E"/>
    <w:rsid w:val="00095431"/>
    <w:rsid w:val="00096023"/>
    <w:rsid w:val="00096507"/>
    <w:rsid w:val="0009660A"/>
    <w:rsid w:val="000967F9"/>
    <w:rsid w:val="000969A5"/>
    <w:rsid w:val="00096A4D"/>
    <w:rsid w:val="00096D2A"/>
    <w:rsid w:val="000971BE"/>
    <w:rsid w:val="000971F1"/>
    <w:rsid w:val="000973CD"/>
    <w:rsid w:val="00097786"/>
    <w:rsid w:val="00097BD3"/>
    <w:rsid w:val="00097DD6"/>
    <w:rsid w:val="00097DEC"/>
    <w:rsid w:val="000A0122"/>
    <w:rsid w:val="000A095F"/>
    <w:rsid w:val="000A0A73"/>
    <w:rsid w:val="000A0B1C"/>
    <w:rsid w:val="000A0BB1"/>
    <w:rsid w:val="000A11A0"/>
    <w:rsid w:val="000A1616"/>
    <w:rsid w:val="000A17FF"/>
    <w:rsid w:val="000A249A"/>
    <w:rsid w:val="000A2A00"/>
    <w:rsid w:val="000A3875"/>
    <w:rsid w:val="000A3ED7"/>
    <w:rsid w:val="000A401E"/>
    <w:rsid w:val="000A481D"/>
    <w:rsid w:val="000A4844"/>
    <w:rsid w:val="000A4B39"/>
    <w:rsid w:val="000A681A"/>
    <w:rsid w:val="000A6D58"/>
    <w:rsid w:val="000A6D8A"/>
    <w:rsid w:val="000A7729"/>
    <w:rsid w:val="000A7870"/>
    <w:rsid w:val="000A7AE8"/>
    <w:rsid w:val="000A7D6E"/>
    <w:rsid w:val="000B0550"/>
    <w:rsid w:val="000B1210"/>
    <w:rsid w:val="000B1450"/>
    <w:rsid w:val="000B1464"/>
    <w:rsid w:val="000B1BA4"/>
    <w:rsid w:val="000B1F5F"/>
    <w:rsid w:val="000B1FEC"/>
    <w:rsid w:val="000B2ACE"/>
    <w:rsid w:val="000B2EE4"/>
    <w:rsid w:val="000B2FC4"/>
    <w:rsid w:val="000B309B"/>
    <w:rsid w:val="000B34DE"/>
    <w:rsid w:val="000B35BF"/>
    <w:rsid w:val="000B3AFF"/>
    <w:rsid w:val="000B3CAF"/>
    <w:rsid w:val="000B4190"/>
    <w:rsid w:val="000B4374"/>
    <w:rsid w:val="000B4557"/>
    <w:rsid w:val="000B4A62"/>
    <w:rsid w:val="000B4B65"/>
    <w:rsid w:val="000B4B9F"/>
    <w:rsid w:val="000B52C1"/>
    <w:rsid w:val="000B54AD"/>
    <w:rsid w:val="000B58CC"/>
    <w:rsid w:val="000B59D7"/>
    <w:rsid w:val="000B632E"/>
    <w:rsid w:val="000B639C"/>
    <w:rsid w:val="000B66BC"/>
    <w:rsid w:val="000B6D13"/>
    <w:rsid w:val="000B79FF"/>
    <w:rsid w:val="000C009D"/>
    <w:rsid w:val="000C05B8"/>
    <w:rsid w:val="000C05F8"/>
    <w:rsid w:val="000C098A"/>
    <w:rsid w:val="000C0B08"/>
    <w:rsid w:val="000C16B8"/>
    <w:rsid w:val="000C19B8"/>
    <w:rsid w:val="000C2240"/>
    <w:rsid w:val="000C22F0"/>
    <w:rsid w:val="000C2C78"/>
    <w:rsid w:val="000C3214"/>
    <w:rsid w:val="000C34A3"/>
    <w:rsid w:val="000C3986"/>
    <w:rsid w:val="000C3C4A"/>
    <w:rsid w:val="000C3EE7"/>
    <w:rsid w:val="000C3FAE"/>
    <w:rsid w:val="000C4048"/>
    <w:rsid w:val="000C425D"/>
    <w:rsid w:val="000C471B"/>
    <w:rsid w:val="000C4A1B"/>
    <w:rsid w:val="000C6F0D"/>
    <w:rsid w:val="000C7B0A"/>
    <w:rsid w:val="000D03A6"/>
    <w:rsid w:val="000D1158"/>
    <w:rsid w:val="000D274A"/>
    <w:rsid w:val="000D2B8A"/>
    <w:rsid w:val="000D3652"/>
    <w:rsid w:val="000D3735"/>
    <w:rsid w:val="000D3ECD"/>
    <w:rsid w:val="000D43A8"/>
    <w:rsid w:val="000D47CC"/>
    <w:rsid w:val="000D4DCB"/>
    <w:rsid w:val="000D4FB4"/>
    <w:rsid w:val="000D4FFB"/>
    <w:rsid w:val="000D605B"/>
    <w:rsid w:val="000D62DA"/>
    <w:rsid w:val="000D7AA1"/>
    <w:rsid w:val="000E082B"/>
    <w:rsid w:val="000E0861"/>
    <w:rsid w:val="000E0ACA"/>
    <w:rsid w:val="000E1382"/>
    <w:rsid w:val="000E1A86"/>
    <w:rsid w:val="000E1B99"/>
    <w:rsid w:val="000E1E16"/>
    <w:rsid w:val="000E24EA"/>
    <w:rsid w:val="000E2518"/>
    <w:rsid w:val="000E373C"/>
    <w:rsid w:val="000E3A89"/>
    <w:rsid w:val="000E3B57"/>
    <w:rsid w:val="000E3BBE"/>
    <w:rsid w:val="000E3FB0"/>
    <w:rsid w:val="000E407F"/>
    <w:rsid w:val="000E4442"/>
    <w:rsid w:val="000E49A0"/>
    <w:rsid w:val="000E4D36"/>
    <w:rsid w:val="000E53C7"/>
    <w:rsid w:val="000E53D1"/>
    <w:rsid w:val="000E5F7E"/>
    <w:rsid w:val="000E630F"/>
    <w:rsid w:val="000E6965"/>
    <w:rsid w:val="000E7063"/>
    <w:rsid w:val="000E762A"/>
    <w:rsid w:val="000E7F1C"/>
    <w:rsid w:val="000F039D"/>
    <w:rsid w:val="000F0592"/>
    <w:rsid w:val="000F05E5"/>
    <w:rsid w:val="000F06FA"/>
    <w:rsid w:val="000F097E"/>
    <w:rsid w:val="000F0BE6"/>
    <w:rsid w:val="000F10FA"/>
    <w:rsid w:val="000F151B"/>
    <w:rsid w:val="000F1643"/>
    <w:rsid w:val="000F17CA"/>
    <w:rsid w:val="000F1B95"/>
    <w:rsid w:val="000F1D9D"/>
    <w:rsid w:val="000F1F9E"/>
    <w:rsid w:val="000F2C71"/>
    <w:rsid w:val="000F3877"/>
    <w:rsid w:val="000F42B0"/>
    <w:rsid w:val="000F4307"/>
    <w:rsid w:val="000F44DB"/>
    <w:rsid w:val="000F455F"/>
    <w:rsid w:val="000F45EC"/>
    <w:rsid w:val="000F4679"/>
    <w:rsid w:val="000F493F"/>
    <w:rsid w:val="000F52B3"/>
    <w:rsid w:val="000F53F1"/>
    <w:rsid w:val="000F54AD"/>
    <w:rsid w:val="000F684E"/>
    <w:rsid w:val="000F6C49"/>
    <w:rsid w:val="000F72BF"/>
    <w:rsid w:val="000F7466"/>
    <w:rsid w:val="000F752B"/>
    <w:rsid w:val="000F76D7"/>
    <w:rsid w:val="000F7718"/>
    <w:rsid w:val="000F7B8D"/>
    <w:rsid w:val="000F7D84"/>
    <w:rsid w:val="00100026"/>
    <w:rsid w:val="00100150"/>
    <w:rsid w:val="001002B2"/>
    <w:rsid w:val="00100614"/>
    <w:rsid w:val="001006FD"/>
    <w:rsid w:val="001009E3"/>
    <w:rsid w:val="00100ADD"/>
    <w:rsid w:val="001010BE"/>
    <w:rsid w:val="00101A58"/>
    <w:rsid w:val="00101C11"/>
    <w:rsid w:val="00102089"/>
    <w:rsid w:val="0010282D"/>
    <w:rsid w:val="00102A82"/>
    <w:rsid w:val="00103B09"/>
    <w:rsid w:val="00105436"/>
    <w:rsid w:val="001064D8"/>
    <w:rsid w:val="00106858"/>
    <w:rsid w:val="001069B5"/>
    <w:rsid w:val="00107918"/>
    <w:rsid w:val="0011014B"/>
    <w:rsid w:val="001107CF"/>
    <w:rsid w:val="00110987"/>
    <w:rsid w:val="00111803"/>
    <w:rsid w:val="001119FF"/>
    <w:rsid w:val="0011322F"/>
    <w:rsid w:val="001135F4"/>
    <w:rsid w:val="00113C29"/>
    <w:rsid w:val="00113E34"/>
    <w:rsid w:val="00114628"/>
    <w:rsid w:val="00114740"/>
    <w:rsid w:val="00114924"/>
    <w:rsid w:val="00114A66"/>
    <w:rsid w:val="00114A99"/>
    <w:rsid w:val="001154D0"/>
    <w:rsid w:val="001158CF"/>
    <w:rsid w:val="00115A7F"/>
    <w:rsid w:val="00115EC7"/>
    <w:rsid w:val="0011647E"/>
    <w:rsid w:val="001178B9"/>
    <w:rsid w:val="00117C23"/>
    <w:rsid w:val="00117E13"/>
    <w:rsid w:val="00120F4A"/>
    <w:rsid w:val="001215E0"/>
    <w:rsid w:val="00121721"/>
    <w:rsid w:val="00121B93"/>
    <w:rsid w:val="00121D69"/>
    <w:rsid w:val="00121E60"/>
    <w:rsid w:val="00122288"/>
    <w:rsid w:val="00122E60"/>
    <w:rsid w:val="00123097"/>
    <w:rsid w:val="00123136"/>
    <w:rsid w:val="00123277"/>
    <w:rsid w:val="001234FB"/>
    <w:rsid w:val="001237F3"/>
    <w:rsid w:val="00123C7C"/>
    <w:rsid w:val="0012418B"/>
    <w:rsid w:val="0012619D"/>
    <w:rsid w:val="00126382"/>
    <w:rsid w:val="001263C1"/>
    <w:rsid w:val="001267A3"/>
    <w:rsid w:val="001269CC"/>
    <w:rsid w:val="00127082"/>
    <w:rsid w:val="0012712D"/>
    <w:rsid w:val="00127628"/>
    <w:rsid w:val="001277AA"/>
    <w:rsid w:val="00127972"/>
    <w:rsid w:val="00127DAC"/>
    <w:rsid w:val="00130298"/>
    <w:rsid w:val="00130705"/>
    <w:rsid w:val="0013077E"/>
    <w:rsid w:val="00130C32"/>
    <w:rsid w:val="001314D8"/>
    <w:rsid w:val="001318C8"/>
    <w:rsid w:val="0013195A"/>
    <w:rsid w:val="0013217D"/>
    <w:rsid w:val="00133810"/>
    <w:rsid w:val="00133DA0"/>
    <w:rsid w:val="001340DA"/>
    <w:rsid w:val="00134B2B"/>
    <w:rsid w:val="001350E9"/>
    <w:rsid w:val="0013549C"/>
    <w:rsid w:val="00135B08"/>
    <w:rsid w:val="001362D1"/>
    <w:rsid w:val="001375BC"/>
    <w:rsid w:val="00137B6D"/>
    <w:rsid w:val="00140413"/>
    <w:rsid w:val="00140AF4"/>
    <w:rsid w:val="00140C81"/>
    <w:rsid w:val="001417ED"/>
    <w:rsid w:val="00141EF4"/>
    <w:rsid w:val="00142EB7"/>
    <w:rsid w:val="00142FD7"/>
    <w:rsid w:val="001435E9"/>
    <w:rsid w:val="0014397B"/>
    <w:rsid w:val="00144318"/>
    <w:rsid w:val="00144504"/>
    <w:rsid w:val="00144B87"/>
    <w:rsid w:val="00144F77"/>
    <w:rsid w:val="0014544A"/>
    <w:rsid w:val="001456B7"/>
    <w:rsid w:val="0014607A"/>
    <w:rsid w:val="00146186"/>
    <w:rsid w:val="00146274"/>
    <w:rsid w:val="00146733"/>
    <w:rsid w:val="00146789"/>
    <w:rsid w:val="00146AD5"/>
    <w:rsid w:val="00146B8A"/>
    <w:rsid w:val="00146CD1"/>
    <w:rsid w:val="00146D01"/>
    <w:rsid w:val="00146DDC"/>
    <w:rsid w:val="00146F3A"/>
    <w:rsid w:val="001473BB"/>
    <w:rsid w:val="0014759E"/>
    <w:rsid w:val="00147C11"/>
    <w:rsid w:val="00147C33"/>
    <w:rsid w:val="00147F53"/>
    <w:rsid w:val="00150375"/>
    <w:rsid w:val="0015063D"/>
    <w:rsid w:val="00150726"/>
    <w:rsid w:val="00150878"/>
    <w:rsid w:val="00150974"/>
    <w:rsid w:val="00150B14"/>
    <w:rsid w:val="00151B1C"/>
    <w:rsid w:val="001521D9"/>
    <w:rsid w:val="001523D5"/>
    <w:rsid w:val="00152710"/>
    <w:rsid w:val="00152BB7"/>
    <w:rsid w:val="00152BEB"/>
    <w:rsid w:val="00152E82"/>
    <w:rsid w:val="0015340E"/>
    <w:rsid w:val="001538B1"/>
    <w:rsid w:val="001544E3"/>
    <w:rsid w:val="00154AE6"/>
    <w:rsid w:val="0015513C"/>
    <w:rsid w:val="00156518"/>
    <w:rsid w:val="001565DC"/>
    <w:rsid w:val="001566ED"/>
    <w:rsid w:val="00156A1C"/>
    <w:rsid w:val="001606DA"/>
    <w:rsid w:val="00160795"/>
    <w:rsid w:val="00160B32"/>
    <w:rsid w:val="00160F68"/>
    <w:rsid w:val="00162228"/>
    <w:rsid w:val="0016281C"/>
    <w:rsid w:val="00162871"/>
    <w:rsid w:val="001631B0"/>
    <w:rsid w:val="00163AE9"/>
    <w:rsid w:val="00163B2F"/>
    <w:rsid w:val="00163CAE"/>
    <w:rsid w:val="0016466D"/>
    <w:rsid w:val="00164F8F"/>
    <w:rsid w:val="00165D82"/>
    <w:rsid w:val="00166BCF"/>
    <w:rsid w:val="00166C61"/>
    <w:rsid w:val="00166F0E"/>
    <w:rsid w:val="00167066"/>
    <w:rsid w:val="001676D5"/>
    <w:rsid w:val="00167854"/>
    <w:rsid w:val="001703AF"/>
    <w:rsid w:val="00170EAA"/>
    <w:rsid w:val="001715D6"/>
    <w:rsid w:val="00171DC7"/>
    <w:rsid w:val="00171E6C"/>
    <w:rsid w:val="001721C1"/>
    <w:rsid w:val="001729C3"/>
    <w:rsid w:val="00172F33"/>
    <w:rsid w:val="001738CB"/>
    <w:rsid w:val="00173D22"/>
    <w:rsid w:val="00174586"/>
    <w:rsid w:val="00174663"/>
    <w:rsid w:val="00174AE6"/>
    <w:rsid w:val="00174BBD"/>
    <w:rsid w:val="00175116"/>
    <w:rsid w:val="00175BC2"/>
    <w:rsid w:val="00175C7F"/>
    <w:rsid w:val="00175E9A"/>
    <w:rsid w:val="00177D4E"/>
    <w:rsid w:val="0018051D"/>
    <w:rsid w:val="00180F42"/>
    <w:rsid w:val="001816C2"/>
    <w:rsid w:val="001817FA"/>
    <w:rsid w:val="00182857"/>
    <w:rsid w:val="00182AF7"/>
    <w:rsid w:val="00182BBA"/>
    <w:rsid w:val="00182BDD"/>
    <w:rsid w:val="00182D48"/>
    <w:rsid w:val="00183141"/>
    <w:rsid w:val="00183536"/>
    <w:rsid w:val="00183763"/>
    <w:rsid w:val="001840FC"/>
    <w:rsid w:val="00184624"/>
    <w:rsid w:val="00184BB0"/>
    <w:rsid w:val="001853D5"/>
    <w:rsid w:val="001856C4"/>
    <w:rsid w:val="0018661C"/>
    <w:rsid w:val="00186851"/>
    <w:rsid w:val="00186930"/>
    <w:rsid w:val="00187740"/>
    <w:rsid w:val="00187963"/>
    <w:rsid w:val="00187CB1"/>
    <w:rsid w:val="00187F4F"/>
    <w:rsid w:val="0019019A"/>
    <w:rsid w:val="00190C52"/>
    <w:rsid w:val="00190D84"/>
    <w:rsid w:val="001913BB"/>
    <w:rsid w:val="00191894"/>
    <w:rsid w:val="00191D99"/>
    <w:rsid w:val="00192373"/>
    <w:rsid w:val="00192AC8"/>
    <w:rsid w:val="00192F08"/>
    <w:rsid w:val="00192FF9"/>
    <w:rsid w:val="00193807"/>
    <w:rsid w:val="00193A0C"/>
    <w:rsid w:val="00194033"/>
    <w:rsid w:val="001942F5"/>
    <w:rsid w:val="00194A08"/>
    <w:rsid w:val="00194AE8"/>
    <w:rsid w:val="00194B02"/>
    <w:rsid w:val="00194BC3"/>
    <w:rsid w:val="0019525B"/>
    <w:rsid w:val="00195BA0"/>
    <w:rsid w:val="001962F5"/>
    <w:rsid w:val="00196377"/>
    <w:rsid w:val="00196829"/>
    <w:rsid w:val="00196CF3"/>
    <w:rsid w:val="00197031"/>
    <w:rsid w:val="00197560"/>
    <w:rsid w:val="00197963"/>
    <w:rsid w:val="001A0DC8"/>
    <w:rsid w:val="001A212D"/>
    <w:rsid w:val="001A22AC"/>
    <w:rsid w:val="001A2B54"/>
    <w:rsid w:val="001A2E38"/>
    <w:rsid w:val="001A30EF"/>
    <w:rsid w:val="001A3510"/>
    <w:rsid w:val="001A3562"/>
    <w:rsid w:val="001A356A"/>
    <w:rsid w:val="001A36AB"/>
    <w:rsid w:val="001A372C"/>
    <w:rsid w:val="001A4CD6"/>
    <w:rsid w:val="001A4E34"/>
    <w:rsid w:val="001A5B55"/>
    <w:rsid w:val="001A5CC8"/>
    <w:rsid w:val="001A6241"/>
    <w:rsid w:val="001A6441"/>
    <w:rsid w:val="001A66AF"/>
    <w:rsid w:val="001A6BE0"/>
    <w:rsid w:val="001A773D"/>
    <w:rsid w:val="001A774D"/>
    <w:rsid w:val="001A7952"/>
    <w:rsid w:val="001A7C9A"/>
    <w:rsid w:val="001B0641"/>
    <w:rsid w:val="001B074B"/>
    <w:rsid w:val="001B091A"/>
    <w:rsid w:val="001B0D61"/>
    <w:rsid w:val="001B1692"/>
    <w:rsid w:val="001B2423"/>
    <w:rsid w:val="001B28AC"/>
    <w:rsid w:val="001B2AAA"/>
    <w:rsid w:val="001B429D"/>
    <w:rsid w:val="001B42AD"/>
    <w:rsid w:val="001B452E"/>
    <w:rsid w:val="001B4B2F"/>
    <w:rsid w:val="001B5319"/>
    <w:rsid w:val="001B56BB"/>
    <w:rsid w:val="001B592A"/>
    <w:rsid w:val="001B5E7C"/>
    <w:rsid w:val="001B6DE8"/>
    <w:rsid w:val="001B6F10"/>
    <w:rsid w:val="001B7003"/>
    <w:rsid w:val="001B7247"/>
    <w:rsid w:val="001B7436"/>
    <w:rsid w:val="001B7ED7"/>
    <w:rsid w:val="001C00C3"/>
    <w:rsid w:val="001C04B7"/>
    <w:rsid w:val="001C07E0"/>
    <w:rsid w:val="001C0835"/>
    <w:rsid w:val="001C08AA"/>
    <w:rsid w:val="001C1D7C"/>
    <w:rsid w:val="001C1F82"/>
    <w:rsid w:val="001C241E"/>
    <w:rsid w:val="001C290F"/>
    <w:rsid w:val="001C2D29"/>
    <w:rsid w:val="001C320D"/>
    <w:rsid w:val="001C3633"/>
    <w:rsid w:val="001C3B74"/>
    <w:rsid w:val="001C41FF"/>
    <w:rsid w:val="001C46E2"/>
    <w:rsid w:val="001C493D"/>
    <w:rsid w:val="001C4BD5"/>
    <w:rsid w:val="001C4FC6"/>
    <w:rsid w:val="001C5504"/>
    <w:rsid w:val="001C55A2"/>
    <w:rsid w:val="001C56C0"/>
    <w:rsid w:val="001C630E"/>
    <w:rsid w:val="001C6B13"/>
    <w:rsid w:val="001C77DF"/>
    <w:rsid w:val="001D065C"/>
    <w:rsid w:val="001D0F39"/>
    <w:rsid w:val="001D102D"/>
    <w:rsid w:val="001D10FD"/>
    <w:rsid w:val="001D152B"/>
    <w:rsid w:val="001D214F"/>
    <w:rsid w:val="001D2A37"/>
    <w:rsid w:val="001D3105"/>
    <w:rsid w:val="001D4418"/>
    <w:rsid w:val="001D44C7"/>
    <w:rsid w:val="001D4617"/>
    <w:rsid w:val="001D49E8"/>
    <w:rsid w:val="001D54A2"/>
    <w:rsid w:val="001D5A71"/>
    <w:rsid w:val="001D5E36"/>
    <w:rsid w:val="001D60AD"/>
    <w:rsid w:val="001D6DF4"/>
    <w:rsid w:val="001D6DF7"/>
    <w:rsid w:val="001D703B"/>
    <w:rsid w:val="001D7DB7"/>
    <w:rsid w:val="001E058C"/>
    <w:rsid w:val="001E05A5"/>
    <w:rsid w:val="001E0FE7"/>
    <w:rsid w:val="001E11E0"/>
    <w:rsid w:val="001E15E7"/>
    <w:rsid w:val="001E1600"/>
    <w:rsid w:val="001E262A"/>
    <w:rsid w:val="001E2924"/>
    <w:rsid w:val="001E2E19"/>
    <w:rsid w:val="001E3A85"/>
    <w:rsid w:val="001E3DDB"/>
    <w:rsid w:val="001E4DBA"/>
    <w:rsid w:val="001E4F59"/>
    <w:rsid w:val="001E50EC"/>
    <w:rsid w:val="001E51BC"/>
    <w:rsid w:val="001E6182"/>
    <w:rsid w:val="001E62B0"/>
    <w:rsid w:val="001E64CC"/>
    <w:rsid w:val="001E6A2C"/>
    <w:rsid w:val="001E6BFA"/>
    <w:rsid w:val="001E73FC"/>
    <w:rsid w:val="001E7871"/>
    <w:rsid w:val="001E7ABC"/>
    <w:rsid w:val="001E7C2F"/>
    <w:rsid w:val="001F01D1"/>
    <w:rsid w:val="001F031D"/>
    <w:rsid w:val="001F0A18"/>
    <w:rsid w:val="001F0FBD"/>
    <w:rsid w:val="001F1354"/>
    <w:rsid w:val="001F190B"/>
    <w:rsid w:val="001F1AAC"/>
    <w:rsid w:val="001F2A38"/>
    <w:rsid w:val="001F2CBB"/>
    <w:rsid w:val="001F305A"/>
    <w:rsid w:val="001F31D2"/>
    <w:rsid w:val="001F3812"/>
    <w:rsid w:val="001F38D7"/>
    <w:rsid w:val="001F3B03"/>
    <w:rsid w:val="001F3B14"/>
    <w:rsid w:val="001F3E1E"/>
    <w:rsid w:val="001F421E"/>
    <w:rsid w:val="001F442E"/>
    <w:rsid w:val="001F5007"/>
    <w:rsid w:val="001F539F"/>
    <w:rsid w:val="001F550F"/>
    <w:rsid w:val="001F57E2"/>
    <w:rsid w:val="001F5CB0"/>
    <w:rsid w:val="001F5F2F"/>
    <w:rsid w:val="001F638A"/>
    <w:rsid w:val="001F654A"/>
    <w:rsid w:val="001F6F83"/>
    <w:rsid w:val="001F7147"/>
    <w:rsid w:val="001F75C9"/>
    <w:rsid w:val="001F7E43"/>
    <w:rsid w:val="00200108"/>
    <w:rsid w:val="002002ED"/>
    <w:rsid w:val="00200656"/>
    <w:rsid w:val="002006F2"/>
    <w:rsid w:val="002007AB"/>
    <w:rsid w:val="002009AF"/>
    <w:rsid w:val="00200AD8"/>
    <w:rsid w:val="0020140E"/>
    <w:rsid w:val="00201805"/>
    <w:rsid w:val="00201A35"/>
    <w:rsid w:val="00201CFE"/>
    <w:rsid w:val="0020256F"/>
    <w:rsid w:val="0020269B"/>
    <w:rsid w:val="00202ACE"/>
    <w:rsid w:val="00202BBD"/>
    <w:rsid w:val="00202E1A"/>
    <w:rsid w:val="00202E56"/>
    <w:rsid w:val="00203CC2"/>
    <w:rsid w:val="002040E7"/>
    <w:rsid w:val="0020411E"/>
    <w:rsid w:val="00204509"/>
    <w:rsid w:val="00204A82"/>
    <w:rsid w:val="002051F5"/>
    <w:rsid w:val="0020560A"/>
    <w:rsid w:val="00205747"/>
    <w:rsid w:val="00205C79"/>
    <w:rsid w:val="00205CE7"/>
    <w:rsid w:val="0020683C"/>
    <w:rsid w:val="0020698A"/>
    <w:rsid w:val="00206A23"/>
    <w:rsid w:val="00206A7E"/>
    <w:rsid w:val="00206C58"/>
    <w:rsid w:val="002076AF"/>
    <w:rsid w:val="00207979"/>
    <w:rsid w:val="00210114"/>
    <w:rsid w:val="002105ED"/>
    <w:rsid w:val="00211D1D"/>
    <w:rsid w:val="00211D48"/>
    <w:rsid w:val="00211DB0"/>
    <w:rsid w:val="00212023"/>
    <w:rsid w:val="002123DF"/>
    <w:rsid w:val="002125A4"/>
    <w:rsid w:val="00212B64"/>
    <w:rsid w:val="002131DE"/>
    <w:rsid w:val="00213292"/>
    <w:rsid w:val="00213595"/>
    <w:rsid w:val="00213F62"/>
    <w:rsid w:val="0021573D"/>
    <w:rsid w:val="00216C0C"/>
    <w:rsid w:val="00216CA2"/>
    <w:rsid w:val="00216EA4"/>
    <w:rsid w:val="00217454"/>
    <w:rsid w:val="0021747B"/>
    <w:rsid w:val="00217B2A"/>
    <w:rsid w:val="00220006"/>
    <w:rsid w:val="00220188"/>
    <w:rsid w:val="0022098F"/>
    <w:rsid w:val="00220E1E"/>
    <w:rsid w:val="00221379"/>
    <w:rsid w:val="00221430"/>
    <w:rsid w:val="002215A9"/>
    <w:rsid w:val="002215FC"/>
    <w:rsid w:val="0022184E"/>
    <w:rsid w:val="00221996"/>
    <w:rsid w:val="00221D1E"/>
    <w:rsid w:val="00221D22"/>
    <w:rsid w:val="002220A7"/>
    <w:rsid w:val="00223161"/>
    <w:rsid w:val="0022365A"/>
    <w:rsid w:val="00223998"/>
    <w:rsid w:val="00223C96"/>
    <w:rsid w:val="00224089"/>
    <w:rsid w:val="00224439"/>
    <w:rsid w:val="00224B94"/>
    <w:rsid w:val="00224D3E"/>
    <w:rsid w:val="002254EC"/>
    <w:rsid w:val="00225609"/>
    <w:rsid w:val="002257ED"/>
    <w:rsid w:val="00225978"/>
    <w:rsid w:val="002261A1"/>
    <w:rsid w:val="00226342"/>
    <w:rsid w:val="002267DA"/>
    <w:rsid w:val="00226964"/>
    <w:rsid w:val="002270A3"/>
    <w:rsid w:val="0022788A"/>
    <w:rsid w:val="002278C9"/>
    <w:rsid w:val="00227A1A"/>
    <w:rsid w:val="00227CB3"/>
    <w:rsid w:val="00227E39"/>
    <w:rsid w:val="00227FD4"/>
    <w:rsid w:val="00230F29"/>
    <w:rsid w:val="00230F80"/>
    <w:rsid w:val="002313BD"/>
    <w:rsid w:val="00231624"/>
    <w:rsid w:val="00231717"/>
    <w:rsid w:val="00231727"/>
    <w:rsid w:val="00231731"/>
    <w:rsid w:val="00231A8E"/>
    <w:rsid w:val="002322B9"/>
    <w:rsid w:val="00232544"/>
    <w:rsid w:val="00232690"/>
    <w:rsid w:val="00232D69"/>
    <w:rsid w:val="00233085"/>
    <w:rsid w:val="00233095"/>
    <w:rsid w:val="002345AD"/>
    <w:rsid w:val="002345D7"/>
    <w:rsid w:val="00234C01"/>
    <w:rsid w:val="00234EA5"/>
    <w:rsid w:val="0023504F"/>
    <w:rsid w:val="002351EA"/>
    <w:rsid w:val="002351FB"/>
    <w:rsid w:val="0023521F"/>
    <w:rsid w:val="00235395"/>
    <w:rsid w:val="0023563B"/>
    <w:rsid w:val="00235BAF"/>
    <w:rsid w:val="00236443"/>
    <w:rsid w:val="00236788"/>
    <w:rsid w:val="00237051"/>
    <w:rsid w:val="0023787A"/>
    <w:rsid w:val="00237B1A"/>
    <w:rsid w:val="00240120"/>
    <w:rsid w:val="00240ADE"/>
    <w:rsid w:val="00241D0F"/>
    <w:rsid w:val="00241DFC"/>
    <w:rsid w:val="00242160"/>
    <w:rsid w:val="00242F11"/>
    <w:rsid w:val="00243688"/>
    <w:rsid w:val="00243B14"/>
    <w:rsid w:val="00243F1A"/>
    <w:rsid w:val="00244EA3"/>
    <w:rsid w:val="00245A05"/>
    <w:rsid w:val="00245F68"/>
    <w:rsid w:val="00246260"/>
    <w:rsid w:val="00246352"/>
    <w:rsid w:val="00246530"/>
    <w:rsid w:val="0024674D"/>
    <w:rsid w:val="00247765"/>
    <w:rsid w:val="00247859"/>
    <w:rsid w:val="00247A64"/>
    <w:rsid w:val="00247BD2"/>
    <w:rsid w:val="00247E88"/>
    <w:rsid w:val="00247FD6"/>
    <w:rsid w:val="0025001E"/>
    <w:rsid w:val="002501BF"/>
    <w:rsid w:val="0025157C"/>
    <w:rsid w:val="00251FB0"/>
    <w:rsid w:val="002521ED"/>
    <w:rsid w:val="002523F0"/>
    <w:rsid w:val="00252548"/>
    <w:rsid w:val="00252BB8"/>
    <w:rsid w:val="00252E4E"/>
    <w:rsid w:val="00253532"/>
    <w:rsid w:val="002539FD"/>
    <w:rsid w:val="00253D35"/>
    <w:rsid w:val="00255258"/>
    <w:rsid w:val="00256033"/>
    <w:rsid w:val="002563A6"/>
    <w:rsid w:val="00256997"/>
    <w:rsid w:val="00256D19"/>
    <w:rsid w:val="00256E50"/>
    <w:rsid w:val="00256F0B"/>
    <w:rsid w:val="00260052"/>
    <w:rsid w:val="002603BB"/>
    <w:rsid w:val="002603D3"/>
    <w:rsid w:val="00260466"/>
    <w:rsid w:val="0026052D"/>
    <w:rsid w:val="00260727"/>
    <w:rsid w:val="00261382"/>
    <w:rsid w:val="00261453"/>
    <w:rsid w:val="0026156D"/>
    <w:rsid w:val="00261718"/>
    <w:rsid w:val="00261810"/>
    <w:rsid w:val="00261BA7"/>
    <w:rsid w:val="00262260"/>
    <w:rsid w:val="00262412"/>
    <w:rsid w:val="00262783"/>
    <w:rsid w:val="002629C4"/>
    <w:rsid w:val="00263147"/>
    <w:rsid w:val="00263366"/>
    <w:rsid w:val="00263861"/>
    <w:rsid w:val="00263864"/>
    <w:rsid w:val="0026414D"/>
    <w:rsid w:val="00264406"/>
    <w:rsid w:val="00264A0B"/>
    <w:rsid w:val="00264A1A"/>
    <w:rsid w:val="0026619D"/>
    <w:rsid w:val="0026625E"/>
    <w:rsid w:val="002662BB"/>
    <w:rsid w:val="0026672E"/>
    <w:rsid w:val="00267432"/>
    <w:rsid w:val="0026749E"/>
    <w:rsid w:val="00267E6E"/>
    <w:rsid w:val="00270175"/>
    <w:rsid w:val="002704A9"/>
    <w:rsid w:val="00270B36"/>
    <w:rsid w:val="0027173E"/>
    <w:rsid w:val="00271B05"/>
    <w:rsid w:val="0027214B"/>
    <w:rsid w:val="0027241D"/>
    <w:rsid w:val="00272553"/>
    <w:rsid w:val="002728D8"/>
    <w:rsid w:val="00273391"/>
    <w:rsid w:val="002737ED"/>
    <w:rsid w:val="00273CD2"/>
    <w:rsid w:val="00274732"/>
    <w:rsid w:val="00274DF7"/>
    <w:rsid w:val="002750E5"/>
    <w:rsid w:val="0027518C"/>
    <w:rsid w:val="00275789"/>
    <w:rsid w:val="002757B9"/>
    <w:rsid w:val="0027608F"/>
    <w:rsid w:val="0027659C"/>
    <w:rsid w:val="0027728D"/>
    <w:rsid w:val="002773A6"/>
    <w:rsid w:val="002775DA"/>
    <w:rsid w:val="00277763"/>
    <w:rsid w:val="00277851"/>
    <w:rsid w:val="0028099E"/>
    <w:rsid w:val="00280CC7"/>
    <w:rsid w:val="00281176"/>
    <w:rsid w:val="002811EE"/>
    <w:rsid w:val="00281333"/>
    <w:rsid w:val="0028197E"/>
    <w:rsid w:val="00281C66"/>
    <w:rsid w:val="002822B8"/>
    <w:rsid w:val="002823A3"/>
    <w:rsid w:val="002824DA"/>
    <w:rsid w:val="00282719"/>
    <w:rsid w:val="00282921"/>
    <w:rsid w:val="002830B4"/>
    <w:rsid w:val="00284274"/>
    <w:rsid w:val="00285B39"/>
    <w:rsid w:val="00286879"/>
    <w:rsid w:val="00286C2C"/>
    <w:rsid w:val="00286C2E"/>
    <w:rsid w:val="00286CA6"/>
    <w:rsid w:val="00286DE0"/>
    <w:rsid w:val="002871EA"/>
    <w:rsid w:val="002873AA"/>
    <w:rsid w:val="00287510"/>
    <w:rsid w:val="002878F3"/>
    <w:rsid w:val="00287DCC"/>
    <w:rsid w:val="00287F6C"/>
    <w:rsid w:val="002908D2"/>
    <w:rsid w:val="00290976"/>
    <w:rsid w:val="00290A11"/>
    <w:rsid w:val="00290BD1"/>
    <w:rsid w:val="00290BE4"/>
    <w:rsid w:val="00290E1A"/>
    <w:rsid w:val="00291417"/>
    <w:rsid w:val="0029200B"/>
    <w:rsid w:val="00292294"/>
    <w:rsid w:val="002922AD"/>
    <w:rsid w:val="002928F0"/>
    <w:rsid w:val="00293215"/>
    <w:rsid w:val="00293356"/>
    <w:rsid w:val="00293C19"/>
    <w:rsid w:val="002940F8"/>
    <w:rsid w:val="0029448F"/>
    <w:rsid w:val="002945A3"/>
    <w:rsid w:val="00295CEE"/>
    <w:rsid w:val="00295E56"/>
    <w:rsid w:val="00296637"/>
    <w:rsid w:val="00296C61"/>
    <w:rsid w:val="00297244"/>
    <w:rsid w:val="00297248"/>
    <w:rsid w:val="00297F6A"/>
    <w:rsid w:val="002A008E"/>
    <w:rsid w:val="002A0519"/>
    <w:rsid w:val="002A0604"/>
    <w:rsid w:val="002A0E53"/>
    <w:rsid w:val="002A0F61"/>
    <w:rsid w:val="002A16E0"/>
    <w:rsid w:val="002A18ED"/>
    <w:rsid w:val="002A1FE2"/>
    <w:rsid w:val="002A2207"/>
    <w:rsid w:val="002A2851"/>
    <w:rsid w:val="002A2B5A"/>
    <w:rsid w:val="002A2DC1"/>
    <w:rsid w:val="002A3455"/>
    <w:rsid w:val="002A3AB5"/>
    <w:rsid w:val="002A3F0E"/>
    <w:rsid w:val="002A42A3"/>
    <w:rsid w:val="002A47E7"/>
    <w:rsid w:val="002A4ACB"/>
    <w:rsid w:val="002A4B39"/>
    <w:rsid w:val="002A52A7"/>
    <w:rsid w:val="002A543E"/>
    <w:rsid w:val="002A619B"/>
    <w:rsid w:val="002A61BC"/>
    <w:rsid w:val="002A6455"/>
    <w:rsid w:val="002A6505"/>
    <w:rsid w:val="002A6B68"/>
    <w:rsid w:val="002A701D"/>
    <w:rsid w:val="002A703D"/>
    <w:rsid w:val="002A72AB"/>
    <w:rsid w:val="002A7C09"/>
    <w:rsid w:val="002B00C9"/>
    <w:rsid w:val="002B0582"/>
    <w:rsid w:val="002B0623"/>
    <w:rsid w:val="002B0656"/>
    <w:rsid w:val="002B083D"/>
    <w:rsid w:val="002B0CEC"/>
    <w:rsid w:val="002B13B4"/>
    <w:rsid w:val="002B1E58"/>
    <w:rsid w:val="002B224A"/>
    <w:rsid w:val="002B24DA"/>
    <w:rsid w:val="002B2B60"/>
    <w:rsid w:val="002B2F4F"/>
    <w:rsid w:val="002B2FA8"/>
    <w:rsid w:val="002B333E"/>
    <w:rsid w:val="002B3E04"/>
    <w:rsid w:val="002B4016"/>
    <w:rsid w:val="002B4BC1"/>
    <w:rsid w:val="002B4C5F"/>
    <w:rsid w:val="002B5C0E"/>
    <w:rsid w:val="002B5D2F"/>
    <w:rsid w:val="002B6094"/>
    <w:rsid w:val="002B617A"/>
    <w:rsid w:val="002B63AA"/>
    <w:rsid w:val="002B7011"/>
    <w:rsid w:val="002B762C"/>
    <w:rsid w:val="002B7BE5"/>
    <w:rsid w:val="002C00AF"/>
    <w:rsid w:val="002C04EB"/>
    <w:rsid w:val="002C072A"/>
    <w:rsid w:val="002C07F7"/>
    <w:rsid w:val="002C0890"/>
    <w:rsid w:val="002C136D"/>
    <w:rsid w:val="002C1411"/>
    <w:rsid w:val="002C1423"/>
    <w:rsid w:val="002C16B9"/>
    <w:rsid w:val="002C171C"/>
    <w:rsid w:val="002C1CD3"/>
    <w:rsid w:val="002C25D8"/>
    <w:rsid w:val="002C2761"/>
    <w:rsid w:val="002C2EDC"/>
    <w:rsid w:val="002C2EF1"/>
    <w:rsid w:val="002C3298"/>
    <w:rsid w:val="002C3605"/>
    <w:rsid w:val="002C3F88"/>
    <w:rsid w:val="002C467C"/>
    <w:rsid w:val="002C4A48"/>
    <w:rsid w:val="002C50C8"/>
    <w:rsid w:val="002C5679"/>
    <w:rsid w:val="002C5BA9"/>
    <w:rsid w:val="002C5CA5"/>
    <w:rsid w:val="002C6C31"/>
    <w:rsid w:val="002C7315"/>
    <w:rsid w:val="002D0362"/>
    <w:rsid w:val="002D0BF8"/>
    <w:rsid w:val="002D118B"/>
    <w:rsid w:val="002D161E"/>
    <w:rsid w:val="002D1C0A"/>
    <w:rsid w:val="002D210B"/>
    <w:rsid w:val="002D257F"/>
    <w:rsid w:val="002D274A"/>
    <w:rsid w:val="002D2ADE"/>
    <w:rsid w:val="002D2B36"/>
    <w:rsid w:val="002D309B"/>
    <w:rsid w:val="002D33D7"/>
    <w:rsid w:val="002D3511"/>
    <w:rsid w:val="002D39ED"/>
    <w:rsid w:val="002D3E55"/>
    <w:rsid w:val="002D3EC8"/>
    <w:rsid w:val="002D3FF7"/>
    <w:rsid w:val="002D40B1"/>
    <w:rsid w:val="002D57A5"/>
    <w:rsid w:val="002D58B1"/>
    <w:rsid w:val="002D5FB1"/>
    <w:rsid w:val="002D6D66"/>
    <w:rsid w:val="002D6D6F"/>
    <w:rsid w:val="002D6F9E"/>
    <w:rsid w:val="002D71E5"/>
    <w:rsid w:val="002E0E79"/>
    <w:rsid w:val="002E1376"/>
    <w:rsid w:val="002E1D22"/>
    <w:rsid w:val="002E3556"/>
    <w:rsid w:val="002E38AD"/>
    <w:rsid w:val="002E3F0E"/>
    <w:rsid w:val="002E48DB"/>
    <w:rsid w:val="002E4B64"/>
    <w:rsid w:val="002E4E96"/>
    <w:rsid w:val="002E514D"/>
    <w:rsid w:val="002E5539"/>
    <w:rsid w:val="002E5615"/>
    <w:rsid w:val="002E5759"/>
    <w:rsid w:val="002E58EF"/>
    <w:rsid w:val="002E5A66"/>
    <w:rsid w:val="002E6610"/>
    <w:rsid w:val="002E699D"/>
    <w:rsid w:val="002E6FC3"/>
    <w:rsid w:val="002E71A3"/>
    <w:rsid w:val="002E72AB"/>
    <w:rsid w:val="002E789C"/>
    <w:rsid w:val="002E7A8F"/>
    <w:rsid w:val="002E7BBE"/>
    <w:rsid w:val="002E7C72"/>
    <w:rsid w:val="002F007B"/>
    <w:rsid w:val="002F09AF"/>
    <w:rsid w:val="002F0B11"/>
    <w:rsid w:val="002F0EF4"/>
    <w:rsid w:val="002F1024"/>
    <w:rsid w:val="002F17BF"/>
    <w:rsid w:val="002F1D13"/>
    <w:rsid w:val="002F2E8A"/>
    <w:rsid w:val="002F3103"/>
    <w:rsid w:val="002F3834"/>
    <w:rsid w:val="002F4086"/>
    <w:rsid w:val="002F45B9"/>
    <w:rsid w:val="002F4A1A"/>
    <w:rsid w:val="002F4C36"/>
    <w:rsid w:val="002F6254"/>
    <w:rsid w:val="002F65B6"/>
    <w:rsid w:val="002F69B3"/>
    <w:rsid w:val="002F7087"/>
    <w:rsid w:val="002F71D9"/>
    <w:rsid w:val="002F725B"/>
    <w:rsid w:val="002F7411"/>
    <w:rsid w:val="002F77ED"/>
    <w:rsid w:val="002F78DE"/>
    <w:rsid w:val="002F7C97"/>
    <w:rsid w:val="002F7CBD"/>
    <w:rsid w:val="0030021B"/>
    <w:rsid w:val="003002D1"/>
    <w:rsid w:val="00300918"/>
    <w:rsid w:val="00300A05"/>
    <w:rsid w:val="00300A77"/>
    <w:rsid w:val="00300C6D"/>
    <w:rsid w:val="00300E27"/>
    <w:rsid w:val="003016CD"/>
    <w:rsid w:val="00301C65"/>
    <w:rsid w:val="00302299"/>
    <w:rsid w:val="003022CC"/>
    <w:rsid w:val="0030285B"/>
    <w:rsid w:val="003046B5"/>
    <w:rsid w:val="0030481F"/>
    <w:rsid w:val="00304969"/>
    <w:rsid w:val="003050D6"/>
    <w:rsid w:val="00305A93"/>
    <w:rsid w:val="00305B4A"/>
    <w:rsid w:val="00306F2D"/>
    <w:rsid w:val="0030722B"/>
    <w:rsid w:val="003076C9"/>
    <w:rsid w:val="00307E9A"/>
    <w:rsid w:val="00310377"/>
    <w:rsid w:val="00310B93"/>
    <w:rsid w:val="00310BEC"/>
    <w:rsid w:val="00311534"/>
    <w:rsid w:val="003115E1"/>
    <w:rsid w:val="00311934"/>
    <w:rsid w:val="00311B17"/>
    <w:rsid w:val="00311C2B"/>
    <w:rsid w:val="00312FF9"/>
    <w:rsid w:val="00312FFA"/>
    <w:rsid w:val="0031343D"/>
    <w:rsid w:val="003138E9"/>
    <w:rsid w:val="003139E0"/>
    <w:rsid w:val="00314C76"/>
    <w:rsid w:val="00314E98"/>
    <w:rsid w:val="00315470"/>
    <w:rsid w:val="003156B5"/>
    <w:rsid w:val="00315825"/>
    <w:rsid w:val="0031630E"/>
    <w:rsid w:val="0031649C"/>
    <w:rsid w:val="00316562"/>
    <w:rsid w:val="00316E65"/>
    <w:rsid w:val="003171AF"/>
    <w:rsid w:val="00317212"/>
    <w:rsid w:val="0031747A"/>
    <w:rsid w:val="00317A34"/>
    <w:rsid w:val="00317A65"/>
    <w:rsid w:val="00317C2A"/>
    <w:rsid w:val="00320671"/>
    <w:rsid w:val="00320873"/>
    <w:rsid w:val="00320914"/>
    <w:rsid w:val="00320DE7"/>
    <w:rsid w:val="00321C38"/>
    <w:rsid w:val="00322789"/>
    <w:rsid w:val="00322CA6"/>
    <w:rsid w:val="003239C9"/>
    <w:rsid w:val="0032448F"/>
    <w:rsid w:val="00324C80"/>
    <w:rsid w:val="00324CC5"/>
    <w:rsid w:val="00325389"/>
    <w:rsid w:val="003254F6"/>
    <w:rsid w:val="00325728"/>
    <w:rsid w:val="00325C72"/>
    <w:rsid w:val="00326460"/>
    <w:rsid w:val="00326520"/>
    <w:rsid w:val="00326539"/>
    <w:rsid w:val="00326847"/>
    <w:rsid w:val="00326DA1"/>
    <w:rsid w:val="00327505"/>
    <w:rsid w:val="003278D5"/>
    <w:rsid w:val="00327BB9"/>
    <w:rsid w:val="00330328"/>
    <w:rsid w:val="00330BE8"/>
    <w:rsid w:val="003311D6"/>
    <w:rsid w:val="003312BB"/>
    <w:rsid w:val="0033146B"/>
    <w:rsid w:val="00331551"/>
    <w:rsid w:val="003319B2"/>
    <w:rsid w:val="0033201C"/>
    <w:rsid w:val="00332043"/>
    <w:rsid w:val="00332067"/>
    <w:rsid w:val="0033261E"/>
    <w:rsid w:val="00332BB8"/>
    <w:rsid w:val="00332C3B"/>
    <w:rsid w:val="003344B5"/>
    <w:rsid w:val="003350A8"/>
    <w:rsid w:val="00335ABD"/>
    <w:rsid w:val="00335B7A"/>
    <w:rsid w:val="00335EA8"/>
    <w:rsid w:val="00336262"/>
    <w:rsid w:val="003368CE"/>
    <w:rsid w:val="00337253"/>
    <w:rsid w:val="003372FE"/>
    <w:rsid w:val="00337770"/>
    <w:rsid w:val="0034021F"/>
    <w:rsid w:val="0034033D"/>
    <w:rsid w:val="003403C7"/>
    <w:rsid w:val="003406A9"/>
    <w:rsid w:val="00341117"/>
    <w:rsid w:val="003413CF"/>
    <w:rsid w:val="003414D7"/>
    <w:rsid w:val="0034150F"/>
    <w:rsid w:val="00341578"/>
    <w:rsid w:val="00341D2D"/>
    <w:rsid w:val="00341E34"/>
    <w:rsid w:val="00341F6E"/>
    <w:rsid w:val="00342C19"/>
    <w:rsid w:val="00343DA7"/>
    <w:rsid w:val="0034439C"/>
    <w:rsid w:val="003445AE"/>
    <w:rsid w:val="00345157"/>
    <w:rsid w:val="003463BC"/>
    <w:rsid w:val="003468B1"/>
    <w:rsid w:val="00346D45"/>
    <w:rsid w:val="00347396"/>
    <w:rsid w:val="0034743C"/>
    <w:rsid w:val="00347924"/>
    <w:rsid w:val="003504A1"/>
    <w:rsid w:val="003504FA"/>
    <w:rsid w:val="00350621"/>
    <w:rsid w:val="003506FA"/>
    <w:rsid w:val="00350846"/>
    <w:rsid w:val="003509C7"/>
    <w:rsid w:val="00350D36"/>
    <w:rsid w:val="00350D3F"/>
    <w:rsid w:val="00351344"/>
    <w:rsid w:val="00351C89"/>
    <w:rsid w:val="00351CCB"/>
    <w:rsid w:val="00351D47"/>
    <w:rsid w:val="00351F26"/>
    <w:rsid w:val="003520CA"/>
    <w:rsid w:val="0035216F"/>
    <w:rsid w:val="0035248D"/>
    <w:rsid w:val="00352585"/>
    <w:rsid w:val="0035290B"/>
    <w:rsid w:val="00352ADE"/>
    <w:rsid w:val="003532B7"/>
    <w:rsid w:val="00353320"/>
    <w:rsid w:val="00354074"/>
    <w:rsid w:val="00354181"/>
    <w:rsid w:val="003546D5"/>
    <w:rsid w:val="00354C3B"/>
    <w:rsid w:val="00354D77"/>
    <w:rsid w:val="00354F37"/>
    <w:rsid w:val="00356683"/>
    <w:rsid w:val="00357064"/>
    <w:rsid w:val="00357245"/>
    <w:rsid w:val="0035779A"/>
    <w:rsid w:val="00357A60"/>
    <w:rsid w:val="00357D37"/>
    <w:rsid w:val="003600CF"/>
    <w:rsid w:val="00360126"/>
    <w:rsid w:val="00360295"/>
    <w:rsid w:val="00360EDF"/>
    <w:rsid w:val="0036103D"/>
    <w:rsid w:val="00361994"/>
    <w:rsid w:val="00361A90"/>
    <w:rsid w:val="00362524"/>
    <w:rsid w:val="0036256A"/>
    <w:rsid w:val="0036287E"/>
    <w:rsid w:val="003628F5"/>
    <w:rsid w:val="00362D10"/>
    <w:rsid w:val="00362D28"/>
    <w:rsid w:val="00363029"/>
    <w:rsid w:val="00363042"/>
    <w:rsid w:val="003632E3"/>
    <w:rsid w:val="0036365D"/>
    <w:rsid w:val="00363D42"/>
    <w:rsid w:val="0036459E"/>
    <w:rsid w:val="003650C7"/>
    <w:rsid w:val="00365234"/>
    <w:rsid w:val="0036633E"/>
    <w:rsid w:val="00366459"/>
    <w:rsid w:val="0036679C"/>
    <w:rsid w:val="00366992"/>
    <w:rsid w:val="00366B02"/>
    <w:rsid w:val="00367033"/>
    <w:rsid w:val="0036730C"/>
    <w:rsid w:val="003676D4"/>
    <w:rsid w:val="00367AB8"/>
    <w:rsid w:val="00367B53"/>
    <w:rsid w:val="00367C9A"/>
    <w:rsid w:val="00367EBF"/>
    <w:rsid w:val="003705F3"/>
    <w:rsid w:val="00370BAA"/>
    <w:rsid w:val="00372583"/>
    <w:rsid w:val="00372F81"/>
    <w:rsid w:val="00373232"/>
    <w:rsid w:val="00373752"/>
    <w:rsid w:val="003737C0"/>
    <w:rsid w:val="00373E3F"/>
    <w:rsid w:val="0037411D"/>
    <w:rsid w:val="00374294"/>
    <w:rsid w:val="00374330"/>
    <w:rsid w:val="00374927"/>
    <w:rsid w:val="00374DBB"/>
    <w:rsid w:val="003752C7"/>
    <w:rsid w:val="003757AB"/>
    <w:rsid w:val="00375C57"/>
    <w:rsid w:val="00375E17"/>
    <w:rsid w:val="0037620E"/>
    <w:rsid w:val="00376816"/>
    <w:rsid w:val="00376E70"/>
    <w:rsid w:val="00377161"/>
    <w:rsid w:val="00377B74"/>
    <w:rsid w:val="003800B3"/>
    <w:rsid w:val="00380331"/>
    <w:rsid w:val="00381F13"/>
    <w:rsid w:val="003828D3"/>
    <w:rsid w:val="00382B63"/>
    <w:rsid w:val="0038350C"/>
    <w:rsid w:val="00384032"/>
    <w:rsid w:val="00384121"/>
    <w:rsid w:val="00384272"/>
    <w:rsid w:val="0038449F"/>
    <w:rsid w:val="00384606"/>
    <w:rsid w:val="003857C0"/>
    <w:rsid w:val="0038614D"/>
    <w:rsid w:val="00386DC8"/>
    <w:rsid w:val="00386F05"/>
    <w:rsid w:val="00387010"/>
    <w:rsid w:val="00387069"/>
    <w:rsid w:val="003875EC"/>
    <w:rsid w:val="003877C2"/>
    <w:rsid w:val="003877FC"/>
    <w:rsid w:val="00387A1D"/>
    <w:rsid w:val="00387A7A"/>
    <w:rsid w:val="003901C1"/>
    <w:rsid w:val="003902FC"/>
    <w:rsid w:val="0039046A"/>
    <w:rsid w:val="00391260"/>
    <w:rsid w:val="0039139C"/>
    <w:rsid w:val="003913E7"/>
    <w:rsid w:val="00391B2C"/>
    <w:rsid w:val="003925CA"/>
    <w:rsid w:val="00392858"/>
    <w:rsid w:val="00392F64"/>
    <w:rsid w:val="00393893"/>
    <w:rsid w:val="003939ED"/>
    <w:rsid w:val="00393DA3"/>
    <w:rsid w:val="003941CF"/>
    <w:rsid w:val="003944C8"/>
    <w:rsid w:val="00394953"/>
    <w:rsid w:val="00394DEE"/>
    <w:rsid w:val="0039507A"/>
    <w:rsid w:val="00395168"/>
    <w:rsid w:val="00395A09"/>
    <w:rsid w:val="00395DA8"/>
    <w:rsid w:val="00396125"/>
    <w:rsid w:val="00396145"/>
    <w:rsid w:val="003968F8"/>
    <w:rsid w:val="0039692C"/>
    <w:rsid w:val="00396B5D"/>
    <w:rsid w:val="0039713F"/>
    <w:rsid w:val="00397641"/>
    <w:rsid w:val="003A05F2"/>
    <w:rsid w:val="003A082A"/>
    <w:rsid w:val="003A0A42"/>
    <w:rsid w:val="003A0CD5"/>
    <w:rsid w:val="003A0ED8"/>
    <w:rsid w:val="003A1370"/>
    <w:rsid w:val="003A15A8"/>
    <w:rsid w:val="003A15D0"/>
    <w:rsid w:val="003A18BF"/>
    <w:rsid w:val="003A1A01"/>
    <w:rsid w:val="003A1C5D"/>
    <w:rsid w:val="003A1D74"/>
    <w:rsid w:val="003A21EB"/>
    <w:rsid w:val="003A22B8"/>
    <w:rsid w:val="003A27FC"/>
    <w:rsid w:val="003A34CB"/>
    <w:rsid w:val="003A369C"/>
    <w:rsid w:val="003A3DC0"/>
    <w:rsid w:val="003A4199"/>
    <w:rsid w:val="003A440D"/>
    <w:rsid w:val="003A4790"/>
    <w:rsid w:val="003A4B36"/>
    <w:rsid w:val="003A4CE2"/>
    <w:rsid w:val="003A51D9"/>
    <w:rsid w:val="003A574E"/>
    <w:rsid w:val="003A582C"/>
    <w:rsid w:val="003A62C9"/>
    <w:rsid w:val="003A641D"/>
    <w:rsid w:val="003A6E25"/>
    <w:rsid w:val="003A6E9E"/>
    <w:rsid w:val="003A6F1F"/>
    <w:rsid w:val="003A7435"/>
    <w:rsid w:val="003A76AA"/>
    <w:rsid w:val="003A7E14"/>
    <w:rsid w:val="003B03B5"/>
    <w:rsid w:val="003B09E8"/>
    <w:rsid w:val="003B0AE7"/>
    <w:rsid w:val="003B169A"/>
    <w:rsid w:val="003B1BD1"/>
    <w:rsid w:val="003B1E1D"/>
    <w:rsid w:val="003B1F76"/>
    <w:rsid w:val="003B230D"/>
    <w:rsid w:val="003B2F8A"/>
    <w:rsid w:val="003B31A0"/>
    <w:rsid w:val="003B3853"/>
    <w:rsid w:val="003B42FC"/>
    <w:rsid w:val="003B4344"/>
    <w:rsid w:val="003B4538"/>
    <w:rsid w:val="003B4965"/>
    <w:rsid w:val="003B4E3E"/>
    <w:rsid w:val="003B5304"/>
    <w:rsid w:val="003B538A"/>
    <w:rsid w:val="003B57DF"/>
    <w:rsid w:val="003B5990"/>
    <w:rsid w:val="003B5BF0"/>
    <w:rsid w:val="003B649C"/>
    <w:rsid w:val="003B64D6"/>
    <w:rsid w:val="003B7031"/>
    <w:rsid w:val="003B749A"/>
    <w:rsid w:val="003B76C0"/>
    <w:rsid w:val="003B79DA"/>
    <w:rsid w:val="003C0365"/>
    <w:rsid w:val="003C07C4"/>
    <w:rsid w:val="003C08FD"/>
    <w:rsid w:val="003C0E18"/>
    <w:rsid w:val="003C1108"/>
    <w:rsid w:val="003C1363"/>
    <w:rsid w:val="003C13A6"/>
    <w:rsid w:val="003C19D6"/>
    <w:rsid w:val="003C203B"/>
    <w:rsid w:val="003C2880"/>
    <w:rsid w:val="003C2934"/>
    <w:rsid w:val="003C32F7"/>
    <w:rsid w:val="003C3A63"/>
    <w:rsid w:val="003C423D"/>
    <w:rsid w:val="003C4B86"/>
    <w:rsid w:val="003C52CE"/>
    <w:rsid w:val="003C5749"/>
    <w:rsid w:val="003C5921"/>
    <w:rsid w:val="003C5EE9"/>
    <w:rsid w:val="003C630B"/>
    <w:rsid w:val="003C683C"/>
    <w:rsid w:val="003C76F8"/>
    <w:rsid w:val="003C7D14"/>
    <w:rsid w:val="003C7D65"/>
    <w:rsid w:val="003D0017"/>
    <w:rsid w:val="003D04C8"/>
    <w:rsid w:val="003D137A"/>
    <w:rsid w:val="003D1919"/>
    <w:rsid w:val="003D28DA"/>
    <w:rsid w:val="003D2B2B"/>
    <w:rsid w:val="003D2CD1"/>
    <w:rsid w:val="003D2F0E"/>
    <w:rsid w:val="003D37B8"/>
    <w:rsid w:val="003D37EA"/>
    <w:rsid w:val="003D3B0C"/>
    <w:rsid w:val="003D4FF4"/>
    <w:rsid w:val="003D5163"/>
    <w:rsid w:val="003D57CA"/>
    <w:rsid w:val="003D5A29"/>
    <w:rsid w:val="003D620B"/>
    <w:rsid w:val="003D6258"/>
    <w:rsid w:val="003D7154"/>
    <w:rsid w:val="003D7E43"/>
    <w:rsid w:val="003E0329"/>
    <w:rsid w:val="003E0F66"/>
    <w:rsid w:val="003E128E"/>
    <w:rsid w:val="003E167A"/>
    <w:rsid w:val="003E1D8E"/>
    <w:rsid w:val="003E1F0B"/>
    <w:rsid w:val="003E22F1"/>
    <w:rsid w:val="003E288C"/>
    <w:rsid w:val="003E29B3"/>
    <w:rsid w:val="003E2A17"/>
    <w:rsid w:val="003E2A27"/>
    <w:rsid w:val="003E2BFB"/>
    <w:rsid w:val="003E35DA"/>
    <w:rsid w:val="003E38D5"/>
    <w:rsid w:val="003E441A"/>
    <w:rsid w:val="003E48BA"/>
    <w:rsid w:val="003E498C"/>
    <w:rsid w:val="003E4EF7"/>
    <w:rsid w:val="003E514C"/>
    <w:rsid w:val="003E62B8"/>
    <w:rsid w:val="003E6555"/>
    <w:rsid w:val="003E6DEE"/>
    <w:rsid w:val="003E75A3"/>
    <w:rsid w:val="003E7ECA"/>
    <w:rsid w:val="003F017F"/>
    <w:rsid w:val="003F03C7"/>
    <w:rsid w:val="003F082E"/>
    <w:rsid w:val="003F0935"/>
    <w:rsid w:val="003F0977"/>
    <w:rsid w:val="003F109D"/>
    <w:rsid w:val="003F273F"/>
    <w:rsid w:val="003F361A"/>
    <w:rsid w:val="003F38F3"/>
    <w:rsid w:val="003F3932"/>
    <w:rsid w:val="003F39A3"/>
    <w:rsid w:val="003F39ED"/>
    <w:rsid w:val="003F401B"/>
    <w:rsid w:val="003F4ABC"/>
    <w:rsid w:val="003F5EF0"/>
    <w:rsid w:val="003F5FAB"/>
    <w:rsid w:val="003F6CBC"/>
    <w:rsid w:val="003F6CFF"/>
    <w:rsid w:val="0040062E"/>
    <w:rsid w:val="004007E8"/>
    <w:rsid w:val="00401182"/>
    <w:rsid w:val="00401407"/>
    <w:rsid w:val="0040145F"/>
    <w:rsid w:val="00401A6B"/>
    <w:rsid w:val="00402F81"/>
    <w:rsid w:val="00402F9F"/>
    <w:rsid w:val="00403187"/>
    <w:rsid w:val="004033AC"/>
    <w:rsid w:val="004039C1"/>
    <w:rsid w:val="0040410B"/>
    <w:rsid w:val="0040453B"/>
    <w:rsid w:val="00404C13"/>
    <w:rsid w:val="00405113"/>
    <w:rsid w:val="0040528C"/>
    <w:rsid w:val="00405BC3"/>
    <w:rsid w:val="00406B71"/>
    <w:rsid w:val="004075D1"/>
    <w:rsid w:val="00407E86"/>
    <w:rsid w:val="004102F2"/>
    <w:rsid w:val="0041038A"/>
    <w:rsid w:val="004107F5"/>
    <w:rsid w:val="00411075"/>
    <w:rsid w:val="0041148B"/>
    <w:rsid w:val="00412359"/>
    <w:rsid w:val="00412510"/>
    <w:rsid w:val="00412B13"/>
    <w:rsid w:val="004131F2"/>
    <w:rsid w:val="00413791"/>
    <w:rsid w:val="00413E07"/>
    <w:rsid w:val="0041409D"/>
    <w:rsid w:val="00414355"/>
    <w:rsid w:val="00414C09"/>
    <w:rsid w:val="00414D49"/>
    <w:rsid w:val="00415064"/>
    <w:rsid w:val="0041566C"/>
    <w:rsid w:val="00415EE2"/>
    <w:rsid w:val="004161CF"/>
    <w:rsid w:val="00416B04"/>
    <w:rsid w:val="00416F88"/>
    <w:rsid w:val="004178D5"/>
    <w:rsid w:val="00417DB9"/>
    <w:rsid w:val="00417DFF"/>
    <w:rsid w:val="00417F01"/>
    <w:rsid w:val="004208B4"/>
    <w:rsid w:val="00420FF2"/>
    <w:rsid w:val="00421962"/>
    <w:rsid w:val="00421C05"/>
    <w:rsid w:val="00421C47"/>
    <w:rsid w:val="00421F3B"/>
    <w:rsid w:val="00421F5F"/>
    <w:rsid w:val="004221A5"/>
    <w:rsid w:val="00422573"/>
    <w:rsid w:val="004226B8"/>
    <w:rsid w:val="004227C4"/>
    <w:rsid w:val="004228EE"/>
    <w:rsid w:val="0042305F"/>
    <w:rsid w:val="004238BD"/>
    <w:rsid w:val="00423E3A"/>
    <w:rsid w:val="00423FF1"/>
    <w:rsid w:val="0042455E"/>
    <w:rsid w:val="00424668"/>
    <w:rsid w:val="00424AB5"/>
    <w:rsid w:val="0042518B"/>
    <w:rsid w:val="004255E6"/>
    <w:rsid w:val="00426153"/>
    <w:rsid w:val="0042649C"/>
    <w:rsid w:val="00426527"/>
    <w:rsid w:val="004265B8"/>
    <w:rsid w:val="0042684B"/>
    <w:rsid w:val="004268D8"/>
    <w:rsid w:val="00426A49"/>
    <w:rsid w:val="00426BDC"/>
    <w:rsid w:val="00426D9C"/>
    <w:rsid w:val="00426E69"/>
    <w:rsid w:val="00426FFE"/>
    <w:rsid w:val="0042756E"/>
    <w:rsid w:val="004277BF"/>
    <w:rsid w:val="00427808"/>
    <w:rsid w:val="00427C9D"/>
    <w:rsid w:val="00430991"/>
    <w:rsid w:val="00430A8B"/>
    <w:rsid w:val="00431223"/>
    <w:rsid w:val="00431B48"/>
    <w:rsid w:val="00431E7F"/>
    <w:rsid w:val="00431F3E"/>
    <w:rsid w:val="00431F90"/>
    <w:rsid w:val="004322C3"/>
    <w:rsid w:val="004325E1"/>
    <w:rsid w:val="004327FA"/>
    <w:rsid w:val="00432926"/>
    <w:rsid w:val="00432DA0"/>
    <w:rsid w:val="00433566"/>
    <w:rsid w:val="0043391E"/>
    <w:rsid w:val="00433B37"/>
    <w:rsid w:val="00433D2C"/>
    <w:rsid w:val="00433F99"/>
    <w:rsid w:val="004341F5"/>
    <w:rsid w:val="00434DE2"/>
    <w:rsid w:val="004350D4"/>
    <w:rsid w:val="0043522A"/>
    <w:rsid w:val="00435775"/>
    <w:rsid w:val="00435C0F"/>
    <w:rsid w:val="004363E3"/>
    <w:rsid w:val="004372B9"/>
    <w:rsid w:val="00437765"/>
    <w:rsid w:val="00437789"/>
    <w:rsid w:val="00440797"/>
    <w:rsid w:val="004408ED"/>
    <w:rsid w:val="00440CFE"/>
    <w:rsid w:val="00440D37"/>
    <w:rsid w:val="00440F31"/>
    <w:rsid w:val="00441572"/>
    <w:rsid w:val="004415DD"/>
    <w:rsid w:val="004419D3"/>
    <w:rsid w:val="00441C44"/>
    <w:rsid w:val="00442275"/>
    <w:rsid w:val="004430FA"/>
    <w:rsid w:val="00443124"/>
    <w:rsid w:val="00444084"/>
    <w:rsid w:val="00444935"/>
    <w:rsid w:val="00444D3D"/>
    <w:rsid w:val="00444DF1"/>
    <w:rsid w:val="004451B5"/>
    <w:rsid w:val="004452F6"/>
    <w:rsid w:val="00445BD7"/>
    <w:rsid w:val="00445DD8"/>
    <w:rsid w:val="00445DE7"/>
    <w:rsid w:val="00445EFC"/>
    <w:rsid w:val="0044624B"/>
    <w:rsid w:val="0044661F"/>
    <w:rsid w:val="00446A33"/>
    <w:rsid w:val="00446A38"/>
    <w:rsid w:val="00446A66"/>
    <w:rsid w:val="004474C2"/>
    <w:rsid w:val="00447A1A"/>
    <w:rsid w:val="00447B0F"/>
    <w:rsid w:val="00447DF9"/>
    <w:rsid w:val="00450121"/>
    <w:rsid w:val="00450176"/>
    <w:rsid w:val="00450450"/>
    <w:rsid w:val="00450B55"/>
    <w:rsid w:val="00450BAD"/>
    <w:rsid w:val="00451C87"/>
    <w:rsid w:val="00452295"/>
    <w:rsid w:val="00452A7E"/>
    <w:rsid w:val="00452C4D"/>
    <w:rsid w:val="00452D5A"/>
    <w:rsid w:val="0045321A"/>
    <w:rsid w:val="00453BA5"/>
    <w:rsid w:val="004543E7"/>
    <w:rsid w:val="00454538"/>
    <w:rsid w:val="00454833"/>
    <w:rsid w:val="00454A46"/>
    <w:rsid w:val="00454F87"/>
    <w:rsid w:val="004552ED"/>
    <w:rsid w:val="00455375"/>
    <w:rsid w:val="004554CA"/>
    <w:rsid w:val="004555A6"/>
    <w:rsid w:val="00456635"/>
    <w:rsid w:val="00457407"/>
    <w:rsid w:val="004576C3"/>
    <w:rsid w:val="00457901"/>
    <w:rsid w:val="00457AE9"/>
    <w:rsid w:val="00457F40"/>
    <w:rsid w:val="0046021B"/>
    <w:rsid w:val="00460652"/>
    <w:rsid w:val="004606CD"/>
    <w:rsid w:val="00460B42"/>
    <w:rsid w:val="00461071"/>
    <w:rsid w:val="00461F64"/>
    <w:rsid w:val="004620BD"/>
    <w:rsid w:val="004623F5"/>
    <w:rsid w:val="004627ED"/>
    <w:rsid w:val="00462CC3"/>
    <w:rsid w:val="00462D1A"/>
    <w:rsid w:val="004630C3"/>
    <w:rsid w:val="00463138"/>
    <w:rsid w:val="0046377C"/>
    <w:rsid w:val="00463AD8"/>
    <w:rsid w:val="00464122"/>
    <w:rsid w:val="00464374"/>
    <w:rsid w:val="004644D3"/>
    <w:rsid w:val="004661B8"/>
    <w:rsid w:val="00466547"/>
    <w:rsid w:val="0046678F"/>
    <w:rsid w:val="004668A6"/>
    <w:rsid w:val="00466AEB"/>
    <w:rsid w:val="00466F35"/>
    <w:rsid w:val="00467261"/>
    <w:rsid w:val="0046751F"/>
    <w:rsid w:val="004676B3"/>
    <w:rsid w:val="004679C8"/>
    <w:rsid w:val="00470120"/>
    <w:rsid w:val="004701B2"/>
    <w:rsid w:val="0047038D"/>
    <w:rsid w:val="0047040A"/>
    <w:rsid w:val="0047061E"/>
    <w:rsid w:val="00470658"/>
    <w:rsid w:val="0047071C"/>
    <w:rsid w:val="0047084D"/>
    <w:rsid w:val="00470E18"/>
    <w:rsid w:val="00471547"/>
    <w:rsid w:val="00471B63"/>
    <w:rsid w:val="00471C9C"/>
    <w:rsid w:val="0047243A"/>
    <w:rsid w:val="004728C2"/>
    <w:rsid w:val="0047330E"/>
    <w:rsid w:val="00473573"/>
    <w:rsid w:val="00473B02"/>
    <w:rsid w:val="00474C96"/>
    <w:rsid w:val="00474FA4"/>
    <w:rsid w:val="00475013"/>
    <w:rsid w:val="00475124"/>
    <w:rsid w:val="00475153"/>
    <w:rsid w:val="004761FD"/>
    <w:rsid w:val="00476662"/>
    <w:rsid w:val="00476947"/>
    <w:rsid w:val="00477FCC"/>
    <w:rsid w:val="00480567"/>
    <w:rsid w:val="00482012"/>
    <w:rsid w:val="00482096"/>
    <w:rsid w:val="004822AC"/>
    <w:rsid w:val="00482D9E"/>
    <w:rsid w:val="00482F70"/>
    <w:rsid w:val="00482FE9"/>
    <w:rsid w:val="00483B7C"/>
    <w:rsid w:val="00483F83"/>
    <w:rsid w:val="00483F8D"/>
    <w:rsid w:val="00484185"/>
    <w:rsid w:val="0048467F"/>
    <w:rsid w:val="00484C96"/>
    <w:rsid w:val="00484EEA"/>
    <w:rsid w:val="00485141"/>
    <w:rsid w:val="00486211"/>
    <w:rsid w:val="004868DC"/>
    <w:rsid w:val="00487286"/>
    <w:rsid w:val="00487573"/>
    <w:rsid w:val="00487A7E"/>
    <w:rsid w:val="00487EF2"/>
    <w:rsid w:val="004900CB"/>
    <w:rsid w:val="004900D6"/>
    <w:rsid w:val="00490125"/>
    <w:rsid w:val="004902C9"/>
    <w:rsid w:val="00490976"/>
    <w:rsid w:val="00490E08"/>
    <w:rsid w:val="00491543"/>
    <w:rsid w:val="00491614"/>
    <w:rsid w:val="00491DCD"/>
    <w:rsid w:val="0049204E"/>
    <w:rsid w:val="004922F2"/>
    <w:rsid w:val="004925A8"/>
    <w:rsid w:val="00493197"/>
    <w:rsid w:val="00493400"/>
    <w:rsid w:val="00493AA5"/>
    <w:rsid w:val="00493E0D"/>
    <w:rsid w:val="00493FC4"/>
    <w:rsid w:val="004942EE"/>
    <w:rsid w:val="00494CD7"/>
    <w:rsid w:val="004950AA"/>
    <w:rsid w:val="00495CC5"/>
    <w:rsid w:val="00495F16"/>
    <w:rsid w:val="00496091"/>
    <w:rsid w:val="0049616D"/>
    <w:rsid w:val="00496937"/>
    <w:rsid w:val="00496C9D"/>
    <w:rsid w:val="00496CBB"/>
    <w:rsid w:val="00496F51"/>
    <w:rsid w:val="00496FA1"/>
    <w:rsid w:val="00497258"/>
    <w:rsid w:val="00497523"/>
    <w:rsid w:val="00497697"/>
    <w:rsid w:val="00497BE6"/>
    <w:rsid w:val="00497E6C"/>
    <w:rsid w:val="004A0400"/>
    <w:rsid w:val="004A045C"/>
    <w:rsid w:val="004A08AE"/>
    <w:rsid w:val="004A0DE4"/>
    <w:rsid w:val="004A0E68"/>
    <w:rsid w:val="004A0F88"/>
    <w:rsid w:val="004A1344"/>
    <w:rsid w:val="004A15EC"/>
    <w:rsid w:val="004A2161"/>
    <w:rsid w:val="004A2487"/>
    <w:rsid w:val="004A3315"/>
    <w:rsid w:val="004A392C"/>
    <w:rsid w:val="004A3D4B"/>
    <w:rsid w:val="004A3E5B"/>
    <w:rsid w:val="004A4070"/>
    <w:rsid w:val="004A44A6"/>
    <w:rsid w:val="004A4EC3"/>
    <w:rsid w:val="004A593A"/>
    <w:rsid w:val="004A625E"/>
    <w:rsid w:val="004A6771"/>
    <w:rsid w:val="004A6838"/>
    <w:rsid w:val="004A6A97"/>
    <w:rsid w:val="004A6CEF"/>
    <w:rsid w:val="004A7305"/>
    <w:rsid w:val="004A76A4"/>
    <w:rsid w:val="004A7992"/>
    <w:rsid w:val="004A7C18"/>
    <w:rsid w:val="004B05FA"/>
    <w:rsid w:val="004B08EB"/>
    <w:rsid w:val="004B192C"/>
    <w:rsid w:val="004B19E2"/>
    <w:rsid w:val="004B1D13"/>
    <w:rsid w:val="004B2527"/>
    <w:rsid w:val="004B28A6"/>
    <w:rsid w:val="004B35A3"/>
    <w:rsid w:val="004B3F38"/>
    <w:rsid w:val="004B453A"/>
    <w:rsid w:val="004B4544"/>
    <w:rsid w:val="004B4652"/>
    <w:rsid w:val="004B4D71"/>
    <w:rsid w:val="004B564E"/>
    <w:rsid w:val="004B59E0"/>
    <w:rsid w:val="004B5E38"/>
    <w:rsid w:val="004B6020"/>
    <w:rsid w:val="004B6D8D"/>
    <w:rsid w:val="004B71D1"/>
    <w:rsid w:val="004B736E"/>
    <w:rsid w:val="004B760B"/>
    <w:rsid w:val="004C03A3"/>
    <w:rsid w:val="004C0437"/>
    <w:rsid w:val="004C051C"/>
    <w:rsid w:val="004C0A0F"/>
    <w:rsid w:val="004C0B13"/>
    <w:rsid w:val="004C0B53"/>
    <w:rsid w:val="004C150E"/>
    <w:rsid w:val="004C1884"/>
    <w:rsid w:val="004C1F28"/>
    <w:rsid w:val="004C20B7"/>
    <w:rsid w:val="004C28B2"/>
    <w:rsid w:val="004C3232"/>
    <w:rsid w:val="004C36F2"/>
    <w:rsid w:val="004C48D0"/>
    <w:rsid w:val="004C4F1B"/>
    <w:rsid w:val="004C545E"/>
    <w:rsid w:val="004C61F1"/>
    <w:rsid w:val="004C6B4F"/>
    <w:rsid w:val="004C6CB3"/>
    <w:rsid w:val="004C6FBB"/>
    <w:rsid w:val="004C7060"/>
    <w:rsid w:val="004C720E"/>
    <w:rsid w:val="004C7423"/>
    <w:rsid w:val="004C758A"/>
    <w:rsid w:val="004C7716"/>
    <w:rsid w:val="004D0595"/>
    <w:rsid w:val="004D1430"/>
    <w:rsid w:val="004D196B"/>
    <w:rsid w:val="004D19F1"/>
    <w:rsid w:val="004D1CA3"/>
    <w:rsid w:val="004D20F1"/>
    <w:rsid w:val="004D23A3"/>
    <w:rsid w:val="004D23EA"/>
    <w:rsid w:val="004D246A"/>
    <w:rsid w:val="004D2798"/>
    <w:rsid w:val="004D2DC9"/>
    <w:rsid w:val="004D3324"/>
    <w:rsid w:val="004D387A"/>
    <w:rsid w:val="004D4829"/>
    <w:rsid w:val="004D4D72"/>
    <w:rsid w:val="004D5142"/>
    <w:rsid w:val="004D52D4"/>
    <w:rsid w:val="004D5806"/>
    <w:rsid w:val="004D58E8"/>
    <w:rsid w:val="004D5932"/>
    <w:rsid w:val="004D5AD8"/>
    <w:rsid w:val="004D65FE"/>
    <w:rsid w:val="004D6AC0"/>
    <w:rsid w:val="004D6DF0"/>
    <w:rsid w:val="004D7006"/>
    <w:rsid w:val="004D7C2E"/>
    <w:rsid w:val="004D7C3F"/>
    <w:rsid w:val="004E0375"/>
    <w:rsid w:val="004E03AD"/>
    <w:rsid w:val="004E0541"/>
    <w:rsid w:val="004E09D6"/>
    <w:rsid w:val="004E0D24"/>
    <w:rsid w:val="004E0D82"/>
    <w:rsid w:val="004E0E9B"/>
    <w:rsid w:val="004E179C"/>
    <w:rsid w:val="004E1A4D"/>
    <w:rsid w:val="004E1EA7"/>
    <w:rsid w:val="004E2687"/>
    <w:rsid w:val="004E29C3"/>
    <w:rsid w:val="004E2B97"/>
    <w:rsid w:val="004E2F63"/>
    <w:rsid w:val="004E35E6"/>
    <w:rsid w:val="004E3713"/>
    <w:rsid w:val="004E3968"/>
    <w:rsid w:val="004E39C1"/>
    <w:rsid w:val="004E45A8"/>
    <w:rsid w:val="004E4DD3"/>
    <w:rsid w:val="004E5138"/>
    <w:rsid w:val="004E562E"/>
    <w:rsid w:val="004E5875"/>
    <w:rsid w:val="004E5F4E"/>
    <w:rsid w:val="004E628B"/>
    <w:rsid w:val="004E6DCE"/>
    <w:rsid w:val="004E75B2"/>
    <w:rsid w:val="004F0432"/>
    <w:rsid w:val="004F0552"/>
    <w:rsid w:val="004F0A59"/>
    <w:rsid w:val="004F16D1"/>
    <w:rsid w:val="004F1714"/>
    <w:rsid w:val="004F1C38"/>
    <w:rsid w:val="004F1E1B"/>
    <w:rsid w:val="004F1F81"/>
    <w:rsid w:val="004F2CA3"/>
    <w:rsid w:val="004F2E80"/>
    <w:rsid w:val="004F307A"/>
    <w:rsid w:val="004F4435"/>
    <w:rsid w:val="004F4F5D"/>
    <w:rsid w:val="004F6D72"/>
    <w:rsid w:val="004F7682"/>
    <w:rsid w:val="004F79AB"/>
    <w:rsid w:val="00500376"/>
    <w:rsid w:val="00500685"/>
    <w:rsid w:val="00500732"/>
    <w:rsid w:val="0050074B"/>
    <w:rsid w:val="00500DC1"/>
    <w:rsid w:val="00500F56"/>
    <w:rsid w:val="0050106F"/>
    <w:rsid w:val="00503519"/>
    <w:rsid w:val="0050384E"/>
    <w:rsid w:val="00503988"/>
    <w:rsid w:val="005039E1"/>
    <w:rsid w:val="00503A4C"/>
    <w:rsid w:val="00503A89"/>
    <w:rsid w:val="00503E91"/>
    <w:rsid w:val="005041AF"/>
    <w:rsid w:val="0050447A"/>
    <w:rsid w:val="00505509"/>
    <w:rsid w:val="005059CE"/>
    <w:rsid w:val="00505EC8"/>
    <w:rsid w:val="00506332"/>
    <w:rsid w:val="005064CC"/>
    <w:rsid w:val="00507022"/>
    <w:rsid w:val="0050734C"/>
    <w:rsid w:val="005074AB"/>
    <w:rsid w:val="0050779D"/>
    <w:rsid w:val="00507982"/>
    <w:rsid w:val="00507A85"/>
    <w:rsid w:val="00507DE4"/>
    <w:rsid w:val="00510592"/>
    <w:rsid w:val="005105BE"/>
    <w:rsid w:val="00511168"/>
    <w:rsid w:val="00511486"/>
    <w:rsid w:val="00511741"/>
    <w:rsid w:val="00511818"/>
    <w:rsid w:val="005128B8"/>
    <w:rsid w:val="0051298D"/>
    <w:rsid w:val="00512A49"/>
    <w:rsid w:val="00512E73"/>
    <w:rsid w:val="005135A9"/>
    <w:rsid w:val="00513B1B"/>
    <w:rsid w:val="00513F87"/>
    <w:rsid w:val="005141CB"/>
    <w:rsid w:val="00514C16"/>
    <w:rsid w:val="00514EBA"/>
    <w:rsid w:val="005155C7"/>
    <w:rsid w:val="005158D4"/>
    <w:rsid w:val="00516138"/>
    <w:rsid w:val="0051697B"/>
    <w:rsid w:val="00516A98"/>
    <w:rsid w:val="00516AC2"/>
    <w:rsid w:val="00516ADB"/>
    <w:rsid w:val="00516C9D"/>
    <w:rsid w:val="00516F46"/>
    <w:rsid w:val="00516FC6"/>
    <w:rsid w:val="005171FB"/>
    <w:rsid w:val="00517EDE"/>
    <w:rsid w:val="00520C50"/>
    <w:rsid w:val="00520EFA"/>
    <w:rsid w:val="00521049"/>
    <w:rsid w:val="00521075"/>
    <w:rsid w:val="005218B5"/>
    <w:rsid w:val="00521A36"/>
    <w:rsid w:val="00521DEA"/>
    <w:rsid w:val="005227F4"/>
    <w:rsid w:val="00522984"/>
    <w:rsid w:val="005229E7"/>
    <w:rsid w:val="00522EE2"/>
    <w:rsid w:val="0052394D"/>
    <w:rsid w:val="00524B20"/>
    <w:rsid w:val="00524C71"/>
    <w:rsid w:val="00524D7E"/>
    <w:rsid w:val="005266C6"/>
    <w:rsid w:val="00526EA1"/>
    <w:rsid w:val="00527290"/>
    <w:rsid w:val="0052729D"/>
    <w:rsid w:val="00527B00"/>
    <w:rsid w:val="00530C3A"/>
    <w:rsid w:val="00531091"/>
    <w:rsid w:val="00531140"/>
    <w:rsid w:val="005319B3"/>
    <w:rsid w:val="00531A6E"/>
    <w:rsid w:val="00532D39"/>
    <w:rsid w:val="0053308C"/>
    <w:rsid w:val="005337F9"/>
    <w:rsid w:val="00534963"/>
    <w:rsid w:val="005349C4"/>
    <w:rsid w:val="005355AF"/>
    <w:rsid w:val="005356F1"/>
    <w:rsid w:val="00535F13"/>
    <w:rsid w:val="00535FDD"/>
    <w:rsid w:val="00536770"/>
    <w:rsid w:val="005370CD"/>
    <w:rsid w:val="0053790B"/>
    <w:rsid w:val="00537B94"/>
    <w:rsid w:val="00537EFA"/>
    <w:rsid w:val="0054028F"/>
    <w:rsid w:val="0054046E"/>
    <w:rsid w:val="00540940"/>
    <w:rsid w:val="00540E4D"/>
    <w:rsid w:val="005411B7"/>
    <w:rsid w:val="005415E3"/>
    <w:rsid w:val="00541B86"/>
    <w:rsid w:val="0054267B"/>
    <w:rsid w:val="0054280F"/>
    <w:rsid w:val="005429CC"/>
    <w:rsid w:val="00543258"/>
    <w:rsid w:val="005434FE"/>
    <w:rsid w:val="0054386D"/>
    <w:rsid w:val="00543BD0"/>
    <w:rsid w:val="005441BD"/>
    <w:rsid w:val="00544377"/>
    <w:rsid w:val="00544671"/>
    <w:rsid w:val="00544942"/>
    <w:rsid w:val="00544981"/>
    <w:rsid w:val="0054550A"/>
    <w:rsid w:val="00545897"/>
    <w:rsid w:val="00545A71"/>
    <w:rsid w:val="00545AAE"/>
    <w:rsid w:val="005462EB"/>
    <w:rsid w:val="00546724"/>
    <w:rsid w:val="00546951"/>
    <w:rsid w:val="005469FE"/>
    <w:rsid w:val="00546A8D"/>
    <w:rsid w:val="00546F41"/>
    <w:rsid w:val="005474C4"/>
    <w:rsid w:val="005477EB"/>
    <w:rsid w:val="00547B5F"/>
    <w:rsid w:val="00547FD7"/>
    <w:rsid w:val="00550696"/>
    <w:rsid w:val="00550C62"/>
    <w:rsid w:val="00550DC0"/>
    <w:rsid w:val="005511D9"/>
    <w:rsid w:val="005512C4"/>
    <w:rsid w:val="0055265C"/>
    <w:rsid w:val="00553032"/>
    <w:rsid w:val="00553925"/>
    <w:rsid w:val="00553D84"/>
    <w:rsid w:val="00554445"/>
    <w:rsid w:val="005548E1"/>
    <w:rsid w:val="00554A2D"/>
    <w:rsid w:val="00554B29"/>
    <w:rsid w:val="00554DAE"/>
    <w:rsid w:val="005555AC"/>
    <w:rsid w:val="00555FC8"/>
    <w:rsid w:val="00556273"/>
    <w:rsid w:val="005564C9"/>
    <w:rsid w:val="00556572"/>
    <w:rsid w:val="0055689B"/>
    <w:rsid w:val="00556939"/>
    <w:rsid w:val="00556B65"/>
    <w:rsid w:val="005576FC"/>
    <w:rsid w:val="0055777F"/>
    <w:rsid w:val="00557BDC"/>
    <w:rsid w:val="00557E7D"/>
    <w:rsid w:val="0056058C"/>
    <w:rsid w:val="00560E6F"/>
    <w:rsid w:val="00561C92"/>
    <w:rsid w:val="0056239C"/>
    <w:rsid w:val="00563116"/>
    <w:rsid w:val="0056348A"/>
    <w:rsid w:val="00564271"/>
    <w:rsid w:val="0056435D"/>
    <w:rsid w:val="00564E99"/>
    <w:rsid w:val="0056501D"/>
    <w:rsid w:val="00565E98"/>
    <w:rsid w:val="00566EB8"/>
    <w:rsid w:val="005670D0"/>
    <w:rsid w:val="005674F2"/>
    <w:rsid w:val="005679EE"/>
    <w:rsid w:val="00567BBC"/>
    <w:rsid w:val="005700EF"/>
    <w:rsid w:val="005703FA"/>
    <w:rsid w:val="00570C15"/>
    <w:rsid w:val="005717FF"/>
    <w:rsid w:val="0057235E"/>
    <w:rsid w:val="0057265D"/>
    <w:rsid w:val="0057284F"/>
    <w:rsid w:val="00572DF3"/>
    <w:rsid w:val="005731AC"/>
    <w:rsid w:val="005733FA"/>
    <w:rsid w:val="005738B6"/>
    <w:rsid w:val="0057391A"/>
    <w:rsid w:val="00574100"/>
    <w:rsid w:val="00574930"/>
    <w:rsid w:val="005752CE"/>
    <w:rsid w:val="00575B08"/>
    <w:rsid w:val="00576583"/>
    <w:rsid w:val="00576A02"/>
    <w:rsid w:val="00577216"/>
    <w:rsid w:val="005807DA"/>
    <w:rsid w:val="00580808"/>
    <w:rsid w:val="00580DD5"/>
    <w:rsid w:val="005821ED"/>
    <w:rsid w:val="0058252F"/>
    <w:rsid w:val="00582A0D"/>
    <w:rsid w:val="00582ADA"/>
    <w:rsid w:val="00583040"/>
    <w:rsid w:val="005837DD"/>
    <w:rsid w:val="005838FA"/>
    <w:rsid w:val="00583A83"/>
    <w:rsid w:val="005840E4"/>
    <w:rsid w:val="0058431A"/>
    <w:rsid w:val="00584A5B"/>
    <w:rsid w:val="00584ACA"/>
    <w:rsid w:val="0058516A"/>
    <w:rsid w:val="0058549B"/>
    <w:rsid w:val="00585735"/>
    <w:rsid w:val="00585BBB"/>
    <w:rsid w:val="005860D3"/>
    <w:rsid w:val="00587462"/>
    <w:rsid w:val="0058749B"/>
    <w:rsid w:val="00590573"/>
    <w:rsid w:val="005908A8"/>
    <w:rsid w:val="00590F26"/>
    <w:rsid w:val="0059168F"/>
    <w:rsid w:val="00591AA4"/>
    <w:rsid w:val="00591CDA"/>
    <w:rsid w:val="00591FD7"/>
    <w:rsid w:val="00592001"/>
    <w:rsid w:val="00592926"/>
    <w:rsid w:val="00592959"/>
    <w:rsid w:val="00592AD5"/>
    <w:rsid w:val="00592B30"/>
    <w:rsid w:val="00592C07"/>
    <w:rsid w:val="00592DA7"/>
    <w:rsid w:val="005933F9"/>
    <w:rsid w:val="0059345F"/>
    <w:rsid w:val="00593B7C"/>
    <w:rsid w:val="00594407"/>
    <w:rsid w:val="005946FB"/>
    <w:rsid w:val="0059486F"/>
    <w:rsid w:val="00594D63"/>
    <w:rsid w:val="00594FEC"/>
    <w:rsid w:val="00595125"/>
    <w:rsid w:val="00595278"/>
    <w:rsid w:val="00595380"/>
    <w:rsid w:val="005953B8"/>
    <w:rsid w:val="00595BD8"/>
    <w:rsid w:val="00595DBD"/>
    <w:rsid w:val="00596395"/>
    <w:rsid w:val="0059649C"/>
    <w:rsid w:val="00596F7C"/>
    <w:rsid w:val="00597004"/>
    <w:rsid w:val="0059790B"/>
    <w:rsid w:val="005A0983"/>
    <w:rsid w:val="005A10DE"/>
    <w:rsid w:val="005A164A"/>
    <w:rsid w:val="005A1846"/>
    <w:rsid w:val="005A1CB4"/>
    <w:rsid w:val="005A1F7C"/>
    <w:rsid w:val="005A2BAD"/>
    <w:rsid w:val="005A343E"/>
    <w:rsid w:val="005A426B"/>
    <w:rsid w:val="005A48EE"/>
    <w:rsid w:val="005A4A5D"/>
    <w:rsid w:val="005A4C5B"/>
    <w:rsid w:val="005A5219"/>
    <w:rsid w:val="005A5874"/>
    <w:rsid w:val="005A5ABC"/>
    <w:rsid w:val="005A5CA7"/>
    <w:rsid w:val="005A5D50"/>
    <w:rsid w:val="005A7289"/>
    <w:rsid w:val="005B027B"/>
    <w:rsid w:val="005B030F"/>
    <w:rsid w:val="005B03B8"/>
    <w:rsid w:val="005B1158"/>
    <w:rsid w:val="005B1398"/>
    <w:rsid w:val="005B1797"/>
    <w:rsid w:val="005B2223"/>
    <w:rsid w:val="005B256D"/>
    <w:rsid w:val="005B2671"/>
    <w:rsid w:val="005B2788"/>
    <w:rsid w:val="005B2A4E"/>
    <w:rsid w:val="005B2D2A"/>
    <w:rsid w:val="005B2E45"/>
    <w:rsid w:val="005B3224"/>
    <w:rsid w:val="005B3419"/>
    <w:rsid w:val="005B36B4"/>
    <w:rsid w:val="005B37C6"/>
    <w:rsid w:val="005B388B"/>
    <w:rsid w:val="005B3E34"/>
    <w:rsid w:val="005B4169"/>
    <w:rsid w:val="005B41C2"/>
    <w:rsid w:val="005B420A"/>
    <w:rsid w:val="005B48B6"/>
    <w:rsid w:val="005B4972"/>
    <w:rsid w:val="005B51D3"/>
    <w:rsid w:val="005B5248"/>
    <w:rsid w:val="005B5A33"/>
    <w:rsid w:val="005B5BB9"/>
    <w:rsid w:val="005B6303"/>
    <w:rsid w:val="005B6C61"/>
    <w:rsid w:val="005B71BF"/>
    <w:rsid w:val="005B78AA"/>
    <w:rsid w:val="005C049A"/>
    <w:rsid w:val="005C0630"/>
    <w:rsid w:val="005C06C8"/>
    <w:rsid w:val="005C0798"/>
    <w:rsid w:val="005C0A3C"/>
    <w:rsid w:val="005C1093"/>
    <w:rsid w:val="005C1704"/>
    <w:rsid w:val="005C1BFA"/>
    <w:rsid w:val="005C2629"/>
    <w:rsid w:val="005C3A47"/>
    <w:rsid w:val="005C3BCA"/>
    <w:rsid w:val="005C3D90"/>
    <w:rsid w:val="005C3F96"/>
    <w:rsid w:val="005C4392"/>
    <w:rsid w:val="005C47E9"/>
    <w:rsid w:val="005C5149"/>
    <w:rsid w:val="005C5B1F"/>
    <w:rsid w:val="005C5BFC"/>
    <w:rsid w:val="005C602B"/>
    <w:rsid w:val="005C676E"/>
    <w:rsid w:val="005C685F"/>
    <w:rsid w:val="005C73E1"/>
    <w:rsid w:val="005C75C7"/>
    <w:rsid w:val="005C77B2"/>
    <w:rsid w:val="005C7F2A"/>
    <w:rsid w:val="005D0119"/>
    <w:rsid w:val="005D0419"/>
    <w:rsid w:val="005D04FC"/>
    <w:rsid w:val="005D051E"/>
    <w:rsid w:val="005D0790"/>
    <w:rsid w:val="005D177F"/>
    <w:rsid w:val="005D1858"/>
    <w:rsid w:val="005D18A5"/>
    <w:rsid w:val="005D20CE"/>
    <w:rsid w:val="005D233B"/>
    <w:rsid w:val="005D279D"/>
    <w:rsid w:val="005D2BA2"/>
    <w:rsid w:val="005D33E8"/>
    <w:rsid w:val="005D3A81"/>
    <w:rsid w:val="005D3F17"/>
    <w:rsid w:val="005D408F"/>
    <w:rsid w:val="005D4169"/>
    <w:rsid w:val="005D54A5"/>
    <w:rsid w:val="005D5E2E"/>
    <w:rsid w:val="005D5E3A"/>
    <w:rsid w:val="005D5F40"/>
    <w:rsid w:val="005D6FED"/>
    <w:rsid w:val="005D71EE"/>
    <w:rsid w:val="005D733A"/>
    <w:rsid w:val="005E0A00"/>
    <w:rsid w:val="005E0D05"/>
    <w:rsid w:val="005E0D7D"/>
    <w:rsid w:val="005E1300"/>
    <w:rsid w:val="005E155C"/>
    <w:rsid w:val="005E1B83"/>
    <w:rsid w:val="005E1D13"/>
    <w:rsid w:val="005E25AE"/>
    <w:rsid w:val="005E265D"/>
    <w:rsid w:val="005E2808"/>
    <w:rsid w:val="005E2BC9"/>
    <w:rsid w:val="005E3443"/>
    <w:rsid w:val="005E4323"/>
    <w:rsid w:val="005E5900"/>
    <w:rsid w:val="005E5D45"/>
    <w:rsid w:val="005E6B68"/>
    <w:rsid w:val="005E6E3B"/>
    <w:rsid w:val="005E72CB"/>
    <w:rsid w:val="005E7412"/>
    <w:rsid w:val="005F0AC3"/>
    <w:rsid w:val="005F0C63"/>
    <w:rsid w:val="005F0F7C"/>
    <w:rsid w:val="005F1B1F"/>
    <w:rsid w:val="005F1D0F"/>
    <w:rsid w:val="005F2BBE"/>
    <w:rsid w:val="005F3209"/>
    <w:rsid w:val="005F3255"/>
    <w:rsid w:val="005F332D"/>
    <w:rsid w:val="005F3628"/>
    <w:rsid w:val="005F3A7C"/>
    <w:rsid w:val="005F4DDC"/>
    <w:rsid w:val="005F54D0"/>
    <w:rsid w:val="005F56DB"/>
    <w:rsid w:val="005F587D"/>
    <w:rsid w:val="005F5D87"/>
    <w:rsid w:val="005F5D8E"/>
    <w:rsid w:val="005F7F42"/>
    <w:rsid w:val="005F7FD5"/>
    <w:rsid w:val="00600253"/>
    <w:rsid w:val="006002C1"/>
    <w:rsid w:val="006006C1"/>
    <w:rsid w:val="00600F1F"/>
    <w:rsid w:val="006011DD"/>
    <w:rsid w:val="00601329"/>
    <w:rsid w:val="00601757"/>
    <w:rsid w:val="00601B26"/>
    <w:rsid w:val="00602ABE"/>
    <w:rsid w:val="00602EC3"/>
    <w:rsid w:val="00602F74"/>
    <w:rsid w:val="00603F71"/>
    <w:rsid w:val="00603FE3"/>
    <w:rsid w:val="006041D1"/>
    <w:rsid w:val="006042ED"/>
    <w:rsid w:val="00604E79"/>
    <w:rsid w:val="00604E95"/>
    <w:rsid w:val="0060525A"/>
    <w:rsid w:val="0060552E"/>
    <w:rsid w:val="00605E60"/>
    <w:rsid w:val="00606827"/>
    <w:rsid w:val="006069E9"/>
    <w:rsid w:val="00606CFE"/>
    <w:rsid w:val="00606FBD"/>
    <w:rsid w:val="00607741"/>
    <w:rsid w:val="006100F8"/>
    <w:rsid w:val="006103EB"/>
    <w:rsid w:val="006107E9"/>
    <w:rsid w:val="006108A1"/>
    <w:rsid w:val="00610AFD"/>
    <w:rsid w:val="00611AE4"/>
    <w:rsid w:val="00611F47"/>
    <w:rsid w:val="00612156"/>
    <w:rsid w:val="00612F41"/>
    <w:rsid w:val="0061335D"/>
    <w:rsid w:val="0061375C"/>
    <w:rsid w:val="006138F9"/>
    <w:rsid w:val="00613A1C"/>
    <w:rsid w:val="00613ABC"/>
    <w:rsid w:val="00613C47"/>
    <w:rsid w:val="00613C7F"/>
    <w:rsid w:val="0061412D"/>
    <w:rsid w:val="0061434F"/>
    <w:rsid w:val="00614430"/>
    <w:rsid w:val="00614614"/>
    <w:rsid w:val="006147A8"/>
    <w:rsid w:val="00615363"/>
    <w:rsid w:val="00615539"/>
    <w:rsid w:val="006157C4"/>
    <w:rsid w:val="00615ECF"/>
    <w:rsid w:val="0061621D"/>
    <w:rsid w:val="006165FE"/>
    <w:rsid w:val="00616827"/>
    <w:rsid w:val="00616B30"/>
    <w:rsid w:val="0062013C"/>
    <w:rsid w:val="0062059D"/>
    <w:rsid w:val="00620E0A"/>
    <w:rsid w:val="00621450"/>
    <w:rsid w:val="006219AF"/>
    <w:rsid w:val="00621B72"/>
    <w:rsid w:val="00621BB3"/>
    <w:rsid w:val="00621BE3"/>
    <w:rsid w:val="00622E88"/>
    <w:rsid w:val="00623380"/>
    <w:rsid w:val="00623FA5"/>
    <w:rsid w:val="006241A3"/>
    <w:rsid w:val="00624367"/>
    <w:rsid w:val="006251DE"/>
    <w:rsid w:val="00625CEA"/>
    <w:rsid w:val="00625E5D"/>
    <w:rsid w:val="0062627E"/>
    <w:rsid w:val="006262BC"/>
    <w:rsid w:val="00626447"/>
    <w:rsid w:val="00626655"/>
    <w:rsid w:val="00626A85"/>
    <w:rsid w:val="00627240"/>
    <w:rsid w:val="006277BF"/>
    <w:rsid w:val="00627BB5"/>
    <w:rsid w:val="006301FC"/>
    <w:rsid w:val="006303C4"/>
    <w:rsid w:val="00630616"/>
    <w:rsid w:val="00630B5C"/>
    <w:rsid w:val="0063177B"/>
    <w:rsid w:val="00631B38"/>
    <w:rsid w:val="00631D2E"/>
    <w:rsid w:val="00632AD3"/>
    <w:rsid w:val="00632E5B"/>
    <w:rsid w:val="00633DBF"/>
    <w:rsid w:val="00634087"/>
    <w:rsid w:val="00634446"/>
    <w:rsid w:val="00634484"/>
    <w:rsid w:val="00634EBE"/>
    <w:rsid w:val="00635207"/>
    <w:rsid w:val="006353DB"/>
    <w:rsid w:val="0063582D"/>
    <w:rsid w:val="00635BD8"/>
    <w:rsid w:val="00636189"/>
    <w:rsid w:val="00636646"/>
    <w:rsid w:val="00636FA0"/>
    <w:rsid w:val="006372D9"/>
    <w:rsid w:val="0064055A"/>
    <w:rsid w:val="00640CA3"/>
    <w:rsid w:val="006412FF"/>
    <w:rsid w:val="00641334"/>
    <w:rsid w:val="006427FA"/>
    <w:rsid w:val="00643919"/>
    <w:rsid w:val="00643B55"/>
    <w:rsid w:val="00643BA6"/>
    <w:rsid w:val="0064452B"/>
    <w:rsid w:val="006445C5"/>
    <w:rsid w:val="00644BFD"/>
    <w:rsid w:val="006456C1"/>
    <w:rsid w:val="00645C0A"/>
    <w:rsid w:val="00645F7B"/>
    <w:rsid w:val="006460BD"/>
    <w:rsid w:val="0064621E"/>
    <w:rsid w:val="006464B7"/>
    <w:rsid w:val="006468F6"/>
    <w:rsid w:val="00646B05"/>
    <w:rsid w:val="00647000"/>
    <w:rsid w:val="0064745C"/>
    <w:rsid w:val="00650127"/>
    <w:rsid w:val="006501BB"/>
    <w:rsid w:val="006503E7"/>
    <w:rsid w:val="00650413"/>
    <w:rsid w:val="00650CF4"/>
    <w:rsid w:val="006516C5"/>
    <w:rsid w:val="00651C05"/>
    <w:rsid w:val="00652565"/>
    <w:rsid w:val="00652BC8"/>
    <w:rsid w:val="00652D91"/>
    <w:rsid w:val="00653121"/>
    <w:rsid w:val="00653284"/>
    <w:rsid w:val="006535FF"/>
    <w:rsid w:val="00653A72"/>
    <w:rsid w:val="00653C27"/>
    <w:rsid w:val="00654B33"/>
    <w:rsid w:val="00654C78"/>
    <w:rsid w:val="00654CF9"/>
    <w:rsid w:val="006560DD"/>
    <w:rsid w:val="00656263"/>
    <w:rsid w:val="00656363"/>
    <w:rsid w:val="00656886"/>
    <w:rsid w:val="00657088"/>
    <w:rsid w:val="00657AD3"/>
    <w:rsid w:val="00660256"/>
    <w:rsid w:val="006605FF"/>
    <w:rsid w:val="006610AF"/>
    <w:rsid w:val="00661CFF"/>
    <w:rsid w:val="00661D0D"/>
    <w:rsid w:val="00662762"/>
    <w:rsid w:val="0066288D"/>
    <w:rsid w:val="00662B88"/>
    <w:rsid w:val="00662C56"/>
    <w:rsid w:val="00662FB9"/>
    <w:rsid w:val="00663DC7"/>
    <w:rsid w:val="0066416D"/>
    <w:rsid w:val="0066422B"/>
    <w:rsid w:val="006646DE"/>
    <w:rsid w:val="0066473F"/>
    <w:rsid w:val="00664C96"/>
    <w:rsid w:val="00664DAB"/>
    <w:rsid w:val="00664E84"/>
    <w:rsid w:val="00665D60"/>
    <w:rsid w:val="006660D4"/>
    <w:rsid w:val="0066641D"/>
    <w:rsid w:val="006665A4"/>
    <w:rsid w:val="00666968"/>
    <w:rsid w:val="00666A69"/>
    <w:rsid w:val="0066740F"/>
    <w:rsid w:val="00670453"/>
    <w:rsid w:val="00670A08"/>
    <w:rsid w:val="00670A15"/>
    <w:rsid w:val="00670D3F"/>
    <w:rsid w:val="00670EC5"/>
    <w:rsid w:val="00670FFA"/>
    <w:rsid w:val="006713DD"/>
    <w:rsid w:val="00671FDC"/>
    <w:rsid w:val="0067271E"/>
    <w:rsid w:val="00672727"/>
    <w:rsid w:val="00672D69"/>
    <w:rsid w:val="00672E79"/>
    <w:rsid w:val="00673206"/>
    <w:rsid w:val="00673C07"/>
    <w:rsid w:val="006741B6"/>
    <w:rsid w:val="0067440C"/>
    <w:rsid w:val="0067511E"/>
    <w:rsid w:val="0067567D"/>
    <w:rsid w:val="00675750"/>
    <w:rsid w:val="00675EDF"/>
    <w:rsid w:val="00676056"/>
    <w:rsid w:val="00676284"/>
    <w:rsid w:val="00676DFD"/>
    <w:rsid w:val="00677257"/>
    <w:rsid w:val="00677724"/>
    <w:rsid w:val="00677876"/>
    <w:rsid w:val="00677DE5"/>
    <w:rsid w:val="006809F9"/>
    <w:rsid w:val="00680B7E"/>
    <w:rsid w:val="0068187D"/>
    <w:rsid w:val="0068244C"/>
    <w:rsid w:val="00682ED3"/>
    <w:rsid w:val="00682FD2"/>
    <w:rsid w:val="00683475"/>
    <w:rsid w:val="006838DD"/>
    <w:rsid w:val="00683B9D"/>
    <w:rsid w:val="00683C84"/>
    <w:rsid w:val="00683D3B"/>
    <w:rsid w:val="0068438C"/>
    <w:rsid w:val="00684422"/>
    <w:rsid w:val="00684AA6"/>
    <w:rsid w:val="00684BC6"/>
    <w:rsid w:val="00684C90"/>
    <w:rsid w:val="00685504"/>
    <w:rsid w:val="006855A3"/>
    <w:rsid w:val="006856EA"/>
    <w:rsid w:val="00685B3B"/>
    <w:rsid w:val="00686202"/>
    <w:rsid w:val="00686840"/>
    <w:rsid w:val="00686A90"/>
    <w:rsid w:val="00686BF2"/>
    <w:rsid w:val="00686F7C"/>
    <w:rsid w:val="0068748D"/>
    <w:rsid w:val="006874D6"/>
    <w:rsid w:val="00687E13"/>
    <w:rsid w:val="00690303"/>
    <w:rsid w:val="00690A3D"/>
    <w:rsid w:val="00690A58"/>
    <w:rsid w:val="00690ACE"/>
    <w:rsid w:val="0069103A"/>
    <w:rsid w:val="0069121E"/>
    <w:rsid w:val="0069127A"/>
    <w:rsid w:val="0069133A"/>
    <w:rsid w:val="00691839"/>
    <w:rsid w:val="00691F09"/>
    <w:rsid w:val="0069470B"/>
    <w:rsid w:val="006948DE"/>
    <w:rsid w:val="00694983"/>
    <w:rsid w:val="00694B3C"/>
    <w:rsid w:val="00695282"/>
    <w:rsid w:val="006952CB"/>
    <w:rsid w:val="00695721"/>
    <w:rsid w:val="00695899"/>
    <w:rsid w:val="00695981"/>
    <w:rsid w:val="00695A34"/>
    <w:rsid w:val="00695AD0"/>
    <w:rsid w:val="00696A05"/>
    <w:rsid w:val="00696ECC"/>
    <w:rsid w:val="006972E8"/>
    <w:rsid w:val="0069775F"/>
    <w:rsid w:val="006978FC"/>
    <w:rsid w:val="00697D4D"/>
    <w:rsid w:val="006A02AC"/>
    <w:rsid w:val="006A0CE3"/>
    <w:rsid w:val="006A0DAF"/>
    <w:rsid w:val="006A110C"/>
    <w:rsid w:val="006A1272"/>
    <w:rsid w:val="006A13C6"/>
    <w:rsid w:val="006A2210"/>
    <w:rsid w:val="006A2678"/>
    <w:rsid w:val="006A2729"/>
    <w:rsid w:val="006A2B30"/>
    <w:rsid w:val="006A32F1"/>
    <w:rsid w:val="006A34B2"/>
    <w:rsid w:val="006A3F90"/>
    <w:rsid w:val="006A5383"/>
    <w:rsid w:val="006A5C5D"/>
    <w:rsid w:val="006A6381"/>
    <w:rsid w:val="006A6396"/>
    <w:rsid w:val="006A640F"/>
    <w:rsid w:val="006A662F"/>
    <w:rsid w:val="006A672B"/>
    <w:rsid w:val="006A6893"/>
    <w:rsid w:val="006A6973"/>
    <w:rsid w:val="006A6CFF"/>
    <w:rsid w:val="006A6D6D"/>
    <w:rsid w:val="006A6F57"/>
    <w:rsid w:val="006A6FC0"/>
    <w:rsid w:val="006A7580"/>
    <w:rsid w:val="006A76D5"/>
    <w:rsid w:val="006A7CEC"/>
    <w:rsid w:val="006A7F9D"/>
    <w:rsid w:val="006A7FB4"/>
    <w:rsid w:val="006B0B4F"/>
    <w:rsid w:val="006B1E28"/>
    <w:rsid w:val="006B2AEC"/>
    <w:rsid w:val="006B32D4"/>
    <w:rsid w:val="006B36D7"/>
    <w:rsid w:val="006B3F20"/>
    <w:rsid w:val="006B508F"/>
    <w:rsid w:val="006B524A"/>
    <w:rsid w:val="006B710F"/>
    <w:rsid w:val="006B7757"/>
    <w:rsid w:val="006B77BE"/>
    <w:rsid w:val="006C00B1"/>
    <w:rsid w:val="006C058F"/>
    <w:rsid w:val="006C0638"/>
    <w:rsid w:val="006C0991"/>
    <w:rsid w:val="006C0D01"/>
    <w:rsid w:val="006C121E"/>
    <w:rsid w:val="006C1291"/>
    <w:rsid w:val="006C1A7E"/>
    <w:rsid w:val="006C205F"/>
    <w:rsid w:val="006C22F9"/>
    <w:rsid w:val="006C2875"/>
    <w:rsid w:val="006C2C30"/>
    <w:rsid w:val="006C320B"/>
    <w:rsid w:val="006C3387"/>
    <w:rsid w:val="006C34A6"/>
    <w:rsid w:val="006C4D05"/>
    <w:rsid w:val="006C5416"/>
    <w:rsid w:val="006C553C"/>
    <w:rsid w:val="006C591A"/>
    <w:rsid w:val="006C59B2"/>
    <w:rsid w:val="006C5B4E"/>
    <w:rsid w:val="006C5C68"/>
    <w:rsid w:val="006C5DB6"/>
    <w:rsid w:val="006C5F89"/>
    <w:rsid w:val="006C650D"/>
    <w:rsid w:val="006C65AA"/>
    <w:rsid w:val="006C65CA"/>
    <w:rsid w:val="006C6A07"/>
    <w:rsid w:val="006C6B55"/>
    <w:rsid w:val="006C6FAD"/>
    <w:rsid w:val="006C763F"/>
    <w:rsid w:val="006D06E7"/>
    <w:rsid w:val="006D1098"/>
    <w:rsid w:val="006D1C0C"/>
    <w:rsid w:val="006D238B"/>
    <w:rsid w:val="006D33F7"/>
    <w:rsid w:val="006D379F"/>
    <w:rsid w:val="006D3EE2"/>
    <w:rsid w:val="006D3FEC"/>
    <w:rsid w:val="006D4548"/>
    <w:rsid w:val="006D558B"/>
    <w:rsid w:val="006D5AF9"/>
    <w:rsid w:val="006D62AF"/>
    <w:rsid w:val="006D6689"/>
    <w:rsid w:val="006D6E83"/>
    <w:rsid w:val="006D6FED"/>
    <w:rsid w:val="006E0C2C"/>
    <w:rsid w:val="006E23BE"/>
    <w:rsid w:val="006E2BA9"/>
    <w:rsid w:val="006E2EC3"/>
    <w:rsid w:val="006E3759"/>
    <w:rsid w:val="006E3A35"/>
    <w:rsid w:val="006E3A5A"/>
    <w:rsid w:val="006E401E"/>
    <w:rsid w:val="006E4066"/>
    <w:rsid w:val="006E415D"/>
    <w:rsid w:val="006E4BEE"/>
    <w:rsid w:val="006E4D74"/>
    <w:rsid w:val="006E51B5"/>
    <w:rsid w:val="006E54E4"/>
    <w:rsid w:val="006E5612"/>
    <w:rsid w:val="006E662F"/>
    <w:rsid w:val="006E6712"/>
    <w:rsid w:val="006E6D5D"/>
    <w:rsid w:val="006E72AE"/>
    <w:rsid w:val="006E72D0"/>
    <w:rsid w:val="006E74BD"/>
    <w:rsid w:val="006E7980"/>
    <w:rsid w:val="006E7BC3"/>
    <w:rsid w:val="006E7D4A"/>
    <w:rsid w:val="006E7D8F"/>
    <w:rsid w:val="006E7FBB"/>
    <w:rsid w:val="006F01F5"/>
    <w:rsid w:val="006F0906"/>
    <w:rsid w:val="006F10C0"/>
    <w:rsid w:val="006F1A08"/>
    <w:rsid w:val="006F1E80"/>
    <w:rsid w:val="006F2082"/>
    <w:rsid w:val="006F2691"/>
    <w:rsid w:val="006F32CE"/>
    <w:rsid w:val="006F34D7"/>
    <w:rsid w:val="006F5643"/>
    <w:rsid w:val="006F609C"/>
    <w:rsid w:val="006F6CA8"/>
    <w:rsid w:val="006F7D53"/>
    <w:rsid w:val="006F7DAA"/>
    <w:rsid w:val="006F7E56"/>
    <w:rsid w:val="006F7E74"/>
    <w:rsid w:val="0070007C"/>
    <w:rsid w:val="007001D9"/>
    <w:rsid w:val="0070059B"/>
    <w:rsid w:val="00700B5E"/>
    <w:rsid w:val="0070105D"/>
    <w:rsid w:val="0070151A"/>
    <w:rsid w:val="0070179E"/>
    <w:rsid w:val="00701846"/>
    <w:rsid w:val="00701CA8"/>
    <w:rsid w:val="00702A14"/>
    <w:rsid w:val="00702E61"/>
    <w:rsid w:val="00702E69"/>
    <w:rsid w:val="00702EC3"/>
    <w:rsid w:val="0070373B"/>
    <w:rsid w:val="00703D08"/>
    <w:rsid w:val="00704146"/>
    <w:rsid w:val="00704370"/>
    <w:rsid w:val="00704B9C"/>
    <w:rsid w:val="00704ECB"/>
    <w:rsid w:val="00706A74"/>
    <w:rsid w:val="00706B06"/>
    <w:rsid w:val="00706B96"/>
    <w:rsid w:val="00706CBA"/>
    <w:rsid w:val="00707B5D"/>
    <w:rsid w:val="00707F05"/>
    <w:rsid w:val="007100CC"/>
    <w:rsid w:val="0071028B"/>
    <w:rsid w:val="007102D6"/>
    <w:rsid w:val="007112C9"/>
    <w:rsid w:val="007113B9"/>
    <w:rsid w:val="0071179C"/>
    <w:rsid w:val="007118AA"/>
    <w:rsid w:val="0071256E"/>
    <w:rsid w:val="00712709"/>
    <w:rsid w:val="007127FF"/>
    <w:rsid w:val="007147A2"/>
    <w:rsid w:val="00714857"/>
    <w:rsid w:val="007150CF"/>
    <w:rsid w:val="007153E5"/>
    <w:rsid w:val="00715447"/>
    <w:rsid w:val="007154A8"/>
    <w:rsid w:val="00715680"/>
    <w:rsid w:val="00715CCF"/>
    <w:rsid w:val="00716082"/>
    <w:rsid w:val="007167C3"/>
    <w:rsid w:val="007169C6"/>
    <w:rsid w:val="00717838"/>
    <w:rsid w:val="007178EE"/>
    <w:rsid w:val="007178F4"/>
    <w:rsid w:val="00720062"/>
    <w:rsid w:val="00720E02"/>
    <w:rsid w:val="0072117A"/>
    <w:rsid w:val="00721398"/>
    <w:rsid w:val="0072152B"/>
    <w:rsid w:val="00722D0B"/>
    <w:rsid w:val="00722EDA"/>
    <w:rsid w:val="00723E41"/>
    <w:rsid w:val="0072491D"/>
    <w:rsid w:val="00724AC0"/>
    <w:rsid w:val="007250CA"/>
    <w:rsid w:val="00725112"/>
    <w:rsid w:val="00725312"/>
    <w:rsid w:val="00725623"/>
    <w:rsid w:val="00726314"/>
    <w:rsid w:val="007266E6"/>
    <w:rsid w:val="00726FE9"/>
    <w:rsid w:val="0072727D"/>
    <w:rsid w:val="007273D2"/>
    <w:rsid w:val="00727528"/>
    <w:rsid w:val="00727E2B"/>
    <w:rsid w:val="00727EE5"/>
    <w:rsid w:val="007303C4"/>
    <w:rsid w:val="007306B9"/>
    <w:rsid w:val="007310DA"/>
    <w:rsid w:val="0073147B"/>
    <w:rsid w:val="00731AAA"/>
    <w:rsid w:val="00731AB0"/>
    <w:rsid w:val="00731FB9"/>
    <w:rsid w:val="007320FF"/>
    <w:rsid w:val="00732824"/>
    <w:rsid w:val="00733180"/>
    <w:rsid w:val="00733358"/>
    <w:rsid w:val="00733F90"/>
    <w:rsid w:val="007346BA"/>
    <w:rsid w:val="00734ECC"/>
    <w:rsid w:val="00735775"/>
    <w:rsid w:val="00735943"/>
    <w:rsid w:val="007368D2"/>
    <w:rsid w:val="007369D6"/>
    <w:rsid w:val="00736DF9"/>
    <w:rsid w:val="0073730D"/>
    <w:rsid w:val="00737794"/>
    <w:rsid w:val="00737D0A"/>
    <w:rsid w:val="00737F1F"/>
    <w:rsid w:val="007406E3"/>
    <w:rsid w:val="007409EE"/>
    <w:rsid w:val="00740BF1"/>
    <w:rsid w:val="00741233"/>
    <w:rsid w:val="00741723"/>
    <w:rsid w:val="007418CB"/>
    <w:rsid w:val="0074208A"/>
    <w:rsid w:val="0074212B"/>
    <w:rsid w:val="007425D8"/>
    <w:rsid w:val="00742C6D"/>
    <w:rsid w:val="00742D3B"/>
    <w:rsid w:val="00742FB7"/>
    <w:rsid w:val="00742FEF"/>
    <w:rsid w:val="007437F0"/>
    <w:rsid w:val="007451DE"/>
    <w:rsid w:val="007461D7"/>
    <w:rsid w:val="00746B5A"/>
    <w:rsid w:val="00747536"/>
    <w:rsid w:val="00747BB6"/>
    <w:rsid w:val="00747DA6"/>
    <w:rsid w:val="00750100"/>
    <w:rsid w:val="007504B3"/>
    <w:rsid w:val="00750691"/>
    <w:rsid w:val="0075090F"/>
    <w:rsid w:val="00750938"/>
    <w:rsid w:val="007519DC"/>
    <w:rsid w:val="007530ED"/>
    <w:rsid w:val="00753677"/>
    <w:rsid w:val="00753A44"/>
    <w:rsid w:val="0075452F"/>
    <w:rsid w:val="0075479B"/>
    <w:rsid w:val="007549D6"/>
    <w:rsid w:val="00754C7C"/>
    <w:rsid w:val="00754F75"/>
    <w:rsid w:val="00755028"/>
    <w:rsid w:val="007551F4"/>
    <w:rsid w:val="00755238"/>
    <w:rsid w:val="00755528"/>
    <w:rsid w:val="00755C11"/>
    <w:rsid w:val="00756696"/>
    <w:rsid w:val="00757194"/>
    <w:rsid w:val="0076001F"/>
    <w:rsid w:val="007600E7"/>
    <w:rsid w:val="00760496"/>
    <w:rsid w:val="00760C9F"/>
    <w:rsid w:val="00760F27"/>
    <w:rsid w:val="00761936"/>
    <w:rsid w:val="00762245"/>
    <w:rsid w:val="00762509"/>
    <w:rsid w:val="00762701"/>
    <w:rsid w:val="007629F5"/>
    <w:rsid w:val="00762DF0"/>
    <w:rsid w:val="007637D5"/>
    <w:rsid w:val="00764367"/>
    <w:rsid w:val="00764769"/>
    <w:rsid w:val="00764790"/>
    <w:rsid w:val="00764862"/>
    <w:rsid w:val="00765355"/>
    <w:rsid w:val="00765A6D"/>
    <w:rsid w:val="007675A8"/>
    <w:rsid w:val="00767BDE"/>
    <w:rsid w:val="00767E29"/>
    <w:rsid w:val="00767EB1"/>
    <w:rsid w:val="00770DEF"/>
    <w:rsid w:val="00770F6D"/>
    <w:rsid w:val="0077115C"/>
    <w:rsid w:val="0077150B"/>
    <w:rsid w:val="00771752"/>
    <w:rsid w:val="007718D7"/>
    <w:rsid w:val="007725CC"/>
    <w:rsid w:val="0077264E"/>
    <w:rsid w:val="00773245"/>
    <w:rsid w:val="007738AE"/>
    <w:rsid w:val="00773948"/>
    <w:rsid w:val="00774638"/>
    <w:rsid w:val="00774B50"/>
    <w:rsid w:val="00774D49"/>
    <w:rsid w:val="00774F6D"/>
    <w:rsid w:val="0077501C"/>
    <w:rsid w:val="0077505D"/>
    <w:rsid w:val="00775270"/>
    <w:rsid w:val="0077574C"/>
    <w:rsid w:val="0077605A"/>
    <w:rsid w:val="00776226"/>
    <w:rsid w:val="0077679F"/>
    <w:rsid w:val="0077696C"/>
    <w:rsid w:val="007800C5"/>
    <w:rsid w:val="0078011F"/>
    <w:rsid w:val="007801EA"/>
    <w:rsid w:val="0078039D"/>
    <w:rsid w:val="00780579"/>
    <w:rsid w:val="00780ED9"/>
    <w:rsid w:val="00781233"/>
    <w:rsid w:val="00781A4F"/>
    <w:rsid w:val="00781EAB"/>
    <w:rsid w:val="00781FC4"/>
    <w:rsid w:val="00782058"/>
    <w:rsid w:val="0078206F"/>
    <w:rsid w:val="0078208A"/>
    <w:rsid w:val="00783F4C"/>
    <w:rsid w:val="0078454A"/>
    <w:rsid w:val="007846CE"/>
    <w:rsid w:val="00784B79"/>
    <w:rsid w:val="00784CDD"/>
    <w:rsid w:val="007855DB"/>
    <w:rsid w:val="007856E2"/>
    <w:rsid w:val="007857FE"/>
    <w:rsid w:val="0078717E"/>
    <w:rsid w:val="007876CF"/>
    <w:rsid w:val="007879E0"/>
    <w:rsid w:val="00787EFE"/>
    <w:rsid w:val="00787F04"/>
    <w:rsid w:val="007900F2"/>
    <w:rsid w:val="0079016A"/>
    <w:rsid w:val="0079139E"/>
    <w:rsid w:val="007918D2"/>
    <w:rsid w:val="00791B24"/>
    <w:rsid w:val="00791CCB"/>
    <w:rsid w:val="00791E2D"/>
    <w:rsid w:val="00791F26"/>
    <w:rsid w:val="00792284"/>
    <w:rsid w:val="00792C72"/>
    <w:rsid w:val="007931E5"/>
    <w:rsid w:val="007931E9"/>
    <w:rsid w:val="00793DF5"/>
    <w:rsid w:val="00794173"/>
    <w:rsid w:val="007945EC"/>
    <w:rsid w:val="00794CAC"/>
    <w:rsid w:val="00795EB6"/>
    <w:rsid w:val="0079675C"/>
    <w:rsid w:val="00796CA1"/>
    <w:rsid w:val="007970EE"/>
    <w:rsid w:val="00797C17"/>
    <w:rsid w:val="007A12A4"/>
    <w:rsid w:val="007A18FF"/>
    <w:rsid w:val="007A193A"/>
    <w:rsid w:val="007A1EB8"/>
    <w:rsid w:val="007A1F04"/>
    <w:rsid w:val="007A27FB"/>
    <w:rsid w:val="007A2FA2"/>
    <w:rsid w:val="007A2FA6"/>
    <w:rsid w:val="007A3613"/>
    <w:rsid w:val="007A376F"/>
    <w:rsid w:val="007A3CF3"/>
    <w:rsid w:val="007A3D2B"/>
    <w:rsid w:val="007A4015"/>
    <w:rsid w:val="007A44C4"/>
    <w:rsid w:val="007A4504"/>
    <w:rsid w:val="007A4542"/>
    <w:rsid w:val="007A4558"/>
    <w:rsid w:val="007A45D2"/>
    <w:rsid w:val="007A4840"/>
    <w:rsid w:val="007A4B64"/>
    <w:rsid w:val="007A50B7"/>
    <w:rsid w:val="007A5DC1"/>
    <w:rsid w:val="007A6949"/>
    <w:rsid w:val="007A7A5E"/>
    <w:rsid w:val="007B00D9"/>
    <w:rsid w:val="007B01C8"/>
    <w:rsid w:val="007B01FC"/>
    <w:rsid w:val="007B0315"/>
    <w:rsid w:val="007B096F"/>
    <w:rsid w:val="007B0995"/>
    <w:rsid w:val="007B0B87"/>
    <w:rsid w:val="007B11BC"/>
    <w:rsid w:val="007B1237"/>
    <w:rsid w:val="007B164C"/>
    <w:rsid w:val="007B1733"/>
    <w:rsid w:val="007B21EE"/>
    <w:rsid w:val="007B25CA"/>
    <w:rsid w:val="007B287C"/>
    <w:rsid w:val="007B28BB"/>
    <w:rsid w:val="007B2C53"/>
    <w:rsid w:val="007B2FF8"/>
    <w:rsid w:val="007B399B"/>
    <w:rsid w:val="007B4112"/>
    <w:rsid w:val="007B4852"/>
    <w:rsid w:val="007B4D40"/>
    <w:rsid w:val="007B536B"/>
    <w:rsid w:val="007B599A"/>
    <w:rsid w:val="007B61FC"/>
    <w:rsid w:val="007B62F3"/>
    <w:rsid w:val="007B65CF"/>
    <w:rsid w:val="007B6834"/>
    <w:rsid w:val="007B6A55"/>
    <w:rsid w:val="007B6ECE"/>
    <w:rsid w:val="007B7688"/>
    <w:rsid w:val="007B7724"/>
    <w:rsid w:val="007B7EFE"/>
    <w:rsid w:val="007C175C"/>
    <w:rsid w:val="007C27F2"/>
    <w:rsid w:val="007C29B3"/>
    <w:rsid w:val="007C2EEE"/>
    <w:rsid w:val="007C3668"/>
    <w:rsid w:val="007C45A7"/>
    <w:rsid w:val="007C466A"/>
    <w:rsid w:val="007C49CD"/>
    <w:rsid w:val="007C4B5A"/>
    <w:rsid w:val="007C5F98"/>
    <w:rsid w:val="007C6032"/>
    <w:rsid w:val="007C633C"/>
    <w:rsid w:val="007C647E"/>
    <w:rsid w:val="007C6A2B"/>
    <w:rsid w:val="007C6FEF"/>
    <w:rsid w:val="007C70A9"/>
    <w:rsid w:val="007C7A66"/>
    <w:rsid w:val="007C7B73"/>
    <w:rsid w:val="007C7D14"/>
    <w:rsid w:val="007C7F5E"/>
    <w:rsid w:val="007D0A9E"/>
    <w:rsid w:val="007D1333"/>
    <w:rsid w:val="007D14AF"/>
    <w:rsid w:val="007D1906"/>
    <w:rsid w:val="007D21E6"/>
    <w:rsid w:val="007D232F"/>
    <w:rsid w:val="007D2F5C"/>
    <w:rsid w:val="007D2FA1"/>
    <w:rsid w:val="007D3BA9"/>
    <w:rsid w:val="007D4736"/>
    <w:rsid w:val="007D56FE"/>
    <w:rsid w:val="007D59CD"/>
    <w:rsid w:val="007D5B2E"/>
    <w:rsid w:val="007D61D1"/>
    <w:rsid w:val="007D63B5"/>
    <w:rsid w:val="007D6403"/>
    <w:rsid w:val="007D69BA"/>
    <w:rsid w:val="007D6B29"/>
    <w:rsid w:val="007D6DC9"/>
    <w:rsid w:val="007D7447"/>
    <w:rsid w:val="007E0341"/>
    <w:rsid w:val="007E03DE"/>
    <w:rsid w:val="007E0746"/>
    <w:rsid w:val="007E09F5"/>
    <w:rsid w:val="007E0B7E"/>
    <w:rsid w:val="007E0D7E"/>
    <w:rsid w:val="007E0EB4"/>
    <w:rsid w:val="007E11C4"/>
    <w:rsid w:val="007E1BF5"/>
    <w:rsid w:val="007E1FBB"/>
    <w:rsid w:val="007E2142"/>
    <w:rsid w:val="007E21F0"/>
    <w:rsid w:val="007E36CF"/>
    <w:rsid w:val="007E39FC"/>
    <w:rsid w:val="007E3E22"/>
    <w:rsid w:val="007E3E64"/>
    <w:rsid w:val="007E3E95"/>
    <w:rsid w:val="007E4E70"/>
    <w:rsid w:val="007E5654"/>
    <w:rsid w:val="007E5C3B"/>
    <w:rsid w:val="007E62F4"/>
    <w:rsid w:val="007E634B"/>
    <w:rsid w:val="007E66B8"/>
    <w:rsid w:val="007E6F4C"/>
    <w:rsid w:val="007E727E"/>
    <w:rsid w:val="007E728E"/>
    <w:rsid w:val="007E760F"/>
    <w:rsid w:val="007E784B"/>
    <w:rsid w:val="007E7E19"/>
    <w:rsid w:val="007F054D"/>
    <w:rsid w:val="007F062B"/>
    <w:rsid w:val="007F08B9"/>
    <w:rsid w:val="007F15B5"/>
    <w:rsid w:val="007F16C8"/>
    <w:rsid w:val="007F1A0D"/>
    <w:rsid w:val="007F2EBE"/>
    <w:rsid w:val="007F3054"/>
    <w:rsid w:val="007F30B2"/>
    <w:rsid w:val="007F37AF"/>
    <w:rsid w:val="007F38FF"/>
    <w:rsid w:val="007F3A63"/>
    <w:rsid w:val="007F407B"/>
    <w:rsid w:val="007F4736"/>
    <w:rsid w:val="007F4EBF"/>
    <w:rsid w:val="007F5200"/>
    <w:rsid w:val="007F5481"/>
    <w:rsid w:val="007F62FF"/>
    <w:rsid w:val="007F6656"/>
    <w:rsid w:val="007F7E9A"/>
    <w:rsid w:val="00800DA9"/>
    <w:rsid w:val="0080111F"/>
    <w:rsid w:val="00801F78"/>
    <w:rsid w:val="008025FE"/>
    <w:rsid w:val="0080296A"/>
    <w:rsid w:val="008033E6"/>
    <w:rsid w:val="00803DD2"/>
    <w:rsid w:val="00803EE4"/>
    <w:rsid w:val="00803F1C"/>
    <w:rsid w:val="00804501"/>
    <w:rsid w:val="00804C77"/>
    <w:rsid w:val="00805C36"/>
    <w:rsid w:val="00805C99"/>
    <w:rsid w:val="0080637D"/>
    <w:rsid w:val="00806534"/>
    <w:rsid w:val="00806F62"/>
    <w:rsid w:val="00807394"/>
    <w:rsid w:val="00807571"/>
    <w:rsid w:val="00807B54"/>
    <w:rsid w:val="00807BDB"/>
    <w:rsid w:val="0081009F"/>
    <w:rsid w:val="008100DB"/>
    <w:rsid w:val="0081081E"/>
    <w:rsid w:val="0081082A"/>
    <w:rsid w:val="008112BD"/>
    <w:rsid w:val="00811B7D"/>
    <w:rsid w:val="00811D10"/>
    <w:rsid w:val="008125ED"/>
    <w:rsid w:val="00812DA2"/>
    <w:rsid w:val="00812E17"/>
    <w:rsid w:val="008131A7"/>
    <w:rsid w:val="00813485"/>
    <w:rsid w:val="00813BE0"/>
    <w:rsid w:val="00814036"/>
    <w:rsid w:val="0081472F"/>
    <w:rsid w:val="008147DD"/>
    <w:rsid w:val="00814CA0"/>
    <w:rsid w:val="00815B5E"/>
    <w:rsid w:val="00815D89"/>
    <w:rsid w:val="0081774D"/>
    <w:rsid w:val="0081778B"/>
    <w:rsid w:val="00817C66"/>
    <w:rsid w:val="008200E4"/>
    <w:rsid w:val="008205BA"/>
    <w:rsid w:val="00820700"/>
    <w:rsid w:val="00821605"/>
    <w:rsid w:val="00821672"/>
    <w:rsid w:val="0082167E"/>
    <w:rsid w:val="008218D9"/>
    <w:rsid w:val="0082266C"/>
    <w:rsid w:val="008226AD"/>
    <w:rsid w:val="00822B98"/>
    <w:rsid w:val="00822CBF"/>
    <w:rsid w:val="00822D55"/>
    <w:rsid w:val="00822DA3"/>
    <w:rsid w:val="00822E27"/>
    <w:rsid w:val="00823232"/>
    <w:rsid w:val="0082384E"/>
    <w:rsid w:val="008239C2"/>
    <w:rsid w:val="00823AD0"/>
    <w:rsid w:val="00823E3A"/>
    <w:rsid w:val="00824391"/>
    <w:rsid w:val="008244C3"/>
    <w:rsid w:val="00824BAC"/>
    <w:rsid w:val="00825228"/>
    <w:rsid w:val="008253F7"/>
    <w:rsid w:val="0082589E"/>
    <w:rsid w:val="008258C3"/>
    <w:rsid w:val="00826650"/>
    <w:rsid w:val="00826D94"/>
    <w:rsid w:val="00827538"/>
    <w:rsid w:val="00827CD0"/>
    <w:rsid w:val="00830278"/>
    <w:rsid w:val="00830A26"/>
    <w:rsid w:val="00830BFB"/>
    <w:rsid w:val="00830DA2"/>
    <w:rsid w:val="00831613"/>
    <w:rsid w:val="00831B8E"/>
    <w:rsid w:val="00831E1D"/>
    <w:rsid w:val="00831F23"/>
    <w:rsid w:val="0083219B"/>
    <w:rsid w:val="00832205"/>
    <w:rsid w:val="008325A1"/>
    <w:rsid w:val="00832681"/>
    <w:rsid w:val="00832CD8"/>
    <w:rsid w:val="008330BC"/>
    <w:rsid w:val="0083321E"/>
    <w:rsid w:val="00833630"/>
    <w:rsid w:val="00833B82"/>
    <w:rsid w:val="00834063"/>
    <w:rsid w:val="0083412F"/>
    <w:rsid w:val="008343A6"/>
    <w:rsid w:val="00834749"/>
    <w:rsid w:val="00834751"/>
    <w:rsid w:val="00834C69"/>
    <w:rsid w:val="00835064"/>
    <w:rsid w:val="00835AB7"/>
    <w:rsid w:val="00835CD0"/>
    <w:rsid w:val="0083606F"/>
    <w:rsid w:val="00836324"/>
    <w:rsid w:val="008368FB"/>
    <w:rsid w:val="008369EF"/>
    <w:rsid w:val="00836B41"/>
    <w:rsid w:val="00836F1D"/>
    <w:rsid w:val="00837572"/>
    <w:rsid w:val="008406E6"/>
    <w:rsid w:val="00840714"/>
    <w:rsid w:val="00840D75"/>
    <w:rsid w:val="00840E22"/>
    <w:rsid w:val="00840E98"/>
    <w:rsid w:val="00841E15"/>
    <w:rsid w:val="00842159"/>
    <w:rsid w:val="00842543"/>
    <w:rsid w:val="00843951"/>
    <w:rsid w:val="00844546"/>
    <w:rsid w:val="008448A2"/>
    <w:rsid w:val="00844DF1"/>
    <w:rsid w:val="00844E17"/>
    <w:rsid w:val="008451F0"/>
    <w:rsid w:val="008457CE"/>
    <w:rsid w:val="00845D5A"/>
    <w:rsid w:val="008468C5"/>
    <w:rsid w:val="0084691E"/>
    <w:rsid w:val="00847136"/>
    <w:rsid w:val="008472B4"/>
    <w:rsid w:val="0084785C"/>
    <w:rsid w:val="00850C2A"/>
    <w:rsid w:val="008515F5"/>
    <w:rsid w:val="0085182C"/>
    <w:rsid w:val="00851B99"/>
    <w:rsid w:val="008521FB"/>
    <w:rsid w:val="008522B5"/>
    <w:rsid w:val="008524D3"/>
    <w:rsid w:val="00852663"/>
    <w:rsid w:val="00852BBD"/>
    <w:rsid w:val="0085337C"/>
    <w:rsid w:val="00853711"/>
    <w:rsid w:val="00853BE4"/>
    <w:rsid w:val="00853F16"/>
    <w:rsid w:val="00853FF8"/>
    <w:rsid w:val="008542F6"/>
    <w:rsid w:val="00854839"/>
    <w:rsid w:val="00856965"/>
    <w:rsid w:val="00856B96"/>
    <w:rsid w:val="00856CDF"/>
    <w:rsid w:val="00856D67"/>
    <w:rsid w:val="00857416"/>
    <w:rsid w:val="00857906"/>
    <w:rsid w:val="00857932"/>
    <w:rsid w:val="00857D67"/>
    <w:rsid w:val="00857F77"/>
    <w:rsid w:val="008601E9"/>
    <w:rsid w:val="00860230"/>
    <w:rsid w:val="00860E8C"/>
    <w:rsid w:val="008615B9"/>
    <w:rsid w:val="008615C8"/>
    <w:rsid w:val="008619D9"/>
    <w:rsid w:val="00861A3D"/>
    <w:rsid w:val="00861BA3"/>
    <w:rsid w:val="00862B04"/>
    <w:rsid w:val="00862C03"/>
    <w:rsid w:val="00862F10"/>
    <w:rsid w:val="00863061"/>
    <w:rsid w:val="008634A6"/>
    <w:rsid w:val="00863869"/>
    <w:rsid w:val="00863AF3"/>
    <w:rsid w:val="00863C6E"/>
    <w:rsid w:val="00864CBB"/>
    <w:rsid w:val="00864E1B"/>
    <w:rsid w:val="0086546D"/>
    <w:rsid w:val="00865761"/>
    <w:rsid w:val="00865791"/>
    <w:rsid w:val="008659B4"/>
    <w:rsid w:val="008661AD"/>
    <w:rsid w:val="0086652A"/>
    <w:rsid w:val="0086671F"/>
    <w:rsid w:val="008669B1"/>
    <w:rsid w:val="00866E73"/>
    <w:rsid w:val="00866FB5"/>
    <w:rsid w:val="00867349"/>
    <w:rsid w:val="00867472"/>
    <w:rsid w:val="00867654"/>
    <w:rsid w:val="00867B6F"/>
    <w:rsid w:val="00867D79"/>
    <w:rsid w:val="00867E77"/>
    <w:rsid w:val="00870460"/>
    <w:rsid w:val="00870633"/>
    <w:rsid w:val="00870D02"/>
    <w:rsid w:val="008716C0"/>
    <w:rsid w:val="00871AED"/>
    <w:rsid w:val="00871B3D"/>
    <w:rsid w:val="008720B5"/>
    <w:rsid w:val="008721AE"/>
    <w:rsid w:val="00872501"/>
    <w:rsid w:val="008725C2"/>
    <w:rsid w:val="00872A94"/>
    <w:rsid w:val="008730C6"/>
    <w:rsid w:val="008734E4"/>
    <w:rsid w:val="00873675"/>
    <w:rsid w:val="00873701"/>
    <w:rsid w:val="008737C6"/>
    <w:rsid w:val="00873C3D"/>
    <w:rsid w:val="00873E09"/>
    <w:rsid w:val="008743A9"/>
    <w:rsid w:val="0087467F"/>
    <w:rsid w:val="00874CA6"/>
    <w:rsid w:val="008754CF"/>
    <w:rsid w:val="00875FCE"/>
    <w:rsid w:val="00876006"/>
    <w:rsid w:val="00876088"/>
    <w:rsid w:val="008761E0"/>
    <w:rsid w:val="008774CA"/>
    <w:rsid w:val="00877C55"/>
    <w:rsid w:val="00880664"/>
    <w:rsid w:val="00880A15"/>
    <w:rsid w:val="00880C18"/>
    <w:rsid w:val="00880F69"/>
    <w:rsid w:val="00881301"/>
    <w:rsid w:val="00881547"/>
    <w:rsid w:val="00881800"/>
    <w:rsid w:val="008818C2"/>
    <w:rsid w:val="00881B8C"/>
    <w:rsid w:val="00881CA5"/>
    <w:rsid w:val="00882434"/>
    <w:rsid w:val="00882E7F"/>
    <w:rsid w:val="00882E8D"/>
    <w:rsid w:val="008835C2"/>
    <w:rsid w:val="00883AEE"/>
    <w:rsid w:val="00883E33"/>
    <w:rsid w:val="00883E81"/>
    <w:rsid w:val="008841F0"/>
    <w:rsid w:val="0088467E"/>
    <w:rsid w:val="00884738"/>
    <w:rsid w:val="0088490A"/>
    <w:rsid w:val="00884A02"/>
    <w:rsid w:val="008850E6"/>
    <w:rsid w:val="008854DC"/>
    <w:rsid w:val="00885A19"/>
    <w:rsid w:val="00885E40"/>
    <w:rsid w:val="00885ED6"/>
    <w:rsid w:val="008868D3"/>
    <w:rsid w:val="008868DA"/>
    <w:rsid w:val="00886BBF"/>
    <w:rsid w:val="00887183"/>
    <w:rsid w:val="008874EE"/>
    <w:rsid w:val="00887675"/>
    <w:rsid w:val="00887BA2"/>
    <w:rsid w:val="00887FB1"/>
    <w:rsid w:val="00890909"/>
    <w:rsid w:val="00890BB4"/>
    <w:rsid w:val="00890F66"/>
    <w:rsid w:val="0089104E"/>
    <w:rsid w:val="00891AAC"/>
    <w:rsid w:val="00891D3F"/>
    <w:rsid w:val="0089201D"/>
    <w:rsid w:val="0089212D"/>
    <w:rsid w:val="0089242D"/>
    <w:rsid w:val="0089255F"/>
    <w:rsid w:val="008935BA"/>
    <w:rsid w:val="00893D4D"/>
    <w:rsid w:val="008941B6"/>
    <w:rsid w:val="00894346"/>
    <w:rsid w:val="008943AD"/>
    <w:rsid w:val="008944B8"/>
    <w:rsid w:val="008944BF"/>
    <w:rsid w:val="008959F0"/>
    <w:rsid w:val="00895F72"/>
    <w:rsid w:val="008962FB"/>
    <w:rsid w:val="00896375"/>
    <w:rsid w:val="008974AD"/>
    <w:rsid w:val="00897713"/>
    <w:rsid w:val="00897D54"/>
    <w:rsid w:val="008A09BC"/>
    <w:rsid w:val="008A18CD"/>
    <w:rsid w:val="008A1B8B"/>
    <w:rsid w:val="008A1EBC"/>
    <w:rsid w:val="008A1F56"/>
    <w:rsid w:val="008A2719"/>
    <w:rsid w:val="008A320C"/>
    <w:rsid w:val="008A343A"/>
    <w:rsid w:val="008A3456"/>
    <w:rsid w:val="008A3D5A"/>
    <w:rsid w:val="008A3D7E"/>
    <w:rsid w:val="008A43A4"/>
    <w:rsid w:val="008A454B"/>
    <w:rsid w:val="008A4E7E"/>
    <w:rsid w:val="008A4EAC"/>
    <w:rsid w:val="008A579A"/>
    <w:rsid w:val="008A5B2A"/>
    <w:rsid w:val="008A629E"/>
    <w:rsid w:val="008A6DD6"/>
    <w:rsid w:val="008A6DEB"/>
    <w:rsid w:val="008A6F2D"/>
    <w:rsid w:val="008A70F7"/>
    <w:rsid w:val="008A7217"/>
    <w:rsid w:val="008A72DA"/>
    <w:rsid w:val="008A7348"/>
    <w:rsid w:val="008A7C12"/>
    <w:rsid w:val="008A7DF5"/>
    <w:rsid w:val="008B08BF"/>
    <w:rsid w:val="008B0FFB"/>
    <w:rsid w:val="008B1335"/>
    <w:rsid w:val="008B16B4"/>
    <w:rsid w:val="008B1F03"/>
    <w:rsid w:val="008B1F6A"/>
    <w:rsid w:val="008B20BD"/>
    <w:rsid w:val="008B21D6"/>
    <w:rsid w:val="008B387F"/>
    <w:rsid w:val="008B512E"/>
    <w:rsid w:val="008B5170"/>
    <w:rsid w:val="008B563A"/>
    <w:rsid w:val="008B5F4F"/>
    <w:rsid w:val="008B6136"/>
    <w:rsid w:val="008B7113"/>
    <w:rsid w:val="008B745F"/>
    <w:rsid w:val="008B77EB"/>
    <w:rsid w:val="008B7F93"/>
    <w:rsid w:val="008C0297"/>
    <w:rsid w:val="008C09F0"/>
    <w:rsid w:val="008C0BCE"/>
    <w:rsid w:val="008C0D87"/>
    <w:rsid w:val="008C0EC8"/>
    <w:rsid w:val="008C1DF3"/>
    <w:rsid w:val="008C20B5"/>
    <w:rsid w:val="008C2522"/>
    <w:rsid w:val="008C2981"/>
    <w:rsid w:val="008C2BFB"/>
    <w:rsid w:val="008C2F09"/>
    <w:rsid w:val="008C2F3C"/>
    <w:rsid w:val="008C3292"/>
    <w:rsid w:val="008C35E5"/>
    <w:rsid w:val="008C4432"/>
    <w:rsid w:val="008C5F51"/>
    <w:rsid w:val="008D05C4"/>
    <w:rsid w:val="008D0C36"/>
    <w:rsid w:val="008D1672"/>
    <w:rsid w:val="008D20A1"/>
    <w:rsid w:val="008D29C1"/>
    <w:rsid w:val="008D2C1A"/>
    <w:rsid w:val="008D3195"/>
    <w:rsid w:val="008D3781"/>
    <w:rsid w:val="008D39DC"/>
    <w:rsid w:val="008D500F"/>
    <w:rsid w:val="008D55FA"/>
    <w:rsid w:val="008D66D6"/>
    <w:rsid w:val="008D67D0"/>
    <w:rsid w:val="008D6CBB"/>
    <w:rsid w:val="008D7658"/>
    <w:rsid w:val="008E099C"/>
    <w:rsid w:val="008E1174"/>
    <w:rsid w:val="008E161E"/>
    <w:rsid w:val="008E19FD"/>
    <w:rsid w:val="008E1B12"/>
    <w:rsid w:val="008E3565"/>
    <w:rsid w:val="008E3A6D"/>
    <w:rsid w:val="008E3CF0"/>
    <w:rsid w:val="008E4109"/>
    <w:rsid w:val="008E47A5"/>
    <w:rsid w:val="008E4B14"/>
    <w:rsid w:val="008E50AA"/>
    <w:rsid w:val="008E56D3"/>
    <w:rsid w:val="008E5D1F"/>
    <w:rsid w:val="008E5DB4"/>
    <w:rsid w:val="008E75DB"/>
    <w:rsid w:val="008E794B"/>
    <w:rsid w:val="008F0022"/>
    <w:rsid w:val="008F04C4"/>
    <w:rsid w:val="008F05B9"/>
    <w:rsid w:val="008F0ABF"/>
    <w:rsid w:val="008F0EAB"/>
    <w:rsid w:val="008F17B5"/>
    <w:rsid w:val="008F3C6C"/>
    <w:rsid w:val="008F3DCB"/>
    <w:rsid w:val="008F416F"/>
    <w:rsid w:val="008F42DD"/>
    <w:rsid w:val="008F4584"/>
    <w:rsid w:val="008F4B2D"/>
    <w:rsid w:val="008F5028"/>
    <w:rsid w:val="008F507B"/>
    <w:rsid w:val="008F51DB"/>
    <w:rsid w:val="008F58C6"/>
    <w:rsid w:val="008F5A2F"/>
    <w:rsid w:val="008F6025"/>
    <w:rsid w:val="008F63C3"/>
    <w:rsid w:val="008F6B98"/>
    <w:rsid w:val="008F6E18"/>
    <w:rsid w:val="008F6E2C"/>
    <w:rsid w:val="008F6E8B"/>
    <w:rsid w:val="008F743A"/>
    <w:rsid w:val="008F7F32"/>
    <w:rsid w:val="009000DF"/>
    <w:rsid w:val="0090031C"/>
    <w:rsid w:val="00900684"/>
    <w:rsid w:val="00900749"/>
    <w:rsid w:val="009013C0"/>
    <w:rsid w:val="009014A5"/>
    <w:rsid w:val="00901757"/>
    <w:rsid w:val="00901E54"/>
    <w:rsid w:val="009024C0"/>
    <w:rsid w:val="00902EDF"/>
    <w:rsid w:val="009036AF"/>
    <w:rsid w:val="0090453C"/>
    <w:rsid w:val="009047ED"/>
    <w:rsid w:val="00904D08"/>
    <w:rsid w:val="0090521E"/>
    <w:rsid w:val="009063F7"/>
    <w:rsid w:val="00910A2B"/>
    <w:rsid w:val="00910DF9"/>
    <w:rsid w:val="0091108D"/>
    <w:rsid w:val="009111D6"/>
    <w:rsid w:val="009113B1"/>
    <w:rsid w:val="00911457"/>
    <w:rsid w:val="00911F22"/>
    <w:rsid w:val="009121A7"/>
    <w:rsid w:val="009122B2"/>
    <w:rsid w:val="00912B67"/>
    <w:rsid w:val="00912E7A"/>
    <w:rsid w:val="00912FB9"/>
    <w:rsid w:val="00912FE1"/>
    <w:rsid w:val="00912FE3"/>
    <w:rsid w:val="009136DE"/>
    <w:rsid w:val="00913B6B"/>
    <w:rsid w:val="00913D78"/>
    <w:rsid w:val="00914501"/>
    <w:rsid w:val="009152CD"/>
    <w:rsid w:val="009156A5"/>
    <w:rsid w:val="00915766"/>
    <w:rsid w:val="00916237"/>
    <w:rsid w:val="00916391"/>
    <w:rsid w:val="00916D57"/>
    <w:rsid w:val="00916D89"/>
    <w:rsid w:val="00916F91"/>
    <w:rsid w:val="009175EF"/>
    <w:rsid w:val="00917D5A"/>
    <w:rsid w:val="009200B5"/>
    <w:rsid w:val="009206C6"/>
    <w:rsid w:val="00921B3C"/>
    <w:rsid w:val="00921F94"/>
    <w:rsid w:val="009221B1"/>
    <w:rsid w:val="0092295F"/>
    <w:rsid w:val="00922DD3"/>
    <w:rsid w:val="00923366"/>
    <w:rsid w:val="009239A4"/>
    <w:rsid w:val="00923E00"/>
    <w:rsid w:val="0092491C"/>
    <w:rsid w:val="00924A80"/>
    <w:rsid w:val="00924E94"/>
    <w:rsid w:val="00924F45"/>
    <w:rsid w:val="00925088"/>
    <w:rsid w:val="009252B5"/>
    <w:rsid w:val="009254B1"/>
    <w:rsid w:val="00926007"/>
    <w:rsid w:val="009264FE"/>
    <w:rsid w:val="0092653C"/>
    <w:rsid w:val="00926944"/>
    <w:rsid w:val="00926B9C"/>
    <w:rsid w:val="00926C15"/>
    <w:rsid w:val="00926F0C"/>
    <w:rsid w:val="00927675"/>
    <w:rsid w:val="00927A04"/>
    <w:rsid w:val="00930F5C"/>
    <w:rsid w:val="00930F62"/>
    <w:rsid w:val="00931A2C"/>
    <w:rsid w:val="00931ED2"/>
    <w:rsid w:val="00931F9E"/>
    <w:rsid w:val="009322C5"/>
    <w:rsid w:val="00932705"/>
    <w:rsid w:val="0093288A"/>
    <w:rsid w:val="00932B80"/>
    <w:rsid w:val="00932DE9"/>
    <w:rsid w:val="00933B3B"/>
    <w:rsid w:val="00933F56"/>
    <w:rsid w:val="009349EF"/>
    <w:rsid w:val="00934B88"/>
    <w:rsid w:val="00934D98"/>
    <w:rsid w:val="00935083"/>
    <w:rsid w:val="00935C20"/>
    <w:rsid w:val="00935D2D"/>
    <w:rsid w:val="00935E7D"/>
    <w:rsid w:val="00936352"/>
    <w:rsid w:val="00936434"/>
    <w:rsid w:val="00936B68"/>
    <w:rsid w:val="00936DCF"/>
    <w:rsid w:val="00937D69"/>
    <w:rsid w:val="00937FD2"/>
    <w:rsid w:val="009404CE"/>
    <w:rsid w:val="009405AF"/>
    <w:rsid w:val="00940D8F"/>
    <w:rsid w:val="009412AB"/>
    <w:rsid w:val="00941B2A"/>
    <w:rsid w:val="00941B47"/>
    <w:rsid w:val="00941BF8"/>
    <w:rsid w:val="00942633"/>
    <w:rsid w:val="00943417"/>
    <w:rsid w:val="00943685"/>
    <w:rsid w:val="009437BF"/>
    <w:rsid w:val="00943B9A"/>
    <w:rsid w:val="00943C88"/>
    <w:rsid w:val="00943ECA"/>
    <w:rsid w:val="009440E9"/>
    <w:rsid w:val="00944319"/>
    <w:rsid w:val="00944636"/>
    <w:rsid w:val="009448FC"/>
    <w:rsid w:val="00945056"/>
    <w:rsid w:val="00945A4F"/>
    <w:rsid w:val="00946315"/>
    <w:rsid w:val="0094638E"/>
    <w:rsid w:val="009465AE"/>
    <w:rsid w:val="00946E2B"/>
    <w:rsid w:val="00947E21"/>
    <w:rsid w:val="00950400"/>
    <w:rsid w:val="00950473"/>
    <w:rsid w:val="0095089F"/>
    <w:rsid w:val="0095099D"/>
    <w:rsid w:val="00951B42"/>
    <w:rsid w:val="0095204A"/>
    <w:rsid w:val="0095235A"/>
    <w:rsid w:val="0095279E"/>
    <w:rsid w:val="00952C52"/>
    <w:rsid w:val="0095311C"/>
    <w:rsid w:val="0095315B"/>
    <w:rsid w:val="0095319C"/>
    <w:rsid w:val="00953C56"/>
    <w:rsid w:val="009540A0"/>
    <w:rsid w:val="0095438A"/>
    <w:rsid w:val="009543D0"/>
    <w:rsid w:val="00954494"/>
    <w:rsid w:val="00954747"/>
    <w:rsid w:val="009547EE"/>
    <w:rsid w:val="009548DC"/>
    <w:rsid w:val="009549E3"/>
    <w:rsid w:val="00954B35"/>
    <w:rsid w:val="00954CFC"/>
    <w:rsid w:val="009557D7"/>
    <w:rsid w:val="00955B2F"/>
    <w:rsid w:val="00955C54"/>
    <w:rsid w:val="00955E21"/>
    <w:rsid w:val="00956A12"/>
    <w:rsid w:val="0096008A"/>
    <w:rsid w:val="00960968"/>
    <w:rsid w:val="00960ACD"/>
    <w:rsid w:val="00960C2C"/>
    <w:rsid w:val="00961604"/>
    <w:rsid w:val="009616C1"/>
    <w:rsid w:val="00961EA1"/>
    <w:rsid w:val="009621C4"/>
    <w:rsid w:val="009623E0"/>
    <w:rsid w:val="009624E4"/>
    <w:rsid w:val="00962539"/>
    <w:rsid w:val="00962670"/>
    <w:rsid w:val="00962C7D"/>
    <w:rsid w:val="00962D57"/>
    <w:rsid w:val="00963631"/>
    <w:rsid w:val="009638FC"/>
    <w:rsid w:val="0096441C"/>
    <w:rsid w:val="00964577"/>
    <w:rsid w:val="00964E4D"/>
    <w:rsid w:val="00965826"/>
    <w:rsid w:val="00965948"/>
    <w:rsid w:val="00965AD4"/>
    <w:rsid w:val="00966085"/>
    <w:rsid w:val="00966742"/>
    <w:rsid w:val="009667E1"/>
    <w:rsid w:val="00966FA7"/>
    <w:rsid w:val="00966FAA"/>
    <w:rsid w:val="009671BE"/>
    <w:rsid w:val="00967F63"/>
    <w:rsid w:val="00967FCC"/>
    <w:rsid w:val="009703CF"/>
    <w:rsid w:val="00970F87"/>
    <w:rsid w:val="009712B4"/>
    <w:rsid w:val="009713B8"/>
    <w:rsid w:val="009713D7"/>
    <w:rsid w:val="009715CD"/>
    <w:rsid w:val="0097179C"/>
    <w:rsid w:val="00971CA4"/>
    <w:rsid w:val="00972381"/>
    <w:rsid w:val="00972438"/>
    <w:rsid w:val="0097288C"/>
    <w:rsid w:val="00972C62"/>
    <w:rsid w:val="00973D04"/>
    <w:rsid w:val="00974046"/>
    <w:rsid w:val="00974613"/>
    <w:rsid w:val="009747D2"/>
    <w:rsid w:val="009759A7"/>
    <w:rsid w:val="00975C86"/>
    <w:rsid w:val="00975D57"/>
    <w:rsid w:val="00976447"/>
    <w:rsid w:val="00976CB4"/>
    <w:rsid w:val="00977010"/>
    <w:rsid w:val="00977048"/>
    <w:rsid w:val="009770A9"/>
    <w:rsid w:val="009773F3"/>
    <w:rsid w:val="00977D97"/>
    <w:rsid w:val="0098047A"/>
    <w:rsid w:val="009807B3"/>
    <w:rsid w:val="009808BE"/>
    <w:rsid w:val="00980AF8"/>
    <w:rsid w:val="00981843"/>
    <w:rsid w:val="00981CD6"/>
    <w:rsid w:val="00982416"/>
    <w:rsid w:val="0098280C"/>
    <w:rsid w:val="0098295D"/>
    <w:rsid w:val="00982EC3"/>
    <w:rsid w:val="009834EE"/>
    <w:rsid w:val="009839A5"/>
    <w:rsid w:val="00983AAA"/>
    <w:rsid w:val="00984739"/>
    <w:rsid w:val="00984BD0"/>
    <w:rsid w:val="00984F1E"/>
    <w:rsid w:val="00985574"/>
    <w:rsid w:val="00985F2C"/>
    <w:rsid w:val="00985F6E"/>
    <w:rsid w:val="00986050"/>
    <w:rsid w:val="009876E4"/>
    <w:rsid w:val="009877DC"/>
    <w:rsid w:val="0098782A"/>
    <w:rsid w:val="009878CB"/>
    <w:rsid w:val="009879F8"/>
    <w:rsid w:val="00987C3A"/>
    <w:rsid w:val="00990743"/>
    <w:rsid w:val="00991193"/>
    <w:rsid w:val="00991436"/>
    <w:rsid w:val="00991496"/>
    <w:rsid w:val="0099189A"/>
    <w:rsid w:val="0099210F"/>
    <w:rsid w:val="009923ED"/>
    <w:rsid w:val="00992C2B"/>
    <w:rsid w:val="00993297"/>
    <w:rsid w:val="00993F9C"/>
    <w:rsid w:val="00994F03"/>
    <w:rsid w:val="00994F0B"/>
    <w:rsid w:val="00994F1E"/>
    <w:rsid w:val="009950AE"/>
    <w:rsid w:val="00995246"/>
    <w:rsid w:val="00995488"/>
    <w:rsid w:val="00996055"/>
    <w:rsid w:val="0099618A"/>
    <w:rsid w:val="009969DE"/>
    <w:rsid w:val="00996FA1"/>
    <w:rsid w:val="00997403"/>
    <w:rsid w:val="009977A9"/>
    <w:rsid w:val="00997E5E"/>
    <w:rsid w:val="009A01A0"/>
    <w:rsid w:val="009A04DD"/>
    <w:rsid w:val="009A068B"/>
    <w:rsid w:val="009A0BC7"/>
    <w:rsid w:val="009A0E63"/>
    <w:rsid w:val="009A11A9"/>
    <w:rsid w:val="009A120D"/>
    <w:rsid w:val="009A1560"/>
    <w:rsid w:val="009A18EA"/>
    <w:rsid w:val="009A1C7A"/>
    <w:rsid w:val="009A2360"/>
    <w:rsid w:val="009A253D"/>
    <w:rsid w:val="009A254C"/>
    <w:rsid w:val="009A2F71"/>
    <w:rsid w:val="009A466A"/>
    <w:rsid w:val="009A46D3"/>
    <w:rsid w:val="009A5F20"/>
    <w:rsid w:val="009A7018"/>
    <w:rsid w:val="009A7124"/>
    <w:rsid w:val="009A73F6"/>
    <w:rsid w:val="009A7520"/>
    <w:rsid w:val="009A7B0B"/>
    <w:rsid w:val="009A7FB9"/>
    <w:rsid w:val="009B01C2"/>
    <w:rsid w:val="009B0AC2"/>
    <w:rsid w:val="009B0F1B"/>
    <w:rsid w:val="009B1B18"/>
    <w:rsid w:val="009B1DB3"/>
    <w:rsid w:val="009B2E49"/>
    <w:rsid w:val="009B2F70"/>
    <w:rsid w:val="009B3230"/>
    <w:rsid w:val="009B3415"/>
    <w:rsid w:val="009B345C"/>
    <w:rsid w:val="009B3C4E"/>
    <w:rsid w:val="009B40A5"/>
    <w:rsid w:val="009B42C1"/>
    <w:rsid w:val="009B43F8"/>
    <w:rsid w:val="009B4B5C"/>
    <w:rsid w:val="009B5220"/>
    <w:rsid w:val="009B6518"/>
    <w:rsid w:val="009B668A"/>
    <w:rsid w:val="009B6D27"/>
    <w:rsid w:val="009B6E83"/>
    <w:rsid w:val="009B7D79"/>
    <w:rsid w:val="009B7E08"/>
    <w:rsid w:val="009C00BC"/>
    <w:rsid w:val="009C03C9"/>
    <w:rsid w:val="009C07B2"/>
    <w:rsid w:val="009C082D"/>
    <w:rsid w:val="009C09C7"/>
    <w:rsid w:val="009C2146"/>
    <w:rsid w:val="009C2A05"/>
    <w:rsid w:val="009C320C"/>
    <w:rsid w:val="009C34DC"/>
    <w:rsid w:val="009C38AD"/>
    <w:rsid w:val="009C421E"/>
    <w:rsid w:val="009C45F1"/>
    <w:rsid w:val="009C489F"/>
    <w:rsid w:val="009C4DB7"/>
    <w:rsid w:val="009C572D"/>
    <w:rsid w:val="009C5973"/>
    <w:rsid w:val="009C613B"/>
    <w:rsid w:val="009C62AB"/>
    <w:rsid w:val="009C6462"/>
    <w:rsid w:val="009C6504"/>
    <w:rsid w:val="009C6630"/>
    <w:rsid w:val="009C6A3C"/>
    <w:rsid w:val="009C7469"/>
    <w:rsid w:val="009D1516"/>
    <w:rsid w:val="009D15B8"/>
    <w:rsid w:val="009D2674"/>
    <w:rsid w:val="009D2827"/>
    <w:rsid w:val="009D2B2A"/>
    <w:rsid w:val="009D2C98"/>
    <w:rsid w:val="009D2D97"/>
    <w:rsid w:val="009D3066"/>
    <w:rsid w:val="009D31CC"/>
    <w:rsid w:val="009D333D"/>
    <w:rsid w:val="009D39EC"/>
    <w:rsid w:val="009D4472"/>
    <w:rsid w:val="009D44F4"/>
    <w:rsid w:val="009D522A"/>
    <w:rsid w:val="009D571F"/>
    <w:rsid w:val="009D5788"/>
    <w:rsid w:val="009D59E8"/>
    <w:rsid w:val="009D5B25"/>
    <w:rsid w:val="009D62F2"/>
    <w:rsid w:val="009D6778"/>
    <w:rsid w:val="009D6E8A"/>
    <w:rsid w:val="009D7D74"/>
    <w:rsid w:val="009E09B9"/>
    <w:rsid w:val="009E16E9"/>
    <w:rsid w:val="009E1FDB"/>
    <w:rsid w:val="009E2061"/>
    <w:rsid w:val="009E2468"/>
    <w:rsid w:val="009E255B"/>
    <w:rsid w:val="009E258C"/>
    <w:rsid w:val="009E29CA"/>
    <w:rsid w:val="009E327A"/>
    <w:rsid w:val="009E32E0"/>
    <w:rsid w:val="009E3541"/>
    <w:rsid w:val="009E3C9B"/>
    <w:rsid w:val="009E3FD6"/>
    <w:rsid w:val="009E4024"/>
    <w:rsid w:val="009E44DE"/>
    <w:rsid w:val="009E479A"/>
    <w:rsid w:val="009E4910"/>
    <w:rsid w:val="009E4D1B"/>
    <w:rsid w:val="009E56B6"/>
    <w:rsid w:val="009E5ABF"/>
    <w:rsid w:val="009E5EC1"/>
    <w:rsid w:val="009E6181"/>
    <w:rsid w:val="009E652F"/>
    <w:rsid w:val="009E69C7"/>
    <w:rsid w:val="009E6A7B"/>
    <w:rsid w:val="009E79A0"/>
    <w:rsid w:val="009E7D93"/>
    <w:rsid w:val="009F07B4"/>
    <w:rsid w:val="009F0D72"/>
    <w:rsid w:val="009F1048"/>
    <w:rsid w:val="009F16FE"/>
    <w:rsid w:val="009F2C1B"/>
    <w:rsid w:val="009F2F4E"/>
    <w:rsid w:val="009F34A3"/>
    <w:rsid w:val="009F34C8"/>
    <w:rsid w:val="009F3B39"/>
    <w:rsid w:val="009F4407"/>
    <w:rsid w:val="009F4582"/>
    <w:rsid w:val="009F4800"/>
    <w:rsid w:val="009F4CF3"/>
    <w:rsid w:val="009F506C"/>
    <w:rsid w:val="009F526E"/>
    <w:rsid w:val="009F5CAD"/>
    <w:rsid w:val="009F5D35"/>
    <w:rsid w:val="009F67EB"/>
    <w:rsid w:val="009F6922"/>
    <w:rsid w:val="009F6930"/>
    <w:rsid w:val="009F6DD0"/>
    <w:rsid w:val="009F7402"/>
    <w:rsid w:val="009F7573"/>
    <w:rsid w:val="009F7B12"/>
    <w:rsid w:val="00A0031C"/>
    <w:rsid w:val="00A00455"/>
    <w:rsid w:val="00A00982"/>
    <w:rsid w:val="00A00A2E"/>
    <w:rsid w:val="00A00D67"/>
    <w:rsid w:val="00A00EEB"/>
    <w:rsid w:val="00A01299"/>
    <w:rsid w:val="00A015EC"/>
    <w:rsid w:val="00A0162C"/>
    <w:rsid w:val="00A01981"/>
    <w:rsid w:val="00A019B1"/>
    <w:rsid w:val="00A0220E"/>
    <w:rsid w:val="00A02280"/>
    <w:rsid w:val="00A0295C"/>
    <w:rsid w:val="00A03323"/>
    <w:rsid w:val="00A03FC7"/>
    <w:rsid w:val="00A04032"/>
    <w:rsid w:val="00A044CF"/>
    <w:rsid w:val="00A04687"/>
    <w:rsid w:val="00A046BD"/>
    <w:rsid w:val="00A05459"/>
    <w:rsid w:val="00A064E1"/>
    <w:rsid w:val="00A066A4"/>
    <w:rsid w:val="00A06956"/>
    <w:rsid w:val="00A0734D"/>
    <w:rsid w:val="00A0771B"/>
    <w:rsid w:val="00A0776D"/>
    <w:rsid w:val="00A079AA"/>
    <w:rsid w:val="00A10031"/>
    <w:rsid w:val="00A1003F"/>
    <w:rsid w:val="00A10961"/>
    <w:rsid w:val="00A10B5D"/>
    <w:rsid w:val="00A10B75"/>
    <w:rsid w:val="00A112F7"/>
    <w:rsid w:val="00A11C13"/>
    <w:rsid w:val="00A11C57"/>
    <w:rsid w:val="00A11D7F"/>
    <w:rsid w:val="00A11D84"/>
    <w:rsid w:val="00A120B9"/>
    <w:rsid w:val="00A1211D"/>
    <w:rsid w:val="00A122D2"/>
    <w:rsid w:val="00A122F9"/>
    <w:rsid w:val="00A12479"/>
    <w:rsid w:val="00A124A6"/>
    <w:rsid w:val="00A12BF6"/>
    <w:rsid w:val="00A12D05"/>
    <w:rsid w:val="00A1343F"/>
    <w:rsid w:val="00A13CEA"/>
    <w:rsid w:val="00A13F2D"/>
    <w:rsid w:val="00A14A25"/>
    <w:rsid w:val="00A14EE9"/>
    <w:rsid w:val="00A15116"/>
    <w:rsid w:val="00A15900"/>
    <w:rsid w:val="00A163C6"/>
    <w:rsid w:val="00A1663C"/>
    <w:rsid w:val="00A16830"/>
    <w:rsid w:val="00A16B31"/>
    <w:rsid w:val="00A16D68"/>
    <w:rsid w:val="00A16DC1"/>
    <w:rsid w:val="00A1782B"/>
    <w:rsid w:val="00A17F3A"/>
    <w:rsid w:val="00A2006F"/>
    <w:rsid w:val="00A204F9"/>
    <w:rsid w:val="00A20960"/>
    <w:rsid w:val="00A21039"/>
    <w:rsid w:val="00A2117A"/>
    <w:rsid w:val="00A21CB5"/>
    <w:rsid w:val="00A2214B"/>
    <w:rsid w:val="00A22B72"/>
    <w:rsid w:val="00A22CA6"/>
    <w:rsid w:val="00A22CED"/>
    <w:rsid w:val="00A2315D"/>
    <w:rsid w:val="00A23371"/>
    <w:rsid w:val="00A23CFF"/>
    <w:rsid w:val="00A23F94"/>
    <w:rsid w:val="00A2419F"/>
    <w:rsid w:val="00A2470B"/>
    <w:rsid w:val="00A2484A"/>
    <w:rsid w:val="00A24AA1"/>
    <w:rsid w:val="00A24EA4"/>
    <w:rsid w:val="00A2513C"/>
    <w:rsid w:val="00A2525F"/>
    <w:rsid w:val="00A259AD"/>
    <w:rsid w:val="00A25A0C"/>
    <w:rsid w:val="00A2602B"/>
    <w:rsid w:val="00A26615"/>
    <w:rsid w:val="00A27215"/>
    <w:rsid w:val="00A278C3"/>
    <w:rsid w:val="00A3140A"/>
    <w:rsid w:val="00A3142C"/>
    <w:rsid w:val="00A31F9C"/>
    <w:rsid w:val="00A3202D"/>
    <w:rsid w:val="00A320DB"/>
    <w:rsid w:val="00A324E3"/>
    <w:rsid w:val="00A3281A"/>
    <w:rsid w:val="00A32A14"/>
    <w:rsid w:val="00A32A7D"/>
    <w:rsid w:val="00A32CAD"/>
    <w:rsid w:val="00A32D2C"/>
    <w:rsid w:val="00A32FC6"/>
    <w:rsid w:val="00A330E6"/>
    <w:rsid w:val="00A33103"/>
    <w:rsid w:val="00A3454A"/>
    <w:rsid w:val="00A34AE0"/>
    <w:rsid w:val="00A34F58"/>
    <w:rsid w:val="00A351B3"/>
    <w:rsid w:val="00A35217"/>
    <w:rsid w:val="00A35473"/>
    <w:rsid w:val="00A35E63"/>
    <w:rsid w:val="00A35F21"/>
    <w:rsid w:val="00A365FC"/>
    <w:rsid w:val="00A36E60"/>
    <w:rsid w:val="00A37049"/>
    <w:rsid w:val="00A3791C"/>
    <w:rsid w:val="00A37B67"/>
    <w:rsid w:val="00A403BC"/>
    <w:rsid w:val="00A406BC"/>
    <w:rsid w:val="00A40C57"/>
    <w:rsid w:val="00A40E09"/>
    <w:rsid w:val="00A41CF2"/>
    <w:rsid w:val="00A42211"/>
    <w:rsid w:val="00A42C06"/>
    <w:rsid w:val="00A42DA0"/>
    <w:rsid w:val="00A42F88"/>
    <w:rsid w:val="00A43439"/>
    <w:rsid w:val="00A43C7D"/>
    <w:rsid w:val="00A447AA"/>
    <w:rsid w:val="00A45677"/>
    <w:rsid w:val="00A4682F"/>
    <w:rsid w:val="00A46982"/>
    <w:rsid w:val="00A46DA1"/>
    <w:rsid w:val="00A5020C"/>
    <w:rsid w:val="00A50282"/>
    <w:rsid w:val="00A504B7"/>
    <w:rsid w:val="00A509D9"/>
    <w:rsid w:val="00A517D9"/>
    <w:rsid w:val="00A523BB"/>
    <w:rsid w:val="00A529BB"/>
    <w:rsid w:val="00A52B3F"/>
    <w:rsid w:val="00A52C2B"/>
    <w:rsid w:val="00A538AE"/>
    <w:rsid w:val="00A53A09"/>
    <w:rsid w:val="00A53B99"/>
    <w:rsid w:val="00A53BDD"/>
    <w:rsid w:val="00A53C17"/>
    <w:rsid w:val="00A545D2"/>
    <w:rsid w:val="00A54DEC"/>
    <w:rsid w:val="00A54E1A"/>
    <w:rsid w:val="00A55088"/>
    <w:rsid w:val="00A55752"/>
    <w:rsid w:val="00A560B7"/>
    <w:rsid w:val="00A563CD"/>
    <w:rsid w:val="00A564F0"/>
    <w:rsid w:val="00A56617"/>
    <w:rsid w:val="00A576E2"/>
    <w:rsid w:val="00A57A64"/>
    <w:rsid w:val="00A57AE2"/>
    <w:rsid w:val="00A57AFA"/>
    <w:rsid w:val="00A57D50"/>
    <w:rsid w:val="00A60182"/>
    <w:rsid w:val="00A601AC"/>
    <w:rsid w:val="00A60733"/>
    <w:rsid w:val="00A60906"/>
    <w:rsid w:val="00A60ADA"/>
    <w:rsid w:val="00A60F14"/>
    <w:rsid w:val="00A60FC2"/>
    <w:rsid w:val="00A6152D"/>
    <w:rsid w:val="00A617F9"/>
    <w:rsid w:val="00A61D97"/>
    <w:rsid w:val="00A620D3"/>
    <w:rsid w:val="00A62218"/>
    <w:rsid w:val="00A63182"/>
    <w:rsid w:val="00A63B38"/>
    <w:rsid w:val="00A645CB"/>
    <w:rsid w:val="00A6498A"/>
    <w:rsid w:val="00A64B07"/>
    <w:rsid w:val="00A64D8E"/>
    <w:rsid w:val="00A65899"/>
    <w:rsid w:val="00A658C4"/>
    <w:rsid w:val="00A673E2"/>
    <w:rsid w:val="00A67EDD"/>
    <w:rsid w:val="00A70123"/>
    <w:rsid w:val="00A7074F"/>
    <w:rsid w:val="00A70750"/>
    <w:rsid w:val="00A707E5"/>
    <w:rsid w:val="00A70911"/>
    <w:rsid w:val="00A70B7F"/>
    <w:rsid w:val="00A7141A"/>
    <w:rsid w:val="00A7182C"/>
    <w:rsid w:val="00A729CE"/>
    <w:rsid w:val="00A72AE4"/>
    <w:rsid w:val="00A72E09"/>
    <w:rsid w:val="00A73368"/>
    <w:rsid w:val="00A7369F"/>
    <w:rsid w:val="00A7392C"/>
    <w:rsid w:val="00A73AFC"/>
    <w:rsid w:val="00A7421F"/>
    <w:rsid w:val="00A743FC"/>
    <w:rsid w:val="00A76590"/>
    <w:rsid w:val="00A76B52"/>
    <w:rsid w:val="00A76F20"/>
    <w:rsid w:val="00A7700B"/>
    <w:rsid w:val="00A77111"/>
    <w:rsid w:val="00A77397"/>
    <w:rsid w:val="00A77DC1"/>
    <w:rsid w:val="00A802B9"/>
    <w:rsid w:val="00A808AA"/>
    <w:rsid w:val="00A808F5"/>
    <w:rsid w:val="00A81006"/>
    <w:rsid w:val="00A81069"/>
    <w:rsid w:val="00A811BF"/>
    <w:rsid w:val="00A81C42"/>
    <w:rsid w:val="00A81E48"/>
    <w:rsid w:val="00A826EC"/>
    <w:rsid w:val="00A827B5"/>
    <w:rsid w:val="00A82EA8"/>
    <w:rsid w:val="00A83194"/>
    <w:rsid w:val="00A832FB"/>
    <w:rsid w:val="00A83F1C"/>
    <w:rsid w:val="00A84597"/>
    <w:rsid w:val="00A84893"/>
    <w:rsid w:val="00A84E1E"/>
    <w:rsid w:val="00A85204"/>
    <w:rsid w:val="00A8565C"/>
    <w:rsid w:val="00A862B9"/>
    <w:rsid w:val="00A8642B"/>
    <w:rsid w:val="00A86548"/>
    <w:rsid w:val="00A865A2"/>
    <w:rsid w:val="00A86631"/>
    <w:rsid w:val="00A86912"/>
    <w:rsid w:val="00A86A3A"/>
    <w:rsid w:val="00A871E2"/>
    <w:rsid w:val="00A87643"/>
    <w:rsid w:val="00A87A3D"/>
    <w:rsid w:val="00A90912"/>
    <w:rsid w:val="00A909BF"/>
    <w:rsid w:val="00A90B91"/>
    <w:rsid w:val="00A90B95"/>
    <w:rsid w:val="00A91218"/>
    <w:rsid w:val="00A91BEA"/>
    <w:rsid w:val="00A92693"/>
    <w:rsid w:val="00A93105"/>
    <w:rsid w:val="00A93CB6"/>
    <w:rsid w:val="00A94874"/>
    <w:rsid w:val="00A94D62"/>
    <w:rsid w:val="00A955D6"/>
    <w:rsid w:val="00A956FE"/>
    <w:rsid w:val="00A95C9E"/>
    <w:rsid w:val="00A96429"/>
    <w:rsid w:val="00A96561"/>
    <w:rsid w:val="00A96A41"/>
    <w:rsid w:val="00A971BC"/>
    <w:rsid w:val="00A9795C"/>
    <w:rsid w:val="00A979FD"/>
    <w:rsid w:val="00A97F2E"/>
    <w:rsid w:val="00AA04D8"/>
    <w:rsid w:val="00AA076E"/>
    <w:rsid w:val="00AA0833"/>
    <w:rsid w:val="00AA0A44"/>
    <w:rsid w:val="00AA0E0D"/>
    <w:rsid w:val="00AA1C45"/>
    <w:rsid w:val="00AA211B"/>
    <w:rsid w:val="00AA2620"/>
    <w:rsid w:val="00AA2F6E"/>
    <w:rsid w:val="00AA30A6"/>
    <w:rsid w:val="00AA31A5"/>
    <w:rsid w:val="00AA32D0"/>
    <w:rsid w:val="00AA330C"/>
    <w:rsid w:val="00AA340C"/>
    <w:rsid w:val="00AA36B5"/>
    <w:rsid w:val="00AA3846"/>
    <w:rsid w:val="00AA397E"/>
    <w:rsid w:val="00AA3D75"/>
    <w:rsid w:val="00AA43FC"/>
    <w:rsid w:val="00AA45C7"/>
    <w:rsid w:val="00AA4A8D"/>
    <w:rsid w:val="00AA6182"/>
    <w:rsid w:val="00AA698C"/>
    <w:rsid w:val="00AA75EF"/>
    <w:rsid w:val="00AA7D81"/>
    <w:rsid w:val="00AA7FD3"/>
    <w:rsid w:val="00AB006D"/>
    <w:rsid w:val="00AB00BB"/>
    <w:rsid w:val="00AB0A74"/>
    <w:rsid w:val="00AB19F9"/>
    <w:rsid w:val="00AB1B30"/>
    <w:rsid w:val="00AB220C"/>
    <w:rsid w:val="00AB2781"/>
    <w:rsid w:val="00AB278B"/>
    <w:rsid w:val="00AB2A29"/>
    <w:rsid w:val="00AB2DFE"/>
    <w:rsid w:val="00AB2F03"/>
    <w:rsid w:val="00AB36A7"/>
    <w:rsid w:val="00AB374E"/>
    <w:rsid w:val="00AB3D4C"/>
    <w:rsid w:val="00AB3E81"/>
    <w:rsid w:val="00AB43D3"/>
    <w:rsid w:val="00AB4441"/>
    <w:rsid w:val="00AB482B"/>
    <w:rsid w:val="00AB489D"/>
    <w:rsid w:val="00AB4A52"/>
    <w:rsid w:val="00AB4BDE"/>
    <w:rsid w:val="00AB4DCF"/>
    <w:rsid w:val="00AB51B2"/>
    <w:rsid w:val="00AB608F"/>
    <w:rsid w:val="00AB70AC"/>
    <w:rsid w:val="00AB7313"/>
    <w:rsid w:val="00AB790E"/>
    <w:rsid w:val="00AB79AD"/>
    <w:rsid w:val="00AB7F6E"/>
    <w:rsid w:val="00AC0325"/>
    <w:rsid w:val="00AC0506"/>
    <w:rsid w:val="00AC1653"/>
    <w:rsid w:val="00AC1AAC"/>
    <w:rsid w:val="00AC1AF3"/>
    <w:rsid w:val="00AC1B11"/>
    <w:rsid w:val="00AC1B30"/>
    <w:rsid w:val="00AC1EEC"/>
    <w:rsid w:val="00AC1F5E"/>
    <w:rsid w:val="00AC21D5"/>
    <w:rsid w:val="00AC2C87"/>
    <w:rsid w:val="00AC31C6"/>
    <w:rsid w:val="00AC3BB7"/>
    <w:rsid w:val="00AC3D61"/>
    <w:rsid w:val="00AC40C3"/>
    <w:rsid w:val="00AC455F"/>
    <w:rsid w:val="00AC4C48"/>
    <w:rsid w:val="00AC52C4"/>
    <w:rsid w:val="00AC55AC"/>
    <w:rsid w:val="00AC56EA"/>
    <w:rsid w:val="00AC5E36"/>
    <w:rsid w:val="00AC5FD6"/>
    <w:rsid w:val="00AC601F"/>
    <w:rsid w:val="00AC642D"/>
    <w:rsid w:val="00AC67B4"/>
    <w:rsid w:val="00AC6C2D"/>
    <w:rsid w:val="00AC7466"/>
    <w:rsid w:val="00AC7853"/>
    <w:rsid w:val="00AC7E63"/>
    <w:rsid w:val="00AD0D8B"/>
    <w:rsid w:val="00AD0F53"/>
    <w:rsid w:val="00AD1513"/>
    <w:rsid w:val="00AD3851"/>
    <w:rsid w:val="00AD40A4"/>
    <w:rsid w:val="00AD488F"/>
    <w:rsid w:val="00AD56CB"/>
    <w:rsid w:val="00AD5D62"/>
    <w:rsid w:val="00AD6066"/>
    <w:rsid w:val="00AD6161"/>
    <w:rsid w:val="00AD62F7"/>
    <w:rsid w:val="00AD69CB"/>
    <w:rsid w:val="00AD7583"/>
    <w:rsid w:val="00AD7862"/>
    <w:rsid w:val="00AD7967"/>
    <w:rsid w:val="00AD7AF3"/>
    <w:rsid w:val="00AE04F4"/>
    <w:rsid w:val="00AE0B7B"/>
    <w:rsid w:val="00AE1130"/>
    <w:rsid w:val="00AE1E64"/>
    <w:rsid w:val="00AE2373"/>
    <w:rsid w:val="00AE2C67"/>
    <w:rsid w:val="00AE3425"/>
    <w:rsid w:val="00AE3C4E"/>
    <w:rsid w:val="00AE3C79"/>
    <w:rsid w:val="00AE433D"/>
    <w:rsid w:val="00AE4786"/>
    <w:rsid w:val="00AE50B1"/>
    <w:rsid w:val="00AE5490"/>
    <w:rsid w:val="00AE5987"/>
    <w:rsid w:val="00AE604F"/>
    <w:rsid w:val="00AE634B"/>
    <w:rsid w:val="00AE6B2A"/>
    <w:rsid w:val="00AE6D29"/>
    <w:rsid w:val="00AE76F6"/>
    <w:rsid w:val="00AE78FE"/>
    <w:rsid w:val="00AE7B8A"/>
    <w:rsid w:val="00AE7D95"/>
    <w:rsid w:val="00AE7E7D"/>
    <w:rsid w:val="00AF09F7"/>
    <w:rsid w:val="00AF0F45"/>
    <w:rsid w:val="00AF11A9"/>
    <w:rsid w:val="00AF14C5"/>
    <w:rsid w:val="00AF1709"/>
    <w:rsid w:val="00AF184B"/>
    <w:rsid w:val="00AF1966"/>
    <w:rsid w:val="00AF23E9"/>
    <w:rsid w:val="00AF24BB"/>
    <w:rsid w:val="00AF2840"/>
    <w:rsid w:val="00AF34EB"/>
    <w:rsid w:val="00AF357D"/>
    <w:rsid w:val="00AF3872"/>
    <w:rsid w:val="00AF3E7C"/>
    <w:rsid w:val="00AF4217"/>
    <w:rsid w:val="00AF42E3"/>
    <w:rsid w:val="00AF46EF"/>
    <w:rsid w:val="00AF5479"/>
    <w:rsid w:val="00AF59DA"/>
    <w:rsid w:val="00AF5FED"/>
    <w:rsid w:val="00AF5FF9"/>
    <w:rsid w:val="00AF6275"/>
    <w:rsid w:val="00AF63CA"/>
    <w:rsid w:val="00AF6446"/>
    <w:rsid w:val="00AF681B"/>
    <w:rsid w:val="00AF6977"/>
    <w:rsid w:val="00AF6DC9"/>
    <w:rsid w:val="00AF716A"/>
    <w:rsid w:val="00AF788F"/>
    <w:rsid w:val="00AF7913"/>
    <w:rsid w:val="00B005DD"/>
    <w:rsid w:val="00B006E3"/>
    <w:rsid w:val="00B00EC2"/>
    <w:rsid w:val="00B014E1"/>
    <w:rsid w:val="00B02D05"/>
    <w:rsid w:val="00B036AB"/>
    <w:rsid w:val="00B036D7"/>
    <w:rsid w:val="00B043A1"/>
    <w:rsid w:val="00B05967"/>
    <w:rsid w:val="00B078A9"/>
    <w:rsid w:val="00B07E07"/>
    <w:rsid w:val="00B103AC"/>
    <w:rsid w:val="00B104C6"/>
    <w:rsid w:val="00B1091F"/>
    <w:rsid w:val="00B10D85"/>
    <w:rsid w:val="00B1104C"/>
    <w:rsid w:val="00B11C6E"/>
    <w:rsid w:val="00B11D36"/>
    <w:rsid w:val="00B11DA7"/>
    <w:rsid w:val="00B12E23"/>
    <w:rsid w:val="00B136DC"/>
    <w:rsid w:val="00B13BEF"/>
    <w:rsid w:val="00B13E49"/>
    <w:rsid w:val="00B1409F"/>
    <w:rsid w:val="00B14770"/>
    <w:rsid w:val="00B14839"/>
    <w:rsid w:val="00B15059"/>
    <w:rsid w:val="00B159F3"/>
    <w:rsid w:val="00B16C77"/>
    <w:rsid w:val="00B16D8F"/>
    <w:rsid w:val="00B17717"/>
    <w:rsid w:val="00B17762"/>
    <w:rsid w:val="00B178F4"/>
    <w:rsid w:val="00B17AAF"/>
    <w:rsid w:val="00B207D3"/>
    <w:rsid w:val="00B21A07"/>
    <w:rsid w:val="00B21DE7"/>
    <w:rsid w:val="00B2254F"/>
    <w:rsid w:val="00B23458"/>
    <w:rsid w:val="00B23B85"/>
    <w:rsid w:val="00B23D33"/>
    <w:rsid w:val="00B23ED0"/>
    <w:rsid w:val="00B24169"/>
    <w:rsid w:val="00B24509"/>
    <w:rsid w:val="00B245BD"/>
    <w:rsid w:val="00B24D3F"/>
    <w:rsid w:val="00B25CAE"/>
    <w:rsid w:val="00B25F76"/>
    <w:rsid w:val="00B26289"/>
    <w:rsid w:val="00B2698B"/>
    <w:rsid w:val="00B26B4D"/>
    <w:rsid w:val="00B26F8C"/>
    <w:rsid w:val="00B271FD"/>
    <w:rsid w:val="00B27306"/>
    <w:rsid w:val="00B275DF"/>
    <w:rsid w:val="00B27695"/>
    <w:rsid w:val="00B27F38"/>
    <w:rsid w:val="00B3048D"/>
    <w:rsid w:val="00B30F4B"/>
    <w:rsid w:val="00B31026"/>
    <w:rsid w:val="00B31452"/>
    <w:rsid w:val="00B314EA"/>
    <w:rsid w:val="00B318F1"/>
    <w:rsid w:val="00B319A4"/>
    <w:rsid w:val="00B319F3"/>
    <w:rsid w:val="00B3238A"/>
    <w:rsid w:val="00B32A65"/>
    <w:rsid w:val="00B32D97"/>
    <w:rsid w:val="00B32DA5"/>
    <w:rsid w:val="00B32FF8"/>
    <w:rsid w:val="00B3414D"/>
    <w:rsid w:val="00B345F8"/>
    <w:rsid w:val="00B347DC"/>
    <w:rsid w:val="00B34A76"/>
    <w:rsid w:val="00B34B2F"/>
    <w:rsid w:val="00B351E9"/>
    <w:rsid w:val="00B351F5"/>
    <w:rsid w:val="00B3575D"/>
    <w:rsid w:val="00B35BA9"/>
    <w:rsid w:val="00B35BE9"/>
    <w:rsid w:val="00B35C69"/>
    <w:rsid w:val="00B3601A"/>
    <w:rsid w:val="00B36BD5"/>
    <w:rsid w:val="00B36DDA"/>
    <w:rsid w:val="00B37939"/>
    <w:rsid w:val="00B40A1D"/>
    <w:rsid w:val="00B40F25"/>
    <w:rsid w:val="00B41056"/>
    <w:rsid w:val="00B42020"/>
    <w:rsid w:val="00B42179"/>
    <w:rsid w:val="00B42D6A"/>
    <w:rsid w:val="00B43160"/>
    <w:rsid w:val="00B43299"/>
    <w:rsid w:val="00B43B9F"/>
    <w:rsid w:val="00B445EB"/>
    <w:rsid w:val="00B44915"/>
    <w:rsid w:val="00B44A30"/>
    <w:rsid w:val="00B45644"/>
    <w:rsid w:val="00B4569B"/>
    <w:rsid w:val="00B45E7B"/>
    <w:rsid w:val="00B46271"/>
    <w:rsid w:val="00B4645F"/>
    <w:rsid w:val="00B47627"/>
    <w:rsid w:val="00B5029C"/>
    <w:rsid w:val="00B502A0"/>
    <w:rsid w:val="00B502AE"/>
    <w:rsid w:val="00B50387"/>
    <w:rsid w:val="00B50BF3"/>
    <w:rsid w:val="00B51256"/>
    <w:rsid w:val="00B52A33"/>
    <w:rsid w:val="00B53533"/>
    <w:rsid w:val="00B53D06"/>
    <w:rsid w:val="00B546F2"/>
    <w:rsid w:val="00B54959"/>
    <w:rsid w:val="00B54D9F"/>
    <w:rsid w:val="00B55703"/>
    <w:rsid w:val="00B559A0"/>
    <w:rsid w:val="00B55DD1"/>
    <w:rsid w:val="00B55FDD"/>
    <w:rsid w:val="00B56AFD"/>
    <w:rsid w:val="00B56B0A"/>
    <w:rsid w:val="00B57029"/>
    <w:rsid w:val="00B573CF"/>
    <w:rsid w:val="00B573F2"/>
    <w:rsid w:val="00B57946"/>
    <w:rsid w:val="00B603AE"/>
    <w:rsid w:val="00B60E4C"/>
    <w:rsid w:val="00B610DF"/>
    <w:rsid w:val="00B6145F"/>
    <w:rsid w:val="00B61AA2"/>
    <w:rsid w:val="00B6213D"/>
    <w:rsid w:val="00B6231E"/>
    <w:rsid w:val="00B626CF"/>
    <w:rsid w:val="00B626E9"/>
    <w:rsid w:val="00B6284C"/>
    <w:rsid w:val="00B6348D"/>
    <w:rsid w:val="00B641A2"/>
    <w:rsid w:val="00B64418"/>
    <w:rsid w:val="00B64AB1"/>
    <w:rsid w:val="00B64C10"/>
    <w:rsid w:val="00B655EA"/>
    <w:rsid w:val="00B65D6D"/>
    <w:rsid w:val="00B660BD"/>
    <w:rsid w:val="00B6672A"/>
    <w:rsid w:val="00B66A6B"/>
    <w:rsid w:val="00B66B12"/>
    <w:rsid w:val="00B66DC4"/>
    <w:rsid w:val="00B66E43"/>
    <w:rsid w:val="00B66FC4"/>
    <w:rsid w:val="00B67015"/>
    <w:rsid w:val="00B671C8"/>
    <w:rsid w:val="00B673C2"/>
    <w:rsid w:val="00B67411"/>
    <w:rsid w:val="00B6741A"/>
    <w:rsid w:val="00B674F9"/>
    <w:rsid w:val="00B67D0A"/>
    <w:rsid w:val="00B70A3C"/>
    <w:rsid w:val="00B7122A"/>
    <w:rsid w:val="00B716EA"/>
    <w:rsid w:val="00B7176E"/>
    <w:rsid w:val="00B71FF4"/>
    <w:rsid w:val="00B724F0"/>
    <w:rsid w:val="00B7266C"/>
    <w:rsid w:val="00B72749"/>
    <w:rsid w:val="00B7319A"/>
    <w:rsid w:val="00B734EB"/>
    <w:rsid w:val="00B73EAC"/>
    <w:rsid w:val="00B740B4"/>
    <w:rsid w:val="00B740C4"/>
    <w:rsid w:val="00B74BEA"/>
    <w:rsid w:val="00B7511E"/>
    <w:rsid w:val="00B752DB"/>
    <w:rsid w:val="00B752EC"/>
    <w:rsid w:val="00B757E2"/>
    <w:rsid w:val="00B75DFC"/>
    <w:rsid w:val="00B75EAE"/>
    <w:rsid w:val="00B7662D"/>
    <w:rsid w:val="00B7675F"/>
    <w:rsid w:val="00B77019"/>
    <w:rsid w:val="00B77135"/>
    <w:rsid w:val="00B775A2"/>
    <w:rsid w:val="00B77962"/>
    <w:rsid w:val="00B779BB"/>
    <w:rsid w:val="00B77F73"/>
    <w:rsid w:val="00B80B27"/>
    <w:rsid w:val="00B80C6A"/>
    <w:rsid w:val="00B80D5D"/>
    <w:rsid w:val="00B81287"/>
    <w:rsid w:val="00B81305"/>
    <w:rsid w:val="00B81987"/>
    <w:rsid w:val="00B81C0C"/>
    <w:rsid w:val="00B82AE5"/>
    <w:rsid w:val="00B83D43"/>
    <w:rsid w:val="00B841F1"/>
    <w:rsid w:val="00B84559"/>
    <w:rsid w:val="00B84A34"/>
    <w:rsid w:val="00B854D2"/>
    <w:rsid w:val="00B85E8B"/>
    <w:rsid w:val="00B85F84"/>
    <w:rsid w:val="00B86C14"/>
    <w:rsid w:val="00B86C33"/>
    <w:rsid w:val="00B87261"/>
    <w:rsid w:val="00B874C3"/>
    <w:rsid w:val="00B907DA"/>
    <w:rsid w:val="00B9089E"/>
    <w:rsid w:val="00B90A2F"/>
    <w:rsid w:val="00B90BC0"/>
    <w:rsid w:val="00B9113E"/>
    <w:rsid w:val="00B911DF"/>
    <w:rsid w:val="00B913B9"/>
    <w:rsid w:val="00B91429"/>
    <w:rsid w:val="00B914D3"/>
    <w:rsid w:val="00B917F3"/>
    <w:rsid w:val="00B92A8A"/>
    <w:rsid w:val="00B92FFB"/>
    <w:rsid w:val="00B935A4"/>
    <w:rsid w:val="00B93DAB"/>
    <w:rsid w:val="00B93DCD"/>
    <w:rsid w:val="00B94478"/>
    <w:rsid w:val="00B94634"/>
    <w:rsid w:val="00B948EA"/>
    <w:rsid w:val="00B94F02"/>
    <w:rsid w:val="00B94F78"/>
    <w:rsid w:val="00B956C2"/>
    <w:rsid w:val="00B9575F"/>
    <w:rsid w:val="00B95C5A"/>
    <w:rsid w:val="00B95E7A"/>
    <w:rsid w:val="00B963FD"/>
    <w:rsid w:val="00B96400"/>
    <w:rsid w:val="00B968E5"/>
    <w:rsid w:val="00B97700"/>
    <w:rsid w:val="00B97932"/>
    <w:rsid w:val="00BA08BB"/>
    <w:rsid w:val="00BA08BF"/>
    <w:rsid w:val="00BA09E0"/>
    <w:rsid w:val="00BA0EA5"/>
    <w:rsid w:val="00BA1B08"/>
    <w:rsid w:val="00BA1C77"/>
    <w:rsid w:val="00BA1EB9"/>
    <w:rsid w:val="00BA24CC"/>
    <w:rsid w:val="00BA2548"/>
    <w:rsid w:val="00BA3289"/>
    <w:rsid w:val="00BA3C8B"/>
    <w:rsid w:val="00BA3CB3"/>
    <w:rsid w:val="00BA450F"/>
    <w:rsid w:val="00BA5E36"/>
    <w:rsid w:val="00BA5F8B"/>
    <w:rsid w:val="00BA6DC4"/>
    <w:rsid w:val="00BA6E9E"/>
    <w:rsid w:val="00BA74C6"/>
    <w:rsid w:val="00BA7B7A"/>
    <w:rsid w:val="00BB00CB"/>
    <w:rsid w:val="00BB02D1"/>
    <w:rsid w:val="00BB0803"/>
    <w:rsid w:val="00BB0DA1"/>
    <w:rsid w:val="00BB19B2"/>
    <w:rsid w:val="00BB1D52"/>
    <w:rsid w:val="00BB2BE8"/>
    <w:rsid w:val="00BB2FCD"/>
    <w:rsid w:val="00BB38B6"/>
    <w:rsid w:val="00BB3A23"/>
    <w:rsid w:val="00BB3D40"/>
    <w:rsid w:val="00BB481C"/>
    <w:rsid w:val="00BB4CB7"/>
    <w:rsid w:val="00BB4D2D"/>
    <w:rsid w:val="00BB502F"/>
    <w:rsid w:val="00BB5654"/>
    <w:rsid w:val="00BB5B2B"/>
    <w:rsid w:val="00BB67D7"/>
    <w:rsid w:val="00BB6BC2"/>
    <w:rsid w:val="00BB7295"/>
    <w:rsid w:val="00BC2920"/>
    <w:rsid w:val="00BC2C9D"/>
    <w:rsid w:val="00BC301B"/>
    <w:rsid w:val="00BC3226"/>
    <w:rsid w:val="00BC3A0A"/>
    <w:rsid w:val="00BC486F"/>
    <w:rsid w:val="00BC51EE"/>
    <w:rsid w:val="00BC535C"/>
    <w:rsid w:val="00BC576B"/>
    <w:rsid w:val="00BC5C5F"/>
    <w:rsid w:val="00BC5CFE"/>
    <w:rsid w:val="00BC5D16"/>
    <w:rsid w:val="00BC628E"/>
    <w:rsid w:val="00BC6455"/>
    <w:rsid w:val="00BC65C8"/>
    <w:rsid w:val="00BC6DA7"/>
    <w:rsid w:val="00BC7018"/>
    <w:rsid w:val="00BC731F"/>
    <w:rsid w:val="00BD0A29"/>
    <w:rsid w:val="00BD151B"/>
    <w:rsid w:val="00BD268A"/>
    <w:rsid w:val="00BD2A91"/>
    <w:rsid w:val="00BD2B95"/>
    <w:rsid w:val="00BD2D44"/>
    <w:rsid w:val="00BD3867"/>
    <w:rsid w:val="00BD3969"/>
    <w:rsid w:val="00BD3F5C"/>
    <w:rsid w:val="00BD4214"/>
    <w:rsid w:val="00BD44DB"/>
    <w:rsid w:val="00BD498D"/>
    <w:rsid w:val="00BD4C59"/>
    <w:rsid w:val="00BD4C83"/>
    <w:rsid w:val="00BD4D1E"/>
    <w:rsid w:val="00BD554A"/>
    <w:rsid w:val="00BD5D3F"/>
    <w:rsid w:val="00BD5EAB"/>
    <w:rsid w:val="00BD6316"/>
    <w:rsid w:val="00BD67DB"/>
    <w:rsid w:val="00BD7319"/>
    <w:rsid w:val="00BD74B4"/>
    <w:rsid w:val="00BE0523"/>
    <w:rsid w:val="00BE0F67"/>
    <w:rsid w:val="00BE11BF"/>
    <w:rsid w:val="00BE154F"/>
    <w:rsid w:val="00BE164C"/>
    <w:rsid w:val="00BE199B"/>
    <w:rsid w:val="00BE1F0B"/>
    <w:rsid w:val="00BE1F83"/>
    <w:rsid w:val="00BE2246"/>
    <w:rsid w:val="00BE26CC"/>
    <w:rsid w:val="00BE2745"/>
    <w:rsid w:val="00BE2F13"/>
    <w:rsid w:val="00BE31F2"/>
    <w:rsid w:val="00BE36FD"/>
    <w:rsid w:val="00BE3C11"/>
    <w:rsid w:val="00BE413A"/>
    <w:rsid w:val="00BE4B3B"/>
    <w:rsid w:val="00BE4C67"/>
    <w:rsid w:val="00BE57CA"/>
    <w:rsid w:val="00BE57F7"/>
    <w:rsid w:val="00BE5C1D"/>
    <w:rsid w:val="00BE5C7C"/>
    <w:rsid w:val="00BE60E8"/>
    <w:rsid w:val="00BE64FB"/>
    <w:rsid w:val="00BE679A"/>
    <w:rsid w:val="00BE694F"/>
    <w:rsid w:val="00BE6B4C"/>
    <w:rsid w:val="00BE750F"/>
    <w:rsid w:val="00BE7663"/>
    <w:rsid w:val="00BE7B0B"/>
    <w:rsid w:val="00BE7B8E"/>
    <w:rsid w:val="00BE7EC3"/>
    <w:rsid w:val="00BF0314"/>
    <w:rsid w:val="00BF03ED"/>
    <w:rsid w:val="00BF0EB1"/>
    <w:rsid w:val="00BF0EEC"/>
    <w:rsid w:val="00BF153C"/>
    <w:rsid w:val="00BF184B"/>
    <w:rsid w:val="00BF1AA9"/>
    <w:rsid w:val="00BF1C0A"/>
    <w:rsid w:val="00BF205D"/>
    <w:rsid w:val="00BF30D4"/>
    <w:rsid w:val="00BF31B6"/>
    <w:rsid w:val="00BF35FC"/>
    <w:rsid w:val="00BF3ABE"/>
    <w:rsid w:val="00BF4242"/>
    <w:rsid w:val="00BF42B9"/>
    <w:rsid w:val="00BF4726"/>
    <w:rsid w:val="00BF4E78"/>
    <w:rsid w:val="00BF4F59"/>
    <w:rsid w:val="00BF5BE8"/>
    <w:rsid w:val="00BF6130"/>
    <w:rsid w:val="00BF640E"/>
    <w:rsid w:val="00BF6863"/>
    <w:rsid w:val="00BF71B9"/>
    <w:rsid w:val="00BF7924"/>
    <w:rsid w:val="00BF7E7B"/>
    <w:rsid w:val="00BF7EDC"/>
    <w:rsid w:val="00C00342"/>
    <w:rsid w:val="00C02DA2"/>
    <w:rsid w:val="00C02E5E"/>
    <w:rsid w:val="00C04042"/>
    <w:rsid w:val="00C041A6"/>
    <w:rsid w:val="00C04B3E"/>
    <w:rsid w:val="00C04C60"/>
    <w:rsid w:val="00C066D4"/>
    <w:rsid w:val="00C06E0A"/>
    <w:rsid w:val="00C0790B"/>
    <w:rsid w:val="00C07999"/>
    <w:rsid w:val="00C07EEA"/>
    <w:rsid w:val="00C100F0"/>
    <w:rsid w:val="00C10BBE"/>
    <w:rsid w:val="00C10C42"/>
    <w:rsid w:val="00C10DAA"/>
    <w:rsid w:val="00C116C4"/>
    <w:rsid w:val="00C11737"/>
    <w:rsid w:val="00C1180F"/>
    <w:rsid w:val="00C11904"/>
    <w:rsid w:val="00C121C6"/>
    <w:rsid w:val="00C12207"/>
    <w:rsid w:val="00C123E0"/>
    <w:rsid w:val="00C12487"/>
    <w:rsid w:val="00C12975"/>
    <w:rsid w:val="00C12F29"/>
    <w:rsid w:val="00C138B7"/>
    <w:rsid w:val="00C13908"/>
    <w:rsid w:val="00C13EE7"/>
    <w:rsid w:val="00C14389"/>
    <w:rsid w:val="00C143CD"/>
    <w:rsid w:val="00C147F3"/>
    <w:rsid w:val="00C14AE3"/>
    <w:rsid w:val="00C14B17"/>
    <w:rsid w:val="00C14DDB"/>
    <w:rsid w:val="00C1516E"/>
    <w:rsid w:val="00C151E1"/>
    <w:rsid w:val="00C164D2"/>
    <w:rsid w:val="00C16990"/>
    <w:rsid w:val="00C16F70"/>
    <w:rsid w:val="00C16FDF"/>
    <w:rsid w:val="00C17428"/>
    <w:rsid w:val="00C206A1"/>
    <w:rsid w:val="00C20710"/>
    <w:rsid w:val="00C207D4"/>
    <w:rsid w:val="00C210C9"/>
    <w:rsid w:val="00C21A01"/>
    <w:rsid w:val="00C21ACA"/>
    <w:rsid w:val="00C221D9"/>
    <w:rsid w:val="00C224A9"/>
    <w:rsid w:val="00C22881"/>
    <w:rsid w:val="00C23537"/>
    <w:rsid w:val="00C238D3"/>
    <w:rsid w:val="00C23DB3"/>
    <w:rsid w:val="00C242B6"/>
    <w:rsid w:val="00C24C97"/>
    <w:rsid w:val="00C24F6D"/>
    <w:rsid w:val="00C25082"/>
    <w:rsid w:val="00C255CE"/>
    <w:rsid w:val="00C255EA"/>
    <w:rsid w:val="00C2572D"/>
    <w:rsid w:val="00C25753"/>
    <w:rsid w:val="00C25ED0"/>
    <w:rsid w:val="00C25FCA"/>
    <w:rsid w:val="00C2622C"/>
    <w:rsid w:val="00C268E1"/>
    <w:rsid w:val="00C26FA5"/>
    <w:rsid w:val="00C2718F"/>
    <w:rsid w:val="00C27365"/>
    <w:rsid w:val="00C303D7"/>
    <w:rsid w:val="00C305CA"/>
    <w:rsid w:val="00C31529"/>
    <w:rsid w:val="00C316DC"/>
    <w:rsid w:val="00C31C36"/>
    <w:rsid w:val="00C31D6E"/>
    <w:rsid w:val="00C33483"/>
    <w:rsid w:val="00C336A1"/>
    <w:rsid w:val="00C33FCA"/>
    <w:rsid w:val="00C34631"/>
    <w:rsid w:val="00C34E14"/>
    <w:rsid w:val="00C3500A"/>
    <w:rsid w:val="00C35267"/>
    <w:rsid w:val="00C354BC"/>
    <w:rsid w:val="00C3573A"/>
    <w:rsid w:val="00C35AC3"/>
    <w:rsid w:val="00C36537"/>
    <w:rsid w:val="00C37140"/>
    <w:rsid w:val="00C373E8"/>
    <w:rsid w:val="00C37689"/>
    <w:rsid w:val="00C37732"/>
    <w:rsid w:val="00C3795D"/>
    <w:rsid w:val="00C37BA6"/>
    <w:rsid w:val="00C40687"/>
    <w:rsid w:val="00C407C0"/>
    <w:rsid w:val="00C407F6"/>
    <w:rsid w:val="00C409BD"/>
    <w:rsid w:val="00C40AF7"/>
    <w:rsid w:val="00C40B78"/>
    <w:rsid w:val="00C4158C"/>
    <w:rsid w:val="00C41632"/>
    <w:rsid w:val="00C419F8"/>
    <w:rsid w:val="00C41A42"/>
    <w:rsid w:val="00C41E52"/>
    <w:rsid w:val="00C428C1"/>
    <w:rsid w:val="00C42D26"/>
    <w:rsid w:val="00C42F9C"/>
    <w:rsid w:val="00C43661"/>
    <w:rsid w:val="00C4370E"/>
    <w:rsid w:val="00C439FC"/>
    <w:rsid w:val="00C44199"/>
    <w:rsid w:val="00C4419B"/>
    <w:rsid w:val="00C44960"/>
    <w:rsid w:val="00C44AFF"/>
    <w:rsid w:val="00C456B6"/>
    <w:rsid w:val="00C45C37"/>
    <w:rsid w:val="00C45FAD"/>
    <w:rsid w:val="00C463B7"/>
    <w:rsid w:val="00C4642E"/>
    <w:rsid w:val="00C464AD"/>
    <w:rsid w:val="00C465E7"/>
    <w:rsid w:val="00C46761"/>
    <w:rsid w:val="00C4709E"/>
    <w:rsid w:val="00C500F7"/>
    <w:rsid w:val="00C50C97"/>
    <w:rsid w:val="00C514D3"/>
    <w:rsid w:val="00C515CB"/>
    <w:rsid w:val="00C51B9C"/>
    <w:rsid w:val="00C5300E"/>
    <w:rsid w:val="00C5310D"/>
    <w:rsid w:val="00C531C9"/>
    <w:rsid w:val="00C53A7C"/>
    <w:rsid w:val="00C53B32"/>
    <w:rsid w:val="00C54635"/>
    <w:rsid w:val="00C549BB"/>
    <w:rsid w:val="00C54B70"/>
    <w:rsid w:val="00C54D16"/>
    <w:rsid w:val="00C54F95"/>
    <w:rsid w:val="00C5522C"/>
    <w:rsid w:val="00C555EA"/>
    <w:rsid w:val="00C56B9F"/>
    <w:rsid w:val="00C56C38"/>
    <w:rsid w:val="00C57DCF"/>
    <w:rsid w:val="00C6011B"/>
    <w:rsid w:val="00C61779"/>
    <w:rsid w:val="00C6222D"/>
    <w:rsid w:val="00C62588"/>
    <w:rsid w:val="00C62632"/>
    <w:rsid w:val="00C62690"/>
    <w:rsid w:val="00C62E79"/>
    <w:rsid w:val="00C631B3"/>
    <w:rsid w:val="00C634A0"/>
    <w:rsid w:val="00C63E40"/>
    <w:rsid w:val="00C642EE"/>
    <w:rsid w:val="00C6441F"/>
    <w:rsid w:val="00C646B0"/>
    <w:rsid w:val="00C64C16"/>
    <w:rsid w:val="00C6509B"/>
    <w:rsid w:val="00C65213"/>
    <w:rsid w:val="00C6535F"/>
    <w:rsid w:val="00C653DB"/>
    <w:rsid w:val="00C658EE"/>
    <w:rsid w:val="00C6596C"/>
    <w:rsid w:val="00C65CCF"/>
    <w:rsid w:val="00C66D0F"/>
    <w:rsid w:val="00C67BDF"/>
    <w:rsid w:val="00C70051"/>
    <w:rsid w:val="00C70AC4"/>
    <w:rsid w:val="00C71C2A"/>
    <w:rsid w:val="00C71F72"/>
    <w:rsid w:val="00C72268"/>
    <w:rsid w:val="00C72423"/>
    <w:rsid w:val="00C745C2"/>
    <w:rsid w:val="00C74788"/>
    <w:rsid w:val="00C748A8"/>
    <w:rsid w:val="00C74B3F"/>
    <w:rsid w:val="00C7505F"/>
    <w:rsid w:val="00C751BC"/>
    <w:rsid w:val="00C75418"/>
    <w:rsid w:val="00C756B9"/>
    <w:rsid w:val="00C75944"/>
    <w:rsid w:val="00C76542"/>
    <w:rsid w:val="00C767AC"/>
    <w:rsid w:val="00C76947"/>
    <w:rsid w:val="00C7699B"/>
    <w:rsid w:val="00C76BFF"/>
    <w:rsid w:val="00C7742B"/>
    <w:rsid w:val="00C775A5"/>
    <w:rsid w:val="00C80693"/>
    <w:rsid w:val="00C80B10"/>
    <w:rsid w:val="00C80BA1"/>
    <w:rsid w:val="00C80C0B"/>
    <w:rsid w:val="00C8100E"/>
    <w:rsid w:val="00C81238"/>
    <w:rsid w:val="00C81541"/>
    <w:rsid w:val="00C82403"/>
    <w:rsid w:val="00C8261B"/>
    <w:rsid w:val="00C82663"/>
    <w:rsid w:val="00C82FDD"/>
    <w:rsid w:val="00C83618"/>
    <w:rsid w:val="00C837FA"/>
    <w:rsid w:val="00C83CD4"/>
    <w:rsid w:val="00C83DED"/>
    <w:rsid w:val="00C83FCD"/>
    <w:rsid w:val="00C84EC6"/>
    <w:rsid w:val="00C84F47"/>
    <w:rsid w:val="00C84F49"/>
    <w:rsid w:val="00C8502D"/>
    <w:rsid w:val="00C85094"/>
    <w:rsid w:val="00C8530E"/>
    <w:rsid w:val="00C85863"/>
    <w:rsid w:val="00C866C5"/>
    <w:rsid w:val="00C86A61"/>
    <w:rsid w:val="00C86BD2"/>
    <w:rsid w:val="00C8750F"/>
    <w:rsid w:val="00C87CB9"/>
    <w:rsid w:val="00C87F3C"/>
    <w:rsid w:val="00C90178"/>
    <w:rsid w:val="00C90243"/>
    <w:rsid w:val="00C90747"/>
    <w:rsid w:val="00C91861"/>
    <w:rsid w:val="00C919C6"/>
    <w:rsid w:val="00C91AB9"/>
    <w:rsid w:val="00C9280F"/>
    <w:rsid w:val="00C9296A"/>
    <w:rsid w:val="00C92E66"/>
    <w:rsid w:val="00C93184"/>
    <w:rsid w:val="00C9328B"/>
    <w:rsid w:val="00C9378E"/>
    <w:rsid w:val="00C93B4E"/>
    <w:rsid w:val="00C93D7F"/>
    <w:rsid w:val="00C943F1"/>
    <w:rsid w:val="00C94B85"/>
    <w:rsid w:val="00C9514B"/>
    <w:rsid w:val="00C95569"/>
    <w:rsid w:val="00C96979"/>
    <w:rsid w:val="00C96EA9"/>
    <w:rsid w:val="00C96F6E"/>
    <w:rsid w:val="00C97292"/>
    <w:rsid w:val="00C97461"/>
    <w:rsid w:val="00C97915"/>
    <w:rsid w:val="00C97D26"/>
    <w:rsid w:val="00C97DF7"/>
    <w:rsid w:val="00C97E64"/>
    <w:rsid w:val="00C97EFD"/>
    <w:rsid w:val="00CA0402"/>
    <w:rsid w:val="00CA080B"/>
    <w:rsid w:val="00CA0B62"/>
    <w:rsid w:val="00CA0E5E"/>
    <w:rsid w:val="00CA1393"/>
    <w:rsid w:val="00CA1586"/>
    <w:rsid w:val="00CA1960"/>
    <w:rsid w:val="00CA1FA5"/>
    <w:rsid w:val="00CA2547"/>
    <w:rsid w:val="00CA2667"/>
    <w:rsid w:val="00CA2783"/>
    <w:rsid w:val="00CA288D"/>
    <w:rsid w:val="00CA2949"/>
    <w:rsid w:val="00CA2E95"/>
    <w:rsid w:val="00CA3547"/>
    <w:rsid w:val="00CA3A06"/>
    <w:rsid w:val="00CA3BE2"/>
    <w:rsid w:val="00CA3EF3"/>
    <w:rsid w:val="00CA4079"/>
    <w:rsid w:val="00CA4147"/>
    <w:rsid w:val="00CA455F"/>
    <w:rsid w:val="00CA4A6E"/>
    <w:rsid w:val="00CA60BE"/>
    <w:rsid w:val="00CA6171"/>
    <w:rsid w:val="00CA620A"/>
    <w:rsid w:val="00CA6876"/>
    <w:rsid w:val="00CA7203"/>
    <w:rsid w:val="00CA73DE"/>
    <w:rsid w:val="00CA7684"/>
    <w:rsid w:val="00CA7762"/>
    <w:rsid w:val="00CA77EC"/>
    <w:rsid w:val="00CA7AA6"/>
    <w:rsid w:val="00CA7C0F"/>
    <w:rsid w:val="00CB0AA6"/>
    <w:rsid w:val="00CB0D8C"/>
    <w:rsid w:val="00CB4E3E"/>
    <w:rsid w:val="00CB51A3"/>
    <w:rsid w:val="00CB546B"/>
    <w:rsid w:val="00CB55BB"/>
    <w:rsid w:val="00CB691D"/>
    <w:rsid w:val="00CB6980"/>
    <w:rsid w:val="00CB7149"/>
    <w:rsid w:val="00CB739D"/>
    <w:rsid w:val="00CC0351"/>
    <w:rsid w:val="00CC0AA7"/>
    <w:rsid w:val="00CC18EB"/>
    <w:rsid w:val="00CC1DA4"/>
    <w:rsid w:val="00CC2327"/>
    <w:rsid w:val="00CC2ED5"/>
    <w:rsid w:val="00CC3665"/>
    <w:rsid w:val="00CC39D0"/>
    <w:rsid w:val="00CC3A5E"/>
    <w:rsid w:val="00CC3B49"/>
    <w:rsid w:val="00CC4B98"/>
    <w:rsid w:val="00CC4C74"/>
    <w:rsid w:val="00CC523A"/>
    <w:rsid w:val="00CC55D3"/>
    <w:rsid w:val="00CC5621"/>
    <w:rsid w:val="00CC65E6"/>
    <w:rsid w:val="00CC6982"/>
    <w:rsid w:val="00CC6B87"/>
    <w:rsid w:val="00CC7517"/>
    <w:rsid w:val="00CC7B2E"/>
    <w:rsid w:val="00CC7C7F"/>
    <w:rsid w:val="00CC7F7B"/>
    <w:rsid w:val="00CD0828"/>
    <w:rsid w:val="00CD090F"/>
    <w:rsid w:val="00CD0F5F"/>
    <w:rsid w:val="00CD1F40"/>
    <w:rsid w:val="00CD262B"/>
    <w:rsid w:val="00CD2DD4"/>
    <w:rsid w:val="00CD3660"/>
    <w:rsid w:val="00CD4226"/>
    <w:rsid w:val="00CD444F"/>
    <w:rsid w:val="00CD4772"/>
    <w:rsid w:val="00CD4C2D"/>
    <w:rsid w:val="00CD4C9B"/>
    <w:rsid w:val="00CD4EE0"/>
    <w:rsid w:val="00CD70C6"/>
    <w:rsid w:val="00CD7621"/>
    <w:rsid w:val="00CD7A72"/>
    <w:rsid w:val="00CD7BD2"/>
    <w:rsid w:val="00CD7C0C"/>
    <w:rsid w:val="00CE0656"/>
    <w:rsid w:val="00CE0AA9"/>
    <w:rsid w:val="00CE0AF3"/>
    <w:rsid w:val="00CE1834"/>
    <w:rsid w:val="00CE1AF1"/>
    <w:rsid w:val="00CE1E70"/>
    <w:rsid w:val="00CE21AB"/>
    <w:rsid w:val="00CE237B"/>
    <w:rsid w:val="00CE281E"/>
    <w:rsid w:val="00CE2EE9"/>
    <w:rsid w:val="00CE3577"/>
    <w:rsid w:val="00CE3E30"/>
    <w:rsid w:val="00CE4C87"/>
    <w:rsid w:val="00CE54B3"/>
    <w:rsid w:val="00CE56DF"/>
    <w:rsid w:val="00CE60A4"/>
    <w:rsid w:val="00CE6327"/>
    <w:rsid w:val="00CE65B6"/>
    <w:rsid w:val="00CE6614"/>
    <w:rsid w:val="00CE6953"/>
    <w:rsid w:val="00CE6B32"/>
    <w:rsid w:val="00CE6F45"/>
    <w:rsid w:val="00CE72F1"/>
    <w:rsid w:val="00CE7A33"/>
    <w:rsid w:val="00CE7AF8"/>
    <w:rsid w:val="00CE7EFD"/>
    <w:rsid w:val="00CF0594"/>
    <w:rsid w:val="00CF07F6"/>
    <w:rsid w:val="00CF0A72"/>
    <w:rsid w:val="00CF0C38"/>
    <w:rsid w:val="00CF0E65"/>
    <w:rsid w:val="00CF1050"/>
    <w:rsid w:val="00CF14E7"/>
    <w:rsid w:val="00CF176F"/>
    <w:rsid w:val="00CF22B9"/>
    <w:rsid w:val="00CF25E3"/>
    <w:rsid w:val="00CF260E"/>
    <w:rsid w:val="00CF2E57"/>
    <w:rsid w:val="00CF400C"/>
    <w:rsid w:val="00CF4106"/>
    <w:rsid w:val="00CF4196"/>
    <w:rsid w:val="00CF420A"/>
    <w:rsid w:val="00CF4569"/>
    <w:rsid w:val="00CF47F7"/>
    <w:rsid w:val="00CF5685"/>
    <w:rsid w:val="00CF5B97"/>
    <w:rsid w:val="00CF6555"/>
    <w:rsid w:val="00CF6831"/>
    <w:rsid w:val="00CF6B12"/>
    <w:rsid w:val="00CF72FB"/>
    <w:rsid w:val="00D00434"/>
    <w:rsid w:val="00D0051F"/>
    <w:rsid w:val="00D00C6E"/>
    <w:rsid w:val="00D00E71"/>
    <w:rsid w:val="00D01391"/>
    <w:rsid w:val="00D013DF"/>
    <w:rsid w:val="00D01626"/>
    <w:rsid w:val="00D01670"/>
    <w:rsid w:val="00D01B9A"/>
    <w:rsid w:val="00D01B9F"/>
    <w:rsid w:val="00D02569"/>
    <w:rsid w:val="00D02B66"/>
    <w:rsid w:val="00D0302D"/>
    <w:rsid w:val="00D030EA"/>
    <w:rsid w:val="00D03967"/>
    <w:rsid w:val="00D03ED8"/>
    <w:rsid w:val="00D041F8"/>
    <w:rsid w:val="00D044A9"/>
    <w:rsid w:val="00D04A5B"/>
    <w:rsid w:val="00D05389"/>
    <w:rsid w:val="00D056BE"/>
    <w:rsid w:val="00D05879"/>
    <w:rsid w:val="00D05E59"/>
    <w:rsid w:val="00D06ACC"/>
    <w:rsid w:val="00D06D9F"/>
    <w:rsid w:val="00D0749E"/>
    <w:rsid w:val="00D07950"/>
    <w:rsid w:val="00D079A1"/>
    <w:rsid w:val="00D10935"/>
    <w:rsid w:val="00D10A85"/>
    <w:rsid w:val="00D10ECB"/>
    <w:rsid w:val="00D126BF"/>
    <w:rsid w:val="00D12922"/>
    <w:rsid w:val="00D12A35"/>
    <w:rsid w:val="00D12FAF"/>
    <w:rsid w:val="00D1328A"/>
    <w:rsid w:val="00D1421B"/>
    <w:rsid w:val="00D1512A"/>
    <w:rsid w:val="00D15782"/>
    <w:rsid w:val="00D169C0"/>
    <w:rsid w:val="00D17C16"/>
    <w:rsid w:val="00D17D1C"/>
    <w:rsid w:val="00D20978"/>
    <w:rsid w:val="00D2129F"/>
    <w:rsid w:val="00D212B8"/>
    <w:rsid w:val="00D21AB3"/>
    <w:rsid w:val="00D222C0"/>
    <w:rsid w:val="00D226BD"/>
    <w:rsid w:val="00D227A3"/>
    <w:rsid w:val="00D2286E"/>
    <w:rsid w:val="00D23085"/>
    <w:rsid w:val="00D23470"/>
    <w:rsid w:val="00D24063"/>
    <w:rsid w:val="00D24210"/>
    <w:rsid w:val="00D2507A"/>
    <w:rsid w:val="00D25165"/>
    <w:rsid w:val="00D256D6"/>
    <w:rsid w:val="00D25795"/>
    <w:rsid w:val="00D257CB"/>
    <w:rsid w:val="00D2650C"/>
    <w:rsid w:val="00D26A08"/>
    <w:rsid w:val="00D27438"/>
    <w:rsid w:val="00D27775"/>
    <w:rsid w:val="00D2780B"/>
    <w:rsid w:val="00D3044D"/>
    <w:rsid w:val="00D3051D"/>
    <w:rsid w:val="00D3087A"/>
    <w:rsid w:val="00D30F2C"/>
    <w:rsid w:val="00D31AF4"/>
    <w:rsid w:val="00D31E55"/>
    <w:rsid w:val="00D31E9B"/>
    <w:rsid w:val="00D31FAA"/>
    <w:rsid w:val="00D320EA"/>
    <w:rsid w:val="00D32485"/>
    <w:rsid w:val="00D3343B"/>
    <w:rsid w:val="00D336F0"/>
    <w:rsid w:val="00D3494E"/>
    <w:rsid w:val="00D34956"/>
    <w:rsid w:val="00D3508C"/>
    <w:rsid w:val="00D35398"/>
    <w:rsid w:val="00D35751"/>
    <w:rsid w:val="00D35E08"/>
    <w:rsid w:val="00D361AD"/>
    <w:rsid w:val="00D36B85"/>
    <w:rsid w:val="00D36B8B"/>
    <w:rsid w:val="00D36E05"/>
    <w:rsid w:val="00D370AC"/>
    <w:rsid w:val="00D3754A"/>
    <w:rsid w:val="00D37747"/>
    <w:rsid w:val="00D37761"/>
    <w:rsid w:val="00D37829"/>
    <w:rsid w:val="00D40430"/>
    <w:rsid w:val="00D40478"/>
    <w:rsid w:val="00D40656"/>
    <w:rsid w:val="00D40F25"/>
    <w:rsid w:val="00D41858"/>
    <w:rsid w:val="00D41F5E"/>
    <w:rsid w:val="00D4228F"/>
    <w:rsid w:val="00D42530"/>
    <w:rsid w:val="00D42688"/>
    <w:rsid w:val="00D4309E"/>
    <w:rsid w:val="00D4389F"/>
    <w:rsid w:val="00D43997"/>
    <w:rsid w:val="00D43A94"/>
    <w:rsid w:val="00D43ACD"/>
    <w:rsid w:val="00D43E69"/>
    <w:rsid w:val="00D4411A"/>
    <w:rsid w:val="00D441FD"/>
    <w:rsid w:val="00D4452A"/>
    <w:rsid w:val="00D44989"/>
    <w:rsid w:val="00D453B3"/>
    <w:rsid w:val="00D458F9"/>
    <w:rsid w:val="00D45B10"/>
    <w:rsid w:val="00D4691C"/>
    <w:rsid w:val="00D470A4"/>
    <w:rsid w:val="00D509CD"/>
    <w:rsid w:val="00D5112B"/>
    <w:rsid w:val="00D51627"/>
    <w:rsid w:val="00D5292D"/>
    <w:rsid w:val="00D529B8"/>
    <w:rsid w:val="00D533D5"/>
    <w:rsid w:val="00D533F0"/>
    <w:rsid w:val="00D53913"/>
    <w:rsid w:val="00D539B3"/>
    <w:rsid w:val="00D53F31"/>
    <w:rsid w:val="00D54CD3"/>
    <w:rsid w:val="00D54D78"/>
    <w:rsid w:val="00D5547E"/>
    <w:rsid w:val="00D5599F"/>
    <w:rsid w:val="00D55C30"/>
    <w:rsid w:val="00D55DA0"/>
    <w:rsid w:val="00D55E20"/>
    <w:rsid w:val="00D55E59"/>
    <w:rsid w:val="00D55F05"/>
    <w:rsid w:val="00D56528"/>
    <w:rsid w:val="00D57135"/>
    <w:rsid w:val="00D576BD"/>
    <w:rsid w:val="00D57C25"/>
    <w:rsid w:val="00D57FAF"/>
    <w:rsid w:val="00D6006A"/>
    <w:rsid w:val="00D60623"/>
    <w:rsid w:val="00D6105B"/>
    <w:rsid w:val="00D61393"/>
    <w:rsid w:val="00D61725"/>
    <w:rsid w:val="00D61D8A"/>
    <w:rsid w:val="00D62370"/>
    <w:rsid w:val="00D625F3"/>
    <w:rsid w:val="00D629F0"/>
    <w:rsid w:val="00D63531"/>
    <w:rsid w:val="00D63DF9"/>
    <w:rsid w:val="00D64456"/>
    <w:rsid w:val="00D64579"/>
    <w:rsid w:val="00D647FE"/>
    <w:rsid w:val="00D64A6A"/>
    <w:rsid w:val="00D64F07"/>
    <w:rsid w:val="00D65000"/>
    <w:rsid w:val="00D65950"/>
    <w:rsid w:val="00D65D3B"/>
    <w:rsid w:val="00D65D91"/>
    <w:rsid w:val="00D65F25"/>
    <w:rsid w:val="00D66552"/>
    <w:rsid w:val="00D6740B"/>
    <w:rsid w:val="00D674FA"/>
    <w:rsid w:val="00D676CF"/>
    <w:rsid w:val="00D67CAC"/>
    <w:rsid w:val="00D706F8"/>
    <w:rsid w:val="00D716D2"/>
    <w:rsid w:val="00D71745"/>
    <w:rsid w:val="00D726C8"/>
    <w:rsid w:val="00D72D3F"/>
    <w:rsid w:val="00D73219"/>
    <w:rsid w:val="00D73C1E"/>
    <w:rsid w:val="00D73D40"/>
    <w:rsid w:val="00D73DF4"/>
    <w:rsid w:val="00D7464D"/>
    <w:rsid w:val="00D74873"/>
    <w:rsid w:val="00D749DC"/>
    <w:rsid w:val="00D74DBA"/>
    <w:rsid w:val="00D75231"/>
    <w:rsid w:val="00D75375"/>
    <w:rsid w:val="00D75D5A"/>
    <w:rsid w:val="00D760D0"/>
    <w:rsid w:val="00D76372"/>
    <w:rsid w:val="00D767EF"/>
    <w:rsid w:val="00D76B25"/>
    <w:rsid w:val="00D76B6D"/>
    <w:rsid w:val="00D7714C"/>
    <w:rsid w:val="00D777E9"/>
    <w:rsid w:val="00D778EF"/>
    <w:rsid w:val="00D779E8"/>
    <w:rsid w:val="00D77EE9"/>
    <w:rsid w:val="00D804E8"/>
    <w:rsid w:val="00D80FE0"/>
    <w:rsid w:val="00D8101B"/>
    <w:rsid w:val="00D813A0"/>
    <w:rsid w:val="00D814AF"/>
    <w:rsid w:val="00D81A8A"/>
    <w:rsid w:val="00D81FED"/>
    <w:rsid w:val="00D82621"/>
    <w:rsid w:val="00D8283D"/>
    <w:rsid w:val="00D82A5A"/>
    <w:rsid w:val="00D83229"/>
    <w:rsid w:val="00D8349E"/>
    <w:rsid w:val="00D835B0"/>
    <w:rsid w:val="00D83952"/>
    <w:rsid w:val="00D83A8C"/>
    <w:rsid w:val="00D83D0F"/>
    <w:rsid w:val="00D83E9C"/>
    <w:rsid w:val="00D8430D"/>
    <w:rsid w:val="00D84424"/>
    <w:rsid w:val="00D84E0F"/>
    <w:rsid w:val="00D84E6F"/>
    <w:rsid w:val="00D85568"/>
    <w:rsid w:val="00D8560E"/>
    <w:rsid w:val="00D85669"/>
    <w:rsid w:val="00D85AF9"/>
    <w:rsid w:val="00D85CE8"/>
    <w:rsid w:val="00D861B7"/>
    <w:rsid w:val="00D867A4"/>
    <w:rsid w:val="00D86972"/>
    <w:rsid w:val="00D872C3"/>
    <w:rsid w:val="00D872ED"/>
    <w:rsid w:val="00D87882"/>
    <w:rsid w:val="00D87A05"/>
    <w:rsid w:val="00D87A52"/>
    <w:rsid w:val="00D87CD8"/>
    <w:rsid w:val="00D90623"/>
    <w:rsid w:val="00D90AD1"/>
    <w:rsid w:val="00D910C1"/>
    <w:rsid w:val="00D914B6"/>
    <w:rsid w:val="00D91956"/>
    <w:rsid w:val="00D91D74"/>
    <w:rsid w:val="00D92DAB"/>
    <w:rsid w:val="00D9367D"/>
    <w:rsid w:val="00D9381C"/>
    <w:rsid w:val="00D938D4"/>
    <w:rsid w:val="00D939BD"/>
    <w:rsid w:val="00D93C6D"/>
    <w:rsid w:val="00D93EDF"/>
    <w:rsid w:val="00D94006"/>
    <w:rsid w:val="00D9435C"/>
    <w:rsid w:val="00D94576"/>
    <w:rsid w:val="00D945A8"/>
    <w:rsid w:val="00D9559E"/>
    <w:rsid w:val="00D960C4"/>
    <w:rsid w:val="00D97714"/>
    <w:rsid w:val="00DA09E8"/>
    <w:rsid w:val="00DA0C75"/>
    <w:rsid w:val="00DA13E2"/>
    <w:rsid w:val="00DA18DF"/>
    <w:rsid w:val="00DA1979"/>
    <w:rsid w:val="00DA19FC"/>
    <w:rsid w:val="00DA1EBA"/>
    <w:rsid w:val="00DA1ECD"/>
    <w:rsid w:val="00DA2F62"/>
    <w:rsid w:val="00DA37EC"/>
    <w:rsid w:val="00DA3862"/>
    <w:rsid w:val="00DA3A14"/>
    <w:rsid w:val="00DA3F74"/>
    <w:rsid w:val="00DA4165"/>
    <w:rsid w:val="00DA460B"/>
    <w:rsid w:val="00DA460C"/>
    <w:rsid w:val="00DA4C95"/>
    <w:rsid w:val="00DA4FCB"/>
    <w:rsid w:val="00DA50B7"/>
    <w:rsid w:val="00DA51A8"/>
    <w:rsid w:val="00DA53FE"/>
    <w:rsid w:val="00DA553A"/>
    <w:rsid w:val="00DA5791"/>
    <w:rsid w:val="00DA58DA"/>
    <w:rsid w:val="00DA5931"/>
    <w:rsid w:val="00DA6472"/>
    <w:rsid w:val="00DA66AA"/>
    <w:rsid w:val="00DA686D"/>
    <w:rsid w:val="00DA6F81"/>
    <w:rsid w:val="00DA70C2"/>
    <w:rsid w:val="00DA731A"/>
    <w:rsid w:val="00DA7398"/>
    <w:rsid w:val="00DA7445"/>
    <w:rsid w:val="00DA7E6C"/>
    <w:rsid w:val="00DA7E7C"/>
    <w:rsid w:val="00DB0BF6"/>
    <w:rsid w:val="00DB0E23"/>
    <w:rsid w:val="00DB0F82"/>
    <w:rsid w:val="00DB121D"/>
    <w:rsid w:val="00DB17D0"/>
    <w:rsid w:val="00DB20DD"/>
    <w:rsid w:val="00DB2D9D"/>
    <w:rsid w:val="00DB3BE2"/>
    <w:rsid w:val="00DB4034"/>
    <w:rsid w:val="00DB4114"/>
    <w:rsid w:val="00DB4247"/>
    <w:rsid w:val="00DB4576"/>
    <w:rsid w:val="00DB481C"/>
    <w:rsid w:val="00DB49FB"/>
    <w:rsid w:val="00DB4B46"/>
    <w:rsid w:val="00DB5415"/>
    <w:rsid w:val="00DB5E3D"/>
    <w:rsid w:val="00DB626D"/>
    <w:rsid w:val="00DB639D"/>
    <w:rsid w:val="00DB63EB"/>
    <w:rsid w:val="00DB681A"/>
    <w:rsid w:val="00DB7098"/>
    <w:rsid w:val="00DB78A3"/>
    <w:rsid w:val="00DC0367"/>
    <w:rsid w:val="00DC04D4"/>
    <w:rsid w:val="00DC0510"/>
    <w:rsid w:val="00DC0C08"/>
    <w:rsid w:val="00DC24CE"/>
    <w:rsid w:val="00DC2FD1"/>
    <w:rsid w:val="00DC3831"/>
    <w:rsid w:val="00DC3B7B"/>
    <w:rsid w:val="00DC3CB7"/>
    <w:rsid w:val="00DC3F1E"/>
    <w:rsid w:val="00DC492D"/>
    <w:rsid w:val="00DC4B06"/>
    <w:rsid w:val="00DC58B0"/>
    <w:rsid w:val="00DC5FCE"/>
    <w:rsid w:val="00DC6123"/>
    <w:rsid w:val="00DC686C"/>
    <w:rsid w:val="00DC6D91"/>
    <w:rsid w:val="00DC70B2"/>
    <w:rsid w:val="00DC753D"/>
    <w:rsid w:val="00DC7AA4"/>
    <w:rsid w:val="00DD0175"/>
    <w:rsid w:val="00DD0204"/>
    <w:rsid w:val="00DD14AD"/>
    <w:rsid w:val="00DD14EF"/>
    <w:rsid w:val="00DD1DC6"/>
    <w:rsid w:val="00DD2222"/>
    <w:rsid w:val="00DD2BD9"/>
    <w:rsid w:val="00DD3046"/>
    <w:rsid w:val="00DD3194"/>
    <w:rsid w:val="00DD3E5B"/>
    <w:rsid w:val="00DD432C"/>
    <w:rsid w:val="00DD445D"/>
    <w:rsid w:val="00DD4B24"/>
    <w:rsid w:val="00DD4D8F"/>
    <w:rsid w:val="00DD4FB4"/>
    <w:rsid w:val="00DD4FFD"/>
    <w:rsid w:val="00DD51EF"/>
    <w:rsid w:val="00DD5CAF"/>
    <w:rsid w:val="00DD66B7"/>
    <w:rsid w:val="00DD715A"/>
    <w:rsid w:val="00DD7206"/>
    <w:rsid w:val="00DE0138"/>
    <w:rsid w:val="00DE033C"/>
    <w:rsid w:val="00DE07FA"/>
    <w:rsid w:val="00DE086D"/>
    <w:rsid w:val="00DE0962"/>
    <w:rsid w:val="00DE09AC"/>
    <w:rsid w:val="00DE0DC0"/>
    <w:rsid w:val="00DE1559"/>
    <w:rsid w:val="00DE2823"/>
    <w:rsid w:val="00DE2B7F"/>
    <w:rsid w:val="00DE335C"/>
    <w:rsid w:val="00DE3452"/>
    <w:rsid w:val="00DE3500"/>
    <w:rsid w:val="00DE3666"/>
    <w:rsid w:val="00DE3678"/>
    <w:rsid w:val="00DE3B5B"/>
    <w:rsid w:val="00DE3B84"/>
    <w:rsid w:val="00DE3C54"/>
    <w:rsid w:val="00DE414A"/>
    <w:rsid w:val="00DE425D"/>
    <w:rsid w:val="00DE4A7D"/>
    <w:rsid w:val="00DE4D3F"/>
    <w:rsid w:val="00DE53A1"/>
    <w:rsid w:val="00DE61F0"/>
    <w:rsid w:val="00DE628C"/>
    <w:rsid w:val="00DE639C"/>
    <w:rsid w:val="00DE726E"/>
    <w:rsid w:val="00DE7697"/>
    <w:rsid w:val="00DE7ED0"/>
    <w:rsid w:val="00DF095E"/>
    <w:rsid w:val="00DF1486"/>
    <w:rsid w:val="00DF2999"/>
    <w:rsid w:val="00DF2E1F"/>
    <w:rsid w:val="00DF3BE8"/>
    <w:rsid w:val="00DF4618"/>
    <w:rsid w:val="00DF4BCC"/>
    <w:rsid w:val="00DF5400"/>
    <w:rsid w:val="00DF607B"/>
    <w:rsid w:val="00DF74AF"/>
    <w:rsid w:val="00DF7B31"/>
    <w:rsid w:val="00E0060C"/>
    <w:rsid w:val="00E00822"/>
    <w:rsid w:val="00E00ABF"/>
    <w:rsid w:val="00E00CC6"/>
    <w:rsid w:val="00E01666"/>
    <w:rsid w:val="00E019BA"/>
    <w:rsid w:val="00E01DBE"/>
    <w:rsid w:val="00E0220E"/>
    <w:rsid w:val="00E02B3D"/>
    <w:rsid w:val="00E02FE1"/>
    <w:rsid w:val="00E03131"/>
    <w:rsid w:val="00E0328B"/>
    <w:rsid w:val="00E033D1"/>
    <w:rsid w:val="00E0400B"/>
    <w:rsid w:val="00E04206"/>
    <w:rsid w:val="00E0437F"/>
    <w:rsid w:val="00E0438A"/>
    <w:rsid w:val="00E0497F"/>
    <w:rsid w:val="00E0560F"/>
    <w:rsid w:val="00E05DDE"/>
    <w:rsid w:val="00E06B4B"/>
    <w:rsid w:val="00E0716D"/>
    <w:rsid w:val="00E071A3"/>
    <w:rsid w:val="00E0764C"/>
    <w:rsid w:val="00E10993"/>
    <w:rsid w:val="00E116BE"/>
    <w:rsid w:val="00E1180B"/>
    <w:rsid w:val="00E11C85"/>
    <w:rsid w:val="00E11D76"/>
    <w:rsid w:val="00E11F8B"/>
    <w:rsid w:val="00E124CA"/>
    <w:rsid w:val="00E12E88"/>
    <w:rsid w:val="00E13087"/>
    <w:rsid w:val="00E131D6"/>
    <w:rsid w:val="00E13292"/>
    <w:rsid w:val="00E13EFF"/>
    <w:rsid w:val="00E14793"/>
    <w:rsid w:val="00E1486C"/>
    <w:rsid w:val="00E148BF"/>
    <w:rsid w:val="00E14A11"/>
    <w:rsid w:val="00E14F34"/>
    <w:rsid w:val="00E15092"/>
    <w:rsid w:val="00E15180"/>
    <w:rsid w:val="00E155E1"/>
    <w:rsid w:val="00E15716"/>
    <w:rsid w:val="00E15AF6"/>
    <w:rsid w:val="00E15B95"/>
    <w:rsid w:val="00E1653D"/>
    <w:rsid w:val="00E16836"/>
    <w:rsid w:val="00E16871"/>
    <w:rsid w:val="00E169BB"/>
    <w:rsid w:val="00E16AFF"/>
    <w:rsid w:val="00E16E76"/>
    <w:rsid w:val="00E1775D"/>
    <w:rsid w:val="00E179C8"/>
    <w:rsid w:val="00E17B12"/>
    <w:rsid w:val="00E17FA7"/>
    <w:rsid w:val="00E207BB"/>
    <w:rsid w:val="00E20C5B"/>
    <w:rsid w:val="00E210F3"/>
    <w:rsid w:val="00E213D9"/>
    <w:rsid w:val="00E2192B"/>
    <w:rsid w:val="00E2193D"/>
    <w:rsid w:val="00E21AD7"/>
    <w:rsid w:val="00E21EC6"/>
    <w:rsid w:val="00E23043"/>
    <w:rsid w:val="00E23141"/>
    <w:rsid w:val="00E2326C"/>
    <w:rsid w:val="00E23480"/>
    <w:rsid w:val="00E238B6"/>
    <w:rsid w:val="00E23A06"/>
    <w:rsid w:val="00E23A91"/>
    <w:rsid w:val="00E2453D"/>
    <w:rsid w:val="00E24731"/>
    <w:rsid w:val="00E24AEE"/>
    <w:rsid w:val="00E2558A"/>
    <w:rsid w:val="00E25C24"/>
    <w:rsid w:val="00E260C4"/>
    <w:rsid w:val="00E269E5"/>
    <w:rsid w:val="00E274B8"/>
    <w:rsid w:val="00E27AA4"/>
    <w:rsid w:val="00E31278"/>
    <w:rsid w:val="00E31487"/>
    <w:rsid w:val="00E316D8"/>
    <w:rsid w:val="00E31B8E"/>
    <w:rsid w:val="00E324AC"/>
    <w:rsid w:val="00E327C5"/>
    <w:rsid w:val="00E33E5A"/>
    <w:rsid w:val="00E34151"/>
    <w:rsid w:val="00E3423C"/>
    <w:rsid w:val="00E34D73"/>
    <w:rsid w:val="00E350FB"/>
    <w:rsid w:val="00E35178"/>
    <w:rsid w:val="00E35606"/>
    <w:rsid w:val="00E35C95"/>
    <w:rsid w:val="00E36179"/>
    <w:rsid w:val="00E36A98"/>
    <w:rsid w:val="00E373A5"/>
    <w:rsid w:val="00E374B4"/>
    <w:rsid w:val="00E37E8C"/>
    <w:rsid w:val="00E37F4A"/>
    <w:rsid w:val="00E41394"/>
    <w:rsid w:val="00E41446"/>
    <w:rsid w:val="00E415B0"/>
    <w:rsid w:val="00E4180E"/>
    <w:rsid w:val="00E418C5"/>
    <w:rsid w:val="00E41967"/>
    <w:rsid w:val="00E419E3"/>
    <w:rsid w:val="00E427CF"/>
    <w:rsid w:val="00E42947"/>
    <w:rsid w:val="00E42B2F"/>
    <w:rsid w:val="00E43388"/>
    <w:rsid w:val="00E43434"/>
    <w:rsid w:val="00E43542"/>
    <w:rsid w:val="00E43C29"/>
    <w:rsid w:val="00E43CE4"/>
    <w:rsid w:val="00E43D91"/>
    <w:rsid w:val="00E44C11"/>
    <w:rsid w:val="00E45240"/>
    <w:rsid w:val="00E45823"/>
    <w:rsid w:val="00E4619E"/>
    <w:rsid w:val="00E4677D"/>
    <w:rsid w:val="00E469D9"/>
    <w:rsid w:val="00E46A48"/>
    <w:rsid w:val="00E46C8A"/>
    <w:rsid w:val="00E46D27"/>
    <w:rsid w:val="00E47136"/>
    <w:rsid w:val="00E50EB2"/>
    <w:rsid w:val="00E51588"/>
    <w:rsid w:val="00E5220D"/>
    <w:rsid w:val="00E52231"/>
    <w:rsid w:val="00E526AA"/>
    <w:rsid w:val="00E529AF"/>
    <w:rsid w:val="00E54351"/>
    <w:rsid w:val="00E54638"/>
    <w:rsid w:val="00E54864"/>
    <w:rsid w:val="00E54AE4"/>
    <w:rsid w:val="00E54D70"/>
    <w:rsid w:val="00E5531B"/>
    <w:rsid w:val="00E5563F"/>
    <w:rsid w:val="00E55B20"/>
    <w:rsid w:val="00E55E36"/>
    <w:rsid w:val="00E564CC"/>
    <w:rsid w:val="00E56A55"/>
    <w:rsid w:val="00E56BDD"/>
    <w:rsid w:val="00E57008"/>
    <w:rsid w:val="00E571C7"/>
    <w:rsid w:val="00E60143"/>
    <w:rsid w:val="00E603AA"/>
    <w:rsid w:val="00E60677"/>
    <w:rsid w:val="00E606C0"/>
    <w:rsid w:val="00E60BA7"/>
    <w:rsid w:val="00E60FC9"/>
    <w:rsid w:val="00E6118A"/>
    <w:rsid w:val="00E61288"/>
    <w:rsid w:val="00E612D9"/>
    <w:rsid w:val="00E61FCC"/>
    <w:rsid w:val="00E625CF"/>
    <w:rsid w:val="00E6287A"/>
    <w:rsid w:val="00E62970"/>
    <w:rsid w:val="00E62A33"/>
    <w:rsid w:val="00E633FA"/>
    <w:rsid w:val="00E63A61"/>
    <w:rsid w:val="00E640E8"/>
    <w:rsid w:val="00E645B1"/>
    <w:rsid w:val="00E6486B"/>
    <w:rsid w:val="00E648B5"/>
    <w:rsid w:val="00E648FD"/>
    <w:rsid w:val="00E64F31"/>
    <w:rsid w:val="00E652E3"/>
    <w:rsid w:val="00E655DD"/>
    <w:rsid w:val="00E6598D"/>
    <w:rsid w:val="00E65E96"/>
    <w:rsid w:val="00E65EB8"/>
    <w:rsid w:val="00E66220"/>
    <w:rsid w:val="00E66413"/>
    <w:rsid w:val="00E67005"/>
    <w:rsid w:val="00E6736E"/>
    <w:rsid w:val="00E67629"/>
    <w:rsid w:val="00E70219"/>
    <w:rsid w:val="00E7038E"/>
    <w:rsid w:val="00E7097A"/>
    <w:rsid w:val="00E709F1"/>
    <w:rsid w:val="00E713DC"/>
    <w:rsid w:val="00E71CB2"/>
    <w:rsid w:val="00E725E9"/>
    <w:rsid w:val="00E7296F"/>
    <w:rsid w:val="00E7303B"/>
    <w:rsid w:val="00E73507"/>
    <w:rsid w:val="00E74E73"/>
    <w:rsid w:val="00E75546"/>
    <w:rsid w:val="00E75CC1"/>
    <w:rsid w:val="00E7663E"/>
    <w:rsid w:val="00E76665"/>
    <w:rsid w:val="00E76711"/>
    <w:rsid w:val="00E76772"/>
    <w:rsid w:val="00E767E8"/>
    <w:rsid w:val="00E77286"/>
    <w:rsid w:val="00E77A9A"/>
    <w:rsid w:val="00E77C21"/>
    <w:rsid w:val="00E77EB6"/>
    <w:rsid w:val="00E804A8"/>
    <w:rsid w:val="00E80BD8"/>
    <w:rsid w:val="00E80E4B"/>
    <w:rsid w:val="00E810A2"/>
    <w:rsid w:val="00E81632"/>
    <w:rsid w:val="00E81FA2"/>
    <w:rsid w:val="00E82917"/>
    <w:rsid w:val="00E82BE6"/>
    <w:rsid w:val="00E8307B"/>
    <w:rsid w:val="00E83136"/>
    <w:rsid w:val="00E83485"/>
    <w:rsid w:val="00E83789"/>
    <w:rsid w:val="00E837DD"/>
    <w:rsid w:val="00E84390"/>
    <w:rsid w:val="00E845D1"/>
    <w:rsid w:val="00E84BCF"/>
    <w:rsid w:val="00E85771"/>
    <w:rsid w:val="00E85C91"/>
    <w:rsid w:val="00E86A21"/>
    <w:rsid w:val="00E86BF2"/>
    <w:rsid w:val="00E870B9"/>
    <w:rsid w:val="00E87556"/>
    <w:rsid w:val="00E878B2"/>
    <w:rsid w:val="00E87FC4"/>
    <w:rsid w:val="00E90635"/>
    <w:rsid w:val="00E90B82"/>
    <w:rsid w:val="00E9146C"/>
    <w:rsid w:val="00E917D7"/>
    <w:rsid w:val="00E919B5"/>
    <w:rsid w:val="00E91F0A"/>
    <w:rsid w:val="00E9233C"/>
    <w:rsid w:val="00E92595"/>
    <w:rsid w:val="00E931D6"/>
    <w:rsid w:val="00E93399"/>
    <w:rsid w:val="00E93585"/>
    <w:rsid w:val="00E93812"/>
    <w:rsid w:val="00E93855"/>
    <w:rsid w:val="00E93BCE"/>
    <w:rsid w:val="00E940D3"/>
    <w:rsid w:val="00E94150"/>
    <w:rsid w:val="00E94411"/>
    <w:rsid w:val="00E9447D"/>
    <w:rsid w:val="00E9460D"/>
    <w:rsid w:val="00E94E41"/>
    <w:rsid w:val="00E94EFF"/>
    <w:rsid w:val="00E94F51"/>
    <w:rsid w:val="00E94F53"/>
    <w:rsid w:val="00E95061"/>
    <w:rsid w:val="00E95997"/>
    <w:rsid w:val="00E95C24"/>
    <w:rsid w:val="00E961A3"/>
    <w:rsid w:val="00E966ED"/>
    <w:rsid w:val="00E96796"/>
    <w:rsid w:val="00E968B7"/>
    <w:rsid w:val="00E97222"/>
    <w:rsid w:val="00E978F9"/>
    <w:rsid w:val="00EA014D"/>
    <w:rsid w:val="00EA051F"/>
    <w:rsid w:val="00EA08BF"/>
    <w:rsid w:val="00EA0CF3"/>
    <w:rsid w:val="00EA0E06"/>
    <w:rsid w:val="00EA18D2"/>
    <w:rsid w:val="00EA2306"/>
    <w:rsid w:val="00EA2773"/>
    <w:rsid w:val="00EA2879"/>
    <w:rsid w:val="00EA2EDF"/>
    <w:rsid w:val="00EA44AD"/>
    <w:rsid w:val="00EA44F9"/>
    <w:rsid w:val="00EA5056"/>
    <w:rsid w:val="00EA56A2"/>
    <w:rsid w:val="00EA5765"/>
    <w:rsid w:val="00EA5DEC"/>
    <w:rsid w:val="00EA5EFA"/>
    <w:rsid w:val="00EA6035"/>
    <w:rsid w:val="00EA648F"/>
    <w:rsid w:val="00EA668A"/>
    <w:rsid w:val="00EA67AE"/>
    <w:rsid w:val="00EA6D11"/>
    <w:rsid w:val="00EA7040"/>
    <w:rsid w:val="00EA7661"/>
    <w:rsid w:val="00EA769A"/>
    <w:rsid w:val="00EA77FF"/>
    <w:rsid w:val="00EB0D02"/>
    <w:rsid w:val="00EB0DF6"/>
    <w:rsid w:val="00EB1094"/>
    <w:rsid w:val="00EB11B4"/>
    <w:rsid w:val="00EB1330"/>
    <w:rsid w:val="00EB1515"/>
    <w:rsid w:val="00EB19CF"/>
    <w:rsid w:val="00EB1B2A"/>
    <w:rsid w:val="00EB2C3F"/>
    <w:rsid w:val="00EB2DBC"/>
    <w:rsid w:val="00EB3581"/>
    <w:rsid w:val="00EB3DA6"/>
    <w:rsid w:val="00EB404B"/>
    <w:rsid w:val="00EB4322"/>
    <w:rsid w:val="00EB466F"/>
    <w:rsid w:val="00EB4ABC"/>
    <w:rsid w:val="00EB4BF9"/>
    <w:rsid w:val="00EB505A"/>
    <w:rsid w:val="00EB5109"/>
    <w:rsid w:val="00EB5182"/>
    <w:rsid w:val="00EB58A6"/>
    <w:rsid w:val="00EB58AF"/>
    <w:rsid w:val="00EB6098"/>
    <w:rsid w:val="00EB6199"/>
    <w:rsid w:val="00EB6B3F"/>
    <w:rsid w:val="00EB6B63"/>
    <w:rsid w:val="00EB7AE0"/>
    <w:rsid w:val="00EB7DA4"/>
    <w:rsid w:val="00EB7FC3"/>
    <w:rsid w:val="00EC09DD"/>
    <w:rsid w:val="00EC163F"/>
    <w:rsid w:val="00EC1DF2"/>
    <w:rsid w:val="00EC22F0"/>
    <w:rsid w:val="00EC3963"/>
    <w:rsid w:val="00EC42EF"/>
    <w:rsid w:val="00EC462A"/>
    <w:rsid w:val="00EC4642"/>
    <w:rsid w:val="00EC4CC2"/>
    <w:rsid w:val="00EC514C"/>
    <w:rsid w:val="00EC5755"/>
    <w:rsid w:val="00EC5FA2"/>
    <w:rsid w:val="00EC6281"/>
    <w:rsid w:val="00EC63EC"/>
    <w:rsid w:val="00EC6810"/>
    <w:rsid w:val="00EC6B6D"/>
    <w:rsid w:val="00EC6B71"/>
    <w:rsid w:val="00EC731C"/>
    <w:rsid w:val="00EC787F"/>
    <w:rsid w:val="00EC7ABD"/>
    <w:rsid w:val="00EC7B05"/>
    <w:rsid w:val="00EC7C2C"/>
    <w:rsid w:val="00ED0115"/>
    <w:rsid w:val="00ED10B6"/>
    <w:rsid w:val="00ED1386"/>
    <w:rsid w:val="00ED1702"/>
    <w:rsid w:val="00ED26FA"/>
    <w:rsid w:val="00ED270F"/>
    <w:rsid w:val="00ED2830"/>
    <w:rsid w:val="00ED2ACA"/>
    <w:rsid w:val="00ED2C2F"/>
    <w:rsid w:val="00ED312E"/>
    <w:rsid w:val="00ED3E88"/>
    <w:rsid w:val="00ED4B26"/>
    <w:rsid w:val="00ED4C31"/>
    <w:rsid w:val="00ED4D62"/>
    <w:rsid w:val="00ED5174"/>
    <w:rsid w:val="00ED6797"/>
    <w:rsid w:val="00ED6EED"/>
    <w:rsid w:val="00ED6FE1"/>
    <w:rsid w:val="00ED77FD"/>
    <w:rsid w:val="00ED7C1D"/>
    <w:rsid w:val="00EE0156"/>
    <w:rsid w:val="00EE0D6A"/>
    <w:rsid w:val="00EE1537"/>
    <w:rsid w:val="00EE15C1"/>
    <w:rsid w:val="00EE1682"/>
    <w:rsid w:val="00EE19C8"/>
    <w:rsid w:val="00EE1A56"/>
    <w:rsid w:val="00EE2A4F"/>
    <w:rsid w:val="00EE2DA8"/>
    <w:rsid w:val="00EE3119"/>
    <w:rsid w:val="00EE33D2"/>
    <w:rsid w:val="00EE33EC"/>
    <w:rsid w:val="00EE3788"/>
    <w:rsid w:val="00EE37DA"/>
    <w:rsid w:val="00EE39DF"/>
    <w:rsid w:val="00EE3AE3"/>
    <w:rsid w:val="00EE3B96"/>
    <w:rsid w:val="00EE3BE2"/>
    <w:rsid w:val="00EE3D4D"/>
    <w:rsid w:val="00EE450B"/>
    <w:rsid w:val="00EE4776"/>
    <w:rsid w:val="00EE4919"/>
    <w:rsid w:val="00EE58AD"/>
    <w:rsid w:val="00EE5CA7"/>
    <w:rsid w:val="00EE5CF4"/>
    <w:rsid w:val="00EE624D"/>
    <w:rsid w:val="00EE67F3"/>
    <w:rsid w:val="00EE7170"/>
    <w:rsid w:val="00EF07D2"/>
    <w:rsid w:val="00EF081E"/>
    <w:rsid w:val="00EF17ED"/>
    <w:rsid w:val="00EF25D5"/>
    <w:rsid w:val="00EF2919"/>
    <w:rsid w:val="00EF294C"/>
    <w:rsid w:val="00EF361F"/>
    <w:rsid w:val="00EF4B06"/>
    <w:rsid w:val="00EF56F7"/>
    <w:rsid w:val="00EF5941"/>
    <w:rsid w:val="00EF5BCB"/>
    <w:rsid w:val="00EF688F"/>
    <w:rsid w:val="00EF68C3"/>
    <w:rsid w:val="00EF6DEA"/>
    <w:rsid w:val="00EF7957"/>
    <w:rsid w:val="00EF7EC0"/>
    <w:rsid w:val="00F00264"/>
    <w:rsid w:val="00F00BE7"/>
    <w:rsid w:val="00F00E0E"/>
    <w:rsid w:val="00F01877"/>
    <w:rsid w:val="00F018B8"/>
    <w:rsid w:val="00F01D28"/>
    <w:rsid w:val="00F022F8"/>
    <w:rsid w:val="00F0255A"/>
    <w:rsid w:val="00F02613"/>
    <w:rsid w:val="00F02CF2"/>
    <w:rsid w:val="00F030F1"/>
    <w:rsid w:val="00F034FA"/>
    <w:rsid w:val="00F03653"/>
    <w:rsid w:val="00F03702"/>
    <w:rsid w:val="00F04604"/>
    <w:rsid w:val="00F047A7"/>
    <w:rsid w:val="00F049EE"/>
    <w:rsid w:val="00F04BF0"/>
    <w:rsid w:val="00F0500C"/>
    <w:rsid w:val="00F05A9A"/>
    <w:rsid w:val="00F06845"/>
    <w:rsid w:val="00F0693A"/>
    <w:rsid w:val="00F06D1C"/>
    <w:rsid w:val="00F07C19"/>
    <w:rsid w:val="00F07FF9"/>
    <w:rsid w:val="00F10D88"/>
    <w:rsid w:val="00F1106C"/>
    <w:rsid w:val="00F111E8"/>
    <w:rsid w:val="00F112A2"/>
    <w:rsid w:val="00F1142D"/>
    <w:rsid w:val="00F1177B"/>
    <w:rsid w:val="00F11D28"/>
    <w:rsid w:val="00F124A2"/>
    <w:rsid w:val="00F125AB"/>
    <w:rsid w:val="00F1279D"/>
    <w:rsid w:val="00F12C93"/>
    <w:rsid w:val="00F1309C"/>
    <w:rsid w:val="00F131EF"/>
    <w:rsid w:val="00F13E06"/>
    <w:rsid w:val="00F1472E"/>
    <w:rsid w:val="00F14735"/>
    <w:rsid w:val="00F14E37"/>
    <w:rsid w:val="00F15094"/>
    <w:rsid w:val="00F15A58"/>
    <w:rsid w:val="00F168DB"/>
    <w:rsid w:val="00F16ED1"/>
    <w:rsid w:val="00F16ED7"/>
    <w:rsid w:val="00F17070"/>
    <w:rsid w:val="00F17493"/>
    <w:rsid w:val="00F179C2"/>
    <w:rsid w:val="00F204E7"/>
    <w:rsid w:val="00F20E4F"/>
    <w:rsid w:val="00F20F2C"/>
    <w:rsid w:val="00F21362"/>
    <w:rsid w:val="00F21452"/>
    <w:rsid w:val="00F21E16"/>
    <w:rsid w:val="00F221A4"/>
    <w:rsid w:val="00F22AEB"/>
    <w:rsid w:val="00F22C78"/>
    <w:rsid w:val="00F22F26"/>
    <w:rsid w:val="00F236F2"/>
    <w:rsid w:val="00F237FB"/>
    <w:rsid w:val="00F238BA"/>
    <w:rsid w:val="00F23AA1"/>
    <w:rsid w:val="00F243A1"/>
    <w:rsid w:val="00F24AF7"/>
    <w:rsid w:val="00F24BD3"/>
    <w:rsid w:val="00F24F08"/>
    <w:rsid w:val="00F24F33"/>
    <w:rsid w:val="00F25332"/>
    <w:rsid w:val="00F255ED"/>
    <w:rsid w:val="00F25926"/>
    <w:rsid w:val="00F25A36"/>
    <w:rsid w:val="00F25DFE"/>
    <w:rsid w:val="00F2614D"/>
    <w:rsid w:val="00F2646E"/>
    <w:rsid w:val="00F269F9"/>
    <w:rsid w:val="00F26D3C"/>
    <w:rsid w:val="00F274D5"/>
    <w:rsid w:val="00F2789E"/>
    <w:rsid w:val="00F278EC"/>
    <w:rsid w:val="00F27B9D"/>
    <w:rsid w:val="00F30CB0"/>
    <w:rsid w:val="00F30F34"/>
    <w:rsid w:val="00F3128F"/>
    <w:rsid w:val="00F314C5"/>
    <w:rsid w:val="00F31C83"/>
    <w:rsid w:val="00F323C0"/>
    <w:rsid w:val="00F3274A"/>
    <w:rsid w:val="00F32B2A"/>
    <w:rsid w:val="00F342DD"/>
    <w:rsid w:val="00F34572"/>
    <w:rsid w:val="00F3546B"/>
    <w:rsid w:val="00F355BD"/>
    <w:rsid w:val="00F35898"/>
    <w:rsid w:val="00F35A16"/>
    <w:rsid w:val="00F36248"/>
    <w:rsid w:val="00F362C3"/>
    <w:rsid w:val="00F37126"/>
    <w:rsid w:val="00F374DE"/>
    <w:rsid w:val="00F40299"/>
    <w:rsid w:val="00F40F08"/>
    <w:rsid w:val="00F41C3F"/>
    <w:rsid w:val="00F427C9"/>
    <w:rsid w:val="00F433F2"/>
    <w:rsid w:val="00F43562"/>
    <w:rsid w:val="00F44061"/>
    <w:rsid w:val="00F4447E"/>
    <w:rsid w:val="00F4457A"/>
    <w:rsid w:val="00F4463A"/>
    <w:rsid w:val="00F447DA"/>
    <w:rsid w:val="00F44AB5"/>
    <w:rsid w:val="00F4551C"/>
    <w:rsid w:val="00F45CD2"/>
    <w:rsid w:val="00F45EBA"/>
    <w:rsid w:val="00F46113"/>
    <w:rsid w:val="00F46464"/>
    <w:rsid w:val="00F46555"/>
    <w:rsid w:val="00F46CE6"/>
    <w:rsid w:val="00F46D9B"/>
    <w:rsid w:val="00F46DBA"/>
    <w:rsid w:val="00F47029"/>
    <w:rsid w:val="00F474FD"/>
    <w:rsid w:val="00F47A31"/>
    <w:rsid w:val="00F501E9"/>
    <w:rsid w:val="00F5051E"/>
    <w:rsid w:val="00F509DE"/>
    <w:rsid w:val="00F50CF2"/>
    <w:rsid w:val="00F50E25"/>
    <w:rsid w:val="00F52056"/>
    <w:rsid w:val="00F525DE"/>
    <w:rsid w:val="00F53063"/>
    <w:rsid w:val="00F533BA"/>
    <w:rsid w:val="00F53BAD"/>
    <w:rsid w:val="00F540C0"/>
    <w:rsid w:val="00F54333"/>
    <w:rsid w:val="00F544D1"/>
    <w:rsid w:val="00F54878"/>
    <w:rsid w:val="00F54892"/>
    <w:rsid w:val="00F54CEB"/>
    <w:rsid w:val="00F54E88"/>
    <w:rsid w:val="00F551E3"/>
    <w:rsid w:val="00F56709"/>
    <w:rsid w:val="00F579C2"/>
    <w:rsid w:val="00F57B9F"/>
    <w:rsid w:val="00F60219"/>
    <w:rsid w:val="00F603A1"/>
    <w:rsid w:val="00F605E0"/>
    <w:rsid w:val="00F608E3"/>
    <w:rsid w:val="00F60DFA"/>
    <w:rsid w:val="00F613DA"/>
    <w:rsid w:val="00F61896"/>
    <w:rsid w:val="00F61ADE"/>
    <w:rsid w:val="00F61CF5"/>
    <w:rsid w:val="00F61EAD"/>
    <w:rsid w:val="00F62677"/>
    <w:rsid w:val="00F62A50"/>
    <w:rsid w:val="00F62A69"/>
    <w:rsid w:val="00F62E3B"/>
    <w:rsid w:val="00F635EA"/>
    <w:rsid w:val="00F63A1F"/>
    <w:rsid w:val="00F641AE"/>
    <w:rsid w:val="00F64ECB"/>
    <w:rsid w:val="00F65EA0"/>
    <w:rsid w:val="00F66F26"/>
    <w:rsid w:val="00F67319"/>
    <w:rsid w:val="00F673E7"/>
    <w:rsid w:val="00F67A84"/>
    <w:rsid w:val="00F70063"/>
    <w:rsid w:val="00F703E6"/>
    <w:rsid w:val="00F706EA"/>
    <w:rsid w:val="00F70A2F"/>
    <w:rsid w:val="00F711A3"/>
    <w:rsid w:val="00F711BF"/>
    <w:rsid w:val="00F72555"/>
    <w:rsid w:val="00F726F4"/>
    <w:rsid w:val="00F73912"/>
    <w:rsid w:val="00F73A86"/>
    <w:rsid w:val="00F73C72"/>
    <w:rsid w:val="00F74394"/>
    <w:rsid w:val="00F74A49"/>
    <w:rsid w:val="00F751D7"/>
    <w:rsid w:val="00F7583D"/>
    <w:rsid w:val="00F76167"/>
    <w:rsid w:val="00F768BE"/>
    <w:rsid w:val="00F7708F"/>
    <w:rsid w:val="00F773CA"/>
    <w:rsid w:val="00F80062"/>
    <w:rsid w:val="00F806F8"/>
    <w:rsid w:val="00F80B5E"/>
    <w:rsid w:val="00F8120A"/>
    <w:rsid w:val="00F81764"/>
    <w:rsid w:val="00F8213D"/>
    <w:rsid w:val="00F82289"/>
    <w:rsid w:val="00F834B1"/>
    <w:rsid w:val="00F83FD2"/>
    <w:rsid w:val="00F84BAF"/>
    <w:rsid w:val="00F84BC5"/>
    <w:rsid w:val="00F850AB"/>
    <w:rsid w:val="00F85371"/>
    <w:rsid w:val="00F85500"/>
    <w:rsid w:val="00F85ABF"/>
    <w:rsid w:val="00F85BC2"/>
    <w:rsid w:val="00F86655"/>
    <w:rsid w:val="00F866BA"/>
    <w:rsid w:val="00F86BF6"/>
    <w:rsid w:val="00F86F78"/>
    <w:rsid w:val="00F87055"/>
    <w:rsid w:val="00F8730E"/>
    <w:rsid w:val="00F87710"/>
    <w:rsid w:val="00F87A50"/>
    <w:rsid w:val="00F87C66"/>
    <w:rsid w:val="00F87F4D"/>
    <w:rsid w:val="00F90384"/>
    <w:rsid w:val="00F909AD"/>
    <w:rsid w:val="00F90E35"/>
    <w:rsid w:val="00F9168C"/>
    <w:rsid w:val="00F9182E"/>
    <w:rsid w:val="00F91D7A"/>
    <w:rsid w:val="00F93497"/>
    <w:rsid w:val="00F93FB7"/>
    <w:rsid w:val="00F948E3"/>
    <w:rsid w:val="00F94A60"/>
    <w:rsid w:val="00F94DE9"/>
    <w:rsid w:val="00F95EBF"/>
    <w:rsid w:val="00F95EDA"/>
    <w:rsid w:val="00F960EA"/>
    <w:rsid w:val="00F961B7"/>
    <w:rsid w:val="00F9639F"/>
    <w:rsid w:val="00F963B1"/>
    <w:rsid w:val="00F96484"/>
    <w:rsid w:val="00F9662A"/>
    <w:rsid w:val="00F96A0A"/>
    <w:rsid w:val="00F96A39"/>
    <w:rsid w:val="00F96ECB"/>
    <w:rsid w:val="00F9710C"/>
    <w:rsid w:val="00F97357"/>
    <w:rsid w:val="00F97568"/>
    <w:rsid w:val="00F977A3"/>
    <w:rsid w:val="00FA05BC"/>
    <w:rsid w:val="00FA0BC3"/>
    <w:rsid w:val="00FA0DA9"/>
    <w:rsid w:val="00FA15DD"/>
    <w:rsid w:val="00FA15EF"/>
    <w:rsid w:val="00FA15F5"/>
    <w:rsid w:val="00FA1650"/>
    <w:rsid w:val="00FA415A"/>
    <w:rsid w:val="00FA4542"/>
    <w:rsid w:val="00FA5404"/>
    <w:rsid w:val="00FA5DCD"/>
    <w:rsid w:val="00FA5F5F"/>
    <w:rsid w:val="00FA63C0"/>
    <w:rsid w:val="00FA6435"/>
    <w:rsid w:val="00FA665D"/>
    <w:rsid w:val="00FB048C"/>
    <w:rsid w:val="00FB0CE4"/>
    <w:rsid w:val="00FB17FC"/>
    <w:rsid w:val="00FB1A49"/>
    <w:rsid w:val="00FB21D1"/>
    <w:rsid w:val="00FB3374"/>
    <w:rsid w:val="00FB3805"/>
    <w:rsid w:val="00FB388D"/>
    <w:rsid w:val="00FB391E"/>
    <w:rsid w:val="00FB39D5"/>
    <w:rsid w:val="00FB3B09"/>
    <w:rsid w:val="00FB4A89"/>
    <w:rsid w:val="00FB4AD5"/>
    <w:rsid w:val="00FB501D"/>
    <w:rsid w:val="00FB55A7"/>
    <w:rsid w:val="00FB592A"/>
    <w:rsid w:val="00FB5D54"/>
    <w:rsid w:val="00FB5DFF"/>
    <w:rsid w:val="00FB61C7"/>
    <w:rsid w:val="00FB635B"/>
    <w:rsid w:val="00FB6EDF"/>
    <w:rsid w:val="00FB7265"/>
    <w:rsid w:val="00FB7FDE"/>
    <w:rsid w:val="00FC0084"/>
    <w:rsid w:val="00FC06E1"/>
    <w:rsid w:val="00FC0AFC"/>
    <w:rsid w:val="00FC0CD0"/>
    <w:rsid w:val="00FC0DC0"/>
    <w:rsid w:val="00FC23C7"/>
    <w:rsid w:val="00FC27F5"/>
    <w:rsid w:val="00FC2914"/>
    <w:rsid w:val="00FC2A0E"/>
    <w:rsid w:val="00FC2BAA"/>
    <w:rsid w:val="00FC2CF3"/>
    <w:rsid w:val="00FC2D13"/>
    <w:rsid w:val="00FC2D8E"/>
    <w:rsid w:val="00FC4400"/>
    <w:rsid w:val="00FC55D6"/>
    <w:rsid w:val="00FC57A7"/>
    <w:rsid w:val="00FC5B69"/>
    <w:rsid w:val="00FC5C84"/>
    <w:rsid w:val="00FC5D07"/>
    <w:rsid w:val="00FC5F8B"/>
    <w:rsid w:val="00FC64AB"/>
    <w:rsid w:val="00FC6713"/>
    <w:rsid w:val="00FC6CE2"/>
    <w:rsid w:val="00FC7002"/>
    <w:rsid w:val="00FC7348"/>
    <w:rsid w:val="00FC78E3"/>
    <w:rsid w:val="00FC7DAE"/>
    <w:rsid w:val="00FD0944"/>
    <w:rsid w:val="00FD0A8C"/>
    <w:rsid w:val="00FD0ADD"/>
    <w:rsid w:val="00FD116C"/>
    <w:rsid w:val="00FD1470"/>
    <w:rsid w:val="00FD1696"/>
    <w:rsid w:val="00FD1C85"/>
    <w:rsid w:val="00FD1E65"/>
    <w:rsid w:val="00FD2DCD"/>
    <w:rsid w:val="00FD3BA8"/>
    <w:rsid w:val="00FD3D46"/>
    <w:rsid w:val="00FD3EA0"/>
    <w:rsid w:val="00FD3F15"/>
    <w:rsid w:val="00FD3F2A"/>
    <w:rsid w:val="00FD3F66"/>
    <w:rsid w:val="00FD4108"/>
    <w:rsid w:val="00FD5C10"/>
    <w:rsid w:val="00FD5D44"/>
    <w:rsid w:val="00FD6825"/>
    <w:rsid w:val="00FD6AB9"/>
    <w:rsid w:val="00FD70C8"/>
    <w:rsid w:val="00FD7261"/>
    <w:rsid w:val="00FE02BB"/>
    <w:rsid w:val="00FE0AB0"/>
    <w:rsid w:val="00FE1216"/>
    <w:rsid w:val="00FE1A27"/>
    <w:rsid w:val="00FE237F"/>
    <w:rsid w:val="00FE322C"/>
    <w:rsid w:val="00FE3265"/>
    <w:rsid w:val="00FE4054"/>
    <w:rsid w:val="00FE4070"/>
    <w:rsid w:val="00FE4225"/>
    <w:rsid w:val="00FE42E7"/>
    <w:rsid w:val="00FE459E"/>
    <w:rsid w:val="00FE46F3"/>
    <w:rsid w:val="00FE48A8"/>
    <w:rsid w:val="00FE4DB8"/>
    <w:rsid w:val="00FE4F34"/>
    <w:rsid w:val="00FE5230"/>
    <w:rsid w:val="00FE5B97"/>
    <w:rsid w:val="00FE699A"/>
    <w:rsid w:val="00FE6FBD"/>
    <w:rsid w:val="00FE737E"/>
    <w:rsid w:val="00FE75B2"/>
    <w:rsid w:val="00FE75FF"/>
    <w:rsid w:val="00FE76A8"/>
    <w:rsid w:val="00FF06C4"/>
    <w:rsid w:val="00FF0795"/>
    <w:rsid w:val="00FF0978"/>
    <w:rsid w:val="00FF10D0"/>
    <w:rsid w:val="00FF11EE"/>
    <w:rsid w:val="00FF1A1C"/>
    <w:rsid w:val="00FF1DB2"/>
    <w:rsid w:val="00FF1F16"/>
    <w:rsid w:val="00FF37E2"/>
    <w:rsid w:val="00FF3ED1"/>
    <w:rsid w:val="00FF4506"/>
    <w:rsid w:val="00FF4527"/>
    <w:rsid w:val="00FF46B2"/>
    <w:rsid w:val="00FF48EC"/>
    <w:rsid w:val="00FF4BE4"/>
    <w:rsid w:val="00FF4BE6"/>
    <w:rsid w:val="00FF6820"/>
    <w:rsid w:val="00FF7845"/>
    <w:rsid w:val="00FF7AA9"/>
    <w:rsid w:val="00FF7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489FBB6A"/>
  <w15:docId w15:val="{7A79BA06-0928-4838-B760-E0F0A38D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FF7"/>
  </w:style>
  <w:style w:type="paragraph" w:styleId="Heading1">
    <w:name w:val="heading 1"/>
    <w:basedOn w:val="Normal"/>
    <w:next w:val="Normal"/>
    <w:link w:val="Heading1Char"/>
    <w:uiPriority w:val="9"/>
    <w:qFormat/>
    <w:rsid w:val="007E09F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E09F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E09F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7E09F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7E09F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E09F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E09F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E09F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E09F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F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qFormat/>
    <w:rsid w:val="007E09F5"/>
    <w:rPr>
      <w:caps/>
      <w:spacing w:val="15"/>
      <w:shd w:val="clear" w:color="auto" w:fill="DEEAF6" w:themeFill="accent1" w:themeFillTint="33"/>
    </w:rPr>
  </w:style>
  <w:style w:type="character" w:customStyle="1" w:styleId="Heading3Char">
    <w:name w:val="Heading 3 Char"/>
    <w:basedOn w:val="DefaultParagraphFont"/>
    <w:link w:val="Heading3"/>
    <w:uiPriority w:val="9"/>
    <w:qFormat/>
    <w:rsid w:val="007E09F5"/>
    <w:rPr>
      <w:caps/>
      <w:color w:val="1F4D78" w:themeColor="accent1" w:themeShade="7F"/>
      <w:spacing w:val="15"/>
    </w:rPr>
  </w:style>
  <w:style w:type="character" w:customStyle="1" w:styleId="Heading4Char">
    <w:name w:val="Heading 4 Char"/>
    <w:basedOn w:val="DefaultParagraphFont"/>
    <w:link w:val="Heading4"/>
    <w:uiPriority w:val="9"/>
    <w:rsid w:val="007E09F5"/>
    <w:rPr>
      <w:caps/>
      <w:color w:val="2E74B5" w:themeColor="accent1" w:themeShade="BF"/>
      <w:spacing w:val="10"/>
    </w:rPr>
  </w:style>
  <w:style w:type="character" w:customStyle="1" w:styleId="Heading5Char">
    <w:name w:val="Heading 5 Char"/>
    <w:basedOn w:val="DefaultParagraphFont"/>
    <w:link w:val="Heading5"/>
    <w:uiPriority w:val="9"/>
    <w:rsid w:val="007E09F5"/>
    <w:rPr>
      <w:caps/>
      <w:color w:val="2E74B5" w:themeColor="accent1" w:themeShade="BF"/>
      <w:spacing w:val="10"/>
    </w:rPr>
  </w:style>
  <w:style w:type="character" w:customStyle="1" w:styleId="Heading6Char">
    <w:name w:val="Heading 6 Char"/>
    <w:basedOn w:val="DefaultParagraphFont"/>
    <w:link w:val="Heading6"/>
    <w:uiPriority w:val="9"/>
    <w:semiHidden/>
    <w:rsid w:val="007E09F5"/>
    <w:rPr>
      <w:caps/>
      <w:color w:val="2E74B5" w:themeColor="accent1" w:themeShade="BF"/>
      <w:spacing w:val="10"/>
    </w:rPr>
  </w:style>
  <w:style w:type="character" w:customStyle="1" w:styleId="Heading7Char">
    <w:name w:val="Heading 7 Char"/>
    <w:basedOn w:val="DefaultParagraphFont"/>
    <w:link w:val="Heading7"/>
    <w:uiPriority w:val="9"/>
    <w:semiHidden/>
    <w:rsid w:val="007E09F5"/>
    <w:rPr>
      <w:caps/>
      <w:color w:val="2E74B5" w:themeColor="accent1" w:themeShade="BF"/>
      <w:spacing w:val="10"/>
    </w:rPr>
  </w:style>
  <w:style w:type="character" w:customStyle="1" w:styleId="Heading8Char">
    <w:name w:val="Heading 8 Char"/>
    <w:basedOn w:val="DefaultParagraphFont"/>
    <w:link w:val="Heading8"/>
    <w:uiPriority w:val="9"/>
    <w:semiHidden/>
    <w:rsid w:val="007E09F5"/>
    <w:rPr>
      <w:caps/>
      <w:spacing w:val="10"/>
      <w:sz w:val="18"/>
      <w:szCs w:val="18"/>
    </w:rPr>
  </w:style>
  <w:style w:type="character" w:customStyle="1" w:styleId="Heading9Char">
    <w:name w:val="Heading 9 Char"/>
    <w:basedOn w:val="DefaultParagraphFont"/>
    <w:link w:val="Heading9"/>
    <w:uiPriority w:val="9"/>
    <w:semiHidden/>
    <w:rsid w:val="007E09F5"/>
    <w:rPr>
      <w:i/>
      <w:iCs/>
      <w:caps/>
      <w:spacing w:val="10"/>
      <w:sz w:val="18"/>
      <w:szCs w:val="18"/>
    </w:rPr>
  </w:style>
  <w:style w:type="paragraph" w:styleId="FootnoteText">
    <w:name w:val="footnote text"/>
    <w:aliases w:val="single space,footnote text,fn,FOOTNOTES,Footnote Text Char Char Char Char,Footnote Text Char Char Char,ADB,Footnote Text Char Char Char Char Char,Footnote Text Char Char1,ft,Texto nota pie Car,ft Car,ft Car Car,Texto nota pie2,ft1,f,A"/>
    <w:basedOn w:val="Normal"/>
    <w:link w:val="FootnoteTextChar"/>
    <w:uiPriority w:val="99"/>
    <w:qFormat/>
    <w:rsid w:val="007D6B29"/>
    <w:pPr>
      <w:spacing w:after="0" w:line="240" w:lineRule="auto"/>
    </w:pPr>
    <w:rPr>
      <w:rFonts w:ascii="Calibri" w:eastAsia="Times New Roman" w:hAnsi="Calibri" w:cs="Times New Roman"/>
    </w:rPr>
  </w:style>
  <w:style w:type="character" w:customStyle="1" w:styleId="FootnoteTextChar">
    <w:name w:val="Footnote Text Char"/>
    <w:aliases w:val="single space Char,footnote text Char,fn Char,FOOTNOTES Char,Footnote Text Char Char Char Char Char1,Footnote Text Char Char Char Char1,ADB Char,Footnote Text Char Char Char Char Char Char,Footnote Text Char Char1 Char,ft Char,ft1 Char"/>
    <w:basedOn w:val="DefaultParagraphFont"/>
    <w:link w:val="FootnoteText"/>
    <w:uiPriority w:val="99"/>
    <w:qFormat/>
    <w:rsid w:val="007D6B29"/>
    <w:rPr>
      <w:rFonts w:ascii="Calibri" w:eastAsia="Times New Roman" w:hAnsi="Calibri" w:cs="Times New Roman"/>
      <w:sz w:val="20"/>
      <w:szCs w:val="20"/>
    </w:rPr>
  </w:style>
  <w:style w:type="character" w:styleId="FootnoteReference">
    <w:name w:val="footnote reference"/>
    <w:aliases w:val="ftref,Normal + Font:9 Point,Superscript 3 Point Times,SUPERS,EN Footnote Reference,number,Char Char,BVI fnr,Footnote symbol,Footnote reference number,note TESI,ftref Char,BVI fnr Char,BVI fnr Car Char,Char Char Car Char,16 Point Char"/>
    <w:link w:val="NumPar1"/>
    <w:uiPriority w:val="99"/>
    <w:qFormat/>
    <w:rsid w:val="007D6B29"/>
    <w:rPr>
      <w:vertAlign w:val="superscript"/>
    </w:rPr>
  </w:style>
  <w:style w:type="paragraph" w:customStyle="1" w:styleId="NumPar1">
    <w:name w:val="NumPar 1"/>
    <w:basedOn w:val="Normal"/>
    <w:next w:val="Normal"/>
    <w:link w:val="FootnoteReference"/>
    <w:uiPriority w:val="99"/>
    <w:rsid w:val="007D6B29"/>
    <w:pPr>
      <w:numPr>
        <w:numId w:val="1"/>
      </w:numPr>
      <w:spacing w:before="120" w:after="120" w:line="240" w:lineRule="auto"/>
      <w:jc w:val="both"/>
    </w:pPr>
    <w:rPr>
      <w:vertAlign w:val="superscript"/>
    </w:rPr>
  </w:style>
  <w:style w:type="character" w:styleId="Hyperlink">
    <w:name w:val="Hyperlink"/>
    <w:uiPriority w:val="99"/>
    <w:rsid w:val="007D6B29"/>
    <w:rPr>
      <w:color w:val="0000FF"/>
      <w:u w:val="single"/>
    </w:rPr>
  </w:style>
  <w:style w:type="paragraph" w:customStyle="1" w:styleId="NumPar2">
    <w:name w:val="NumPar 2"/>
    <w:basedOn w:val="Normal"/>
    <w:next w:val="Normal"/>
    <w:rsid w:val="007D6B29"/>
    <w:pPr>
      <w:numPr>
        <w:ilvl w:val="1"/>
        <w:numId w:val="1"/>
      </w:numPr>
      <w:spacing w:before="120" w:after="120" w:line="240" w:lineRule="auto"/>
      <w:jc w:val="both"/>
    </w:pPr>
    <w:rPr>
      <w:rFonts w:ascii="Tunga" w:eastAsia="Arial Unicode MS" w:hAnsi="Tunga" w:cs="Tunga"/>
      <w:snapToGrid w:val="0"/>
    </w:rPr>
  </w:style>
  <w:style w:type="paragraph" w:customStyle="1" w:styleId="NumPar3">
    <w:name w:val="NumPar 3"/>
    <w:basedOn w:val="Normal"/>
    <w:next w:val="Normal"/>
    <w:rsid w:val="007D6B29"/>
    <w:pPr>
      <w:numPr>
        <w:ilvl w:val="2"/>
        <w:numId w:val="1"/>
      </w:numPr>
      <w:spacing w:before="120" w:after="120" w:line="240" w:lineRule="auto"/>
      <w:jc w:val="both"/>
    </w:pPr>
    <w:rPr>
      <w:rFonts w:ascii="Tunga" w:eastAsia="Arial Unicode MS" w:hAnsi="Tunga" w:cs="Tunga"/>
      <w:snapToGrid w:val="0"/>
    </w:rPr>
  </w:style>
  <w:style w:type="paragraph" w:customStyle="1" w:styleId="NumPar4">
    <w:name w:val="NumPar 4"/>
    <w:basedOn w:val="Normal"/>
    <w:next w:val="Normal"/>
    <w:rsid w:val="007D6B29"/>
    <w:pPr>
      <w:numPr>
        <w:ilvl w:val="3"/>
        <w:numId w:val="1"/>
      </w:numPr>
      <w:spacing w:before="120" w:after="120" w:line="240" w:lineRule="auto"/>
      <w:jc w:val="both"/>
    </w:pPr>
    <w:rPr>
      <w:rFonts w:ascii="Tunga" w:eastAsia="Arial Unicode MS" w:hAnsi="Tunga" w:cs="Tunga"/>
      <w:snapToGrid w:val="0"/>
    </w:rPr>
  </w:style>
  <w:style w:type="character" w:customStyle="1" w:styleId="UnresolvedMention1">
    <w:name w:val="Unresolved Mention1"/>
    <w:basedOn w:val="DefaultParagraphFont"/>
    <w:uiPriority w:val="99"/>
    <w:semiHidden/>
    <w:unhideWhenUsed/>
    <w:rsid w:val="00715680"/>
    <w:rPr>
      <w:color w:val="605E5C"/>
      <w:shd w:val="clear" w:color="auto" w:fill="E1DFDD"/>
    </w:rPr>
  </w:style>
  <w:style w:type="character" w:styleId="Strong">
    <w:name w:val="Strong"/>
    <w:uiPriority w:val="22"/>
    <w:qFormat/>
    <w:rsid w:val="007E09F5"/>
    <w:rPr>
      <w:b/>
      <w:bCs/>
    </w:rPr>
  </w:style>
  <w:style w:type="paragraph" w:styleId="NormalWeb">
    <w:name w:val="Normal (Web)"/>
    <w:basedOn w:val="Normal"/>
    <w:uiPriority w:val="99"/>
    <w:unhideWhenUsed/>
    <w:qFormat/>
    <w:rsid w:val="003752C7"/>
    <w:pPr>
      <w:spacing w:before="300" w:after="30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unhideWhenUsed/>
    <w:qFormat/>
    <w:rsid w:val="00FF0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FF06C4"/>
    <w:rPr>
      <w:rFonts w:ascii="Segoe UI" w:hAnsi="Segoe UI" w:cs="Segoe UI"/>
      <w:sz w:val="18"/>
      <w:szCs w:val="18"/>
    </w:rPr>
  </w:style>
  <w:style w:type="table" w:styleId="TableGrid">
    <w:name w:val="Table Grid"/>
    <w:basedOn w:val="TableNormal"/>
    <w:uiPriority w:val="39"/>
    <w:rsid w:val="0020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2076A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3-Accent51">
    <w:name w:val="Grid Table 3 - Accent 51"/>
    <w:basedOn w:val="TableNormal"/>
    <w:uiPriority w:val="48"/>
    <w:rsid w:val="002076A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11">
    <w:name w:val="Grid Table 2 - Accent 11"/>
    <w:basedOn w:val="TableNormal"/>
    <w:uiPriority w:val="47"/>
    <w:rsid w:val="002076A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2076A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51">
    <w:name w:val="Grid Table 6 Colorful - Accent 51"/>
    <w:basedOn w:val="TableNormal"/>
    <w:uiPriority w:val="51"/>
    <w:rsid w:val="002076A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7E09F5"/>
    <w:rPr>
      <w:b/>
      <w:bCs/>
      <w:color w:val="2E74B5" w:themeColor="accent1" w:themeShade="BF"/>
      <w:sz w:val="16"/>
      <w:szCs w:val="16"/>
    </w:rPr>
  </w:style>
  <w:style w:type="paragraph" w:styleId="Title">
    <w:name w:val="Title"/>
    <w:basedOn w:val="Normal"/>
    <w:next w:val="Normal"/>
    <w:link w:val="TitleChar"/>
    <w:uiPriority w:val="10"/>
    <w:qFormat/>
    <w:rsid w:val="007E09F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E09F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E09F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E09F5"/>
    <w:rPr>
      <w:caps/>
      <w:color w:val="595959" w:themeColor="text1" w:themeTint="A6"/>
      <w:spacing w:val="10"/>
      <w:sz w:val="21"/>
      <w:szCs w:val="21"/>
    </w:rPr>
  </w:style>
  <w:style w:type="character" w:styleId="Emphasis">
    <w:name w:val="Emphasis"/>
    <w:uiPriority w:val="20"/>
    <w:qFormat/>
    <w:rsid w:val="007E09F5"/>
    <w:rPr>
      <w:caps/>
      <w:color w:val="1F4D78" w:themeColor="accent1" w:themeShade="7F"/>
      <w:spacing w:val="5"/>
    </w:rPr>
  </w:style>
  <w:style w:type="paragraph" w:styleId="NoSpacing">
    <w:name w:val="No Spacing"/>
    <w:link w:val="NoSpacingChar"/>
    <w:uiPriority w:val="1"/>
    <w:qFormat/>
    <w:rsid w:val="007E09F5"/>
    <w:pPr>
      <w:spacing w:after="0" w:line="240" w:lineRule="auto"/>
    </w:pPr>
  </w:style>
  <w:style w:type="paragraph" w:styleId="Quote">
    <w:name w:val="Quote"/>
    <w:basedOn w:val="Normal"/>
    <w:next w:val="Normal"/>
    <w:link w:val="QuoteChar"/>
    <w:uiPriority w:val="29"/>
    <w:qFormat/>
    <w:rsid w:val="007E09F5"/>
    <w:rPr>
      <w:i/>
      <w:iCs/>
      <w:sz w:val="24"/>
      <w:szCs w:val="24"/>
    </w:rPr>
  </w:style>
  <w:style w:type="character" w:customStyle="1" w:styleId="QuoteChar">
    <w:name w:val="Quote Char"/>
    <w:basedOn w:val="DefaultParagraphFont"/>
    <w:link w:val="Quote"/>
    <w:uiPriority w:val="29"/>
    <w:rsid w:val="007E09F5"/>
    <w:rPr>
      <w:i/>
      <w:iCs/>
      <w:sz w:val="24"/>
      <w:szCs w:val="24"/>
    </w:rPr>
  </w:style>
  <w:style w:type="paragraph" w:styleId="IntenseQuote">
    <w:name w:val="Intense Quote"/>
    <w:basedOn w:val="Normal"/>
    <w:next w:val="Normal"/>
    <w:link w:val="IntenseQuoteChar"/>
    <w:uiPriority w:val="30"/>
    <w:qFormat/>
    <w:rsid w:val="007E09F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E09F5"/>
    <w:rPr>
      <w:color w:val="5B9BD5" w:themeColor="accent1"/>
      <w:sz w:val="24"/>
      <w:szCs w:val="24"/>
    </w:rPr>
  </w:style>
  <w:style w:type="character" w:styleId="SubtleEmphasis">
    <w:name w:val="Subtle Emphasis"/>
    <w:qFormat/>
    <w:rsid w:val="007E09F5"/>
    <w:rPr>
      <w:i/>
      <w:iCs/>
      <w:color w:val="1F4D78" w:themeColor="accent1" w:themeShade="7F"/>
    </w:rPr>
  </w:style>
  <w:style w:type="character" w:styleId="IntenseEmphasis">
    <w:name w:val="Intense Emphasis"/>
    <w:uiPriority w:val="21"/>
    <w:qFormat/>
    <w:rsid w:val="007E09F5"/>
    <w:rPr>
      <w:b/>
      <w:bCs/>
      <w:caps/>
      <w:color w:val="1F4D78" w:themeColor="accent1" w:themeShade="7F"/>
      <w:spacing w:val="10"/>
    </w:rPr>
  </w:style>
  <w:style w:type="character" w:styleId="SubtleReference">
    <w:name w:val="Subtle Reference"/>
    <w:uiPriority w:val="31"/>
    <w:qFormat/>
    <w:rsid w:val="007E09F5"/>
    <w:rPr>
      <w:b/>
      <w:bCs/>
      <w:color w:val="5B9BD5" w:themeColor="accent1"/>
    </w:rPr>
  </w:style>
  <w:style w:type="character" w:styleId="IntenseReference">
    <w:name w:val="Intense Reference"/>
    <w:uiPriority w:val="32"/>
    <w:qFormat/>
    <w:rsid w:val="007E09F5"/>
    <w:rPr>
      <w:b/>
      <w:bCs/>
      <w:i/>
      <w:iCs/>
      <w:caps/>
      <w:color w:val="5B9BD5" w:themeColor="accent1"/>
    </w:rPr>
  </w:style>
  <w:style w:type="character" w:styleId="BookTitle">
    <w:name w:val="Book Title"/>
    <w:uiPriority w:val="33"/>
    <w:qFormat/>
    <w:rsid w:val="007E09F5"/>
    <w:rPr>
      <w:b/>
      <w:bCs/>
      <w:i/>
      <w:iCs/>
      <w:spacing w:val="0"/>
    </w:rPr>
  </w:style>
  <w:style w:type="paragraph" w:styleId="TOCHeading">
    <w:name w:val="TOC Heading"/>
    <w:basedOn w:val="Heading1"/>
    <w:next w:val="Normal"/>
    <w:uiPriority w:val="39"/>
    <w:unhideWhenUsed/>
    <w:qFormat/>
    <w:rsid w:val="007E09F5"/>
    <w:pPr>
      <w:outlineLvl w:val="9"/>
    </w:pPr>
  </w:style>
  <w:style w:type="paragraph" w:styleId="ListParagraph">
    <w:name w:val="List Paragraph"/>
    <w:aliases w:val="Citation List,List_Paragraph,Multilevel para_II,List Paragraph1,본문(내용),List Paragraph (numbered (a)),Akapit z listą BS,List Paragraph 1,Bullets,NUMBERED PARAGRAPH,Bullet1,Main numbered paragraph,Numbered Paragraph,References,Liste 1,ANNEX"/>
    <w:basedOn w:val="Normal"/>
    <w:link w:val="ListParagraphChar"/>
    <w:uiPriority w:val="34"/>
    <w:qFormat/>
    <w:rsid w:val="005F54D0"/>
    <w:pPr>
      <w:spacing w:before="0"/>
      <w:ind w:left="720"/>
      <w:contextualSpacing/>
    </w:pPr>
    <w:rPr>
      <w:rFonts w:eastAsiaTheme="minorHAnsi"/>
      <w:sz w:val="22"/>
      <w:szCs w:val="22"/>
    </w:rPr>
  </w:style>
  <w:style w:type="character" w:customStyle="1" w:styleId="ListParagraphChar">
    <w:name w:val="List Paragraph Char"/>
    <w:aliases w:val="Citation List Char,List_Paragraph Char,Multilevel para_II Char,List Paragraph1 Char,본문(내용) Char,List Paragraph (numbered (a)) Char,Akapit z listą BS Char,List Paragraph 1 Char,Bullets Char,NUMBERED PARAGRAPH Char,Bullet1 Char"/>
    <w:basedOn w:val="DefaultParagraphFont"/>
    <w:link w:val="ListParagraph"/>
    <w:uiPriority w:val="34"/>
    <w:qFormat/>
    <w:locked/>
    <w:rsid w:val="00BF4E78"/>
    <w:rPr>
      <w:rFonts w:eastAsiaTheme="minorHAnsi"/>
      <w:sz w:val="22"/>
      <w:szCs w:val="22"/>
    </w:rPr>
  </w:style>
  <w:style w:type="paragraph" w:styleId="Header">
    <w:name w:val="header"/>
    <w:basedOn w:val="Normal"/>
    <w:link w:val="HeaderChar"/>
    <w:uiPriority w:val="99"/>
    <w:unhideWhenUsed/>
    <w:rsid w:val="001676D5"/>
    <w:pPr>
      <w:tabs>
        <w:tab w:val="center" w:pos="4513"/>
        <w:tab w:val="right" w:pos="9026"/>
      </w:tabs>
      <w:spacing w:before="0" w:after="0" w:line="240" w:lineRule="auto"/>
    </w:pPr>
  </w:style>
  <w:style w:type="character" w:customStyle="1" w:styleId="HeaderChar">
    <w:name w:val="Header Char"/>
    <w:basedOn w:val="DefaultParagraphFont"/>
    <w:link w:val="Header"/>
    <w:uiPriority w:val="99"/>
    <w:qFormat/>
    <w:rsid w:val="001676D5"/>
  </w:style>
  <w:style w:type="paragraph" w:styleId="Footer">
    <w:name w:val="footer"/>
    <w:basedOn w:val="Normal"/>
    <w:link w:val="FooterChar"/>
    <w:uiPriority w:val="99"/>
    <w:unhideWhenUsed/>
    <w:rsid w:val="001676D5"/>
    <w:pPr>
      <w:tabs>
        <w:tab w:val="center" w:pos="4513"/>
        <w:tab w:val="right" w:pos="9026"/>
      </w:tabs>
      <w:spacing w:before="0" w:after="0" w:line="240" w:lineRule="auto"/>
    </w:pPr>
  </w:style>
  <w:style w:type="character" w:customStyle="1" w:styleId="FooterChar">
    <w:name w:val="Footer Char"/>
    <w:basedOn w:val="DefaultParagraphFont"/>
    <w:link w:val="Footer"/>
    <w:uiPriority w:val="99"/>
    <w:qFormat/>
    <w:rsid w:val="001676D5"/>
  </w:style>
  <w:style w:type="character" w:styleId="CommentReference">
    <w:name w:val="annotation reference"/>
    <w:basedOn w:val="DefaultParagraphFont"/>
    <w:uiPriority w:val="99"/>
    <w:semiHidden/>
    <w:unhideWhenUsed/>
    <w:qFormat/>
    <w:rsid w:val="00A86A3A"/>
    <w:rPr>
      <w:sz w:val="16"/>
      <w:szCs w:val="16"/>
    </w:rPr>
  </w:style>
  <w:style w:type="paragraph" w:styleId="CommentText">
    <w:name w:val="annotation text"/>
    <w:aliases w:val="Char2"/>
    <w:basedOn w:val="Normal"/>
    <w:link w:val="CommentTextChar"/>
    <w:uiPriority w:val="99"/>
    <w:unhideWhenUsed/>
    <w:qFormat/>
    <w:rsid w:val="00A86A3A"/>
    <w:pPr>
      <w:spacing w:line="240" w:lineRule="auto"/>
    </w:pPr>
  </w:style>
  <w:style w:type="character" w:customStyle="1" w:styleId="CommentTextChar">
    <w:name w:val="Comment Text Char"/>
    <w:aliases w:val="Char2 Char"/>
    <w:basedOn w:val="DefaultParagraphFont"/>
    <w:link w:val="CommentText"/>
    <w:uiPriority w:val="99"/>
    <w:qFormat/>
    <w:rsid w:val="00A86A3A"/>
  </w:style>
  <w:style w:type="paragraph" w:styleId="CommentSubject">
    <w:name w:val="annotation subject"/>
    <w:basedOn w:val="CommentText"/>
    <w:next w:val="CommentText"/>
    <w:link w:val="CommentSubjectChar"/>
    <w:uiPriority w:val="99"/>
    <w:semiHidden/>
    <w:unhideWhenUsed/>
    <w:rsid w:val="00A86A3A"/>
    <w:rPr>
      <w:b/>
      <w:bCs/>
    </w:rPr>
  </w:style>
  <w:style w:type="character" w:customStyle="1" w:styleId="CommentSubjectChar">
    <w:name w:val="Comment Subject Char"/>
    <w:basedOn w:val="CommentTextChar"/>
    <w:link w:val="CommentSubject"/>
    <w:uiPriority w:val="99"/>
    <w:semiHidden/>
    <w:rsid w:val="00A86A3A"/>
    <w:rPr>
      <w:b/>
      <w:bCs/>
    </w:rPr>
  </w:style>
  <w:style w:type="paragraph" w:customStyle="1" w:styleId="bold">
    <w:name w:val="bold"/>
    <w:basedOn w:val="Normal"/>
    <w:rsid w:val="00A86A3A"/>
    <w:pPr>
      <w:spacing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A86A3A"/>
    <w:pPr>
      <w:spacing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qFormat/>
    <w:rsid w:val="00A86A3A"/>
    <w:pPr>
      <w:spacing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A86A3A"/>
  </w:style>
  <w:style w:type="paragraph" w:styleId="Revision">
    <w:name w:val="Revision"/>
    <w:hidden/>
    <w:uiPriority w:val="99"/>
    <w:semiHidden/>
    <w:rsid w:val="0013549C"/>
    <w:pPr>
      <w:spacing w:before="0" w:after="0" w:line="240" w:lineRule="auto"/>
    </w:pPr>
  </w:style>
  <w:style w:type="paragraph" w:customStyle="1" w:styleId="p1">
    <w:name w:val="p1"/>
    <w:basedOn w:val="Normal"/>
    <w:rsid w:val="00BF4E78"/>
    <w:pPr>
      <w:spacing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BF4E78"/>
  </w:style>
  <w:style w:type="paragraph" w:customStyle="1" w:styleId="f1">
    <w:name w:val="f1"/>
    <w:basedOn w:val="Normal"/>
    <w:next w:val="FootnoteText"/>
    <w:uiPriority w:val="99"/>
    <w:unhideWhenUsed/>
    <w:qFormat/>
    <w:rsid w:val="00721398"/>
    <w:pPr>
      <w:spacing w:before="0" w:after="0" w:line="240" w:lineRule="auto"/>
    </w:pPr>
    <w:rPr>
      <w:rFonts w:eastAsiaTheme="minorHAnsi"/>
      <w:lang w:val="en-GB"/>
    </w:rPr>
  </w:style>
  <w:style w:type="character" w:customStyle="1" w:styleId="Hyperlink1">
    <w:name w:val="Hyperlink1"/>
    <w:basedOn w:val="DefaultParagraphFont"/>
    <w:uiPriority w:val="99"/>
    <w:unhideWhenUsed/>
    <w:rsid w:val="00721398"/>
    <w:rPr>
      <w:color w:val="0000FF"/>
      <w:u w:val="single"/>
    </w:rPr>
  </w:style>
  <w:style w:type="paragraph" w:customStyle="1" w:styleId="Ref">
    <w:name w:val="Ref"/>
    <w:aliases w:val="Footnotes refs"/>
    <w:basedOn w:val="Normal"/>
    <w:uiPriority w:val="99"/>
    <w:qFormat/>
    <w:rsid w:val="00721398"/>
    <w:pPr>
      <w:spacing w:before="0" w:after="120" w:line="240" w:lineRule="exact"/>
    </w:pPr>
    <w:rPr>
      <w:vertAlign w:val="superscript"/>
      <w:lang w:val="en-GB"/>
    </w:rPr>
  </w:style>
  <w:style w:type="table" w:customStyle="1" w:styleId="GridTable5Dark-Accent11">
    <w:name w:val="Grid Table 5 Dark - Accent 11"/>
    <w:basedOn w:val="TableNormal"/>
    <w:uiPriority w:val="50"/>
    <w:rsid w:val="002259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C90243"/>
    <w:rPr>
      <w:color w:val="954F72" w:themeColor="followedHyperlink"/>
      <w:u w:val="single"/>
    </w:rPr>
  </w:style>
  <w:style w:type="paragraph" w:customStyle="1" w:styleId="LightGrid-Accent31">
    <w:name w:val="Light Grid - Accent 31"/>
    <w:basedOn w:val="Normal"/>
    <w:uiPriority w:val="99"/>
    <w:rsid w:val="00C90243"/>
    <w:pPr>
      <w:spacing w:before="0"/>
      <w:ind w:left="720"/>
      <w:jc w:val="both"/>
    </w:pPr>
    <w:rPr>
      <w:rFonts w:ascii="Calibri" w:eastAsia="MS PGothic" w:hAnsi="Calibri" w:cs="Calibri"/>
      <w:sz w:val="22"/>
      <w:szCs w:val="22"/>
      <w:lang w:val="en-GB" w:eastAsia="zh-CN"/>
    </w:rPr>
  </w:style>
  <w:style w:type="paragraph" w:customStyle="1" w:styleId="Default">
    <w:name w:val="Default"/>
    <w:qFormat/>
    <w:rsid w:val="00C90243"/>
    <w:pPr>
      <w:autoSpaceDE w:val="0"/>
      <w:autoSpaceDN w:val="0"/>
      <w:adjustRightInd w:val="0"/>
      <w:spacing w:before="0" w:after="0" w:line="240" w:lineRule="auto"/>
    </w:pPr>
    <w:rPr>
      <w:rFonts w:ascii="Calibri" w:eastAsia="Times New Roman" w:hAnsi="Calibri" w:cs="Calibri"/>
      <w:color w:val="000000"/>
      <w:sz w:val="24"/>
      <w:szCs w:val="24"/>
      <w:lang w:val="en-GB" w:eastAsia="en-GB"/>
    </w:rPr>
  </w:style>
  <w:style w:type="paragraph" w:styleId="TOC1">
    <w:name w:val="toc 1"/>
    <w:basedOn w:val="Normal"/>
    <w:next w:val="Normal"/>
    <w:autoRedefine/>
    <w:uiPriority w:val="39"/>
    <w:qFormat/>
    <w:rsid w:val="00C90243"/>
    <w:pPr>
      <w:tabs>
        <w:tab w:val="left" w:pos="440"/>
        <w:tab w:val="right" w:pos="9016"/>
      </w:tabs>
      <w:spacing w:before="0" w:after="0" w:line="240" w:lineRule="auto"/>
    </w:pPr>
    <w:rPr>
      <w:rFonts w:ascii="Times New Roman" w:eastAsia="Times New Roman" w:hAnsi="Times New Roman" w:cs="Times New Roman"/>
      <w:noProof/>
      <w:sz w:val="22"/>
      <w:szCs w:val="22"/>
      <w:lang w:val="sr-Cyrl-RS" w:eastAsia="en-GB"/>
    </w:rPr>
  </w:style>
  <w:style w:type="paragraph" w:styleId="TOC2">
    <w:name w:val="toc 2"/>
    <w:basedOn w:val="Normal"/>
    <w:next w:val="Normal"/>
    <w:autoRedefine/>
    <w:uiPriority w:val="39"/>
    <w:qFormat/>
    <w:rsid w:val="007738AE"/>
    <w:pPr>
      <w:tabs>
        <w:tab w:val="right" w:pos="9016"/>
      </w:tabs>
      <w:spacing w:before="0" w:after="0" w:line="240" w:lineRule="auto"/>
      <w:ind w:left="216"/>
    </w:pPr>
    <w:rPr>
      <w:rFonts w:ascii="Calibri" w:eastAsia="Times New Roman" w:hAnsi="Calibri" w:cs="Calibri"/>
      <w:sz w:val="22"/>
      <w:szCs w:val="22"/>
      <w:lang w:val="en-GB" w:eastAsia="en-GB"/>
    </w:rPr>
  </w:style>
  <w:style w:type="paragraph" w:customStyle="1" w:styleId="IFS2012naslov3">
    <w:name w:val="IFS 2012 naslov 3"/>
    <w:basedOn w:val="Heading3"/>
    <w:autoRedefine/>
    <w:qFormat/>
    <w:rsid w:val="00C90243"/>
    <w:pPr>
      <w:keepNext/>
      <w:keepLines/>
      <w:pBdr>
        <w:top w:val="none" w:sz="0" w:space="0" w:color="auto"/>
      </w:pBdr>
      <w:spacing w:before="0" w:after="120" w:line="240" w:lineRule="auto"/>
      <w:jc w:val="both"/>
      <w:outlineLvl w:val="9"/>
    </w:pPr>
    <w:rPr>
      <w:rFonts w:ascii="Cambria" w:eastAsia="Times New Roman" w:hAnsi="Cambria" w:cs="Times New Roman"/>
      <w:bCs/>
      <w:caps w:val="0"/>
      <w:noProof/>
      <w:color w:val="7F7F7F"/>
      <w:spacing w:val="0"/>
      <w:sz w:val="24"/>
      <w:szCs w:val="24"/>
      <w:lang w:val="sr-Cyrl-RS" w:bidi="en-US"/>
    </w:rPr>
  </w:style>
  <w:style w:type="numbering" w:customStyle="1" w:styleId="NoList1">
    <w:name w:val="No List1"/>
    <w:next w:val="NoList"/>
    <w:uiPriority w:val="99"/>
    <w:semiHidden/>
    <w:unhideWhenUsed/>
    <w:rsid w:val="00C90243"/>
  </w:style>
  <w:style w:type="table" w:customStyle="1" w:styleId="TableGrid1">
    <w:name w:val="Table Grid1"/>
    <w:basedOn w:val="TableNormal"/>
    <w:next w:val="TableGrid"/>
    <w:uiPriority w:val="59"/>
    <w:rsid w:val="00C90243"/>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umbering">
    <w:name w:val="Paragraph Numbering"/>
    <w:basedOn w:val="Normal"/>
    <w:link w:val="ParagraphNumberingChar"/>
    <w:uiPriority w:val="1"/>
    <w:qFormat/>
    <w:rsid w:val="00C90243"/>
    <w:pPr>
      <w:numPr>
        <w:numId w:val="8"/>
      </w:numPr>
      <w:tabs>
        <w:tab w:val="clear" w:pos="1260"/>
        <w:tab w:val="num" w:pos="720"/>
      </w:tabs>
      <w:spacing w:before="0" w:after="240" w:line="264" w:lineRule="auto"/>
      <w:ind w:left="0"/>
    </w:pPr>
    <w:rPr>
      <w:rFonts w:ascii="Times New Roman" w:eastAsia="SimSun" w:hAnsi="Times New Roman" w:cs="Times New Roman"/>
      <w:sz w:val="24"/>
      <w:szCs w:val="24"/>
    </w:rPr>
  </w:style>
  <w:style w:type="character" w:customStyle="1" w:styleId="ParagraphNumberingChar">
    <w:name w:val="Paragraph Numbering Char"/>
    <w:link w:val="ParagraphNumbering"/>
    <w:uiPriority w:val="1"/>
    <w:rsid w:val="00C90243"/>
    <w:rPr>
      <w:rFonts w:ascii="Times New Roman" w:eastAsia="SimSun" w:hAnsi="Times New Roman" w:cs="Times New Roman"/>
      <w:sz w:val="24"/>
      <w:szCs w:val="24"/>
    </w:rPr>
  </w:style>
  <w:style w:type="paragraph" w:styleId="ListBullet">
    <w:name w:val="List Bullet"/>
    <w:aliases w:val="List Bullet Char Char, Char Char Char, Char,List Bullet Char2 Char Char,List Bullet Char1 Char Char Char,List Bullet Char Char Char Char Char,List Bullet Char Char1 Char Char,List Bullet Char2 Char1"/>
    <w:basedOn w:val="Normal"/>
    <w:link w:val="ListBulletChar"/>
    <w:uiPriority w:val="99"/>
    <w:qFormat/>
    <w:rsid w:val="00C90243"/>
    <w:pPr>
      <w:numPr>
        <w:numId w:val="9"/>
      </w:numPr>
      <w:spacing w:before="0" w:after="240" w:line="264" w:lineRule="auto"/>
    </w:pPr>
    <w:rPr>
      <w:rFonts w:ascii="Times New Roman" w:eastAsia="SimSun" w:hAnsi="Times New Roman" w:cs="Times New Roman"/>
      <w:sz w:val="24"/>
    </w:rPr>
  </w:style>
  <w:style w:type="character" w:customStyle="1" w:styleId="ListBulletChar">
    <w:name w:val="List Bullet Char"/>
    <w:aliases w:val="List Bullet Char Char Char, Char Char Char Char, Char Char,List Bullet Char2 Char Char Char,List Bullet Char1 Char Char Char Char,List Bullet Char Char Char Char Char Char,List Bullet Char Char1 Char Char Char"/>
    <w:link w:val="ListBullet"/>
    <w:uiPriority w:val="99"/>
    <w:rsid w:val="00C90243"/>
    <w:rPr>
      <w:rFonts w:ascii="Times New Roman" w:eastAsia="SimSun" w:hAnsi="Times New Roman" w:cs="Times New Roman"/>
      <w:sz w:val="24"/>
    </w:rPr>
  </w:style>
  <w:style w:type="character" w:styleId="PageNumber">
    <w:name w:val="page number"/>
    <w:qFormat/>
    <w:rsid w:val="00C90243"/>
  </w:style>
  <w:style w:type="paragraph" w:styleId="TOC3">
    <w:name w:val="toc 3"/>
    <w:basedOn w:val="Normal"/>
    <w:next w:val="Normal"/>
    <w:autoRedefine/>
    <w:uiPriority w:val="39"/>
    <w:unhideWhenUsed/>
    <w:qFormat/>
    <w:rsid w:val="00C90243"/>
    <w:pPr>
      <w:spacing w:before="0" w:after="100" w:line="259" w:lineRule="auto"/>
      <w:ind w:left="440"/>
    </w:pPr>
    <w:rPr>
      <w:rFonts w:ascii="Calibri" w:eastAsia="Calibri" w:hAnsi="Calibri" w:cs="Times New Roman"/>
      <w:sz w:val="22"/>
      <w:szCs w:val="22"/>
    </w:rPr>
  </w:style>
  <w:style w:type="paragraph" w:customStyle="1" w:styleId="TOC41">
    <w:name w:val="TOC 41"/>
    <w:basedOn w:val="Normal"/>
    <w:next w:val="Normal"/>
    <w:autoRedefine/>
    <w:uiPriority w:val="39"/>
    <w:unhideWhenUsed/>
    <w:rsid w:val="00C90243"/>
    <w:pPr>
      <w:spacing w:before="0" w:after="100" w:line="259" w:lineRule="auto"/>
      <w:ind w:left="660"/>
    </w:pPr>
    <w:rPr>
      <w:rFonts w:ascii="Calibri" w:eastAsia="Times New Roman" w:hAnsi="Calibri" w:cs="Times New Roman"/>
      <w:sz w:val="22"/>
      <w:szCs w:val="22"/>
    </w:rPr>
  </w:style>
  <w:style w:type="paragraph" w:customStyle="1" w:styleId="TOC51">
    <w:name w:val="TOC 51"/>
    <w:basedOn w:val="Normal"/>
    <w:next w:val="Normal"/>
    <w:autoRedefine/>
    <w:uiPriority w:val="39"/>
    <w:unhideWhenUsed/>
    <w:rsid w:val="00C90243"/>
    <w:pPr>
      <w:spacing w:before="0" w:after="100" w:line="259" w:lineRule="auto"/>
      <w:ind w:left="880"/>
    </w:pPr>
    <w:rPr>
      <w:rFonts w:ascii="Calibri" w:eastAsia="Times New Roman" w:hAnsi="Calibri" w:cs="Times New Roman"/>
      <w:sz w:val="22"/>
      <w:szCs w:val="22"/>
    </w:rPr>
  </w:style>
  <w:style w:type="paragraph" w:customStyle="1" w:styleId="TOC61">
    <w:name w:val="TOC 61"/>
    <w:basedOn w:val="Normal"/>
    <w:next w:val="Normal"/>
    <w:autoRedefine/>
    <w:uiPriority w:val="39"/>
    <w:unhideWhenUsed/>
    <w:rsid w:val="00C90243"/>
    <w:pPr>
      <w:spacing w:before="0" w:after="100" w:line="259" w:lineRule="auto"/>
      <w:ind w:left="1100"/>
    </w:pPr>
    <w:rPr>
      <w:rFonts w:ascii="Calibri" w:eastAsia="Times New Roman" w:hAnsi="Calibri" w:cs="Times New Roman"/>
      <w:sz w:val="22"/>
      <w:szCs w:val="22"/>
    </w:rPr>
  </w:style>
  <w:style w:type="paragraph" w:customStyle="1" w:styleId="TOC71">
    <w:name w:val="TOC 71"/>
    <w:basedOn w:val="Normal"/>
    <w:next w:val="Normal"/>
    <w:autoRedefine/>
    <w:uiPriority w:val="39"/>
    <w:unhideWhenUsed/>
    <w:rsid w:val="00C90243"/>
    <w:pPr>
      <w:spacing w:before="0" w:after="100" w:line="259" w:lineRule="auto"/>
      <w:ind w:left="1320"/>
    </w:pPr>
    <w:rPr>
      <w:rFonts w:ascii="Calibri" w:eastAsia="Times New Roman" w:hAnsi="Calibri" w:cs="Times New Roman"/>
      <w:sz w:val="22"/>
      <w:szCs w:val="22"/>
    </w:rPr>
  </w:style>
  <w:style w:type="paragraph" w:customStyle="1" w:styleId="TOC81">
    <w:name w:val="TOC 81"/>
    <w:basedOn w:val="Normal"/>
    <w:next w:val="Normal"/>
    <w:autoRedefine/>
    <w:uiPriority w:val="39"/>
    <w:unhideWhenUsed/>
    <w:rsid w:val="00C90243"/>
    <w:pPr>
      <w:spacing w:before="0" w:after="100" w:line="259" w:lineRule="auto"/>
      <w:ind w:left="1540"/>
    </w:pPr>
    <w:rPr>
      <w:rFonts w:ascii="Calibri" w:eastAsia="Times New Roman" w:hAnsi="Calibri" w:cs="Times New Roman"/>
      <w:sz w:val="22"/>
      <w:szCs w:val="22"/>
    </w:rPr>
  </w:style>
  <w:style w:type="paragraph" w:customStyle="1" w:styleId="TOC91">
    <w:name w:val="TOC 91"/>
    <w:basedOn w:val="Normal"/>
    <w:next w:val="Normal"/>
    <w:autoRedefine/>
    <w:uiPriority w:val="39"/>
    <w:unhideWhenUsed/>
    <w:rsid w:val="00C90243"/>
    <w:pPr>
      <w:spacing w:before="0" w:after="100" w:line="259" w:lineRule="auto"/>
      <w:ind w:left="1760"/>
    </w:pPr>
    <w:rPr>
      <w:rFonts w:ascii="Calibri" w:eastAsia="Times New Roman" w:hAnsi="Calibri" w:cs="Times New Roman"/>
      <w:sz w:val="22"/>
      <w:szCs w:val="22"/>
    </w:rPr>
  </w:style>
  <w:style w:type="paragraph" w:styleId="TOC5">
    <w:name w:val="toc 5"/>
    <w:basedOn w:val="Normal"/>
    <w:next w:val="Normal"/>
    <w:autoRedefine/>
    <w:uiPriority w:val="39"/>
    <w:rsid w:val="00C90243"/>
    <w:pPr>
      <w:spacing w:before="0" w:after="100"/>
      <w:ind w:left="880"/>
    </w:pPr>
    <w:rPr>
      <w:rFonts w:ascii="Calibri" w:eastAsia="Times New Roman" w:hAnsi="Calibri" w:cs="Calibri"/>
      <w:sz w:val="22"/>
      <w:szCs w:val="22"/>
      <w:lang w:val="en-GB" w:eastAsia="en-GB"/>
    </w:rPr>
  </w:style>
  <w:style w:type="character" w:customStyle="1" w:styleId="apple-converted-space">
    <w:name w:val="apple-converted-space"/>
    <w:basedOn w:val="DefaultParagraphFont"/>
    <w:rsid w:val="00C90243"/>
  </w:style>
  <w:style w:type="numbering" w:customStyle="1" w:styleId="NoList2">
    <w:name w:val="No List2"/>
    <w:next w:val="NoList"/>
    <w:uiPriority w:val="99"/>
    <w:semiHidden/>
    <w:unhideWhenUsed/>
    <w:rsid w:val="00C90243"/>
  </w:style>
  <w:style w:type="numbering" w:customStyle="1" w:styleId="NoList3">
    <w:name w:val="No List3"/>
    <w:next w:val="NoList"/>
    <w:uiPriority w:val="99"/>
    <w:semiHidden/>
    <w:unhideWhenUsed/>
    <w:rsid w:val="00C90243"/>
  </w:style>
  <w:style w:type="numbering" w:customStyle="1" w:styleId="NoList4">
    <w:name w:val="No List4"/>
    <w:next w:val="NoList"/>
    <w:uiPriority w:val="99"/>
    <w:semiHidden/>
    <w:unhideWhenUsed/>
    <w:rsid w:val="00C90243"/>
  </w:style>
  <w:style w:type="numbering" w:customStyle="1" w:styleId="NoList11">
    <w:name w:val="No List11"/>
    <w:next w:val="NoList"/>
    <w:uiPriority w:val="99"/>
    <w:semiHidden/>
    <w:unhideWhenUsed/>
    <w:rsid w:val="00C90243"/>
  </w:style>
  <w:style w:type="table" w:customStyle="1" w:styleId="TableGrid2">
    <w:name w:val="Table Grid2"/>
    <w:basedOn w:val="TableNormal"/>
    <w:next w:val="TableGrid"/>
    <w:uiPriority w:val="59"/>
    <w:rsid w:val="00C90243"/>
    <w:pPr>
      <w:spacing w:before="0" w:after="0" w:line="240" w:lineRule="auto"/>
    </w:pPr>
    <w:rPr>
      <w:rFonts w:ascii="Calibri" w:eastAsia="Times New Roman"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0243"/>
  </w:style>
  <w:style w:type="table" w:customStyle="1" w:styleId="TableGrid11">
    <w:name w:val="Table Grid11"/>
    <w:basedOn w:val="TableNormal"/>
    <w:next w:val="TableGrid"/>
    <w:uiPriority w:val="39"/>
    <w:rsid w:val="00C90243"/>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90243"/>
  </w:style>
  <w:style w:type="paragraph" w:customStyle="1" w:styleId="xl65">
    <w:name w:val="xl65"/>
    <w:basedOn w:val="Normal"/>
    <w:rsid w:val="00C90243"/>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6">
    <w:name w:val="xl66"/>
    <w:basedOn w:val="Normal"/>
    <w:rsid w:val="00C90243"/>
    <w:pPr>
      <w:pBdr>
        <w:top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C90243"/>
    <w:pPr>
      <w:spacing w:beforeAutospacing="1" w:after="100" w:afterAutospacing="1" w:line="240" w:lineRule="auto"/>
    </w:pPr>
    <w:rPr>
      <w:rFonts w:ascii="Cambria" w:eastAsia="Times New Roman" w:hAnsi="Cambria" w:cs="Times New Roman"/>
      <w:lang w:val="en-GB" w:eastAsia="en-GB"/>
    </w:rPr>
  </w:style>
  <w:style w:type="paragraph" w:customStyle="1" w:styleId="xl68">
    <w:name w:val="xl68"/>
    <w:basedOn w:val="Normal"/>
    <w:rsid w:val="00C90243"/>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69">
    <w:name w:val="xl69"/>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70">
    <w:name w:val="xl70"/>
    <w:basedOn w:val="Normal"/>
    <w:rsid w:val="00C90243"/>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1">
    <w:name w:val="xl71"/>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2">
    <w:name w:val="xl72"/>
    <w:basedOn w:val="Normal"/>
    <w:rsid w:val="00C90243"/>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3">
    <w:name w:val="xl73"/>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4">
    <w:name w:val="xl74"/>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75">
    <w:name w:val="xl75"/>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76">
    <w:name w:val="xl76"/>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77">
    <w:name w:val="xl77"/>
    <w:basedOn w:val="Normal"/>
    <w:rsid w:val="00C90243"/>
    <w:pPr>
      <w:pBdr>
        <w:top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8">
    <w:name w:val="xl78"/>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79">
    <w:name w:val="xl79"/>
    <w:basedOn w:val="Normal"/>
    <w:rsid w:val="00C90243"/>
    <w:pP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0">
    <w:name w:val="xl80"/>
    <w:basedOn w:val="Normal"/>
    <w:rsid w:val="00C90243"/>
    <w:pPr>
      <w:pBdr>
        <w:top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1">
    <w:name w:val="xl81"/>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2">
    <w:name w:val="xl82"/>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83">
    <w:name w:val="xl83"/>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4">
    <w:name w:val="xl84"/>
    <w:basedOn w:val="Normal"/>
    <w:rsid w:val="00C90243"/>
    <w:pPr>
      <w:pBdr>
        <w:top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5">
    <w:name w:val="xl85"/>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6">
    <w:name w:val="xl86"/>
    <w:basedOn w:val="Normal"/>
    <w:rsid w:val="00C90243"/>
    <w:pPr>
      <w:pBdr>
        <w:top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7">
    <w:name w:val="xl87"/>
    <w:basedOn w:val="Normal"/>
    <w:rsid w:val="00C90243"/>
    <w:pPr>
      <w:pBdr>
        <w:top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8">
    <w:name w:val="xl88"/>
    <w:basedOn w:val="Normal"/>
    <w:rsid w:val="00C90243"/>
    <w:pPr>
      <w:pBdr>
        <w:top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9">
    <w:name w:val="xl89"/>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0">
    <w:name w:val="xl90"/>
    <w:basedOn w:val="Normal"/>
    <w:rsid w:val="00C90243"/>
    <w:pPr>
      <w:pBdr>
        <w:top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Normal"/>
    <w:rsid w:val="00C90243"/>
    <w:pPr>
      <w:pBdr>
        <w:top w:val="single" w:sz="4" w:space="0" w:color="auto"/>
        <w:left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2">
    <w:name w:val="xl92"/>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3">
    <w:name w:val="xl93"/>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4">
    <w:name w:val="xl94"/>
    <w:basedOn w:val="Normal"/>
    <w:rsid w:val="00C90243"/>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5">
    <w:name w:val="xl95"/>
    <w:basedOn w:val="Normal"/>
    <w:rsid w:val="00C90243"/>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96">
    <w:name w:val="xl96"/>
    <w:basedOn w:val="Normal"/>
    <w:rsid w:val="00C90243"/>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7">
    <w:name w:val="xl97"/>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8">
    <w:name w:val="xl98"/>
    <w:basedOn w:val="Normal"/>
    <w:rsid w:val="00C90243"/>
    <w:pPr>
      <w:pBdr>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9">
    <w:name w:val="xl99"/>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100">
    <w:name w:val="xl100"/>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101">
    <w:name w:val="xl101"/>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2">
    <w:name w:val="xl102"/>
    <w:basedOn w:val="Normal"/>
    <w:rsid w:val="00C90243"/>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3">
    <w:name w:val="xl103"/>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4">
    <w:name w:val="xl104"/>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5">
    <w:name w:val="xl105"/>
    <w:basedOn w:val="Normal"/>
    <w:rsid w:val="00C90243"/>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106">
    <w:name w:val="xl106"/>
    <w:basedOn w:val="Normal"/>
    <w:rsid w:val="00C90243"/>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107">
    <w:name w:val="xl107"/>
    <w:basedOn w:val="Normal"/>
    <w:rsid w:val="00C90243"/>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8">
    <w:name w:val="xl108"/>
    <w:basedOn w:val="Normal"/>
    <w:rsid w:val="00C90243"/>
    <w:pPr>
      <w:pBdr>
        <w:top w:val="single" w:sz="4" w:space="0" w:color="auto"/>
        <w:left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9">
    <w:name w:val="xl109"/>
    <w:basedOn w:val="Normal"/>
    <w:rsid w:val="00C90243"/>
    <w:pPr>
      <w:pBdr>
        <w:bottom w:val="single" w:sz="4" w:space="0" w:color="auto"/>
      </w:pBdr>
      <w:spacing w:beforeAutospacing="1" w:after="100" w:afterAutospacing="1" w:line="240" w:lineRule="auto"/>
      <w:jc w:val="center"/>
      <w:textAlignment w:val="center"/>
    </w:pPr>
    <w:rPr>
      <w:rFonts w:ascii="Cambria" w:eastAsia="Times New Roman" w:hAnsi="Cambria" w:cs="Times New Roman"/>
      <w:b/>
      <w:bCs/>
      <w:sz w:val="28"/>
      <w:szCs w:val="28"/>
      <w:lang w:val="en-GB" w:eastAsia="en-GB"/>
    </w:rPr>
  </w:style>
  <w:style w:type="paragraph" w:customStyle="1" w:styleId="xl110">
    <w:name w:val="xl110"/>
    <w:basedOn w:val="Normal"/>
    <w:rsid w:val="00C90243"/>
    <w:pPr>
      <w:pBdr>
        <w:bottom w:val="single" w:sz="4" w:space="0" w:color="auto"/>
      </w:pBdr>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11">
    <w:name w:val="xl111"/>
    <w:basedOn w:val="Normal"/>
    <w:rsid w:val="00C90243"/>
    <w:pPr>
      <w:pBdr>
        <w:top w:val="single" w:sz="4" w:space="0" w:color="auto"/>
        <w:left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paragraph" w:customStyle="1" w:styleId="xl112">
    <w:name w:val="xl112"/>
    <w:basedOn w:val="Normal"/>
    <w:rsid w:val="00C90243"/>
    <w:pPr>
      <w:pBdr>
        <w:left w:val="single" w:sz="4" w:space="0" w:color="auto"/>
        <w:bottom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table" w:styleId="MediumGrid1-Accent4">
    <w:name w:val="Medium Grid 1 Accent 4"/>
    <w:basedOn w:val="TableNormal"/>
    <w:uiPriority w:val="67"/>
    <w:rsid w:val="00C90243"/>
    <w:pPr>
      <w:spacing w:before="0" w:after="0" w:line="240" w:lineRule="auto"/>
    </w:pPr>
    <w:rPr>
      <w:rFonts w:ascii="Calibri" w:eastAsia="Calibri" w:hAnsi="Calibri" w:cs="Times New Roman"/>
      <w:sz w:val="22"/>
      <w:szCs w:val="22"/>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41">
    <w:name w:val="Medium Grid 1 - Accent 41"/>
    <w:basedOn w:val="TableNormal"/>
    <w:next w:val="MediumGrid1-Accent4"/>
    <w:uiPriority w:val="67"/>
    <w:rsid w:val="00C90243"/>
    <w:pPr>
      <w:spacing w:before="0" w:after="0" w:line="240" w:lineRule="auto"/>
    </w:pPr>
    <w:rPr>
      <w:rFonts w:ascii="Calibri" w:eastAsia="Calibri" w:hAnsi="Calibri" w:cs="Times New Roman"/>
      <w:sz w:val="22"/>
      <w:szCs w:val="22"/>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semiHidden/>
    <w:unhideWhenUsed/>
    <w:rsid w:val="00C90243"/>
    <w:pPr>
      <w:spacing w:before="0"/>
    </w:pPr>
    <w:rPr>
      <w:rFonts w:ascii="Calibri" w:eastAsia="Times New Roman" w:hAnsi="Calibri" w:cs="Calibri"/>
      <w:lang w:val="en-GB" w:eastAsia="en-GB"/>
    </w:rPr>
  </w:style>
  <w:style w:type="character" w:customStyle="1" w:styleId="EndnoteTextChar">
    <w:name w:val="Endnote Text Char"/>
    <w:basedOn w:val="DefaultParagraphFont"/>
    <w:link w:val="EndnoteText"/>
    <w:uiPriority w:val="99"/>
    <w:semiHidden/>
    <w:rsid w:val="00C90243"/>
    <w:rPr>
      <w:rFonts w:ascii="Calibri" w:eastAsia="Times New Roman" w:hAnsi="Calibri" w:cs="Calibri"/>
      <w:lang w:val="en-GB" w:eastAsia="en-GB"/>
    </w:rPr>
  </w:style>
  <w:style w:type="character" w:styleId="EndnoteReference">
    <w:name w:val="endnote reference"/>
    <w:uiPriority w:val="99"/>
    <w:semiHidden/>
    <w:unhideWhenUsed/>
    <w:rsid w:val="00C90243"/>
    <w:rPr>
      <w:vertAlign w:val="superscript"/>
    </w:rPr>
  </w:style>
  <w:style w:type="character" w:styleId="LineNumber">
    <w:name w:val="line number"/>
    <w:uiPriority w:val="99"/>
    <w:semiHidden/>
    <w:unhideWhenUsed/>
    <w:rsid w:val="00C90243"/>
  </w:style>
  <w:style w:type="numbering" w:customStyle="1" w:styleId="NoList5">
    <w:name w:val="No List5"/>
    <w:next w:val="NoList"/>
    <w:uiPriority w:val="99"/>
    <w:semiHidden/>
    <w:unhideWhenUsed/>
    <w:rsid w:val="00C90243"/>
  </w:style>
  <w:style w:type="numbering" w:customStyle="1" w:styleId="NoList12">
    <w:name w:val="No List12"/>
    <w:next w:val="NoList"/>
    <w:uiPriority w:val="99"/>
    <w:semiHidden/>
    <w:unhideWhenUsed/>
    <w:rsid w:val="00C90243"/>
  </w:style>
  <w:style w:type="numbering" w:customStyle="1" w:styleId="NoList112">
    <w:name w:val="No List112"/>
    <w:next w:val="NoList"/>
    <w:uiPriority w:val="99"/>
    <w:semiHidden/>
    <w:unhideWhenUsed/>
    <w:rsid w:val="00C90243"/>
  </w:style>
  <w:style w:type="numbering" w:customStyle="1" w:styleId="NoList1111">
    <w:name w:val="No List1111"/>
    <w:next w:val="NoList"/>
    <w:uiPriority w:val="99"/>
    <w:semiHidden/>
    <w:unhideWhenUsed/>
    <w:rsid w:val="00C90243"/>
  </w:style>
  <w:style w:type="numbering" w:customStyle="1" w:styleId="NoList22">
    <w:name w:val="No List22"/>
    <w:next w:val="NoList"/>
    <w:uiPriority w:val="99"/>
    <w:semiHidden/>
    <w:unhideWhenUsed/>
    <w:rsid w:val="00C90243"/>
  </w:style>
  <w:style w:type="character" w:customStyle="1" w:styleId="NoSpacingChar">
    <w:name w:val="No Spacing Char"/>
    <w:basedOn w:val="DefaultParagraphFont"/>
    <w:link w:val="NoSpacing"/>
    <w:uiPriority w:val="1"/>
    <w:rsid w:val="007001D9"/>
  </w:style>
  <w:style w:type="character" w:customStyle="1" w:styleId="acopre1">
    <w:name w:val="acopre1"/>
    <w:basedOn w:val="DefaultParagraphFont"/>
    <w:rsid w:val="00152E82"/>
  </w:style>
  <w:style w:type="paragraph" w:styleId="BodyText">
    <w:name w:val="Body Text"/>
    <w:basedOn w:val="Normal"/>
    <w:link w:val="BodyTextChar"/>
    <w:uiPriority w:val="1"/>
    <w:qFormat/>
    <w:rsid w:val="00A971BC"/>
    <w:pPr>
      <w:spacing w:before="0" w:after="0" w:line="240" w:lineRule="auto"/>
      <w:jc w:val="both"/>
    </w:pPr>
    <w:rPr>
      <w:rFonts w:ascii="YU C Times" w:eastAsia="Times New Roman" w:hAnsi="YU C Times" w:cs="Times New Roman"/>
      <w:sz w:val="24"/>
    </w:rPr>
  </w:style>
  <w:style w:type="character" w:customStyle="1" w:styleId="BodyTextChar">
    <w:name w:val="Body Text Char"/>
    <w:basedOn w:val="DefaultParagraphFont"/>
    <w:link w:val="BodyText"/>
    <w:uiPriority w:val="1"/>
    <w:qFormat/>
    <w:rsid w:val="00A971BC"/>
    <w:rPr>
      <w:rFonts w:ascii="YU C Times" w:eastAsia="Times New Roman" w:hAnsi="YU C Times" w:cs="Times New Roman"/>
      <w:sz w:val="24"/>
    </w:rPr>
  </w:style>
  <w:style w:type="character" w:customStyle="1" w:styleId="st1">
    <w:name w:val="st1"/>
    <w:rsid w:val="00A971BC"/>
  </w:style>
  <w:style w:type="paragraph" w:styleId="HTMLPreformatted">
    <w:name w:val="HTML Preformatted"/>
    <w:basedOn w:val="Normal"/>
    <w:link w:val="HTMLPreformattedChar"/>
    <w:uiPriority w:val="99"/>
    <w:unhideWhenUsed/>
    <w:rsid w:val="00BC5C5F"/>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BC5C5F"/>
    <w:rPr>
      <w:rFonts w:ascii="Consolas" w:hAnsi="Consolas"/>
    </w:rPr>
  </w:style>
  <w:style w:type="character" w:customStyle="1" w:styleId="expand">
    <w:name w:val="expand"/>
    <w:basedOn w:val="DefaultParagraphFont"/>
    <w:rsid w:val="003B1E1D"/>
  </w:style>
  <w:style w:type="paragraph" w:customStyle="1" w:styleId="msonormal0">
    <w:name w:val="msonormal"/>
    <w:basedOn w:val="Normal"/>
    <w:rsid w:val="00AE3C4E"/>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AE3C4E"/>
    <w:pPr>
      <w:spacing w:beforeAutospacing="1" w:after="100" w:afterAutospacing="1" w:line="240" w:lineRule="auto"/>
    </w:pPr>
    <w:rPr>
      <w:rFonts w:ascii="Times New Roman" w:eastAsia="Times New Roman" w:hAnsi="Times New Roman" w:cs="Times New Roman"/>
      <w:color w:val="FF0000"/>
      <w:lang w:val="en-GB" w:eastAsia="en-GB"/>
    </w:rPr>
  </w:style>
  <w:style w:type="paragraph" w:customStyle="1" w:styleId="font6">
    <w:name w:val="font6"/>
    <w:basedOn w:val="Normal"/>
    <w:rsid w:val="00AE3C4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13">
    <w:name w:val="xl113"/>
    <w:basedOn w:val="Normal"/>
    <w:rsid w:val="00AE3C4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000000"/>
      <w:sz w:val="16"/>
      <w:szCs w:val="16"/>
      <w:lang w:val="en-GB" w:eastAsia="en-GB"/>
    </w:rPr>
  </w:style>
  <w:style w:type="paragraph" w:customStyle="1" w:styleId="xl114">
    <w:name w:val="xl114"/>
    <w:basedOn w:val="Normal"/>
    <w:rsid w:val="00AE3C4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15">
    <w:name w:val="xl115"/>
    <w:basedOn w:val="Normal"/>
    <w:rsid w:val="00AE3C4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color w:val="000000"/>
      <w:sz w:val="24"/>
      <w:szCs w:val="24"/>
      <w:lang w:val="en-GB" w:eastAsia="en-GB"/>
    </w:rPr>
  </w:style>
  <w:style w:type="paragraph" w:customStyle="1" w:styleId="xl116">
    <w:name w:val="xl116"/>
    <w:basedOn w:val="Normal"/>
    <w:rsid w:val="00AE3C4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lang w:val="en-GB" w:eastAsia="en-GB"/>
    </w:rPr>
  </w:style>
  <w:style w:type="paragraph" w:customStyle="1" w:styleId="xl117">
    <w:name w:val="xl117"/>
    <w:basedOn w:val="Normal"/>
    <w:rsid w:val="00AE3C4E"/>
    <w:pPr>
      <w:pBdr>
        <w:top w:val="single" w:sz="4" w:space="0" w:color="9FC8E9"/>
        <w:left w:val="single" w:sz="4" w:space="0" w:color="9FC8E9"/>
        <w:bottom w:val="single" w:sz="4" w:space="0" w:color="9FC8E9"/>
        <w:right w:val="single" w:sz="4" w:space="0" w:color="9FC8E9"/>
      </w:pBdr>
      <w:shd w:val="clear" w:color="000000" w:fill="DDEBF7"/>
      <w:spacing w:beforeAutospacing="1" w:after="100" w:afterAutospacing="1" w:line="240" w:lineRule="auto"/>
      <w:textAlignment w:val="center"/>
    </w:pPr>
    <w:rPr>
      <w:rFonts w:ascii="Times New Roman" w:eastAsia="Times New Roman" w:hAnsi="Times New Roman" w:cs="Times New Roman"/>
      <w:lang w:val="en-GB" w:eastAsia="en-GB"/>
    </w:rPr>
  </w:style>
  <w:style w:type="paragraph" w:customStyle="1" w:styleId="xl118">
    <w:name w:val="xl118"/>
    <w:basedOn w:val="Normal"/>
    <w:rsid w:val="00AE3C4E"/>
    <w:pPr>
      <w:pBdr>
        <w:left w:val="single" w:sz="4" w:space="0" w:color="auto"/>
        <w:bottom w:val="single" w:sz="4" w:space="0" w:color="auto"/>
        <w:right w:val="single" w:sz="4" w:space="0" w:color="auto"/>
      </w:pBdr>
      <w:shd w:val="clear" w:color="98CBEF" w:fill="9FC8E9"/>
      <w:spacing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19">
    <w:name w:val="xl119"/>
    <w:basedOn w:val="Normal"/>
    <w:rsid w:val="00AE3C4E"/>
    <w:pPr>
      <w:pBdr>
        <w:top w:val="dashed" w:sz="4" w:space="0" w:color="auto"/>
        <w:left w:val="dashed" w:sz="4" w:space="0" w:color="auto"/>
        <w:bottom w:val="single" w:sz="8" w:space="0" w:color="auto"/>
        <w:right w:val="dashed"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0">
    <w:name w:val="xl120"/>
    <w:basedOn w:val="Normal"/>
    <w:rsid w:val="00AE3C4E"/>
    <w:pPr>
      <w:pBdr>
        <w:top w:val="dashed" w:sz="4" w:space="0" w:color="auto"/>
        <w:left w:val="dashed" w:sz="4" w:space="0" w:color="auto"/>
        <w:bottom w:val="single" w:sz="8" w:space="0" w:color="auto"/>
        <w:right w:val="single"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1">
    <w:name w:val="xl121"/>
    <w:basedOn w:val="Normal"/>
    <w:rsid w:val="00AE3C4E"/>
    <w:pPr>
      <w:pBdr>
        <w:top w:val="single" w:sz="4" w:space="0" w:color="auto"/>
        <w:left w:val="single" w:sz="4" w:space="0" w:color="auto"/>
        <w:bottom w:val="single" w:sz="4" w:space="0" w:color="auto"/>
        <w:right w:val="single" w:sz="4" w:space="0" w:color="auto"/>
      </w:pBdr>
      <w:shd w:val="clear" w:color="95DBB8" w:fill="FFFFFF"/>
      <w:spacing w:beforeAutospacing="1" w:after="100" w:afterAutospacing="1" w:line="240" w:lineRule="auto"/>
      <w:textAlignment w:val="top"/>
    </w:pPr>
    <w:rPr>
      <w:rFonts w:ascii="Arial" w:eastAsia="Times New Roman" w:hAnsi="Arial" w:cs="Arial"/>
      <w:b/>
      <w:bCs/>
      <w:color w:val="60A3DA"/>
      <w:sz w:val="18"/>
      <w:szCs w:val="18"/>
      <w:lang w:val="en-GB" w:eastAsia="en-GB"/>
    </w:rPr>
  </w:style>
  <w:style w:type="paragraph" w:customStyle="1" w:styleId="xl122">
    <w:name w:val="xl122"/>
    <w:basedOn w:val="Normal"/>
    <w:rsid w:val="00AE3C4E"/>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font7">
    <w:name w:val="font7"/>
    <w:basedOn w:val="Normal"/>
    <w:rsid w:val="00AE3C4E"/>
    <w:pPr>
      <w:spacing w:beforeAutospacing="1" w:after="100" w:afterAutospacing="1" w:line="240" w:lineRule="auto"/>
    </w:pPr>
    <w:rPr>
      <w:rFonts w:ascii="Arial" w:eastAsia="Times New Roman" w:hAnsi="Arial" w:cs="Arial"/>
      <w:color w:val="FF0000"/>
      <w:sz w:val="16"/>
      <w:szCs w:val="16"/>
      <w:lang w:val="en-GB" w:eastAsia="en-GB"/>
    </w:rPr>
  </w:style>
  <w:style w:type="paragraph" w:customStyle="1" w:styleId="font8">
    <w:name w:val="font8"/>
    <w:basedOn w:val="Normal"/>
    <w:rsid w:val="00AE3C4E"/>
    <w:pPr>
      <w:spacing w:beforeAutospacing="1" w:after="100" w:afterAutospacing="1" w:line="240" w:lineRule="auto"/>
    </w:pPr>
    <w:rPr>
      <w:rFonts w:ascii="Arial" w:eastAsia="Times New Roman" w:hAnsi="Arial" w:cs="Arial"/>
      <w:b/>
      <w:bCs/>
      <w:sz w:val="16"/>
      <w:szCs w:val="16"/>
      <w:lang w:val="en-GB" w:eastAsia="en-GB"/>
    </w:rPr>
  </w:style>
  <w:style w:type="paragraph" w:customStyle="1" w:styleId="font9">
    <w:name w:val="font9"/>
    <w:basedOn w:val="Normal"/>
    <w:rsid w:val="00AE3C4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23">
    <w:name w:val="xl123"/>
    <w:basedOn w:val="Normal"/>
    <w:rsid w:val="00AE3C4E"/>
    <w:pPr>
      <w:pBdr>
        <w:top w:val="single" w:sz="4" w:space="0" w:color="BFBFBF"/>
        <w:left w:val="single" w:sz="4" w:space="0" w:color="BFBFBF"/>
        <w:bottom w:val="single" w:sz="4" w:space="0" w:color="BFBFBF"/>
        <w:right w:val="single" w:sz="4" w:space="0" w:color="BFBFBF"/>
      </w:pBdr>
      <w:shd w:val="clear" w:color="000000" w:fill="FFFFFF"/>
      <w:spacing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4">
    <w:name w:val="xl124"/>
    <w:basedOn w:val="Normal"/>
    <w:rsid w:val="00AE3C4E"/>
    <w:pPr>
      <w:pBdr>
        <w:top w:val="single" w:sz="4" w:space="0" w:color="BFBFBF"/>
        <w:left w:val="single" w:sz="4" w:space="0" w:color="BFBFBF"/>
        <w:bottom w:val="single" w:sz="4" w:space="0" w:color="BFBFBF"/>
        <w:right w:val="single" w:sz="4" w:space="0" w:color="BFBFBF"/>
      </w:pBdr>
      <w:shd w:val="clear" w:color="FFFFCC" w:fill="FFFFFF"/>
      <w:spacing w:beforeAutospacing="1" w:after="100" w:afterAutospacing="1" w:line="240" w:lineRule="auto"/>
      <w:jc w:val="center"/>
      <w:textAlignment w:val="center"/>
    </w:pPr>
    <w:rPr>
      <w:rFonts w:ascii="Arial" w:eastAsia="Times New Roman" w:hAnsi="Arial" w:cs="Arial"/>
      <w:b/>
      <w:bCs/>
      <w:color w:val="000000"/>
      <w:sz w:val="16"/>
      <w:szCs w:val="16"/>
      <w:lang w:val="en-GB" w:eastAsia="en-GB"/>
    </w:rPr>
  </w:style>
  <w:style w:type="character" w:customStyle="1" w:styleId="SidebarChar">
    <w:name w:val="Sidebar Char"/>
    <w:link w:val="Sidebar"/>
    <w:uiPriority w:val="8"/>
    <w:locked/>
    <w:rsid w:val="00AE3C4E"/>
    <w:rPr>
      <w:i/>
      <w:color w:val="365F91"/>
      <w:sz w:val="24"/>
    </w:rPr>
  </w:style>
  <w:style w:type="paragraph" w:customStyle="1" w:styleId="Sidebar">
    <w:name w:val="Sidebar"/>
    <w:basedOn w:val="Normal"/>
    <w:link w:val="SidebarChar"/>
    <w:uiPriority w:val="8"/>
    <w:qFormat/>
    <w:rsid w:val="00AE3C4E"/>
    <w:pPr>
      <w:suppressAutoHyphens/>
      <w:autoSpaceDN w:val="0"/>
      <w:spacing w:before="240" w:after="240" w:line="288" w:lineRule="auto"/>
      <w:ind w:firstLine="357"/>
      <w:jc w:val="both"/>
      <w:textAlignment w:val="baseline"/>
    </w:pPr>
    <w:rPr>
      <w:i/>
      <w:color w:val="365F91"/>
      <w:sz w:val="24"/>
    </w:rPr>
  </w:style>
  <w:style w:type="paragraph" w:customStyle="1" w:styleId="Normal1">
    <w:name w:val="Normal1"/>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de-DE" w:eastAsia="de-DE" w:bidi="hi-IN"/>
    </w:rPr>
  </w:style>
  <w:style w:type="character" w:customStyle="1" w:styleId="fontstyle01">
    <w:name w:val="fontstyle01"/>
    <w:rsid w:val="00AE3C4E"/>
    <w:rPr>
      <w:rFonts w:ascii="Roboto-Regular" w:hAnsi="Roboto-Regular" w:hint="default"/>
      <w:b w:val="0"/>
      <w:bCs w:val="0"/>
      <w:i w:val="0"/>
      <w:iCs w:val="0"/>
      <w:color w:val="1A171C"/>
      <w:sz w:val="16"/>
      <w:szCs w:val="16"/>
    </w:rPr>
  </w:style>
  <w:style w:type="table" w:customStyle="1" w:styleId="PlainTable31">
    <w:name w:val="Plain Table 3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uto-style1">
    <w:name w:val="auto-style1"/>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en-GB" w:eastAsia="en-GB" w:bidi="hi-IN"/>
    </w:rPr>
  </w:style>
  <w:style w:type="paragraph" w:customStyle="1" w:styleId="odluka-zakon">
    <w:name w:val="odluka-zakon"/>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eastAsia="zh-CN" w:bidi="hi-IN"/>
    </w:rPr>
  </w:style>
  <w:style w:type="paragraph" w:customStyle="1" w:styleId="kmnaslov1">
    <w:name w:val="kmnaslov1"/>
    <w:basedOn w:val="Normal"/>
    <w:uiPriority w:val="99"/>
    <w:rsid w:val="00AE3C4E"/>
    <w:pPr>
      <w:suppressAutoHyphens/>
      <w:autoSpaceDN w:val="0"/>
      <w:spacing w:beforeAutospacing="1" w:after="100" w:afterAutospacing="1" w:line="240" w:lineRule="auto"/>
      <w:ind w:firstLine="357"/>
      <w:jc w:val="both"/>
      <w:textAlignment w:val="baseline"/>
    </w:pPr>
    <w:rPr>
      <w:rFonts w:ascii="Calibri" w:eastAsia="Times New Roman" w:hAnsi="Calibri" w:cs="Calibri"/>
      <w:kern w:val="3"/>
      <w:sz w:val="24"/>
      <w:szCs w:val="24"/>
      <w:lang w:eastAsia="zh-CN" w:bidi="hi-IN"/>
    </w:rPr>
  </w:style>
  <w:style w:type="character" w:customStyle="1" w:styleId="UnresolvedMention11">
    <w:name w:val="Unresolved Mention11"/>
    <w:uiPriority w:val="99"/>
    <w:semiHidden/>
    <w:unhideWhenUsed/>
    <w:rsid w:val="00AE3C4E"/>
    <w:rPr>
      <w:color w:val="605E5C"/>
      <w:shd w:val="clear" w:color="auto" w:fill="E1DFDD"/>
    </w:rPr>
  </w:style>
  <w:style w:type="character" w:customStyle="1" w:styleId="UnresolvedMention2">
    <w:name w:val="Unresolved Mention2"/>
    <w:uiPriority w:val="99"/>
    <w:semiHidden/>
    <w:unhideWhenUsed/>
    <w:rsid w:val="00AE3C4E"/>
    <w:rPr>
      <w:color w:val="605E5C"/>
      <w:shd w:val="clear" w:color="auto" w:fill="E1DFDD"/>
    </w:rPr>
  </w:style>
  <w:style w:type="paragraph" w:styleId="TableofFigures">
    <w:name w:val="table of figures"/>
    <w:basedOn w:val="Normal"/>
    <w:next w:val="Normal"/>
    <w:uiPriority w:val="99"/>
    <w:unhideWhenUsed/>
    <w:rsid w:val="00AE3C4E"/>
    <w:pPr>
      <w:suppressAutoHyphens/>
      <w:autoSpaceDN w:val="0"/>
      <w:spacing w:before="120" w:after="0" w:line="240" w:lineRule="auto"/>
      <w:ind w:firstLine="357"/>
      <w:jc w:val="both"/>
      <w:textAlignment w:val="baseline"/>
    </w:pPr>
    <w:rPr>
      <w:rFonts w:ascii="Times New Roman" w:eastAsia="DejaVu Sans Mono" w:hAnsi="Times New Roman" w:cs="Calibri"/>
      <w:i/>
      <w:iCs/>
      <w:kern w:val="3"/>
      <w:lang w:val="de-DE" w:eastAsia="zh-CN" w:bidi="hi-IN"/>
    </w:rPr>
  </w:style>
  <w:style w:type="paragraph" w:customStyle="1" w:styleId="CharCharCharCharCarCarCharCharCarCar">
    <w:name w:val="Char Char Char Char Car Car Char Char Car Car"/>
    <w:basedOn w:val="Normal"/>
    <w:next w:val="Normal"/>
    <w:uiPriority w:val="99"/>
    <w:rsid w:val="00AE3C4E"/>
    <w:pPr>
      <w:suppressAutoHyphens/>
      <w:autoSpaceDN w:val="0"/>
      <w:spacing w:before="120" w:after="60" w:line="240" w:lineRule="exact"/>
      <w:ind w:firstLine="357"/>
      <w:jc w:val="both"/>
      <w:textAlignment w:val="baseline"/>
    </w:pPr>
    <w:rPr>
      <w:rFonts w:ascii="Times New Roman" w:eastAsia="DejaVu Sans Mono" w:hAnsi="Times New Roman" w:cs="Times New Roman"/>
      <w:kern w:val="3"/>
      <w:sz w:val="24"/>
      <w:szCs w:val="24"/>
      <w:vertAlign w:val="superscript"/>
      <w:lang w:eastAsia="zh-CN" w:bidi="hi-IN"/>
    </w:rPr>
  </w:style>
  <w:style w:type="paragraph" w:customStyle="1" w:styleId="CharCharCharCharCarChar">
    <w:name w:val="Char Char Char Char Car Char"/>
    <w:aliases w:val="Char Char Char Char Car Char Char1,Char Char Char1,16 Point Char1,Superscript 6 Point Char1,ftref Char1,Char Char Char1 Char Char Char"/>
    <w:basedOn w:val="Normal"/>
    <w:next w:val="Normal"/>
    <w:uiPriority w:val="99"/>
    <w:rsid w:val="00AE3C4E"/>
    <w:pPr>
      <w:suppressAutoHyphens/>
      <w:autoSpaceDN w:val="0"/>
      <w:spacing w:before="120" w:after="0" w:line="120" w:lineRule="exact"/>
      <w:ind w:firstLine="357"/>
      <w:jc w:val="both"/>
      <w:textAlignment w:val="baseline"/>
    </w:pPr>
    <w:rPr>
      <w:rFonts w:ascii="Calibri" w:eastAsia="DejaVu Sans Mono" w:hAnsi="Calibri" w:cs="Times New Roman"/>
      <w:color w:val="000000"/>
      <w:kern w:val="3"/>
      <w:sz w:val="24"/>
      <w:szCs w:val="24"/>
      <w:vertAlign w:val="superscript"/>
      <w:lang w:val="sr-Cyrl-RS" w:eastAsia="zh-CN" w:bidi="hi-IN"/>
    </w:rPr>
  </w:style>
  <w:style w:type="character" w:customStyle="1" w:styleId="UnresolvedMention3">
    <w:name w:val="Unresolved Mention3"/>
    <w:uiPriority w:val="99"/>
    <w:semiHidden/>
    <w:unhideWhenUsed/>
    <w:rsid w:val="00AE3C4E"/>
    <w:rPr>
      <w:color w:val="605E5C"/>
      <w:shd w:val="clear" w:color="auto" w:fill="E1DFDD"/>
    </w:rPr>
  </w:style>
  <w:style w:type="character" w:customStyle="1" w:styleId="FootnoteCharacters">
    <w:name w:val="Footnote Characters"/>
    <w:uiPriority w:val="99"/>
    <w:qFormat/>
    <w:rsid w:val="00AE3C4E"/>
    <w:rPr>
      <w:vertAlign w:val="superscript"/>
    </w:rPr>
  </w:style>
  <w:style w:type="character" w:customStyle="1" w:styleId="FootnoteAnchor">
    <w:name w:val="Footnote Anchor"/>
    <w:rsid w:val="00AE3C4E"/>
    <w:rPr>
      <w:vertAlign w:val="superscript"/>
    </w:rPr>
  </w:style>
  <w:style w:type="paragraph" w:customStyle="1" w:styleId="commentcontentpara">
    <w:name w:val="commentcontentpara"/>
    <w:basedOn w:val="Normal"/>
    <w:rsid w:val="00AE3C4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sr-Cyrl-RS" w:eastAsia="sr-Latn-RS" w:bidi="hi-IN"/>
    </w:rPr>
  </w:style>
  <w:style w:type="character" w:customStyle="1" w:styleId="xmsofootnotereference">
    <w:name w:val="x_msofootnotereference"/>
    <w:basedOn w:val="DefaultParagraphFont"/>
    <w:rsid w:val="00AE3C4E"/>
  </w:style>
  <w:style w:type="character" w:customStyle="1" w:styleId="UnresolvedMention4">
    <w:name w:val="Unresolved Mention4"/>
    <w:uiPriority w:val="99"/>
    <w:semiHidden/>
    <w:unhideWhenUsed/>
    <w:rsid w:val="00AE3C4E"/>
    <w:rPr>
      <w:color w:val="605E5C"/>
      <w:shd w:val="clear" w:color="auto" w:fill="E1DFDD"/>
    </w:rPr>
  </w:style>
  <w:style w:type="character" w:customStyle="1" w:styleId="UnresolvedMention5">
    <w:name w:val="Unresolved Mention5"/>
    <w:uiPriority w:val="99"/>
    <w:semiHidden/>
    <w:unhideWhenUsed/>
    <w:rsid w:val="00AE3C4E"/>
    <w:rPr>
      <w:color w:val="605E5C"/>
      <w:shd w:val="clear" w:color="auto" w:fill="E1DFDD"/>
    </w:rPr>
  </w:style>
  <w:style w:type="character" w:customStyle="1" w:styleId="UnresolvedMention6">
    <w:name w:val="Unresolved Mention6"/>
    <w:uiPriority w:val="99"/>
    <w:semiHidden/>
    <w:unhideWhenUsed/>
    <w:rsid w:val="00AE3C4E"/>
    <w:rPr>
      <w:color w:val="605E5C"/>
      <w:shd w:val="clear" w:color="auto" w:fill="E1DFDD"/>
    </w:rPr>
  </w:style>
  <w:style w:type="character" w:customStyle="1" w:styleId="UnresolvedMention7">
    <w:name w:val="Unresolved Mention7"/>
    <w:uiPriority w:val="99"/>
    <w:semiHidden/>
    <w:unhideWhenUsed/>
    <w:rsid w:val="00AE3C4E"/>
    <w:rPr>
      <w:color w:val="605E5C"/>
      <w:shd w:val="clear" w:color="auto" w:fill="E1DFDD"/>
    </w:rPr>
  </w:style>
  <w:style w:type="character" w:customStyle="1" w:styleId="UnresolvedMention21">
    <w:name w:val="Unresolved Mention21"/>
    <w:uiPriority w:val="99"/>
    <w:semiHidden/>
    <w:unhideWhenUsed/>
    <w:rsid w:val="00AE3C4E"/>
    <w:rPr>
      <w:color w:val="605E5C"/>
      <w:shd w:val="clear" w:color="auto" w:fill="E1DFDD"/>
    </w:rPr>
  </w:style>
  <w:style w:type="character" w:customStyle="1" w:styleId="fontstyle21">
    <w:name w:val="fontstyle21"/>
    <w:rsid w:val="00AE3C4E"/>
    <w:rPr>
      <w:rFonts w:ascii="Cambria" w:hAnsi="Cambria" w:hint="default"/>
      <w:b w:val="0"/>
      <w:bCs w:val="0"/>
      <w:i w:val="0"/>
      <w:iCs w:val="0"/>
      <w:color w:val="000000"/>
      <w:sz w:val="22"/>
      <w:szCs w:val="22"/>
    </w:rPr>
  </w:style>
  <w:style w:type="character" w:customStyle="1" w:styleId="gmail-msoins">
    <w:name w:val="gmail-msoins"/>
    <w:basedOn w:val="DefaultParagraphFont"/>
    <w:rsid w:val="00AE3C4E"/>
  </w:style>
  <w:style w:type="paragraph" w:customStyle="1" w:styleId="Footnote">
    <w:name w:val="Footnote"/>
    <w:basedOn w:val="Normal"/>
    <w:rsid w:val="00AE3C4E"/>
    <w:pPr>
      <w:suppressAutoHyphens/>
      <w:autoSpaceDN w:val="0"/>
      <w:spacing w:before="120" w:after="0" w:line="240" w:lineRule="auto"/>
      <w:ind w:firstLine="357"/>
      <w:jc w:val="both"/>
      <w:textAlignment w:val="baseline"/>
    </w:pPr>
    <w:rPr>
      <w:rFonts w:ascii="Times New Roman" w:eastAsia="Times New Roman" w:hAnsi="Times New Roman" w:cs="Lohit Devanagari"/>
      <w:kern w:val="3"/>
      <w:lang w:val="sl-SI" w:eastAsia="zh-CN" w:bidi="hi-IN"/>
    </w:rPr>
  </w:style>
  <w:style w:type="character" w:customStyle="1" w:styleId="pronadjen">
    <w:name w:val="pronadjen"/>
    <w:basedOn w:val="DefaultParagraphFont"/>
    <w:qFormat/>
    <w:rsid w:val="00AE3C4E"/>
  </w:style>
  <w:style w:type="character" w:customStyle="1" w:styleId="BodyTextChar1">
    <w:name w:val="Body Text Char1"/>
    <w:uiPriority w:val="1"/>
    <w:semiHidden/>
    <w:rsid w:val="00AE3C4E"/>
    <w:rPr>
      <w:lang w:val="sr-Cyrl-RS"/>
    </w:rPr>
  </w:style>
  <w:style w:type="table" w:customStyle="1" w:styleId="ListTable1Light-Accent11">
    <w:name w:val="List Table 1 Light - Accent 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AE3C4E"/>
    <w:pPr>
      <w:suppressAutoHyphens/>
      <w:autoSpaceDN w:val="0"/>
      <w:spacing w:before="120" w:after="0" w:line="240" w:lineRule="auto"/>
      <w:ind w:firstLine="357"/>
      <w:jc w:val="both"/>
      <w:textAlignment w:val="baseline"/>
    </w:pPr>
    <w:rPr>
      <w:rFonts w:ascii="Liberation Mono" w:eastAsia="DejaVu Sans Mono" w:hAnsi="Liberation Mono" w:cs="Liberation Mono"/>
      <w:kern w:val="2"/>
      <w:lang w:eastAsia="zh-CN" w:bidi="hi-IN"/>
    </w:rPr>
  </w:style>
  <w:style w:type="paragraph" w:customStyle="1" w:styleId="Bullet1">
    <w:name w:val="Bullet 1"/>
    <w:basedOn w:val="ListBullet"/>
    <w:qFormat/>
    <w:rsid w:val="00AE3C4E"/>
    <w:pPr>
      <w:numPr>
        <w:numId w:val="0"/>
      </w:numPr>
      <w:suppressAutoHyphens/>
      <w:autoSpaceDN w:val="0"/>
      <w:spacing w:before="20" w:after="20" w:line="240" w:lineRule="exact"/>
      <w:ind w:left="142" w:hanging="142"/>
      <w:textAlignment w:val="baseline"/>
    </w:pPr>
    <w:rPr>
      <w:rFonts w:ascii="DejaVu Sans" w:eastAsia="DejaVu Sans Mono" w:hAnsi="DejaVu Sans" w:cs="DejaVu Sans"/>
      <w:kern w:val="3"/>
      <w:sz w:val="18"/>
      <w:szCs w:val="18"/>
      <w:lang w:eastAsia="zh-CN" w:bidi="hi-IN"/>
    </w:rPr>
  </w:style>
  <w:style w:type="character" w:customStyle="1" w:styleId="hps">
    <w:name w:val="hps"/>
    <w:uiPriority w:val="99"/>
    <w:rsid w:val="00AE3C4E"/>
    <w:rPr>
      <w:rFonts w:cs="Times New Roman"/>
    </w:rPr>
  </w:style>
  <w:style w:type="character" w:customStyle="1" w:styleId="InternetLink">
    <w:name w:val="Internet Link"/>
    <w:uiPriority w:val="99"/>
    <w:unhideWhenUsed/>
    <w:rsid w:val="00AE3C4E"/>
    <w:rPr>
      <w:color w:val="0000FF"/>
      <w:u w:val="single"/>
    </w:rPr>
  </w:style>
  <w:style w:type="character" w:customStyle="1" w:styleId="ListLabel10">
    <w:name w:val="ListLabel 10"/>
    <w:qFormat/>
    <w:rsid w:val="00AE3C4E"/>
    <w:rPr>
      <w:rFonts w:cs="Courier New"/>
    </w:rPr>
  </w:style>
  <w:style w:type="character" w:customStyle="1" w:styleId="EndnoteAnchor">
    <w:name w:val="Endnote Anchor"/>
    <w:rsid w:val="00AE3C4E"/>
    <w:rPr>
      <w:vertAlign w:val="superscript"/>
    </w:rPr>
  </w:style>
  <w:style w:type="character" w:customStyle="1" w:styleId="EndnoteCharacters">
    <w:name w:val="Endnote Characters"/>
    <w:qFormat/>
    <w:rsid w:val="00AE3C4E"/>
  </w:style>
  <w:style w:type="paragraph" w:customStyle="1" w:styleId="Heading">
    <w:name w:val="Heading"/>
    <w:basedOn w:val="Normal"/>
    <w:next w:val="BodyText"/>
    <w:qFormat/>
    <w:rsid w:val="00AE3C4E"/>
    <w:pPr>
      <w:keepNext/>
      <w:suppressAutoHyphens/>
      <w:autoSpaceDN w:val="0"/>
      <w:spacing w:before="240" w:after="120" w:line="240" w:lineRule="auto"/>
      <w:ind w:firstLine="357"/>
      <w:jc w:val="both"/>
      <w:textAlignment w:val="baseline"/>
    </w:pPr>
    <w:rPr>
      <w:rFonts w:ascii="Liberation Sans" w:eastAsia="Noto Sans CJK SC" w:hAnsi="Liberation Sans" w:cs="Lohit Devanagari"/>
      <w:kern w:val="3"/>
      <w:sz w:val="28"/>
      <w:szCs w:val="28"/>
      <w:lang w:val="de-DE" w:eastAsia="zh-CN" w:bidi="hi-IN"/>
    </w:rPr>
  </w:style>
  <w:style w:type="paragraph" w:styleId="List">
    <w:name w:val="List"/>
    <w:basedOn w:val="BodyText"/>
    <w:rsid w:val="00AE3C4E"/>
    <w:pPr>
      <w:widowControl w:val="0"/>
      <w:suppressAutoHyphens/>
      <w:autoSpaceDN w:val="0"/>
      <w:spacing w:before="120"/>
      <w:ind w:firstLine="357"/>
      <w:textAlignment w:val="baseline"/>
    </w:pPr>
    <w:rPr>
      <w:rFonts w:ascii="Calibri" w:eastAsia="Calibri" w:hAnsi="Calibri" w:cs="Lohit Devanagari"/>
      <w:sz w:val="22"/>
      <w:szCs w:val="22"/>
      <w:lang w:val="en-GB" w:eastAsia="en-GB" w:bidi="en-GB"/>
    </w:rPr>
  </w:style>
  <w:style w:type="paragraph" w:customStyle="1" w:styleId="Index">
    <w:name w:val="Index"/>
    <w:basedOn w:val="Normal"/>
    <w:qFormat/>
    <w:rsid w:val="00AE3C4E"/>
    <w:pPr>
      <w:suppressLineNumbers/>
      <w:suppressAutoHyphens/>
      <w:autoSpaceDN w:val="0"/>
      <w:spacing w:before="120" w:after="120" w:line="240" w:lineRule="auto"/>
      <w:ind w:firstLine="357"/>
      <w:jc w:val="both"/>
      <w:textAlignment w:val="baseline"/>
    </w:pPr>
    <w:rPr>
      <w:rFonts w:ascii="Times New Roman" w:eastAsia="DejaVu Sans Mono" w:hAnsi="Times New Roman" w:cs="Lohit Devanagari"/>
      <w:kern w:val="3"/>
      <w:sz w:val="24"/>
      <w:szCs w:val="24"/>
      <w:lang w:val="de-DE" w:eastAsia="zh-CN" w:bidi="hi-IN"/>
    </w:rPr>
  </w:style>
  <w:style w:type="character" w:customStyle="1" w:styleId="FooterChar1">
    <w:name w:val="Footer Char1"/>
    <w:uiPriority w:val="99"/>
    <w:semiHidden/>
    <w:rsid w:val="00AE3C4E"/>
    <w:rPr>
      <w:lang w:val="de-DE"/>
    </w:rPr>
  </w:style>
  <w:style w:type="paragraph" w:customStyle="1" w:styleId="Standard">
    <w:name w:val="Standard"/>
    <w:qFormat/>
    <w:rsid w:val="00AE3C4E"/>
    <w:pPr>
      <w:suppressAutoHyphens/>
      <w:spacing w:before="0" w:after="0" w:line="240" w:lineRule="auto"/>
      <w:textAlignment w:val="baseline"/>
    </w:pPr>
    <w:rPr>
      <w:rFonts w:ascii="Liberation Serif" w:eastAsia="Times New Roman" w:hAnsi="Liberation Serif" w:cs="FreeSans"/>
      <w:kern w:val="2"/>
      <w:sz w:val="24"/>
      <w:szCs w:val="24"/>
      <w:lang w:eastAsia="zh-CN" w:bidi="hi-IN"/>
    </w:rPr>
  </w:style>
  <w:style w:type="paragraph" w:customStyle="1" w:styleId="FrameContents">
    <w:name w:val="Frame Contents"/>
    <w:basedOn w:val="Normal"/>
    <w:qFormat/>
    <w:rsid w:val="00AE3C4E"/>
    <w:pPr>
      <w:suppressAutoHyphens/>
      <w:autoSpaceDN w:val="0"/>
      <w:spacing w:before="120" w:after="120" w:line="240" w:lineRule="auto"/>
      <w:ind w:firstLine="357"/>
      <w:jc w:val="both"/>
      <w:textAlignment w:val="baseline"/>
    </w:pPr>
    <w:rPr>
      <w:rFonts w:ascii="Times New Roman" w:eastAsia="DejaVu Sans Mono" w:hAnsi="Times New Roman" w:cs="Times New Roman"/>
      <w:kern w:val="3"/>
      <w:sz w:val="24"/>
      <w:szCs w:val="24"/>
      <w:lang w:val="de-DE" w:eastAsia="zh-CN" w:bidi="hi-IN"/>
    </w:rPr>
  </w:style>
  <w:style w:type="paragraph" w:customStyle="1" w:styleId="Quotations">
    <w:name w:val="Quotations"/>
    <w:basedOn w:val="Normal"/>
    <w:qFormat/>
    <w:rsid w:val="00AE3C4E"/>
    <w:pPr>
      <w:suppressAutoHyphens/>
      <w:autoSpaceDN w:val="0"/>
      <w:spacing w:before="120" w:after="283" w:line="240" w:lineRule="auto"/>
      <w:ind w:left="567" w:right="567" w:firstLine="357"/>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CommentTextChar1">
    <w:name w:val="Comment Text Char1"/>
    <w:uiPriority w:val="99"/>
    <w:semiHidden/>
    <w:rsid w:val="00AE3C4E"/>
    <w:rPr>
      <w:sz w:val="20"/>
      <w:szCs w:val="20"/>
      <w:lang w:val="de-DE"/>
    </w:rPr>
  </w:style>
  <w:style w:type="paragraph" w:customStyle="1" w:styleId="Textbody">
    <w:name w:val="Text body"/>
    <w:basedOn w:val="Standard"/>
    <w:rsid w:val="00AE3C4E"/>
    <w:pPr>
      <w:autoSpaceDN w:val="0"/>
      <w:spacing w:after="140" w:line="276" w:lineRule="auto"/>
    </w:pPr>
    <w:rPr>
      <w:rFonts w:eastAsia="Noto Sans CJK SC" w:cs="Lohit Devanagari"/>
      <w:kern w:val="3"/>
    </w:rPr>
  </w:style>
  <w:style w:type="paragraph" w:customStyle="1" w:styleId="BodyText0">
    <w:name w:val="BodyText"/>
    <w:basedOn w:val="Normal"/>
    <w:qFormat/>
    <w:rsid w:val="00AE3C4E"/>
    <w:pPr>
      <w:suppressAutoHyphens/>
      <w:autoSpaceDN w:val="0"/>
      <w:spacing w:before="60" w:after="0" w:line="240" w:lineRule="exact"/>
      <w:ind w:firstLine="357"/>
      <w:jc w:val="both"/>
      <w:textAlignment w:val="baseline"/>
    </w:pPr>
    <w:rPr>
      <w:rFonts w:ascii="DejaVu Sans" w:eastAsia="DejaVu Sans Mono" w:hAnsi="DejaVu Sans" w:cs="DejaVu Sans"/>
      <w:kern w:val="3"/>
      <w:sz w:val="18"/>
      <w:szCs w:val="18"/>
      <w:lang w:eastAsia="zh-CN" w:bidi="hi-IN"/>
    </w:rPr>
  </w:style>
  <w:style w:type="character" w:customStyle="1" w:styleId="trs">
    <w:name w:val="trs"/>
    <w:basedOn w:val="DefaultParagraphFont"/>
    <w:rsid w:val="00AE3C4E"/>
  </w:style>
  <w:style w:type="table" w:customStyle="1" w:styleId="TableGrid8">
    <w:name w:val="Table Grid8"/>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1">
    <w:name w:val="List Table 2 - Accent 3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1">
    <w:name w:val="Grid Table 1 Light - Accent 31"/>
    <w:basedOn w:val="TableNormal"/>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
    <w:name w:val="Table Grid9"/>
    <w:basedOn w:val="TableNormal"/>
    <w:next w:val="TableGrid"/>
    <w:rsid w:val="00AE3C4E"/>
    <w:pPr>
      <w:spacing w:before="0" w:after="0" w:line="240" w:lineRule="auto"/>
    </w:pPr>
    <w:rPr>
      <w:rFonts w:ascii="Georgia" w:eastAsia="Calibri" w:hAnsi="Georgia"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1">
    <w:name w:val="List Table 6 Colorful - Accent 3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
    <w:name w:val="Table Grid10"/>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
    <w:name w:val="List Table 1 Light - Accent 1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
    <w:name w:val="Table Grid3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E3C4E"/>
    <w:pPr>
      <w:spacing w:before="0" w:after="100" w:line="259" w:lineRule="auto"/>
      <w:ind w:left="660"/>
    </w:pPr>
    <w:rPr>
      <w:rFonts w:ascii="Calibri" w:eastAsia="Times New Roman" w:hAnsi="Calibri" w:cs="Times New Roman"/>
      <w:sz w:val="22"/>
      <w:szCs w:val="22"/>
      <w:lang w:val="sr-Cyrl-RS" w:eastAsia="sr-Cyrl-RS"/>
    </w:rPr>
  </w:style>
  <w:style w:type="paragraph" w:styleId="TOC6">
    <w:name w:val="toc 6"/>
    <w:basedOn w:val="Normal"/>
    <w:next w:val="Normal"/>
    <w:autoRedefine/>
    <w:uiPriority w:val="39"/>
    <w:unhideWhenUsed/>
    <w:rsid w:val="00AE3C4E"/>
    <w:pPr>
      <w:spacing w:before="0" w:after="100" w:line="259" w:lineRule="auto"/>
      <w:ind w:left="1100"/>
    </w:pPr>
    <w:rPr>
      <w:rFonts w:ascii="Calibri" w:eastAsia="Times New Roman" w:hAnsi="Calibri" w:cs="Times New Roman"/>
      <w:sz w:val="22"/>
      <w:szCs w:val="22"/>
      <w:lang w:val="sr-Cyrl-RS" w:eastAsia="sr-Cyrl-RS"/>
    </w:rPr>
  </w:style>
  <w:style w:type="paragraph" w:styleId="TOC7">
    <w:name w:val="toc 7"/>
    <w:basedOn w:val="Normal"/>
    <w:next w:val="Normal"/>
    <w:autoRedefine/>
    <w:uiPriority w:val="39"/>
    <w:unhideWhenUsed/>
    <w:rsid w:val="00AE3C4E"/>
    <w:pPr>
      <w:spacing w:before="0" w:after="100" w:line="259" w:lineRule="auto"/>
      <w:ind w:left="1320"/>
    </w:pPr>
    <w:rPr>
      <w:rFonts w:ascii="Calibri" w:eastAsia="Times New Roman" w:hAnsi="Calibri" w:cs="Times New Roman"/>
      <w:sz w:val="22"/>
      <w:szCs w:val="22"/>
      <w:lang w:val="sr-Cyrl-RS" w:eastAsia="sr-Cyrl-RS"/>
    </w:rPr>
  </w:style>
  <w:style w:type="paragraph" w:styleId="TOC8">
    <w:name w:val="toc 8"/>
    <w:basedOn w:val="Normal"/>
    <w:next w:val="Normal"/>
    <w:autoRedefine/>
    <w:uiPriority w:val="39"/>
    <w:unhideWhenUsed/>
    <w:rsid w:val="00AE3C4E"/>
    <w:pPr>
      <w:spacing w:before="0" w:after="100" w:line="259" w:lineRule="auto"/>
      <w:ind w:left="1540"/>
    </w:pPr>
    <w:rPr>
      <w:rFonts w:ascii="Calibri" w:eastAsia="Times New Roman" w:hAnsi="Calibri" w:cs="Times New Roman"/>
      <w:sz w:val="22"/>
      <w:szCs w:val="22"/>
      <w:lang w:val="sr-Cyrl-RS" w:eastAsia="sr-Cyrl-RS"/>
    </w:rPr>
  </w:style>
  <w:style w:type="paragraph" w:styleId="TOC9">
    <w:name w:val="toc 9"/>
    <w:basedOn w:val="Normal"/>
    <w:next w:val="Normal"/>
    <w:autoRedefine/>
    <w:uiPriority w:val="39"/>
    <w:unhideWhenUsed/>
    <w:rsid w:val="00AE3C4E"/>
    <w:pPr>
      <w:spacing w:before="0" w:after="100" w:line="259" w:lineRule="auto"/>
      <w:ind w:left="1760"/>
    </w:pPr>
    <w:rPr>
      <w:rFonts w:ascii="Calibri" w:eastAsia="Times New Roman" w:hAnsi="Calibri" w:cs="Times New Roman"/>
      <w:sz w:val="22"/>
      <w:szCs w:val="22"/>
      <w:lang w:val="sr-Cyrl-RS" w:eastAsia="sr-Cyrl-RS"/>
    </w:rPr>
  </w:style>
  <w:style w:type="character" w:customStyle="1" w:styleId="UnresolvedMention8">
    <w:name w:val="Unresolved Mention8"/>
    <w:uiPriority w:val="99"/>
    <w:semiHidden/>
    <w:unhideWhenUsed/>
    <w:rsid w:val="00AE3C4E"/>
    <w:rPr>
      <w:color w:val="605E5C"/>
      <w:shd w:val="clear" w:color="auto" w:fill="E1DFDD"/>
    </w:rPr>
  </w:style>
  <w:style w:type="table" w:customStyle="1" w:styleId="PlainTable32">
    <w:name w:val="Plain Table 32"/>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0">
    <w:name w:val="Grid Table 1 Light - Accent 31"/>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UnresolvedMention9">
    <w:name w:val="Unresolved Mention9"/>
    <w:uiPriority w:val="99"/>
    <w:semiHidden/>
    <w:unhideWhenUsed/>
    <w:rsid w:val="00AE3C4E"/>
    <w:rPr>
      <w:color w:val="605E5C"/>
      <w:shd w:val="clear" w:color="auto" w:fill="E1DFDD"/>
    </w:rPr>
  </w:style>
  <w:style w:type="table" w:customStyle="1" w:styleId="TableGrid16">
    <w:name w:val="Table Grid16"/>
    <w:basedOn w:val="TableNormal"/>
    <w:next w:val="TableGrid"/>
    <w:uiPriority w:val="39"/>
    <w:rsid w:val="00AE3C4E"/>
    <w:pPr>
      <w:spacing w:before="0"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uiPriority w:val="99"/>
    <w:semiHidden/>
    <w:unhideWhenUsed/>
    <w:rsid w:val="00AE3C4E"/>
    <w:rPr>
      <w:color w:val="605E5C"/>
      <w:shd w:val="clear" w:color="auto" w:fill="E1DFDD"/>
    </w:rPr>
  </w:style>
  <w:style w:type="table" w:customStyle="1" w:styleId="ListTable2-Accent310">
    <w:name w:val="List Table 2 - Accent 3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0">
    <w:name w:val="Table Grid Light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2">
    <w:name w:val="Unresolved Mention12"/>
    <w:uiPriority w:val="99"/>
    <w:semiHidden/>
    <w:unhideWhenUsed/>
    <w:rsid w:val="00AE3C4E"/>
    <w:rPr>
      <w:color w:val="605E5C"/>
      <w:shd w:val="clear" w:color="auto" w:fill="E1DFDD"/>
    </w:rPr>
  </w:style>
  <w:style w:type="paragraph" w:customStyle="1" w:styleId="Style1">
    <w:name w:val="Style1"/>
    <w:basedOn w:val="Heading4"/>
    <w:link w:val="Style1Char"/>
    <w:qFormat/>
    <w:rsid w:val="00AE3C4E"/>
    <w:pPr>
      <w:keepNext/>
      <w:keepLines/>
      <w:pBdr>
        <w:top w:val="none" w:sz="0" w:space="0" w:color="auto"/>
      </w:pBdr>
      <w:suppressAutoHyphens/>
      <w:autoSpaceDN w:val="0"/>
      <w:spacing w:before="240" w:after="60" w:line="240" w:lineRule="auto"/>
      <w:jc w:val="both"/>
      <w:textAlignment w:val="baseline"/>
    </w:pPr>
    <w:rPr>
      <w:rFonts w:ascii="Times New Roman" w:eastAsia="Calibri" w:hAnsi="Times New Roman" w:cs="Times New Roman"/>
      <w:i/>
      <w:iCs/>
      <w:caps w:val="0"/>
      <w:color w:val="365F91"/>
      <w:spacing w:val="0"/>
      <w:kern w:val="3"/>
      <w:sz w:val="24"/>
      <w:szCs w:val="24"/>
      <w:lang w:val="de-DE"/>
    </w:rPr>
  </w:style>
  <w:style w:type="character" w:customStyle="1" w:styleId="UnresolvedMention13">
    <w:name w:val="Unresolved Mention13"/>
    <w:uiPriority w:val="99"/>
    <w:semiHidden/>
    <w:unhideWhenUsed/>
    <w:rsid w:val="00AE3C4E"/>
    <w:rPr>
      <w:color w:val="605E5C"/>
      <w:shd w:val="clear" w:color="auto" w:fill="E1DFDD"/>
    </w:rPr>
  </w:style>
  <w:style w:type="character" w:customStyle="1" w:styleId="Style1Char">
    <w:name w:val="Style1 Char"/>
    <w:link w:val="Style1"/>
    <w:rsid w:val="00AE3C4E"/>
    <w:rPr>
      <w:rFonts w:ascii="Times New Roman" w:eastAsia="Calibri" w:hAnsi="Times New Roman" w:cs="Times New Roman"/>
      <w:i/>
      <w:iCs/>
      <w:color w:val="365F91"/>
      <w:kern w:val="3"/>
      <w:sz w:val="24"/>
      <w:szCs w:val="24"/>
      <w:lang w:val="de-DE"/>
    </w:rPr>
  </w:style>
  <w:style w:type="character" w:customStyle="1" w:styleId="UnresolvedMention14">
    <w:name w:val="Unresolved Mention14"/>
    <w:uiPriority w:val="99"/>
    <w:semiHidden/>
    <w:unhideWhenUsed/>
    <w:rsid w:val="00AE3C4E"/>
    <w:rPr>
      <w:color w:val="605E5C"/>
      <w:shd w:val="clear" w:color="auto" w:fill="E1DFDD"/>
    </w:rPr>
  </w:style>
  <w:style w:type="table" w:customStyle="1" w:styleId="ListTable1Light-Accent31">
    <w:name w:val="List Table 1 Light - Accent 31"/>
    <w:basedOn w:val="TableNormal"/>
    <w:uiPriority w:val="46"/>
    <w:rsid w:val="00AE3C4E"/>
    <w:pPr>
      <w:spacing w:before="0" w:after="0" w:line="240" w:lineRule="auto"/>
    </w:pPr>
    <w:rPr>
      <w:rFonts w:ascii="Calibri" w:eastAsia="Calibri" w:hAnsi="Calibri" w:cs="Times New Roman"/>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7">
    <w:name w:val="Table Grid17"/>
    <w:basedOn w:val="TableNormal"/>
    <w:next w:val="TableGrid"/>
    <w:uiPriority w:val="39"/>
    <w:rsid w:val="00AE3C4E"/>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
    <w:name w:val="Grid Table 7 Colorful - Accent 6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
    <w:name w:val="List Table 2 - Accent 31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
    <w:name w:val="Table Grid Light1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0">
    <w:name w:val="List Table 6 Colorful - Accent 6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0">
    <w:name w:val="Grid Table 7 Colorful - Accent 6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0">
    <w:name w:val="List Table 6 Colorful - Accent 3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0">
    <w:name w:val="Plain Table 32"/>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5">
    <w:name w:val="Unresolved Mention15"/>
    <w:uiPriority w:val="99"/>
    <w:semiHidden/>
    <w:unhideWhenUsed/>
    <w:rsid w:val="00AE3C4E"/>
    <w:rPr>
      <w:color w:val="605E5C"/>
      <w:shd w:val="clear" w:color="auto" w:fill="E1DFDD"/>
    </w:rPr>
  </w:style>
  <w:style w:type="paragraph" w:customStyle="1" w:styleId="xmsobodytext">
    <w:name w:val="x_msobodytext"/>
    <w:basedOn w:val="Normal"/>
    <w:rsid w:val="00AE3C4E"/>
    <w:pPr>
      <w:spacing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xmsonormal">
    <w:name w:val="x_msonormal"/>
    <w:basedOn w:val="Normal"/>
    <w:rsid w:val="00AE3C4E"/>
    <w:pPr>
      <w:spacing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UnresolvedMention16">
    <w:name w:val="Unresolved Mention16"/>
    <w:uiPriority w:val="99"/>
    <w:semiHidden/>
    <w:unhideWhenUsed/>
    <w:rsid w:val="00AE3C4E"/>
    <w:rPr>
      <w:color w:val="605E5C"/>
      <w:shd w:val="clear" w:color="auto" w:fill="E1DFDD"/>
    </w:rPr>
  </w:style>
  <w:style w:type="table" w:customStyle="1" w:styleId="TableGrid19">
    <w:name w:val="Table Grid19"/>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2">
    <w:name w:val="Table Grid22"/>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2">
    <w:name w:val="List Table 1 Light - Accent 112"/>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2">
    <w:name w:val="Table Grid3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1"/>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2">
    <w:name w:val="List Table 2 - Accent 32"/>
    <w:basedOn w:val="TableNormal"/>
    <w:next w:val="ListTable2-Accent31"/>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2">
    <w:name w:val="Grid Table 1 Light - Accent 32"/>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1">
    <w:name w:val="Table Grid91"/>
    <w:basedOn w:val="TableNormal"/>
    <w:next w:val="TableGrid"/>
    <w:rsid w:val="00AE3C4E"/>
    <w:pPr>
      <w:spacing w:before="0" w:after="0" w:line="240" w:lineRule="auto"/>
    </w:pPr>
    <w:rPr>
      <w:rFonts w:ascii="Georgia" w:eastAsia="Calibri" w:hAnsi="Georgia"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2">
    <w:name w:val="List Table 6 Colorful - Accent 32"/>
    <w:basedOn w:val="TableNormal"/>
    <w:next w:val="ListTable6Colorful-Accent31"/>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1">
    <w:name w:val="Table Grid10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E3C4E"/>
  </w:style>
  <w:style w:type="table" w:customStyle="1" w:styleId="TableGrid131">
    <w:name w:val="Table Grid13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99"/>
    <w:rsid w:val="00AE3C4E"/>
    <w:pPr>
      <w:spacing w:before="0" w:after="0" w:line="240" w:lineRule="auto"/>
    </w:pPr>
    <w:rPr>
      <w:rFonts w:ascii="Calibri" w:eastAsia="Calibri" w:hAnsi="Calibri" w:cs="Times New Roman"/>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1">
    <w:name w:val="Table Grid211"/>
    <w:basedOn w:val="TableNormal"/>
    <w:next w:val="TableGrid"/>
    <w:uiPriority w:val="5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1">
    <w:name w:val="List Table 1 Light - Accent 1111"/>
    <w:basedOn w:val="TableNormal"/>
    <w:uiPriority w:val="46"/>
    <w:rsid w:val="00AE3C4E"/>
    <w:pPr>
      <w:spacing w:before="0" w:after="0" w:line="240" w:lineRule="auto"/>
    </w:pPr>
    <w:rPr>
      <w:rFonts w:ascii="Calibri" w:eastAsia="Calibri" w:hAnsi="Calibri" w:cs="Times New Roman"/>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1">
    <w:name w:val="Table Grid3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AE3C4E"/>
    <w:pPr>
      <w:spacing w:before="0" w:after="0" w:line="240" w:lineRule="auto"/>
      <w:jc w:val="both"/>
    </w:pPr>
    <w:rPr>
      <w:rFonts w:ascii="Arial Narrow" w:eastAsia="Calibri" w:hAnsi="Arial Narrow"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E3C4E"/>
  </w:style>
  <w:style w:type="table" w:customStyle="1" w:styleId="TableGrid811">
    <w:name w:val="Table Grid81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E3C4E"/>
    <w:pPr>
      <w:spacing w:before="120" w:after="0" w:line="240" w:lineRule="auto"/>
      <w:jc w:val="both"/>
    </w:pPr>
    <w:rPr>
      <w:rFonts w:ascii="Calibri" w:eastAsia="Calibri" w:hAnsi="Calibri"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next w:val="PlainTable32"/>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1">
    <w:name w:val="Grid Table 1 Light - Accent 311"/>
    <w:basedOn w:val="TableNormal"/>
    <w:next w:val="GridTable1Light-Accent31"/>
    <w:uiPriority w:val="46"/>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161">
    <w:name w:val="Table Grid161"/>
    <w:basedOn w:val="TableNormal"/>
    <w:next w:val="TableGrid"/>
    <w:uiPriority w:val="39"/>
    <w:rsid w:val="00AE3C4E"/>
    <w:pPr>
      <w:spacing w:before="0"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2">
    <w:name w:val="List Table 2 - Accent 312"/>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2">
    <w:name w:val="Table Grid Light12"/>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Accent310">
    <w:name w:val="List Table 1 Light - Accent 31"/>
    <w:basedOn w:val="TableNormal"/>
    <w:next w:val="ListTable1Light-Accent31"/>
    <w:uiPriority w:val="46"/>
    <w:rsid w:val="00AE3C4E"/>
    <w:pPr>
      <w:spacing w:before="0" w:after="0" w:line="240" w:lineRule="auto"/>
    </w:pPr>
    <w:rPr>
      <w:rFonts w:ascii="Calibri" w:eastAsia="Calibri" w:hAnsi="Calibri" w:cs="Times New Roman"/>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41">
    <w:name w:val="No List41"/>
    <w:next w:val="NoList"/>
    <w:uiPriority w:val="99"/>
    <w:semiHidden/>
    <w:unhideWhenUsed/>
    <w:rsid w:val="00AE3C4E"/>
  </w:style>
  <w:style w:type="table" w:customStyle="1" w:styleId="TableGrid171">
    <w:name w:val="Table Grid171"/>
    <w:basedOn w:val="TableNormal"/>
    <w:next w:val="TableGrid"/>
    <w:uiPriority w:val="39"/>
    <w:rsid w:val="00AE3C4E"/>
    <w:pPr>
      <w:spacing w:before="0"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AE3C4E"/>
    <w:pPr>
      <w:spacing w:before="120" w:after="0" w:line="240" w:lineRule="auto"/>
      <w:jc w:val="both"/>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2">
    <w:name w:val="List Table 6 Colorful - Accent 62"/>
    <w:basedOn w:val="TableNormal"/>
    <w:next w:val="ListTable6Colorful-Accent61"/>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2">
    <w:name w:val="Grid Table 7 Colorful - Accent 62"/>
    <w:basedOn w:val="TableNormal"/>
    <w:next w:val="GridTable7Colorful-Accent61"/>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1">
    <w:name w:val="List Table 2 - Accent 3111"/>
    <w:basedOn w:val="TableNormal"/>
    <w:uiPriority w:val="47"/>
    <w:rsid w:val="00AE3C4E"/>
    <w:pPr>
      <w:spacing w:before="0" w:after="0" w:line="240" w:lineRule="auto"/>
    </w:pPr>
    <w:rPr>
      <w:rFonts w:ascii="Calibri" w:eastAsia="Calibri" w:hAnsi="Calibri" w:cs="Times New Roman"/>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1">
    <w:name w:val="Table Grid Light111"/>
    <w:basedOn w:val="TableNormal"/>
    <w:uiPriority w:val="40"/>
    <w:rsid w:val="00AE3C4E"/>
    <w:pPr>
      <w:spacing w:before="0" w:after="0" w:line="240" w:lineRule="auto"/>
    </w:pPr>
    <w:rPr>
      <w:rFonts w:ascii="Calibri" w:eastAsia="Calibri" w:hAnsi="Calibri" w:cs="Times New Roman"/>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1">
    <w:name w:val="List Table 6 Colorful - Accent 611"/>
    <w:basedOn w:val="TableNormal"/>
    <w:uiPriority w:val="51"/>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uiPriority w:val="52"/>
    <w:rsid w:val="00AE3C4E"/>
    <w:pPr>
      <w:spacing w:before="0" w:after="0" w:line="240" w:lineRule="auto"/>
    </w:pPr>
    <w:rPr>
      <w:rFonts w:ascii="Calibri" w:eastAsia="Calibri" w:hAnsi="Calibri" w:cs="Times New Roman"/>
      <w:color w:val="E36C0A"/>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1">
    <w:name w:val="List Table 6 Colorful - Accent 311"/>
    <w:basedOn w:val="TableNormal"/>
    <w:uiPriority w:val="51"/>
    <w:rsid w:val="00AE3C4E"/>
    <w:pPr>
      <w:spacing w:before="0" w:after="0" w:line="240" w:lineRule="auto"/>
    </w:pPr>
    <w:rPr>
      <w:rFonts w:ascii="Calibri" w:eastAsia="Calibri" w:hAnsi="Calibri" w:cs="Times New Roman"/>
      <w:color w:val="76923C"/>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1">
    <w:name w:val="Plain Table 321"/>
    <w:basedOn w:val="TableNormal"/>
    <w:uiPriority w:val="43"/>
    <w:rsid w:val="00AE3C4E"/>
    <w:pPr>
      <w:spacing w:before="0" w:after="0" w:line="240" w:lineRule="auto"/>
    </w:pPr>
    <w:rPr>
      <w:rFonts w:ascii="Calibri" w:eastAsia="Calibri" w:hAnsi="Calibri" w:cs="Times New Roman"/>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7">
    <w:name w:val="Unresolved Mention17"/>
    <w:uiPriority w:val="99"/>
    <w:semiHidden/>
    <w:unhideWhenUsed/>
    <w:rsid w:val="00AE3C4E"/>
    <w:rPr>
      <w:color w:val="605E5C"/>
      <w:shd w:val="clear" w:color="auto" w:fill="E1DFDD"/>
    </w:rPr>
  </w:style>
  <w:style w:type="numbering" w:customStyle="1" w:styleId="NoList51">
    <w:name w:val="No List51"/>
    <w:next w:val="NoList"/>
    <w:uiPriority w:val="99"/>
    <w:semiHidden/>
    <w:unhideWhenUsed/>
    <w:rsid w:val="00AE3C4E"/>
  </w:style>
  <w:style w:type="numbering" w:customStyle="1" w:styleId="NoList6">
    <w:name w:val="No List6"/>
    <w:next w:val="NoList"/>
    <w:uiPriority w:val="99"/>
    <w:semiHidden/>
    <w:unhideWhenUsed/>
    <w:rsid w:val="00AE3C4E"/>
  </w:style>
  <w:style w:type="numbering" w:customStyle="1" w:styleId="NoList7">
    <w:name w:val="No List7"/>
    <w:next w:val="NoList"/>
    <w:uiPriority w:val="99"/>
    <w:semiHidden/>
    <w:unhideWhenUsed/>
    <w:rsid w:val="00AE3C4E"/>
  </w:style>
  <w:style w:type="paragraph" w:customStyle="1" w:styleId="xl125">
    <w:name w:val="xl125"/>
    <w:basedOn w:val="Normal"/>
    <w:rsid w:val="00AE3C4E"/>
    <w:pPr>
      <w:pBdr>
        <w:top w:val="single" w:sz="4" w:space="0" w:color="BFBFBF"/>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26">
    <w:name w:val="xl126"/>
    <w:basedOn w:val="Normal"/>
    <w:rsid w:val="00AE3C4E"/>
    <w:pPr>
      <w:pBdr>
        <w:top w:val="single" w:sz="4" w:space="0" w:color="C1CEE5"/>
        <w:left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7">
    <w:name w:val="xl127"/>
    <w:basedOn w:val="Normal"/>
    <w:rsid w:val="00AE3C4E"/>
    <w:pPr>
      <w:pBdr>
        <w:top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8">
    <w:name w:val="xl128"/>
    <w:basedOn w:val="Normal"/>
    <w:rsid w:val="00AE3C4E"/>
    <w:pPr>
      <w:pBdr>
        <w:top w:val="single" w:sz="4" w:space="0" w:color="C1CEE5"/>
        <w:bottom w:val="single" w:sz="4" w:space="0" w:color="C1CEE5"/>
        <w:right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9">
    <w:name w:val="xl129"/>
    <w:basedOn w:val="Normal"/>
    <w:rsid w:val="00AE3C4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0">
    <w:name w:val="xl130"/>
    <w:basedOn w:val="Normal"/>
    <w:rsid w:val="00AE3C4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1">
    <w:name w:val="xl131"/>
    <w:basedOn w:val="Normal"/>
    <w:rsid w:val="00AE3C4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2">
    <w:name w:val="xl132"/>
    <w:basedOn w:val="Normal"/>
    <w:rsid w:val="00AE3C4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3">
    <w:name w:val="xl133"/>
    <w:basedOn w:val="Normal"/>
    <w:rsid w:val="00AE3C4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4">
    <w:name w:val="xl134"/>
    <w:basedOn w:val="Normal"/>
    <w:rsid w:val="00AE3C4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5">
    <w:name w:val="xl135"/>
    <w:basedOn w:val="Normal"/>
    <w:rsid w:val="00AE3C4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6">
    <w:name w:val="xl136"/>
    <w:basedOn w:val="Normal"/>
    <w:rsid w:val="00AE3C4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DRItekst">
    <w:name w:val="DRI tekst"/>
    <w:basedOn w:val="Normal"/>
    <w:link w:val="DRItekstChar"/>
    <w:qFormat/>
    <w:rsid w:val="0027518C"/>
    <w:pPr>
      <w:spacing w:before="0" w:after="160" w:line="259" w:lineRule="auto"/>
    </w:pPr>
    <w:rPr>
      <w:rFonts w:ascii="Times New Roman" w:eastAsiaTheme="minorHAnsi" w:hAnsi="Times New Roman" w:cs="Times New Roman"/>
      <w:sz w:val="24"/>
      <w:lang w:val="sr-Cyrl-RS"/>
    </w:rPr>
  </w:style>
  <w:style w:type="character" w:customStyle="1" w:styleId="DRItekstChar">
    <w:name w:val="DRI tekst Char"/>
    <w:basedOn w:val="DefaultParagraphFont"/>
    <w:link w:val="DRItekst"/>
    <w:rsid w:val="0027518C"/>
    <w:rPr>
      <w:rFonts w:ascii="Times New Roman" w:eastAsiaTheme="minorHAnsi" w:hAnsi="Times New Roman" w:cs="Times New Roman"/>
      <w:sz w:val="24"/>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221">
      <w:bodyDiv w:val="1"/>
      <w:marLeft w:val="0"/>
      <w:marRight w:val="0"/>
      <w:marTop w:val="0"/>
      <w:marBottom w:val="0"/>
      <w:divBdr>
        <w:top w:val="none" w:sz="0" w:space="0" w:color="auto"/>
        <w:left w:val="none" w:sz="0" w:space="0" w:color="auto"/>
        <w:bottom w:val="none" w:sz="0" w:space="0" w:color="auto"/>
        <w:right w:val="none" w:sz="0" w:space="0" w:color="auto"/>
      </w:divBdr>
    </w:div>
    <w:div w:id="16658989">
      <w:bodyDiv w:val="1"/>
      <w:marLeft w:val="0"/>
      <w:marRight w:val="0"/>
      <w:marTop w:val="0"/>
      <w:marBottom w:val="0"/>
      <w:divBdr>
        <w:top w:val="none" w:sz="0" w:space="0" w:color="auto"/>
        <w:left w:val="none" w:sz="0" w:space="0" w:color="auto"/>
        <w:bottom w:val="none" w:sz="0" w:space="0" w:color="auto"/>
        <w:right w:val="none" w:sz="0" w:space="0" w:color="auto"/>
      </w:divBdr>
    </w:div>
    <w:div w:id="16740865">
      <w:bodyDiv w:val="1"/>
      <w:marLeft w:val="0"/>
      <w:marRight w:val="0"/>
      <w:marTop w:val="0"/>
      <w:marBottom w:val="0"/>
      <w:divBdr>
        <w:top w:val="none" w:sz="0" w:space="0" w:color="auto"/>
        <w:left w:val="none" w:sz="0" w:space="0" w:color="auto"/>
        <w:bottom w:val="none" w:sz="0" w:space="0" w:color="auto"/>
        <w:right w:val="none" w:sz="0" w:space="0" w:color="auto"/>
      </w:divBdr>
    </w:div>
    <w:div w:id="23556901">
      <w:bodyDiv w:val="1"/>
      <w:marLeft w:val="0"/>
      <w:marRight w:val="0"/>
      <w:marTop w:val="0"/>
      <w:marBottom w:val="0"/>
      <w:divBdr>
        <w:top w:val="none" w:sz="0" w:space="0" w:color="auto"/>
        <w:left w:val="none" w:sz="0" w:space="0" w:color="auto"/>
        <w:bottom w:val="none" w:sz="0" w:space="0" w:color="auto"/>
        <w:right w:val="none" w:sz="0" w:space="0" w:color="auto"/>
      </w:divBdr>
    </w:div>
    <w:div w:id="28605010">
      <w:bodyDiv w:val="1"/>
      <w:marLeft w:val="0"/>
      <w:marRight w:val="0"/>
      <w:marTop w:val="0"/>
      <w:marBottom w:val="0"/>
      <w:divBdr>
        <w:top w:val="none" w:sz="0" w:space="0" w:color="auto"/>
        <w:left w:val="none" w:sz="0" w:space="0" w:color="auto"/>
        <w:bottom w:val="none" w:sz="0" w:space="0" w:color="auto"/>
        <w:right w:val="none" w:sz="0" w:space="0" w:color="auto"/>
      </w:divBdr>
    </w:div>
    <w:div w:id="38827233">
      <w:bodyDiv w:val="1"/>
      <w:marLeft w:val="0"/>
      <w:marRight w:val="0"/>
      <w:marTop w:val="0"/>
      <w:marBottom w:val="0"/>
      <w:divBdr>
        <w:top w:val="none" w:sz="0" w:space="0" w:color="auto"/>
        <w:left w:val="none" w:sz="0" w:space="0" w:color="auto"/>
        <w:bottom w:val="none" w:sz="0" w:space="0" w:color="auto"/>
        <w:right w:val="none" w:sz="0" w:space="0" w:color="auto"/>
      </w:divBdr>
    </w:div>
    <w:div w:id="47918222">
      <w:bodyDiv w:val="1"/>
      <w:marLeft w:val="0"/>
      <w:marRight w:val="0"/>
      <w:marTop w:val="0"/>
      <w:marBottom w:val="0"/>
      <w:divBdr>
        <w:top w:val="none" w:sz="0" w:space="0" w:color="auto"/>
        <w:left w:val="none" w:sz="0" w:space="0" w:color="auto"/>
        <w:bottom w:val="none" w:sz="0" w:space="0" w:color="auto"/>
        <w:right w:val="none" w:sz="0" w:space="0" w:color="auto"/>
      </w:divBdr>
    </w:div>
    <w:div w:id="84301772">
      <w:bodyDiv w:val="1"/>
      <w:marLeft w:val="0"/>
      <w:marRight w:val="0"/>
      <w:marTop w:val="0"/>
      <w:marBottom w:val="0"/>
      <w:divBdr>
        <w:top w:val="none" w:sz="0" w:space="0" w:color="auto"/>
        <w:left w:val="none" w:sz="0" w:space="0" w:color="auto"/>
        <w:bottom w:val="none" w:sz="0" w:space="0" w:color="auto"/>
        <w:right w:val="none" w:sz="0" w:space="0" w:color="auto"/>
      </w:divBdr>
    </w:div>
    <w:div w:id="90056447">
      <w:bodyDiv w:val="1"/>
      <w:marLeft w:val="0"/>
      <w:marRight w:val="0"/>
      <w:marTop w:val="0"/>
      <w:marBottom w:val="0"/>
      <w:divBdr>
        <w:top w:val="none" w:sz="0" w:space="0" w:color="auto"/>
        <w:left w:val="none" w:sz="0" w:space="0" w:color="auto"/>
        <w:bottom w:val="none" w:sz="0" w:space="0" w:color="auto"/>
        <w:right w:val="none" w:sz="0" w:space="0" w:color="auto"/>
      </w:divBdr>
    </w:div>
    <w:div w:id="90123934">
      <w:bodyDiv w:val="1"/>
      <w:marLeft w:val="0"/>
      <w:marRight w:val="0"/>
      <w:marTop w:val="0"/>
      <w:marBottom w:val="0"/>
      <w:divBdr>
        <w:top w:val="none" w:sz="0" w:space="0" w:color="auto"/>
        <w:left w:val="none" w:sz="0" w:space="0" w:color="auto"/>
        <w:bottom w:val="none" w:sz="0" w:space="0" w:color="auto"/>
        <w:right w:val="none" w:sz="0" w:space="0" w:color="auto"/>
      </w:divBdr>
    </w:div>
    <w:div w:id="106196783">
      <w:bodyDiv w:val="1"/>
      <w:marLeft w:val="0"/>
      <w:marRight w:val="0"/>
      <w:marTop w:val="0"/>
      <w:marBottom w:val="0"/>
      <w:divBdr>
        <w:top w:val="none" w:sz="0" w:space="0" w:color="auto"/>
        <w:left w:val="none" w:sz="0" w:space="0" w:color="auto"/>
        <w:bottom w:val="none" w:sz="0" w:space="0" w:color="auto"/>
        <w:right w:val="none" w:sz="0" w:space="0" w:color="auto"/>
      </w:divBdr>
    </w:div>
    <w:div w:id="108740047">
      <w:bodyDiv w:val="1"/>
      <w:marLeft w:val="0"/>
      <w:marRight w:val="0"/>
      <w:marTop w:val="0"/>
      <w:marBottom w:val="0"/>
      <w:divBdr>
        <w:top w:val="none" w:sz="0" w:space="0" w:color="auto"/>
        <w:left w:val="none" w:sz="0" w:space="0" w:color="auto"/>
        <w:bottom w:val="none" w:sz="0" w:space="0" w:color="auto"/>
        <w:right w:val="none" w:sz="0" w:space="0" w:color="auto"/>
      </w:divBdr>
      <w:divsChild>
        <w:div w:id="813327961">
          <w:marLeft w:val="0"/>
          <w:marRight w:val="0"/>
          <w:marTop w:val="0"/>
          <w:marBottom w:val="0"/>
          <w:divBdr>
            <w:top w:val="none" w:sz="0" w:space="0" w:color="auto"/>
            <w:left w:val="none" w:sz="0" w:space="0" w:color="auto"/>
            <w:bottom w:val="none" w:sz="0" w:space="0" w:color="auto"/>
            <w:right w:val="none" w:sz="0" w:space="0" w:color="auto"/>
          </w:divBdr>
          <w:divsChild>
            <w:div w:id="15517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511">
      <w:bodyDiv w:val="1"/>
      <w:marLeft w:val="0"/>
      <w:marRight w:val="0"/>
      <w:marTop w:val="0"/>
      <w:marBottom w:val="0"/>
      <w:divBdr>
        <w:top w:val="none" w:sz="0" w:space="0" w:color="auto"/>
        <w:left w:val="none" w:sz="0" w:space="0" w:color="auto"/>
        <w:bottom w:val="none" w:sz="0" w:space="0" w:color="auto"/>
        <w:right w:val="none" w:sz="0" w:space="0" w:color="auto"/>
      </w:divBdr>
    </w:div>
    <w:div w:id="146290699">
      <w:bodyDiv w:val="1"/>
      <w:marLeft w:val="0"/>
      <w:marRight w:val="0"/>
      <w:marTop w:val="0"/>
      <w:marBottom w:val="0"/>
      <w:divBdr>
        <w:top w:val="none" w:sz="0" w:space="0" w:color="auto"/>
        <w:left w:val="none" w:sz="0" w:space="0" w:color="auto"/>
        <w:bottom w:val="none" w:sz="0" w:space="0" w:color="auto"/>
        <w:right w:val="none" w:sz="0" w:space="0" w:color="auto"/>
      </w:divBdr>
    </w:div>
    <w:div w:id="148980413">
      <w:bodyDiv w:val="1"/>
      <w:marLeft w:val="0"/>
      <w:marRight w:val="0"/>
      <w:marTop w:val="0"/>
      <w:marBottom w:val="0"/>
      <w:divBdr>
        <w:top w:val="none" w:sz="0" w:space="0" w:color="auto"/>
        <w:left w:val="none" w:sz="0" w:space="0" w:color="auto"/>
        <w:bottom w:val="none" w:sz="0" w:space="0" w:color="auto"/>
        <w:right w:val="none" w:sz="0" w:space="0" w:color="auto"/>
      </w:divBdr>
      <w:divsChild>
        <w:div w:id="1735204276">
          <w:marLeft w:val="547"/>
          <w:marRight w:val="0"/>
          <w:marTop w:val="0"/>
          <w:marBottom w:val="0"/>
          <w:divBdr>
            <w:top w:val="none" w:sz="0" w:space="0" w:color="auto"/>
            <w:left w:val="none" w:sz="0" w:space="0" w:color="auto"/>
            <w:bottom w:val="none" w:sz="0" w:space="0" w:color="auto"/>
            <w:right w:val="none" w:sz="0" w:space="0" w:color="auto"/>
          </w:divBdr>
        </w:div>
      </w:divsChild>
    </w:div>
    <w:div w:id="149951297">
      <w:bodyDiv w:val="1"/>
      <w:marLeft w:val="0"/>
      <w:marRight w:val="0"/>
      <w:marTop w:val="0"/>
      <w:marBottom w:val="0"/>
      <w:divBdr>
        <w:top w:val="none" w:sz="0" w:space="0" w:color="auto"/>
        <w:left w:val="none" w:sz="0" w:space="0" w:color="auto"/>
        <w:bottom w:val="none" w:sz="0" w:space="0" w:color="auto"/>
        <w:right w:val="none" w:sz="0" w:space="0" w:color="auto"/>
      </w:divBdr>
    </w:div>
    <w:div w:id="152265060">
      <w:bodyDiv w:val="1"/>
      <w:marLeft w:val="0"/>
      <w:marRight w:val="0"/>
      <w:marTop w:val="0"/>
      <w:marBottom w:val="0"/>
      <w:divBdr>
        <w:top w:val="none" w:sz="0" w:space="0" w:color="auto"/>
        <w:left w:val="none" w:sz="0" w:space="0" w:color="auto"/>
        <w:bottom w:val="none" w:sz="0" w:space="0" w:color="auto"/>
        <w:right w:val="none" w:sz="0" w:space="0" w:color="auto"/>
      </w:divBdr>
    </w:div>
    <w:div w:id="168721379">
      <w:bodyDiv w:val="1"/>
      <w:marLeft w:val="0"/>
      <w:marRight w:val="0"/>
      <w:marTop w:val="0"/>
      <w:marBottom w:val="0"/>
      <w:divBdr>
        <w:top w:val="none" w:sz="0" w:space="0" w:color="auto"/>
        <w:left w:val="none" w:sz="0" w:space="0" w:color="auto"/>
        <w:bottom w:val="none" w:sz="0" w:space="0" w:color="auto"/>
        <w:right w:val="none" w:sz="0" w:space="0" w:color="auto"/>
      </w:divBdr>
      <w:divsChild>
        <w:div w:id="976569816">
          <w:marLeft w:val="0"/>
          <w:marRight w:val="0"/>
          <w:marTop w:val="0"/>
          <w:marBottom w:val="0"/>
          <w:divBdr>
            <w:top w:val="none" w:sz="0" w:space="0" w:color="auto"/>
            <w:left w:val="none" w:sz="0" w:space="0" w:color="auto"/>
            <w:bottom w:val="none" w:sz="0" w:space="0" w:color="auto"/>
            <w:right w:val="none" w:sz="0" w:space="0" w:color="auto"/>
          </w:divBdr>
          <w:divsChild>
            <w:div w:id="20263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3777">
      <w:bodyDiv w:val="1"/>
      <w:marLeft w:val="0"/>
      <w:marRight w:val="0"/>
      <w:marTop w:val="0"/>
      <w:marBottom w:val="0"/>
      <w:divBdr>
        <w:top w:val="none" w:sz="0" w:space="0" w:color="auto"/>
        <w:left w:val="none" w:sz="0" w:space="0" w:color="auto"/>
        <w:bottom w:val="none" w:sz="0" w:space="0" w:color="auto"/>
        <w:right w:val="none" w:sz="0" w:space="0" w:color="auto"/>
      </w:divBdr>
    </w:div>
    <w:div w:id="174350975">
      <w:bodyDiv w:val="1"/>
      <w:marLeft w:val="0"/>
      <w:marRight w:val="0"/>
      <w:marTop w:val="0"/>
      <w:marBottom w:val="0"/>
      <w:divBdr>
        <w:top w:val="none" w:sz="0" w:space="0" w:color="auto"/>
        <w:left w:val="none" w:sz="0" w:space="0" w:color="auto"/>
        <w:bottom w:val="none" w:sz="0" w:space="0" w:color="auto"/>
        <w:right w:val="none" w:sz="0" w:space="0" w:color="auto"/>
      </w:divBdr>
      <w:divsChild>
        <w:div w:id="269820140">
          <w:marLeft w:val="547"/>
          <w:marRight w:val="0"/>
          <w:marTop w:val="0"/>
          <w:marBottom w:val="0"/>
          <w:divBdr>
            <w:top w:val="none" w:sz="0" w:space="0" w:color="auto"/>
            <w:left w:val="none" w:sz="0" w:space="0" w:color="auto"/>
            <w:bottom w:val="none" w:sz="0" w:space="0" w:color="auto"/>
            <w:right w:val="none" w:sz="0" w:space="0" w:color="auto"/>
          </w:divBdr>
        </w:div>
      </w:divsChild>
    </w:div>
    <w:div w:id="226307278">
      <w:bodyDiv w:val="1"/>
      <w:marLeft w:val="0"/>
      <w:marRight w:val="0"/>
      <w:marTop w:val="0"/>
      <w:marBottom w:val="0"/>
      <w:divBdr>
        <w:top w:val="none" w:sz="0" w:space="0" w:color="auto"/>
        <w:left w:val="none" w:sz="0" w:space="0" w:color="auto"/>
        <w:bottom w:val="none" w:sz="0" w:space="0" w:color="auto"/>
        <w:right w:val="none" w:sz="0" w:space="0" w:color="auto"/>
      </w:divBdr>
    </w:div>
    <w:div w:id="247888180">
      <w:bodyDiv w:val="1"/>
      <w:marLeft w:val="0"/>
      <w:marRight w:val="0"/>
      <w:marTop w:val="0"/>
      <w:marBottom w:val="0"/>
      <w:divBdr>
        <w:top w:val="none" w:sz="0" w:space="0" w:color="auto"/>
        <w:left w:val="none" w:sz="0" w:space="0" w:color="auto"/>
        <w:bottom w:val="none" w:sz="0" w:space="0" w:color="auto"/>
        <w:right w:val="none" w:sz="0" w:space="0" w:color="auto"/>
      </w:divBdr>
    </w:div>
    <w:div w:id="248731142">
      <w:bodyDiv w:val="1"/>
      <w:marLeft w:val="0"/>
      <w:marRight w:val="0"/>
      <w:marTop w:val="0"/>
      <w:marBottom w:val="0"/>
      <w:divBdr>
        <w:top w:val="none" w:sz="0" w:space="0" w:color="auto"/>
        <w:left w:val="none" w:sz="0" w:space="0" w:color="auto"/>
        <w:bottom w:val="none" w:sz="0" w:space="0" w:color="auto"/>
        <w:right w:val="none" w:sz="0" w:space="0" w:color="auto"/>
      </w:divBdr>
    </w:div>
    <w:div w:id="255478294">
      <w:bodyDiv w:val="1"/>
      <w:marLeft w:val="0"/>
      <w:marRight w:val="0"/>
      <w:marTop w:val="0"/>
      <w:marBottom w:val="0"/>
      <w:divBdr>
        <w:top w:val="none" w:sz="0" w:space="0" w:color="auto"/>
        <w:left w:val="none" w:sz="0" w:space="0" w:color="auto"/>
        <w:bottom w:val="none" w:sz="0" w:space="0" w:color="auto"/>
        <w:right w:val="none" w:sz="0" w:space="0" w:color="auto"/>
      </w:divBdr>
    </w:div>
    <w:div w:id="255528105">
      <w:bodyDiv w:val="1"/>
      <w:marLeft w:val="0"/>
      <w:marRight w:val="0"/>
      <w:marTop w:val="0"/>
      <w:marBottom w:val="0"/>
      <w:divBdr>
        <w:top w:val="none" w:sz="0" w:space="0" w:color="auto"/>
        <w:left w:val="none" w:sz="0" w:space="0" w:color="auto"/>
        <w:bottom w:val="none" w:sz="0" w:space="0" w:color="auto"/>
        <w:right w:val="none" w:sz="0" w:space="0" w:color="auto"/>
      </w:divBdr>
    </w:div>
    <w:div w:id="265966906">
      <w:bodyDiv w:val="1"/>
      <w:marLeft w:val="0"/>
      <w:marRight w:val="0"/>
      <w:marTop w:val="0"/>
      <w:marBottom w:val="0"/>
      <w:divBdr>
        <w:top w:val="none" w:sz="0" w:space="0" w:color="auto"/>
        <w:left w:val="none" w:sz="0" w:space="0" w:color="auto"/>
        <w:bottom w:val="none" w:sz="0" w:space="0" w:color="auto"/>
        <w:right w:val="none" w:sz="0" w:space="0" w:color="auto"/>
      </w:divBdr>
    </w:div>
    <w:div w:id="295186146">
      <w:bodyDiv w:val="1"/>
      <w:marLeft w:val="0"/>
      <w:marRight w:val="0"/>
      <w:marTop w:val="0"/>
      <w:marBottom w:val="0"/>
      <w:divBdr>
        <w:top w:val="none" w:sz="0" w:space="0" w:color="auto"/>
        <w:left w:val="none" w:sz="0" w:space="0" w:color="auto"/>
        <w:bottom w:val="none" w:sz="0" w:space="0" w:color="auto"/>
        <w:right w:val="none" w:sz="0" w:space="0" w:color="auto"/>
      </w:divBdr>
    </w:div>
    <w:div w:id="316030799">
      <w:bodyDiv w:val="1"/>
      <w:marLeft w:val="0"/>
      <w:marRight w:val="0"/>
      <w:marTop w:val="0"/>
      <w:marBottom w:val="0"/>
      <w:divBdr>
        <w:top w:val="none" w:sz="0" w:space="0" w:color="auto"/>
        <w:left w:val="none" w:sz="0" w:space="0" w:color="auto"/>
        <w:bottom w:val="none" w:sz="0" w:space="0" w:color="auto"/>
        <w:right w:val="none" w:sz="0" w:space="0" w:color="auto"/>
      </w:divBdr>
    </w:div>
    <w:div w:id="316343182">
      <w:bodyDiv w:val="1"/>
      <w:marLeft w:val="0"/>
      <w:marRight w:val="0"/>
      <w:marTop w:val="0"/>
      <w:marBottom w:val="0"/>
      <w:divBdr>
        <w:top w:val="none" w:sz="0" w:space="0" w:color="auto"/>
        <w:left w:val="none" w:sz="0" w:space="0" w:color="auto"/>
        <w:bottom w:val="none" w:sz="0" w:space="0" w:color="auto"/>
        <w:right w:val="none" w:sz="0" w:space="0" w:color="auto"/>
      </w:divBdr>
    </w:div>
    <w:div w:id="328604742">
      <w:bodyDiv w:val="1"/>
      <w:marLeft w:val="0"/>
      <w:marRight w:val="0"/>
      <w:marTop w:val="0"/>
      <w:marBottom w:val="0"/>
      <w:divBdr>
        <w:top w:val="none" w:sz="0" w:space="0" w:color="auto"/>
        <w:left w:val="none" w:sz="0" w:space="0" w:color="auto"/>
        <w:bottom w:val="none" w:sz="0" w:space="0" w:color="auto"/>
        <w:right w:val="none" w:sz="0" w:space="0" w:color="auto"/>
      </w:divBdr>
    </w:div>
    <w:div w:id="343362191">
      <w:bodyDiv w:val="1"/>
      <w:marLeft w:val="0"/>
      <w:marRight w:val="0"/>
      <w:marTop w:val="0"/>
      <w:marBottom w:val="0"/>
      <w:divBdr>
        <w:top w:val="none" w:sz="0" w:space="0" w:color="auto"/>
        <w:left w:val="none" w:sz="0" w:space="0" w:color="auto"/>
        <w:bottom w:val="none" w:sz="0" w:space="0" w:color="auto"/>
        <w:right w:val="none" w:sz="0" w:space="0" w:color="auto"/>
      </w:divBdr>
    </w:div>
    <w:div w:id="348992919">
      <w:bodyDiv w:val="1"/>
      <w:marLeft w:val="0"/>
      <w:marRight w:val="0"/>
      <w:marTop w:val="0"/>
      <w:marBottom w:val="0"/>
      <w:divBdr>
        <w:top w:val="none" w:sz="0" w:space="0" w:color="auto"/>
        <w:left w:val="none" w:sz="0" w:space="0" w:color="auto"/>
        <w:bottom w:val="none" w:sz="0" w:space="0" w:color="auto"/>
        <w:right w:val="none" w:sz="0" w:space="0" w:color="auto"/>
      </w:divBdr>
    </w:div>
    <w:div w:id="360787257">
      <w:bodyDiv w:val="1"/>
      <w:marLeft w:val="0"/>
      <w:marRight w:val="0"/>
      <w:marTop w:val="0"/>
      <w:marBottom w:val="0"/>
      <w:divBdr>
        <w:top w:val="none" w:sz="0" w:space="0" w:color="auto"/>
        <w:left w:val="none" w:sz="0" w:space="0" w:color="auto"/>
        <w:bottom w:val="none" w:sz="0" w:space="0" w:color="auto"/>
        <w:right w:val="none" w:sz="0" w:space="0" w:color="auto"/>
      </w:divBdr>
    </w:div>
    <w:div w:id="369764625">
      <w:bodyDiv w:val="1"/>
      <w:marLeft w:val="0"/>
      <w:marRight w:val="0"/>
      <w:marTop w:val="0"/>
      <w:marBottom w:val="0"/>
      <w:divBdr>
        <w:top w:val="none" w:sz="0" w:space="0" w:color="auto"/>
        <w:left w:val="none" w:sz="0" w:space="0" w:color="auto"/>
        <w:bottom w:val="none" w:sz="0" w:space="0" w:color="auto"/>
        <w:right w:val="none" w:sz="0" w:space="0" w:color="auto"/>
      </w:divBdr>
    </w:div>
    <w:div w:id="370964508">
      <w:bodyDiv w:val="1"/>
      <w:marLeft w:val="0"/>
      <w:marRight w:val="0"/>
      <w:marTop w:val="0"/>
      <w:marBottom w:val="0"/>
      <w:divBdr>
        <w:top w:val="none" w:sz="0" w:space="0" w:color="auto"/>
        <w:left w:val="none" w:sz="0" w:space="0" w:color="auto"/>
        <w:bottom w:val="none" w:sz="0" w:space="0" w:color="auto"/>
        <w:right w:val="none" w:sz="0" w:space="0" w:color="auto"/>
      </w:divBdr>
    </w:div>
    <w:div w:id="375280899">
      <w:bodyDiv w:val="1"/>
      <w:marLeft w:val="0"/>
      <w:marRight w:val="0"/>
      <w:marTop w:val="0"/>
      <w:marBottom w:val="0"/>
      <w:divBdr>
        <w:top w:val="none" w:sz="0" w:space="0" w:color="auto"/>
        <w:left w:val="none" w:sz="0" w:space="0" w:color="auto"/>
        <w:bottom w:val="none" w:sz="0" w:space="0" w:color="auto"/>
        <w:right w:val="none" w:sz="0" w:space="0" w:color="auto"/>
      </w:divBdr>
    </w:div>
    <w:div w:id="381485597">
      <w:bodyDiv w:val="1"/>
      <w:marLeft w:val="0"/>
      <w:marRight w:val="0"/>
      <w:marTop w:val="0"/>
      <w:marBottom w:val="0"/>
      <w:divBdr>
        <w:top w:val="none" w:sz="0" w:space="0" w:color="auto"/>
        <w:left w:val="none" w:sz="0" w:space="0" w:color="auto"/>
        <w:bottom w:val="none" w:sz="0" w:space="0" w:color="auto"/>
        <w:right w:val="none" w:sz="0" w:space="0" w:color="auto"/>
      </w:divBdr>
    </w:div>
    <w:div w:id="413355344">
      <w:bodyDiv w:val="1"/>
      <w:marLeft w:val="0"/>
      <w:marRight w:val="0"/>
      <w:marTop w:val="0"/>
      <w:marBottom w:val="0"/>
      <w:divBdr>
        <w:top w:val="none" w:sz="0" w:space="0" w:color="auto"/>
        <w:left w:val="none" w:sz="0" w:space="0" w:color="auto"/>
        <w:bottom w:val="none" w:sz="0" w:space="0" w:color="auto"/>
        <w:right w:val="none" w:sz="0" w:space="0" w:color="auto"/>
      </w:divBdr>
    </w:div>
    <w:div w:id="419983551">
      <w:bodyDiv w:val="1"/>
      <w:marLeft w:val="0"/>
      <w:marRight w:val="0"/>
      <w:marTop w:val="0"/>
      <w:marBottom w:val="0"/>
      <w:divBdr>
        <w:top w:val="none" w:sz="0" w:space="0" w:color="auto"/>
        <w:left w:val="none" w:sz="0" w:space="0" w:color="auto"/>
        <w:bottom w:val="none" w:sz="0" w:space="0" w:color="auto"/>
        <w:right w:val="none" w:sz="0" w:space="0" w:color="auto"/>
      </w:divBdr>
    </w:div>
    <w:div w:id="426006973">
      <w:bodyDiv w:val="1"/>
      <w:marLeft w:val="0"/>
      <w:marRight w:val="0"/>
      <w:marTop w:val="0"/>
      <w:marBottom w:val="0"/>
      <w:divBdr>
        <w:top w:val="none" w:sz="0" w:space="0" w:color="auto"/>
        <w:left w:val="none" w:sz="0" w:space="0" w:color="auto"/>
        <w:bottom w:val="none" w:sz="0" w:space="0" w:color="auto"/>
        <w:right w:val="none" w:sz="0" w:space="0" w:color="auto"/>
      </w:divBdr>
    </w:div>
    <w:div w:id="451244804">
      <w:bodyDiv w:val="1"/>
      <w:marLeft w:val="0"/>
      <w:marRight w:val="0"/>
      <w:marTop w:val="0"/>
      <w:marBottom w:val="0"/>
      <w:divBdr>
        <w:top w:val="none" w:sz="0" w:space="0" w:color="auto"/>
        <w:left w:val="none" w:sz="0" w:space="0" w:color="auto"/>
        <w:bottom w:val="none" w:sz="0" w:space="0" w:color="auto"/>
        <w:right w:val="none" w:sz="0" w:space="0" w:color="auto"/>
      </w:divBdr>
      <w:divsChild>
        <w:div w:id="1970894313">
          <w:marLeft w:val="547"/>
          <w:marRight w:val="0"/>
          <w:marTop w:val="0"/>
          <w:marBottom w:val="0"/>
          <w:divBdr>
            <w:top w:val="none" w:sz="0" w:space="0" w:color="auto"/>
            <w:left w:val="none" w:sz="0" w:space="0" w:color="auto"/>
            <w:bottom w:val="none" w:sz="0" w:space="0" w:color="auto"/>
            <w:right w:val="none" w:sz="0" w:space="0" w:color="auto"/>
          </w:divBdr>
        </w:div>
      </w:divsChild>
    </w:div>
    <w:div w:id="488136555">
      <w:bodyDiv w:val="1"/>
      <w:marLeft w:val="0"/>
      <w:marRight w:val="0"/>
      <w:marTop w:val="0"/>
      <w:marBottom w:val="0"/>
      <w:divBdr>
        <w:top w:val="none" w:sz="0" w:space="0" w:color="auto"/>
        <w:left w:val="none" w:sz="0" w:space="0" w:color="auto"/>
        <w:bottom w:val="none" w:sz="0" w:space="0" w:color="auto"/>
        <w:right w:val="none" w:sz="0" w:space="0" w:color="auto"/>
      </w:divBdr>
    </w:div>
    <w:div w:id="506749160">
      <w:bodyDiv w:val="1"/>
      <w:marLeft w:val="0"/>
      <w:marRight w:val="0"/>
      <w:marTop w:val="0"/>
      <w:marBottom w:val="0"/>
      <w:divBdr>
        <w:top w:val="none" w:sz="0" w:space="0" w:color="auto"/>
        <w:left w:val="none" w:sz="0" w:space="0" w:color="auto"/>
        <w:bottom w:val="none" w:sz="0" w:space="0" w:color="auto"/>
        <w:right w:val="none" w:sz="0" w:space="0" w:color="auto"/>
      </w:divBdr>
    </w:div>
    <w:div w:id="542254977">
      <w:bodyDiv w:val="1"/>
      <w:marLeft w:val="0"/>
      <w:marRight w:val="0"/>
      <w:marTop w:val="0"/>
      <w:marBottom w:val="0"/>
      <w:divBdr>
        <w:top w:val="none" w:sz="0" w:space="0" w:color="auto"/>
        <w:left w:val="none" w:sz="0" w:space="0" w:color="auto"/>
        <w:bottom w:val="none" w:sz="0" w:space="0" w:color="auto"/>
        <w:right w:val="none" w:sz="0" w:space="0" w:color="auto"/>
      </w:divBdr>
    </w:div>
    <w:div w:id="570890597">
      <w:bodyDiv w:val="1"/>
      <w:marLeft w:val="0"/>
      <w:marRight w:val="0"/>
      <w:marTop w:val="0"/>
      <w:marBottom w:val="0"/>
      <w:divBdr>
        <w:top w:val="none" w:sz="0" w:space="0" w:color="auto"/>
        <w:left w:val="none" w:sz="0" w:space="0" w:color="auto"/>
        <w:bottom w:val="none" w:sz="0" w:space="0" w:color="auto"/>
        <w:right w:val="none" w:sz="0" w:space="0" w:color="auto"/>
      </w:divBdr>
    </w:div>
    <w:div w:id="580064030">
      <w:bodyDiv w:val="1"/>
      <w:marLeft w:val="0"/>
      <w:marRight w:val="0"/>
      <w:marTop w:val="0"/>
      <w:marBottom w:val="0"/>
      <w:divBdr>
        <w:top w:val="none" w:sz="0" w:space="0" w:color="auto"/>
        <w:left w:val="none" w:sz="0" w:space="0" w:color="auto"/>
        <w:bottom w:val="none" w:sz="0" w:space="0" w:color="auto"/>
        <w:right w:val="none" w:sz="0" w:space="0" w:color="auto"/>
      </w:divBdr>
    </w:div>
    <w:div w:id="592862658">
      <w:bodyDiv w:val="1"/>
      <w:marLeft w:val="0"/>
      <w:marRight w:val="0"/>
      <w:marTop w:val="0"/>
      <w:marBottom w:val="0"/>
      <w:divBdr>
        <w:top w:val="none" w:sz="0" w:space="0" w:color="auto"/>
        <w:left w:val="none" w:sz="0" w:space="0" w:color="auto"/>
        <w:bottom w:val="none" w:sz="0" w:space="0" w:color="auto"/>
        <w:right w:val="none" w:sz="0" w:space="0" w:color="auto"/>
      </w:divBdr>
    </w:div>
    <w:div w:id="621301360">
      <w:bodyDiv w:val="1"/>
      <w:marLeft w:val="0"/>
      <w:marRight w:val="0"/>
      <w:marTop w:val="0"/>
      <w:marBottom w:val="0"/>
      <w:divBdr>
        <w:top w:val="none" w:sz="0" w:space="0" w:color="auto"/>
        <w:left w:val="none" w:sz="0" w:space="0" w:color="auto"/>
        <w:bottom w:val="none" w:sz="0" w:space="0" w:color="auto"/>
        <w:right w:val="none" w:sz="0" w:space="0" w:color="auto"/>
      </w:divBdr>
    </w:div>
    <w:div w:id="626394628">
      <w:bodyDiv w:val="1"/>
      <w:marLeft w:val="0"/>
      <w:marRight w:val="0"/>
      <w:marTop w:val="0"/>
      <w:marBottom w:val="0"/>
      <w:divBdr>
        <w:top w:val="none" w:sz="0" w:space="0" w:color="auto"/>
        <w:left w:val="none" w:sz="0" w:space="0" w:color="auto"/>
        <w:bottom w:val="none" w:sz="0" w:space="0" w:color="auto"/>
        <w:right w:val="none" w:sz="0" w:space="0" w:color="auto"/>
      </w:divBdr>
    </w:div>
    <w:div w:id="628123534">
      <w:bodyDiv w:val="1"/>
      <w:marLeft w:val="0"/>
      <w:marRight w:val="0"/>
      <w:marTop w:val="0"/>
      <w:marBottom w:val="0"/>
      <w:divBdr>
        <w:top w:val="none" w:sz="0" w:space="0" w:color="auto"/>
        <w:left w:val="none" w:sz="0" w:space="0" w:color="auto"/>
        <w:bottom w:val="none" w:sz="0" w:space="0" w:color="auto"/>
        <w:right w:val="none" w:sz="0" w:space="0" w:color="auto"/>
      </w:divBdr>
    </w:div>
    <w:div w:id="634918066">
      <w:bodyDiv w:val="1"/>
      <w:marLeft w:val="0"/>
      <w:marRight w:val="0"/>
      <w:marTop w:val="0"/>
      <w:marBottom w:val="0"/>
      <w:divBdr>
        <w:top w:val="none" w:sz="0" w:space="0" w:color="auto"/>
        <w:left w:val="none" w:sz="0" w:space="0" w:color="auto"/>
        <w:bottom w:val="none" w:sz="0" w:space="0" w:color="auto"/>
        <w:right w:val="none" w:sz="0" w:space="0" w:color="auto"/>
      </w:divBdr>
    </w:div>
    <w:div w:id="677927287">
      <w:bodyDiv w:val="1"/>
      <w:marLeft w:val="0"/>
      <w:marRight w:val="0"/>
      <w:marTop w:val="0"/>
      <w:marBottom w:val="0"/>
      <w:divBdr>
        <w:top w:val="none" w:sz="0" w:space="0" w:color="auto"/>
        <w:left w:val="none" w:sz="0" w:space="0" w:color="auto"/>
        <w:bottom w:val="none" w:sz="0" w:space="0" w:color="auto"/>
        <w:right w:val="none" w:sz="0" w:space="0" w:color="auto"/>
      </w:divBdr>
    </w:div>
    <w:div w:id="696662108">
      <w:bodyDiv w:val="1"/>
      <w:marLeft w:val="0"/>
      <w:marRight w:val="0"/>
      <w:marTop w:val="0"/>
      <w:marBottom w:val="0"/>
      <w:divBdr>
        <w:top w:val="none" w:sz="0" w:space="0" w:color="auto"/>
        <w:left w:val="none" w:sz="0" w:space="0" w:color="auto"/>
        <w:bottom w:val="none" w:sz="0" w:space="0" w:color="auto"/>
        <w:right w:val="none" w:sz="0" w:space="0" w:color="auto"/>
      </w:divBdr>
    </w:div>
    <w:div w:id="706373502">
      <w:bodyDiv w:val="1"/>
      <w:marLeft w:val="0"/>
      <w:marRight w:val="0"/>
      <w:marTop w:val="0"/>
      <w:marBottom w:val="0"/>
      <w:divBdr>
        <w:top w:val="none" w:sz="0" w:space="0" w:color="auto"/>
        <w:left w:val="none" w:sz="0" w:space="0" w:color="auto"/>
        <w:bottom w:val="none" w:sz="0" w:space="0" w:color="auto"/>
        <w:right w:val="none" w:sz="0" w:space="0" w:color="auto"/>
      </w:divBdr>
    </w:div>
    <w:div w:id="711460340">
      <w:bodyDiv w:val="1"/>
      <w:marLeft w:val="0"/>
      <w:marRight w:val="0"/>
      <w:marTop w:val="0"/>
      <w:marBottom w:val="0"/>
      <w:divBdr>
        <w:top w:val="none" w:sz="0" w:space="0" w:color="auto"/>
        <w:left w:val="none" w:sz="0" w:space="0" w:color="auto"/>
        <w:bottom w:val="none" w:sz="0" w:space="0" w:color="auto"/>
        <w:right w:val="none" w:sz="0" w:space="0" w:color="auto"/>
      </w:divBdr>
    </w:div>
    <w:div w:id="750195588">
      <w:bodyDiv w:val="1"/>
      <w:marLeft w:val="0"/>
      <w:marRight w:val="0"/>
      <w:marTop w:val="0"/>
      <w:marBottom w:val="0"/>
      <w:divBdr>
        <w:top w:val="none" w:sz="0" w:space="0" w:color="auto"/>
        <w:left w:val="none" w:sz="0" w:space="0" w:color="auto"/>
        <w:bottom w:val="none" w:sz="0" w:space="0" w:color="auto"/>
        <w:right w:val="none" w:sz="0" w:space="0" w:color="auto"/>
      </w:divBdr>
    </w:div>
    <w:div w:id="752510581">
      <w:bodyDiv w:val="1"/>
      <w:marLeft w:val="0"/>
      <w:marRight w:val="0"/>
      <w:marTop w:val="0"/>
      <w:marBottom w:val="0"/>
      <w:divBdr>
        <w:top w:val="none" w:sz="0" w:space="0" w:color="auto"/>
        <w:left w:val="none" w:sz="0" w:space="0" w:color="auto"/>
        <w:bottom w:val="none" w:sz="0" w:space="0" w:color="auto"/>
        <w:right w:val="none" w:sz="0" w:space="0" w:color="auto"/>
      </w:divBdr>
      <w:divsChild>
        <w:div w:id="286621299">
          <w:marLeft w:val="0"/>
          <w:marRight w:val="0"/>
          <w:marTop w:val="0"/>
          <w:marBottom w:val="0"/>
          <w:divBdr>
            <w:top w:val="none" w:sz="0" w:space="0" w:color="auto"/>
            <w:left w:val="none" w:sz="0" w:space="0" w:color="auto"/>
            <w:bottom w:val="none" w:sz="0" w:space="0" w:color="auto"/>
            <w:right w:val="none" w:sz="0" w:space="0" w:color="auto"/>
          </w:divBdr>
          <w:divsChild>
            <w:div w:id="1180506357">
              <w:marLeft w:val="0"/>
              <w:marRight w:val="0"/>
              <w:marTop w:val="0"/>
              <w:marBottom w:val="0"/>
              <w:divBdr>
                <w:top w:val="none" w:sz="0" w:space="0" w:color="auto"/>
                <w:left w:val="none" w:sz="0" w:space="0" w:color="auto"/>
                <w:bottom w:val="none" w:sz="0" w:space="0" w:color="auto"/>
                <w:right w:val="none" w:sz="0" w:space="0" w:color="auto"/>
              </w:divBdr>
              <w:divsChild>
                <w:div w:id="2071229950">
                  <w:marLeft w:val="0"/>
                  <w:marRight w:val="0"/>
                  <w:marTop w:val="0"/>
                  <w:marBottom w:val="0"/>
                  <w:divBdr>
                    <w:top w:val="none" w:sz="0" w:space="0" w:color="auto"/>
                    <w:left w:val="none" w:sz="0" w:space="0" w:color="auto"/>
                    <w:bottom w:val="none" w:sz="0" w:space="0" w:color="auto"/>
                    <w:right w:val="none" w:sz="0" w:space="0" w:color="auto"/>
                  </w:divBdr>
                  <w:divsChild>
                    <w:div w:id="1955744703">
                      <w:marLeft w:val="0"/>
                      <w:marRight w:val="0"/>
                      <w:marTop w:val="0"/>
                      <w:marBottom w:val="0"/>
                      <w:divBdr>
                        <w:top w:val="none" w:sz="0" w:space="0" w:color="auto"/>
                        <w:left w:val="none" w:sz="0" w:space="0" w:color="auto"/>
                        <w:bottom w:val="none" w:sz="0" w:space="0" w:color="auto"/>
                        <w:right w:val="none" w:sz="0" w:space="0" w:color="auto"/>
                      </w:divBdr>
                      <w:divsChild>
                        <w:div w:id="1904365096">
                          <w:marLeft w:val="0"/>
                          <w:marRight w:val="0"/>
                          <w:marTop w:val="0"/>
                          <w:marBottom w:val="0"/>
                          <w:divBdr>
                            <w:top w:val="none" w:sz="0" w:space="0" w:color="auto"/>
                            <w:left w:val="none" w:sz="0" w:space="0" w:color="auto"/>
                            <w:bottom w:val="none" w:sz="0" w:space="0" w:color="auto"/>
                            <w:right w:val="none" w:sz="0" w:space="0" w:color="auto"/>
                          </w:divBdr>
                          <w:divsChild>
                            <w:div w:id="13746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5928">
      <w:bodyDiv w:val="1"/>
      <w:marLeft w:val="0"/>
      <w:marRight w:val="0"/>
      <w:marTop w:val="0"/>
      <w:marBottom w:val="0"/>
      <w:divBdr>
        <w:top w:val="none" w:sz="0" w:space="0" w:color="auto"/>
        <w:left w:val="none" w:sz="0" w:space="0" w:color="auto"/>
        <w:bottom w:val="none" w:sz="0" w:space="0" w:color="auto"/>
        <w:right w:val="none" w:sz="0" w:space="0" w:color="auto"/>
      </w:divBdr>
    </w:div>
    <w:div w:id="772437544">
      <w:bodyDiv w:val="1"/>
      <w:marLeft w:val="0"/>
      <w:marRight w:val="0"/>
      <w:marTop w:val="0"/>
      <w:marBottom w:val="0"/>
      <w:divBdr>
        <w:top w:val="none" w:sz="0" w:space="0" w:color="auto"/>
        <w:left w:val="none" w:sz="0" w:space="0" w:color="auto"/>
        <w:bottom w:val="none" w:sz="0" w:space="0" w:color="auto"/>
        <w:right w:val="none" w:sz="0" w:space="0" w:color="auto"/>
      </w:divBdr>
    </w:div>
    <w:div w:id="774861572">
      <w:bodyDiv w:val="1"/>
      <w:marLeft w:val="0"/>
      <w:marRight w:val="0"/>
      <w:marTop w:val="0"/>
      <w:marBottom w:val="0"/>
      <w:divBdr>
        <w:top w:val="none" w:sz="0" w:space="0" w:color="auto"/>
        <w:left w:val="none" w:sz="0" w:space="0" w:color="auto"/>
        <w:bottom w:val="none" w:sz="0" w:space="0" w:color="auto"/>
        <w:right w:val="none" w:sz="0" w:space="0" w:color="auto"/>
      </w:divBdr>
    </w:div>
    <w:div w:id="784351329">
      <w:bodyDiv w:val="1"/>
      <w:marLeft w:val="0"/>
      <w:marRight w:val="0"/>
      <w:marTop w:val="0"/>
      <w:marBottom w:val="0"/>
      <w:divBdr>
        <w:top w:val="none" w:sz="0" w:space="0" w:color="auto"/>
        <w:left w:val="none" w:sz="0" w:space="0" w:color="auto"/>
        <w:bottom w:val="none" w:sz="0" w:space="0" w:color="auto"/>
        <w:right w:val="none" w:sz="0" w:space="0" w:color="auto"/>
      </w:divBdr>
    </w:div>
    <w:div w:id="787774192">
      <w:bodyDiv w:val="1"/>
      <w:marLeft w:val="0"/>
      <w:marRight w:val="0"/>
      <w:marTop w:val="0"/>
      <w:marBottom w:val="0"/>
      <w:divBdr>
        <w:top w:val="none" w:sz="0" w:space="0" w:color="auto"/>
        <w:left w:val="none" w:sz="0" w:space="0" w:color="auto"/>
        <w:bottom w:val="none" w:sz="0" w:space="0" w:color="auto"/>
        <w:right w:val="none" w:sz="0" w:space="0" w:color="auto"/>
      </w:divBdr>
    </w:div>
    <w:div w:id="794644202">
      <w:bodyDiv w:val="1"/>
      <w:marLeft w:val="0"/>
      <w:marRight w:val="0"/>
      <w:marTop w:val="0"/>
      <w:marBottom w:val="0"/>
      <w:divBdr>
        <w:top w:val="none" w:sz="0" w:space="0" w:color="auto"/>
        <w:left w:val="none" w:sz="0" w:space="0" w:color="auto"/>
        <w:bottom w:val="none" w:sz="0" w:space="0" w:color="auto"/>
        <w:right w:val="none" w:sz="0" w:space="0" w:color="auto"/>
      </w:divBdr>
    </w:div>
    <w:div w:id="796223797">
      <w:bodyDiv w:val="1"/>
      <w:marLeft w:val="0"/>
      <w:marRight w:val="0"/>
      <w:marTop w:val="0"/>
      <w:marBottom w:val="0"/>
      <w:divBdr>
        <w:top w:val="none" w:sz="0" w:space="0" w:color="auto"/>
        <w:left w:val="none" w:sz="0" w:space="0" w:color="auto"/>
        <w:bottom w:val="none" w:sz="0" w:space="0" w:color="auto"/>
        <w:right w:val="none" w:sz="0" w:space="0" w:color="auto"/>
      </w:divBdr>
    </w:div>
    <w:div w:id="801003979">
      <w:bodyDiv w:val="1"/>
      <w:marLeft w:val="0"/>
      <w:marRight w:val="0"/>
      <w:marTop w:val="0"/>
      <w:marBottom w:val="0"/>
      <w:divBdr>
        <w:top w:val="none" w:sz="0" w:space="0" w:color="auto"/>
        <w:left w:val="none" w:sz="0" w:space="0" w:color="auto"/>
        <w:bottom w:val="none" w:sz="0" w:space="0" w:color="auto"/>
        <w:right w:val="none" w:sz="0" w:space="0" w:color="auto"/>
      </w:divBdr>
    </w:div>
    <w:div w:id="809710378">
      <w:bodyDiv w:val="1"/>
      <w:marLeft w:val="0"/>
      <w:marRight w:val="0"/>
      <w:marTop w:val="0"/>
      <w:marBottom w:val="0"/>
      <w:divBdr>
        <w:top w:val="none" w:sz="0" w:space="0" w:color="auto"/>
        <w:left w:val="none" w:sz="0" w:space="0" w:color="auto"/>
        <w:bottom w:val="none" w:sz="0" w:space="0" w:color="auto"/>
        <w:right w:val="none" w:sz="0" w:space="0" w:color="auto"/>
      </w:divBdr>
    </w:div>
    <w:div w:id="810363012">
      <w:bodyDiv w:val="1"/>
      <w:marLeft w:val="0"/>
      <w:marRight w:val="0"/>
      <w:marTop w:val="0"/>
      <w:marBottom w:val="0"/>
      <w:divBdr>
        <w:top w:val="none" w:sz="0" w:space="0" w:color="auto"/>
        <w:left w:val="none" w:sz="0" w:space="0" w:color="auto"/>
        <w:bottom w:val="none" w:sz="0" w:space="0" w:color="auto"/>
        <w:right w:val="none" w:sz="0" w:space="0" w:color="auto"/>
      </w:divBdr>
    </w:div>
    <w:div w:id="829717361">
      <w:bodyDiv w:val="1"/>
      <w:marLeft w:val="0"/>
      <w:marRight w:val="0"/>
      <w:marTop w:val="0"/>
      <w:marBottom w:val="0"/>
      <w:divBdr>
        <w:top w:val="none" w:sz="0" w:space="0" w:color="auto"/>
        <w:left w:val="none" w:sz="0" w:space="0" w:color="auto"/>
        <w:bottom w:val="none" w:sz="0" w:space="0" w:color="auto"/>
        <w:right w:val="none" w:sz="0" w:space="0" w:color="auto"/>
      </w:divBdr>
    </w:div>
    <w:div w:id="836530744">
      <w:bodyDiv w:val="1"/>
      <w:marLeft w:val="0"/>
      <w:marRight w:val="0"/>
      <w:marTop w:val="0"/>
      <w:marBottom w:val="0"/>
      <w:divBdr>
        <w:top w:val="none" w:sz="0" w:space="0" w:color="auto"/>
        <w:left w:val="none" w:sz="0" w:space="0" w:color="auto"/>
        <w:bottom w:val="none" w:sz="0" w:space="0" w:color="auto"/>
        <w:right w:val="none" w:sz="0" w:space="0" w:color="auto"/>
      </w:divBdr>
    </w:div>
    <w:div w:id="846482096">
      <w:bodyDiv w:val="1"/>
      <w:marLeft w:val="0"/>
      <w:marRight w:val="0"/>
      <w:marTop w:val="0"/>
      <w:marBottom w:val="0"/>
      <w:divBdr>
        <w:top w:val="none" w:sz="0" w:space="0" w:color="auto"/>
        <w:left w:val="none" w:sz="0" w:space="0" w:color="auto"/>
        <w:bottom w:val="none" w:sz="0" w:space="0" w:color="auto"/>
        <w:right w:val="none" w:sz="0" w:space="0" w:color="auto"/>
      </w:divBdr>
    </w:div>
    <w:div w:id="882135722">
      <w:bodyDiv w:val="1"/>
      <w:marLeft w:val="0"/>
      <w:marRight w:val="0"/>
      <w:marTop w:val="0"/>
      <w:marBottom w:val="0"/>
      <w:divBdr>
        <w:top w:val="none" w:sz="0" w:space="0" w:color="auto"/>
        <w:left w:val="none" w:sz="0" w:space="0" w:color="auto"/>
        <w:bottom w:val="none" w:sz="0" w:space="0" w:color="auto"/>
        <w:right w:val="none" w:sz="0" w:space="0" w:color="auto"/>
      </w:divBdr>
    </w:div>
    <w:div w:id="885682533">
      <w:bodyDiv w:val="1"/>
      <w:marLeft w:val="0"/>
      <w:marRight w:val="0"/>
      <w:marTop w:val="0"/>
      <w:marBottom w:val="0"/>
      <w:divBdr>
        <w:top w:val="none" w:sz="0" w:space="0" w:color="auto"/>
        <w:left w:val="none" w:sz="0" w:space="0" w:color="auto"/>
        <w:bottom w:val="none" w:sz="0" w:space="0" w:color="auto"/>
        <w:right w:val="none" w:sz="0" w:space="0" w:color="auto"/>
      </w:divBdr>
      <w:divsChild>
        <w:div w:id="1835291218">
          <w:marLeft w:val="0"/>
          <w:marRight w:val="0"/>
          <w:marTop w:val="0"/>
          <w:marBottom w:val="0"/>
          <w:divBdr>
            <w:top w:val="none" w:sz="0" w:space="0" w:color="auto"/>
            <w:left w:val="none" w:sz="0" w:space="0" w:color="auto"/>
            <w:bottom w:val="none" w:sz="0" w:space="0" w:color="auto"/>
            <w:right w:val="none" w:sz="0" w:space="0" w:color="auto"/>
          </w:divBdr>
          <w:divsChild>
            <w:div w:id="1689063915">
              <w:marLeft w:val="0"/>
              <w:marRight w:val="0"/>
              <w:marTop w:val="0"/>
              <w:marBottom w:val="0"/>
              <w:divBdr>
                <w:top w:val="none" w:sz="0" w:space="0" w:color="auto"/>
                <w:left w:val="none" w:sz="0" w:space="0" w:color="auto"/>
                <w:bottom w:val="none" w:sz="0" w:space="0" w:color="auto"/>
                <w:right w:val="none" w:sz="0" w:space="0" w:color="auto"/>
              </w:divBdr>
              <w:divsChild>
                <w:div w:id="1542815342">
                  <w:marLeft w:val="0"/>
                  <w:marRight w:val="0"/>
                  <w:marTop w:val="0"/>
                  <w:marBottom w:val="0"/>
                  <w:divBdr>
                    <w:top w:val="none" w:sz="0" w:space="0" w:color="auto"/>
                    <w:left w:val="none" w:sz="0" w:space="0" w:color="auto"/>
                    <w:bottom w:val="none" w:sz="0" w:space="0" w:color="auto"/>
                    <w:right w:val="none" w:sz="0" w:space="0" w:color="auto"/>
                  </w:divBdr>
                  <w:divsChild>
                    <w:div w:id="1014957402">
                      <w:marLeft w:val="0"/>
                      <w:marRight w:val="0"/>
                      <w:marTop w:val="0"/>
                      <w:marBottom w:val="0"/>
                      <w:divBdr>
                        <w:top w:val="none" w:sz="0" w:space="0" w:color="auto"/>
                        <w:left w:val="none" w:sz="0" w:space="0" w:color="auto"/>
                        <w:bottom w:val="none" w:sz="0" w:space="0" w:color="auto"/>
                        <w:right w:val="none" w:sz="0" w:space="0" w:color="auto"/>
                      </w:divBdr>
                      <w:divsChild>
                        <w:div w:id="1728530298">
                          <w:marLeft w:val="-225"/>
                          <w:marRight w:val="-225"/>
                          <w:marTop w:val="0"/>
                          <w:marBottom w:val="0"/>
                          <w:divBdr>
                            <w:top w:val="none" w:sz="0" w:space="0" w:color="auto"/>
                            <w:left w:val="none" w:sz="0" w:space="0" w:color="auto"/>
                            <w:bottom w:val="none" w:sz="0" w:space="0" w:color="auto"/>
                            <w:right w:val="none" w:sz="0" w:space="0" w:color="auto"/>
                          </w:divBdr>
                          <w:divsChild>
                            <w:div w:id="1892035710">
                              <w:marLeft w:val="0"/>
                              <w:marRight w:val="0"/>
                              <w:marTop w:val="0"/>
                              <w:marBottom w:val="0"/>
                              <w:divBdr>
                                <w:top w:val="none" w:sz="0" w:space="0" w:color="auto"/>
                                <w:left w:val="none" w:sz="0" w:space="0" w:color="auto"/>
                                <w:bottom w:val="none" w:sz="0" w:space="0" w:color="auto"/>
                                <w:right w:val="none" w:sz="0" w:space="0" w:color="auto"/>
                              </w:divBdr>
                              <w:divsChild>
                                <w:div w:id="8954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152635">
      <w:bodyDiv w:val="1"/>
      <w:marLeft w:val="0"/>
      <w:marRight w:val="0"/>
      <w:marTop w:val="0"/>
      <w:marBottom w:val="0"/>
      <w:divBdr>
        <w:top w:val="none" w:sz="0" w:space="0" w:color="auto"/>
        <w:left w:val="none" w:sz="0" w:space="0" w:color="auto"/>
        <w:bottom w:val="none" w:sz="0" w:space="0" w:color="auto"/>
        <w:right w:val="none" w:sz="0" w:space="0" w:color="auto"/>
      </w:divBdr>
      <w:divsChild>
        <w:div w:id="878323613">
          <w:marLeft w:val="0"/>
          <w:marRight w:val="0"/>
          <w:marTop w:val="0"/>
          <w:marBottom w:val="0"/>
          <w:divBdr>
            <w:top w:val="none" w:sz="0" w:space="0" w:color="auto"/>
            <w:left w:val="none" w:sz="0" w:space="0" w:color="auto"/>
            <w:bottom w:val="none" w:sz="0" w:space="0" w:color="auto"/>
            <w:right w:val="none" w:sz="0" w:space="0" w:color="auto"/>
          </w:divBdr>
          <w:divsChild>
            <w:div w:id="16512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768">
      <w:bodyDiv w:val="1"/>
      <w:marLeft w:val="0"/>
      <w:marRight w:val="0"/>
      <w:marTop w:val="0"/>
      <w:marBottom w:val="0"/>
      <w:divBdr>
        <w:top w:val="none" w:sz="0" w:space="0" w:color="auto"/>
        <w:left w:val="none" w:sz="0" w:space="0" w:color="auto"/>
        <w:bottom w:val="none" w:sz="0" w:space="0" w:color="auto"/>
        <w:right w:val="none" w:sz="0" w:space="0" w:color="auto"/>
      </w:divBdr>
    </w:div>
    <w:div w:id="915020175">
      <w:bodyDiv w:val="1"/>
      <w:marLeft w:val="0"/>
      <w:marRight w:val="0"/>
      <w:marTop w:val="0"/>
      <w:marBottom w:val="0"/>
      <w:divBdr>
        <w:top w:val="none" w:sz="0" w:space="0" w:color="auto"/>
        <w:left w:val="none" w:sz="0" w:space="0" w:color="auto"/>
        <w:bottom w:val="none" w:sz="0" w:space="0" w:color="auto"/>
        <w:right w:val="none" w:sz="0" w:space="0" w:color="auto"/>
      </w:divBdr>
    </w:div>
    <w:div w:id="917524257">
      <w:bodyDiv w:val="1"/>
      <w:marLeft w:val="0"/>
      <w:marRight w:val="0"/>
      <w:marTop w:val="0"/>
      <w:marBottom w:val="0"/>
      <w:divBdr>
        <w:top w:val="none" w:sz="0" w:space="0" w:color="auto"/>
        <w:left w:val="none" w:sz="0" w:space="0" w:color="auto"/>
        <w:bottom w:val="none" w:sz="0" w:space="0" w:color="auto"/>
        <w:right w:val="none" w:sz="0" w:space="0" w:color="auto"/>
      </w:divBdr>
    </w:div>
    <w:div w:id="920600230">
      <w:bodyDiv w:val="1"/>
      <w:marLeft w:val="0"/>
      <w:marRight w:val="0"/>
      <w:marTop w:val="0"/>
      <w:marBottom w:val="0"/>
      <w:divBdr>
        <w:top w:val="none" w:sz="0" w:space="0" w:color="auto"/>
        <w:left w:val="none" w:sz="0" w:space="0" w:color="auto"/>
        <w:bottom w:val="none" w:sz="0" w:space="0" w:color="auto"/>
        <w:right w:val="none" w:sz="0" w:space="0" w:color="auto"/>
      </w:divBdr>
    </w:div>
    <w:div w:id="929848062">
      <w:bodyDiv w:val="1"/>
      <w:marLeft w:val="0"/>
      <w:marRight w:val="0"/>
      <w:marTop w:val="0"/>
      <w:marBottom w:val="0"/>
      <w:divBdr>
        <w:top w:val="none" w:sz="0" w:space="0" w:color="auto"/>
        <w:left w:val="none" w:sz="0" w:space="0" w:color="auto"/>
        <w:bottom w:val="none" w:sz="0" w:space="0" w:color="auto"/>
        <w:right w:val="none" w:sz="0" w:space="0" w:color="auto"/>
      </w:divBdr>
    </w:div>
    <w:div w:id="974287196">
      <w:bodyDiv w:val="1"/>
      <w:marLeft w:val="0"/>
      <w:marRight w:val="0"/>
      <w:marTop w:val="0"/>
      <w:marBottom w:val="0"/>
      <w:divBdr>
        <w:top w:val="none" w:sz="0" w:space="0" w:color="auto"/>
        <w:left w:val="none" w:sz="0" w:space="0" w:color="auto"/>
        <w:bottom w:val="none" w:sz="0" w:space="0" w:color="auto"/>
        <w:right w:val="none" w:sz="0" w:space="0" w:color="auto"/>
      </w:divBdr>
    </w:div>
    <w:div w:id="976304212">
      <w:bodyDiv w:val="1"/>
      <w:marLeft w:val="0"/>
      <w:marRight w:val="0"/>
      <w:marTop w:val="0"/>
      <w:marBottom w:val="0"/>
      <w:divBdr>
        <w:top w:val="none" w:sz="0" w:space="0" w:color="auto"/>
        <w:left w:val="none" w:sz="0" w:space="0" w:color="auto"/>
        <w:bottom w:val="none" w:sz="0" w:space="0" w:color="auto"/>
        <w:right w:val="none" w:sz="0" w:space="0" w:color="auto"/>
      </w:divBdr>
    </w:div>
    <w:div w:id="985360054">
      <w:bodyDiv w:val="1"/>
      <w:marLeft w:val="0"/>
      <w:marRight w:val="0"/>
      <w:marTop w:val="0"/>
      <w:marBottom w:val="0"/>
      <w:divBdr>
        <w:top w:val="none" w:sz="0" w:space="0" w:color="auto"/>
        <w:left w:val="none" w:sz="0" w:space="0" w:color="auto"/>
        <w:bottom w:val="none" w:sz="0" w:space="0" w:color="auto"/>
        <w:right w:val="none" w:sz="0" w:space="0" w:color="auto"/>
      </w:divBdr>
    </w:div>
    <w:div w:id="987054427">
      <w:bodyDiv w:val="1"/>
      <w:marLeft w:val="0"/>
      <w:marRight w:val="0"/>
      <w:marTop w:val="0"/>
      <w:marBottom w:val="0"/>
      <w:divBdr>
        <w:top w:val="none" w:sz="0" w:space="0" w:color="auto"/>
        <w:left w:val="none" w:sz="0" w:space="0" w:color="auto"/>
        <w:bottom w:val="none" w:sz="0" w:space="0" w:color="auto"/>
        <w:right w:val="none" w:sz="0" w:space="0" w:color="auto"/>
      </w:divBdr>
    </w:div>
    <w:div w:id="1005863928">
      <w:bodyDiv w:val="1"/>
      <w:marLeft w:val="0"/>
      <w:marRight w:val="0"/>
      <w:marTop w:val="0"/>
      <w:marBottom w:val="0"/>
      <w:divBdr>
        <w:top w:val="none" w:sz="0" w:space="0" w:color="auto"/>
        <w:left w:val="none" w:sz="0" w:space="0" w:color="auto"/>
        <w:bottom w:val="none" w:sz="0" w:space="0" w:color="auto"/>
        <w:right w:val="none" w:sz="0" w:space="0" w:color="auto"/>
      </w:divBdr>
    </w:div>
    <w:div w:id="1011952337">
      <w:bodyDiv w:val="1"/>
      <w:marLeft w:val="0"/>
      <w:marRight w:val="0"/>
      <w:marTop w:val="0"/>
      <w:marBottom w:val="0"/>
      <w:divBdr>
        <w:top w:val="none" w:sz="0" w:space="0" w:color="auto"/>
        <w:left w:val="none" w:sz="0" w:space="0" w:color="auto"/>
        <w:bottom w:val="none" w:sz="0" w:space="0" w:color="auto"/>
        <w:right w:val="none" w:sz="0" w:space="0" w:color="auto"/>
      </w:divBdr>
    </w:div>
    <w:div w:id="1020199758">
      <w:bodyDiv w:val="1"/>
      <w:marLeft w:val="0"/>
      <w:marRight w:val="0"/>
      <w:marTop w:val="0"/>
      <w:marBottom w:val="0"/>
      <w:divBdr>
        <w:top w:val="none" w:sz="0" w:space="0" w:color="auto"/>
        <w:left w:val="none" w:sz="0" w:space="0" w:color="auto"/>
        <w:bottom w:val="none" w:sz="0" w:space="0" w:color="auto"/>
        <w:right w:val="none" w:sz="0" w:space="0" w:color="auto"/>
      </w:divBdr>
    </w:div>
    <w:div w:id="1021466592">
      <w:bodyDiv w:val="1"/>
      <w:marLeft w:val="0"/>
      <w:marRight w:val="0"/>
      <w:marTop w:val="0"/>
      <w:marBottom w:val="0"/>
      <w:divBdr>
        <w:top w:val="none" w:sz="0" w:space="0" w:color="auto"/>
        <w:left w:val="none" w:sz="0" w:space="0" w:color="auto"/>
        <w:bottom w:val="none" w:sz="0" w:space="0" w:color="auto"/>
        <w:right w:val="none" w:sz="0" w:space="0" w:color="auto"/>
      </w:divBdr>
    </w:div>
    <w:div w:id="1036346457">
      <w:bodyDiv w:val="1"/>
      <w:marLeft w:val="0"/>
      <w:marRight w:val="0"/>
      <w:marTop w:val="0"/>
      <w:marBottom w:val="0"/>
      <w:divBdr>
        <w:top w:val="none" w:sz="0" w:space="0" w:color="auto"/>
        <w:left w:val="none" w:sz="0" w:space="0" w:color="auto"/>
        <w:bottom w:val="none" w:sz="0" w:space="0" w:color="auto"/>
        <w:right w:val="none" w:sz="0" w:space="0" w:color="auto"/>
      </w:divBdr>
    </w:div>
    <w:div w:id="1037894782">
      <w:bodyDiv w:val="1"/>
      <w:marLeft w:val="0"/>
      <w:marRight w:val="0"/>
      <w:marTop w:val="0"/>
      <w:marBottom w:val="0"/>
      <w:divBdr>
        <w:top w:val="none" w:sz="0" w:space="0" w:color="auto"/>
        <w:left w:val="none" w:sz="0" w:space="0" w:color="auto"/>
        <w:bottom w:val="none" w:sz="0" w:space="0" w:color="auto"/>
        <w:right w:val="none" w:sz="0" w:space="0" w:color="auto"/>
      </w:divBdr>
      <w:divsChild>
        <w:div w:id="1640962882">
          <w:marLeft w:val="0"/>
          <w:marRight w:val="0"/>
          <w:marTop w:val="0"/>
          <w:marBottom w:val="0"/>
          <w:divBdr>
            <w:top w:val="none" w:sz="0" w:space="0" w:color="auto"/>
            <w:left w:val="none" w:sz="0" w:space="0" w:color="auto"/>
            <w:bottom w:val="none" w:sz="0" w:space="0" w:color="auto"/>
            <w:right w:val="none" w:sz="0" w:space="0" w:color="auto"/>
          </w:divBdr>
          <w:divsChild>
            <w:div w:id="727337014">
              <w:marLeft w:val="0"/>
              <w:marRight w:val="0"/>
              <w:marTop w:val="0"/>
              <w:marBottom w:val="0"/>
              <w:divBdr>
                <w:top w:val="none" w:sz="0" w:space="0" w:color="auto"/>
                <w:left w:val="none" w:sz="0" w:space="0" w:color="auto"/>
                <w:bottom w:val="none" w:sz="0" w:space="0" w:color="auto"/>
                <w:right w:val="none" w:sz="0" w:space="0" w:color="auto"/>
              </w:divBdr>
              <w:divsChild>
                <w:div w:id="1258949637">
                  <w:marLeft w:val="0"/>
                  <w:marRight w:val="0"/>
                  <w:marTop w:val="0"/>
                  <w:marBottom w:val="0"/>
                  <w:divBdr>
                    <w:top w:val="none" w:sz="0" w:space="0" w:color="auto"/>
                    <w:left w:val="none" w:sz="0" w:space="0" w:color="auto"/>
                    <w:bottom w:val="none" w:sz="0" w:space="0" w:color="auto"/>
                    <w:right w:val="none" w:sz="0" w:space="0" w:color="auto"/>
                  </w:divBdr>
                  <w:divsChild>
                    <w:div w:id="1510100452">
                      <w:marLeft w:val="0"/>
                      <w:marRight w:val="0"/>
                      <w:marTop w:val="0"/>
                      <w:marBottom w:val="0"/>
                      <w:divBdr>
                        <w:top w:val="none" w:sz="0" w:space="0" w:color="auto"/>
                        <w:left w:val="none" w:sz="0" w:space="0" w:color="auto"/>
                        <w:bottom w:val="none" w:sz="0" w:space="0" w:color="auto"/>
                        <w:right w:val="none" w:sz="0" w:space="0" w:color="auto"/>
                      </w:divBdr>
                      <w:divsChild>
                        <w:div w:id="1136218937">
                          <w:marLeft w:val="0"/>
                          <w:marRight w:val="0"/>
                          <w:marTop w:val="0"/>
                          <w:marBottom w:val="0"/>
                          <w:divBdr>
                            <w:top w:val="none" w:sz="0" w:space="0" w:color="auto"/>
                            <w:left w:val="none" w:sz="0" w:space="0" w:color="auto"/>
                            <w:bottom w:val="none" w:sz="0" w:space="0" w:color="auto"/>
                            <w:right w:val="none" w:sz="0" w:space="0" w:color="auto"/>
                          </w:divBdr>
                          <w:divsChild>
                            <w:div w:id="3216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59715">
      <w:bodyDiv w:val="1"/>
      <w:marLeft w:val="0"/>
      <w:marRight w:val="0"/>
      <w:marTop w:val="0"/>
      <w:marBottom w:val="0"/>
      <w:divBdr>
        <w:top w:val="none" w:sz="0" w:space="0" w:color="auto"/>
        <w:left w:val="none" w:sz="0" w:space="0" w:color="auto"/>
        <w:bottom w:val="none" w:sz="0" w:space="0" w:color="auto"/>
        <w:right w:val="none" w:sz="0" w:space="0" w:color="auto"/>
      </w:divBdr>
    </w:div>
    <w:div w:id="1084911431">
      <w:bodyDiv w:val="1"/>
      <w:marLeft w:val="0"/>
      <w:marRight w:val="0"/>
      <w:marTop w:val="0"/>
      <w:marBottom w:val="0"/>
      <w:divBdr>
        <w:top w:val="none" w:sz="0" w:space="0" w:color="auto"/>
        <w:left w:val="none" w:sz="0" w:space="0" w:color="auto"/>
        <w:bottom w:val="none" w:sz="0" w:space="0" w:color="auto"/>
        <w:right w:val="none" w:sz="0" w:space="0" w:color="auto"/>
      </w:divBdr>
    </w:div>
    <w:div w:id="1096094227">
      <w:bodyDiv w:val="1"/>
      <w:marLeft w:val="0"/>
      <w:marRight w:val="0"/>
      <w:marTop w:val="0"/>
      <w:marBottom w:val="0"/>
      <w:divBdr>
        <w:top w:val="none" w:sz="0" w:space="0" w:color="auto"/>
        <w:left w:val="none" w:sz="0" w:space="0" w:color="auto"/>
        <w:bottom w:val="none" w:sz="0" w:space="0" w:color="auto"/>
        <w:right w:val="none" w:sz="0" w:space="0" w:color="auto"/>
      </w:divBdr>
      <w:divsChild>
        <w:div w:id="1509977898">
          <w:marLeft w:val="0"/>
          <w:marRight w:val="0"/>
          <w:marTop w:val="0"/>
          <w:marBottom w:val="0"/>
          <w:divBdr>
            <w:top w:val="none" w:sz="0" w:space="0" w:color="auto"/>
            <w:left w:val="none" w:sz="0" w:space="0" w:color="auto"/>
            <w:bottom w:val="none" w:sz="0" w:space="0" w:color="auto"/>
            <w:right w:val="none" w:sz="0" w:space="0" w:color="auto"/>
          </w:divBdr>
          <w:divsChild>
            <w:div w:id="1984314234">
              <w:marLeft w:val="0"/>
              <w:marRight w:val="0"/>
              <w:marTop w:val="0"/>
              <w:marBottom w:val="0"/>
              <w:divBdr>
                <w:top w:val="none" w:sz="0" w:space="0" w:color="auto"/>
                <w:left w:val="none" w:sz="0" w:space="0" w:color="auto"/>
                <w:bottom w:val="none" w:sz="0" w:space="0" w:color="auto"/>
                <w:right w:val="none" w:sz="0" w:space="0" w:color="auto"/>
              </w:divBdr>
              <w:divsChild>
                <w:div w:id="1998067957">
                  <w:marLeft w:val="0"/>
                  <w:marRight w:val="0"/>
                  <w:marTop w:val="0"/>
                  <w:marBottom w:val="0"/>
                  <w:divBdr>
                    <w:top w:val="none" w:sz="0" w:space="0" w:color="auto"/>
                    <w:left w:val="none" w:sz="0" w:space="0" w:color="auto"/>
                    <w:bottom w:val="none" w:sz="0" w:space="0" w:color="auto"/>
                    <w:right w:val="none" w:sz="0" w:space="0" w:color="auto"/>
                  </w:divBdr>
                  <w:divsChild>
                    <w:div w:id="1125777705">
                      <w:marLeft w:val="0"/>
                      <w:marRight w:val="0"/>
                      <w:marTop w:val="0"/>
                      <w:marBottom w:val="0"/>
                      <w:divBdr>
                        <w:top w:val="none" w:sz="0" w:space="0" w:color="auto"/>
                        <w:left w:val="none" w:sz="0" w:space="0" w:color="auto"/>
                        <w:bottom w:val="none" w:sz="0" w:space="0" w:color="auto"/>
                        <w:right w:val="none" w:sz="0" w:space="0" w:color="auto"/>
                      </w:divBdr>
                      <w:divsChild>
                        <w:div w:id="815412429">
                          <w:marLeft w:val="0"/>
                          <w:marRight w:val="0"/>
                          <w:marTop w:val="0"/>
                          <w:marBottom w:val="0"/>
                          <w:divBdr>
                            <w:top w:val="none" w:sz="0" w:space="0" w:color="auto"/>
                            <w:left w:val="none" w:sz="0" w:space="0" w:color="auto"/>
                            <w:bottom w:val="none" w:sz="0" w:space="0" w:color="auto"/>
                            <w:right w:val="none" w:sz="0" w:space="0" w:color="auto"/>
                          </w:divBdr>
                          <w:divsChild>
                            <w:div w:id="33970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523839">
      <w:bodyDiv w:val="1"/>
      <w:marLeft w:val="0"/>
      <w:marRight w:val="0"/>
      <w:marTop w:val="0"/>
      <w:marBottom w:val="0"/>
      <w:divBdr>
        <w:top w:val="none" w:sz="0" w:space="0" w:color="auto"/>
        <w:left w:val="none" w:sz="0" w:space="0" w:color="auto"/>
        <w:bottom w:val="none" w:sz="0" w:space="0" w:color="auto"/>
        <w:right w:val="none" w:sz="0" w:space="0" w:color="auto"/>
      </w:divBdr>
      <w:divsChild>
        <w:div w:id="1839543465">
          <w:marLeft w:val="0"/>
          <w:marRight w:val="0"/>
          <w:marTop w:val="0"/>
          <w:marBottom w:val="0"/>
          <w:divBdr>
            <w:top w:val="none" w:sz="0" w:space="0" w:color="auto"/>
            <w:left w:val="none" w:sz="0" w:space="0" w:color="auto"/>
            <w:bottom w:val="none" w:sz="0" w:space="0" w:color="auto"/>
            <w:right w:val="none" w:sz="0" w:space="0" w:color="auto"/>
          </w:divBdr>
          <w:divsChild>
            <w:div w:id="1600403850">
              <w:marLeft w:val="0"/>
              <w:marRight w:val="0"/>
              <w:marTop w:val="0"/>
              <w:marBottom w:val="0"/>
              <w:divBdr>
                <w:top w:val="none" w:sz="0" w:space="0" w:color="auto"/>
                <w:left w:val="none" w:sz="0" w:space="0" w:color="auto"/>
                <w:bottom w:val="none" w:sz="0" w:space="0" w:color="auto"/>
                <w:right w:val="none" w:sz="0" w:space="0" w:color="auto"/>
              </w:divBdr>
              <w:divsChild>
                <w:div w:id="219707466">
                  <w:marLeft w:val="0"/>
                  <w:marRight w:val="0"/>
                  <w:marTop w:val="0"/>
                  <w:marBottom w:val="0"/>
                  <w:divBdr>
                    <w:top w:val="none" w:sz="0" w:space="0" w:color="auto"/>
                    <w:left w:val="none" w:sz="0" w:space="0" w:color="auto"/>
                    <w:bottom w:val="none" w:sz="0" w:space="0" w:color="auto"/>
                    <w:right w:val="none" w:sz="0" w:space="0" w:color="auto"/>
                  </w:divBdr>
                  <w:divsChild>
                    <w:div w:id="45689112">
                      <w:marLeft w:val="0"/>
                      <w:marRight w:val="0"/>
                      <w:marTop w:val="0"/>
                      <w:marBottom w:val="0"/>
                      <w:divBdr>
                        <w:top w:val="none" w:sz="0" w:space="0" w:color="auto"/>
                        <w:left w:val="none" w:sz="0" w:space="0" w:color="auto"/>
                        <w:bottom w:val="none" w:sz="0" w:space="0" w:color="auto"/>
                        <w:right w:val="none" w:sz="0" w:space="0" w:color="auto"/>
                      </w:divBdr>
                      <w:divsChild>
                        <w:div w:id="173033430">
                          <w:marLeft w:val="0"/>
                          <w:marRight w:val="0"/>
                          <w:marTop w:val="0"/>
                          <w:marBottom w:val="0"/>
                          <w:divBdr>
                            <w:top w:val="none" w:sz="0" w:space="0" w:color="auto"/>
                            <w:left w:val="none" w:sz="0" w:space="0" w:color="auto"/>
                            <w:bottom w:val="none" w:sz="0" w:space="0" w:color="auto"/>
                            <w:right w:val="none" w:sz="0" w:space="0" w:color="auto"/>
                          </w:divBdr>
                          <w:divsChild>
                            <w:div w:id="6199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124707">
      <w:bodyDiv w:val="1"/>
      <w:marLeft w:val="0"/>
      <w:marRight w:val="0"/>
      <w:marTop w:val="0"/>
      <w:marBottom w:val="0"/>
      <w:divBdr>
        <w:top w:val="none" w:sz="0" w:space="0" w:color="auto"/>
        <w:left w:val="none" w:sz="0" w:space="0" w:color="auto"/>
        <w:bottom w:val="none" w:sz="0" w:space="0" w:color="auto"/>
        <w:right w:val="none" w:sz="0" w:space="0" w:color="auto"/>
      </w:divBdr>
    </w:div>
    <w:div w:id="1193690403">
      <w:bodyDiv w:val="1"/>
      <w:marLeft w:val="0"/>
      <w:marRight w:val="0"/>
      <w:marTop w:val="0"/>
      <w:marBottom w:val="0"/>
      <w:divBdr>
        <w:top w:val="none" w:sz="0" w:space="0" w:color="auto"/>
        <w:left w:val="none" w:sz="0" w:space="0" w:color="auto"/>
        <w:bottom w:val="none" w:sz="0" w:space="0" w:color="auto"/>
        <w:right w:val="none" w:sz="0" w:space="0" w:color="auto"/>
      </w:divBdr>
    </w:div>
    <w:div w:id="1197235901">
      <w:bodyDiv w:val="1"/>
      <w:marLeft w:val="0"/>
      <w:marRight w:val="0"/>
      <w:marTop w:val="0"/>
      <w:marBottom w:val="0"/>
      <w:divBdr>
        <w:top w:val="none" w:sz="0" w:space="0" w:color="auto"/>
        <w:left w:val="none" w:sz="0" w:space="0" w:color="auto"/>
        <w:bottom w:val="none" w:sz="0" w:space="0" w:color="auto"/>
        <w:right w:val="none" w:sz="0" w:space="0" w:color="auto"/>
      </w:divBdr>
    </w:div>
    <w:div w:id="1200826223">
      <w:bodyDiv w:val="1"/>
      <w:marLeft w:val="0"/>
      <w:marRight w:val="0"/>
      <w:marTop w:val="0"/>
      <w:marBottom w:val="0"/>
      <w:divBdr>
        <w:top w:val="none" w:sz="0" w:space="0" w:color="auto"/>
        <w:left w:val="none" w:sz="0" w:space="0" w:color="auto"/>
        <w:bottom w:val="none" w:sz="0" w:space="0" w:color="auto"/>
        <w:right w:val="none" w:sz="0" w:space="0" w:color="auto"/>
      </w:divBdr>
    </w:div>
    <w:div w:id="1225143499">
      <w:bodyDiv w:val="1"/>
      <w:marLeft w:val="0"/>
      <w:marRight w:val="0"/>
      <w:marTop w:val="0"/>
      <w:marBottom w:val="0"/>
      <w:divBdr>
        <w:top w:val="none" w:sz="0" w:space="0" w:color="auto"/>
        <w:left w:val="none" w:sz="0" w:space="0" w:color="auto"/>
        <w:bottom w:val="none" w:sz="0" w:space="0" w:color="auto"/>
        <w:right w:val="none" w:sz="0" w:space="0" w:color="auto"/>
      </w:divBdr>
    </w:div>
    <w:div w:id="1231840969">
      <w:bodyDiv w:val="1"/>
      <w:marLeft w:val="0"/>
      <w:marRight w:val="0"/>
      <w:marTop w:val="0"/>
      <w:marBottom w:val="0"/>
      <w:divBdr>
        <w:top w:val="none" w:sz="0" w:space="0" w:color="auto"/>
        <w:left w:val="none" w:sz="0" w:space="0" w:color="auto"/>
        <w:bottom w:val="none" w:sz="0" w:space="0" w:color="auto"/>
        <w:right w:val="none" w:sz="0" w:space="0" w:color="auto"/>
      </w:divBdr>
      <w:divsChild>
        <w:div w:id="486634546">
          <w:marLeft w:val="547"/>
          <w:marRight w:val="0"/>
          <w:marTop w:val="0"/>
          <w:marBottom w:val="0"/>
          <w:divBdr>
            <w:top w:val="none" w:sz="0" w:space="0" w:color="auto"/>
            <w:left w:val="none" w:sz="0" w:space="0" w:color="auto"/>
            <w:bottom w:val="none" w:sz="0" w:space="0" w:color="auto"/>
            <w:right w:val="none" w:sz="0" w:space="0" w:color="auto"/>
          </w:divBdr>
        </w:div>
      </w:divsChild>
    </w:div>
    <w:div w:id="1237516958">
      <w:bodyDiv w:val="1"/>
      <w:marLeft w:val="0"/>
      <w:marRight w:val="0"/>
      <w:marTop w:val="0"/>
      <w:marBottom w:val="0"/>
      <w:divBdr>
        <w:top w:val="none" w:sz="0" w:space="0" w:color="auto"/>
        <w:left w:val="none" w:sz="0" w:space="0" w:color="auto"/>
        <w:bottom w:val="none" w:sz="0" w:space="0" w:color="auto"/>
        <w:right w:val="none" w:sz="0" w:space="0" w:color="auto"/>
      </w:divBdr>
    </w:div>
    <w:div w:id="1238438012">
      <w:bodyDiv w:val="1"/>
      <w:marLeft w:val="0"/>
      <w:marRight w:val="0"/>
      <w:marTop w:val="0"/>
      <w:marBottom w:val="0"/>
      <w:divBdr>
        <w:top w:val="none" w:sz="0" w:space="0" w:color="auto"/>
        <w:left w:val="none" w:sz="0" w:space="0" w:color="auto"/>
        <w:bottom w:val="none" w:sz="0" w:space="0" w:color="auto"/>
        <w:right w:val="none" w:sz="0" w:space="0" w:color="auto"/>
      </w:divBdr>
      <w:divsChild>
        <w:div w:id="1803421832">
          <w:marLeft w:val="547"/>
          <w:marRight w:val="0"/>
          <w:marTop w:val="0"/>
          <w:marBottom w:val="0"/>
          <w:divBdr>
            <w:top w:val="none" w:sz="0" w:space="0" w:color="auto"/>
            <w:left w:val="none" w:sz="0" w:space="0" w:color="auto"/>
            <w:bottom w:val="none" w:sz="0" w:space="0" w:color="auto"/>
            <w:right w:val="none" w:sz="0" w:space="0" w:color="auto"/>
          </w:divBdr>
        </w:div>
      </w:divsChild>
    </w:div>
    <w:div w:id="1253080409">
      <w:bodyDiv w:val="1"/>
      <w:marLeft w:val="0"/>
      <w:marRight w:val="0"/>
      <w:marTop w:val="0"/>
      <w:marBottom w:val="0"/>
      <w:divBdr>
        <w:top w:val="none" w:sz="0" w:space="0" w:color="auto"/>
        <w:left w:val="none" w:sz="0" w:space="0" w:color="auto"/>
        <w:bottom w:val="none" w:sz="0" w:space="0" w:color="auto"/>
        <w:right w:val="none" w:sz="0" w:space="0" w:color="auto"/>
      </w:divBdr>
    </w:div>
    <w:div w:id="1255475606">
      <w:bodyDiv w:val="1"/>
      <w:marLeft w:val="0"/>
      <w:marRight w:val="0"/>
      <w:marTop w:val="0"/>
      <w:marBottom w:val="0"/>
      <w:divBdr>
        <w:top w:val="none" w:sz="0" w:space="0" w:color="auto"/>
        <w:left w:val="none" w:sz="0" w:space="0" w:color="auto"/>
        <w:bottom w:val="none" w:sz="0" w:space="0" w:color="auto"/>
        <w:right w:val="none" w:sz="0" w:space="0" w:color="auto"/>
      </w:divBdr>
    </w:div>
    <w:div w:id="1255742380">
      <w:bodyDiv w:val="1"/>
      <w:marLeft w:val="0"/>
      <w:marRight w:val="0"/>
      <w:marTop w:val="0"/>
      <w:marBottom w:val="0"/>
      <w:divBdr>
        <w:top w:val="none" w:sz="0" w:space="0" w:color="auto"/>
        <w:left w:val="none" w:sz="0" w:space="0" w:color="auto"/>
        <w:bottom w:val="none" w:sz="0" w:space="0" w:color="auto"/>
        <w:right w:val="none" w:sz="0" w:space="0" w:color="auto"/>
      </w:divBdr>
    </w:div>
    <w:div w:id="1256474781">
      <w:bodyDiv w:val="1"/>
      <w:marLeft w:val="0"/>
      <w:marRight w:val="0"/>
      <w:marTop w:val="0"/>
      <w:marBottom w:val="0"/>
      <w:divBdr>
        <w:top w:val="none" w:sz="0" w:space="0" w:color="auto"/>
        <w:left w:val="none" w:sz="0" w:space="0" w:color="auto"/>
        <w:bottom w:val="none" w:sz="0" w:space="0" w:color="auto"/>
        <w:right w:val="none" w:sz="0" w:space="0" w:color="auto"/>
      </w:divBdr>
    </w:div>
    <w:div w:id="1260412890">
      <w:bodyDiv w:val="1"/>
      <w:marLeft w:val="0"/>
      <w:marRight w:val="0"/>
      <w:marTop w:val="0"/>
      <w:marBottom w:val="0"/>
      <w:divBdr>
        <w:top w:val="none" w:sz="0" w:space="0" w:color="auto"/>
        <w:left w:val="none" w:sz="0" w:space="0" w:color="auto"/>
        <w:bottom w:val="none" w:sz="0" w:space="0" w:color="auto"/>
        <w:right w:val="none" w:sz="0" w:space="0" w:color="auto"/>
      </w:divBdr>
    </w:div>
    <w:div w:id="1295060157">
      <w:bodyDiv w:val="1"/>
      <w:marLeft w:val="0"/>
      <w:marRight w:val="0"/>
      <w:marTop w:val="0"/>
      <w:marBottom w:val="0"/>
      <w:divBdr>
        <w:top w:val="none" w:sz="0" w:space="0" w:color="auto"/>
        <w:left w:val="none" w:sz="0" w:space="0" w:color="auto"/>
        <w:bottom w:val="none" w:sz="0" w:space="0" w:color="auto"/>
        <w:right w:val="none" w:sz="0" w:space="0" w:color="auto"/>
      </w:divBdr>
    </w:div>
    <w:div w:id="1302151769">
      <w:bodyDiv w:val="1"/>
      <w:marLeft w:val="0"/>
      <w:marRight w:val="0"/>
      <w:marTop w:val="0"/>
      <w:marBottom w:val="0"/>
      <w:divBdr>
        <w:top w:val="none" w:sz="0" w:space="0" w:color="auto"/>
        <w:left w:val="none" w:sz="0" w:space="0" w:color="auto"/>
        <w:bottom w:val="none" w:sz="0" w:space="0" w:color="auto"/>
        <w:right w:val="none" w:sz="0" w:space="0" w:color="auto"/>
      </w:divBdr>
    </w:div>
    <w:div w:id="1303541948">
      <w:bodyDiv w:val="1"/>
      <w:marLeft w:val="0"/>
      <w:marRight w:val="0"/>
      <w:marTop w:val="0"/>
      <w:marBottom w:val="0"/>
      <w:divBdr>
        <w:top w:val="none" w:sz="0" w:space="0" w:color="auto"/>
        <w:left w:val="none" w:sz="0" w:space="0" w:color="auto"/>
        <w:bottom w:val="none" w:sz="0" w:space="0" w:color="auto"/>
        <w:right w:val="none" w:sz="0" w:space="0" w:color="auto"/>
      </w:divBdr>
    </w:div>
    <w:div w:id="1310093616">
      <w:bodyDiv w:val="1"/>
      <w:marLeft w:val="0"/>
      <w:marRight w:val="0"/>
      <w:marTop w:val="0"/>
      <w:marBottom w:val="0"/>
      <w:divBdr>
        <w:top w:val="none" w:sz="0" w:space="0" w:color="auto"/>
        <w:left w:val="none" w:sz="0" w:space="0" w:color="auto"/>
        <w:bottom w:val="none" w:sz="0" w:space="0" w:color="auto"/>
        <w:right w:val="none" w:sz="0" w:space="0" w:color="auto"/>
      </w:divBdr>
    </w:div>
    <w:div w:id="1312716474">
      <w:bodyDiv w:val="1"/>
      <w:marLeft w:val="0"/>
      <w:marRight w:val="0"/>
      <w:marTop w:val="0"/>
      <w:marBottom w:val="0"/>
      <w:divBdr>
        <w:top w:val="none" w:sz="0" w:space="0" w:color="auto"/>
        <w:left w:val="none" w:sz="0" w:space="0" w:color="auto"/>
        <w:bottom w:val="none" w:sz="0" w:space="0" w:color="auto"/>
        <w:right w:val="none" w:sz="0" w:space="0" w:color="auto"/>
      </w:divBdr>
    </w:div>
    <w:div w:id="1332294093">
      <w:bodyDiv w:val="1"/>
      <w:marLeft w:val="0"/>
      <w:marRight w:val="0"/>
      <w:marTop w:val="0"/>
      <w:marBottom w:val="0"/>
      <w:divBdr>
        <w:top w:val="none" w:sz="0" w:space="0" w:color="auto"/>
        <w:left w:val="none" w:sz="0" w:space="0" w:color="auto"/>
        <w:bottom w:val="none" w:sz="0" w:space="0" w:color="auto"/>
        <w:right w:val="none" w:sz="0" w:space="0" w:color="auto"/>
      </w:divBdr>
    </w:div>
    <w:div w:id="1339111452">
      <w:bodyDiv w:val="1"/>
      <w:marLeft w:val="0"/>
      <w:marRight w:val="0"/>
      <w:marTop w:val="0"/>
      <w:marBottom w:val="0"/>
      <w:divBdr>
        <w:top w:val="none" w:sz="0" w:space="0" w:color="auto"/>
        <w:left w:val="none" w:sz="0" w:space="0" w:color="auto"/>
        <w:bottom w:val="none" w:sz="0" w:space="0" w:color="auto"/>
        <w:right w:val="none" w:sz="0" w:space="0" w:color="auto"/>
      </w:divBdr>
    </w:div>
    <w:div w:id="1348289795">
      <w:bodyDiv w:val="1"/>
      <w:marLeft w:val="0"/>
      <w:marRight w:val="0"/>
      <w:marTop w:val="0"/>
      <w:marBottom w:val="0"/>
      <w:divBdr>
        <w:top w:val="none" w:sz="0" w:space="0" w:color="auto"/>
        <w:left w:val="none" w:sz="0" w:space="0" w:color="auto"/>
        <w:bottom w:val="none" w:sz="0" w:space="0" w:color="auto"/>
        <w:right w:val="none" w:sz="0" w:space="0" w:color="auto"/>
      </w:divBdr>
      <w:divsChild>
        <w:div w:id="1453477238">
          <w:marLeft w:val="0"/>
          <w:marRight w:val="0"/>
          <w:marTop w:val="0"/>
          <w:marBottom w:val="0"/>
          <w:divBdr>
            <w:top w:val="none" w:sz="0" w:space="0" w:color="auto"/>
            <w:left w:val="none" w:sz="0" w:space="0" w:color="auto"/>
            <w:bottom w:val="none" w:sz="0" w:space="0" w:color="auto"/>
            <w:right w:val="none" w:sz="0" w:space="0" w:color="auto"/>
          </w:divBdr>
          <w:divsChild>
            <w:div w:id="13556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83993">
      <w:bodyDiv w:val="1"/>
      <w:marLeft w:val="0"/>
      <w:marRight w:val="0"/>
      <w:marTop w:val="0"/>
      <w:marBottom w:val="0"/>
      <w:divBdr>
        <w:top w:val="none" w:sz="0" w:space="0" w:color="auto"/>
        <w:left w:val="none" w:sz="0" w:space="0" w:color="auto"/>
        <w:bottom w:val="none" w:sz="0" w:space="0" w:color="auto"/>
        <w:right w:val="none" w:sz="0" w:space="0" w:color="auto"/>
      </w:divBdr>
    </w:div>
    <w:div w:id="1383290672">
      <w:bodyDiv w:val="1"/>
      <w:marLeft w:val="0"/>
      <w:marRight w:val="0"/>
      <w:marTop w:val="0"/>
      <w:marBottom w:val="0"/>
      <w:divBdr>
        <w:top w:val="none" w:sz="0" w:space="0" w:color="auto"/>
        <w:left w:val="none" w:sz="0" w:space="0" w:color="auto"/>
        <w:bottom w:val="none" w:sz="0" w:space="0" w:color="auto"/>
        <w:right w:val="none" w:sz="0" w:space="0" w:color="auto"/>
      </w:divBdr>
      <w:divsChild>
        <w:div w:id="1030297367">
          <w:marLeft w:val="0"/>
          <w:marRight w:val="0"/>
          <w:marTop w:val="0"/>
          <w:marBottom w:val="0"/>
          <w:divBdr>
            <w:top w:val="none" w:sz="0" w:space="0" w:color="auto"/>
            <w:left w:val="none" w:sz="0" w:space="0" w:color="auto"/>
            <w:bottom w:val="none" w:sz="0" w:space="0" w:color="auto"/>
            <w:right w:val="none" w:sz="0" w:space="0" w:color="auto"/>
          </w:divBdr>
          <w:divsChild>
            <w:div w:id="1952783627">
              <w:marLeft w:val="0"/>
              <w:marRight w:val="0"/>
              <w:marTop w:val="0"/>
              <w:marBottom w:val="0"/>
              <w:divBdr>
                <w:top w:val="none" w:sz="0" w:space="0" w:color="auto"/>
                <w:left w:val="none" w:sz="0" w:space="0" w:color="auto"/>
                <w:bottom w:val="none" w:sz="0" w:space="0" w:color="auto"/>
                <w:right w:val="none" w:sz="0" w:space="0" w:color="auto"/>
              </w:divBdr>
              <w:divsChild>
                <w:div w:id="1007445529">
                  <w:marLeft w:val="0"/>
                  <w:marRight w:val="0"/>
                  <w:marTop w:val="0"/>
                  <w:marBottom w:val="0"/>
                  <w:divBdr>
                    <w:top w:val="none" w:sz="0" w:space="0" w:color="auto"/>
                    <w:left w:val="none" w:sz="0" w:space="0" w:color="auto"/>
                    <w:bottom w:val="none" w:sz="0" w:space="0" w:color="auto"/>
                    <w:right w:val="none" w:sz="0" w:space="0" w:color="auto"/>
                  </w:divBdr>
                  <w:divsChild>
                    <w:div w:id="218634073">
                      <w:marLeft w:val="0"/>
                      <w:marRight w:val="0"/>
                      <w:marTop w:val="0"/>
                      <w:marBottom w:val="0"/>
                      <w:divBdr>
                        <w:top w:val="none" w:sz="0" w:space="0" w:color="auto"/>
                        <w:left w:val="none" w:sz="0" w:space="0" w:color="auto"/>
                        <w:bottom w:val="none" w:sz="0" w:space="0" w:color="auto"/>
                        <w:right w:val="none" w:sz="0" w:space="0" w:color="auto"/>
                      </w:divBdr>
                      <w:divsChild>
                        <w:div w:id="423915628">
                          <w:marLeft w:val="0"/>
                          <w:marRight w:val="0"/>
                          <w:marTop w:val="0"/>
                          <w:marBottom w:val="0"/>
                          <w:divBdr>
                            <w:top w:val="none" w:sz="0" w:space="0" w:color="auto"/>
                            <w:left w:val="none" w:sz="0" w:space="0" w:color="auto"/>
                            <w:bottom w:val="none" w:sz="0" w:space="0" w:color="auto"/>
                            <w:right w:val="none" w:sz="0" w:space="0" w:color="auto"/>
                          </w:divBdr>
                          <w:divsChild>
                            <w:div w:id="4497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46061">
      <w:bodyDiv w:val="1"/>
      <w:marLeft w:val="0"/>
      <w:marRight w:val="0"/>
      <w:marTop w:val="0"/>
      <w:marBottom w:val="0"/>
      <w:divBdr>
        <w:top w:val="none" w:sz="0" w:space="0" w:color="auto"/>
        <w:left w:val="none" w:sz="0" w:space="0" w:color="auto"/>
        <w:bottom w:val="none" w:sz="0" w:space="0" w:color="auto"/>
        <w:right w:val="none" w:sz="0" w:space="0" w:color="auto"/>
      </w:divBdr>
    </w:div>
    <w:div w:id="1390768101">
      <w:bodyDiv w:val="1"/>
      <w:marLeft w:val="0"/>
      <w:marRight w:val="0"/>
      <w:marTop w:val="0"/>
      <w:marBottom w:val="0"/>
      <w:divBdr>
        <w:top w:val="none" w:sz="0" w:space="0" w:color="auto"/>
        <w:left w:val="none" w:sz="0" w:space="0" w:color="auto"/>
        <w:bottom w:val="none" w:sz="0" w:space="0" w:color="auto"/>
        <w:right w:val="none" w:sz="0" w:space="0" w:color="auto"/>
      </w:divBdr>
      <w:divsChild>
        <w:div w:id="552888479">
          <w:marLeft w:val="0"/>
          <w:marRight w:val="0"/>
          <w:marTop w:val="0"/>
          <w:marBottom w:val="0"/>
          <w:divBdr>
            <w:top w:val="none" w:sz="0" w:space="0" w:color="auto"/>
            <w:left w:val="none" w:sz="0" w:space="0" w:color="auto"/>
            <w:bottom w:val="none" w:sz="0" w:space="0" w:color="auto"/>
            <w:right w:val="none" w:sz="0" w:space="0" w:color="auto"/>
          </w:divBdr>
          <w:divsChild>
            <w:div w:id="1950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7004">
      <w:bodyDiv w:val="1"/>
      <w:marLeft w:val="0"/>
      <w:marRight w:val="0"/>
      <w:marTop w:val="0"/>
      <w:marBottom w:val="0"/>
      <w:divBdr>
        <w:top w:val="none" w:sz="0" w:space="0" w:color="auto"/>
        <w:left w:val="none" w:sz="0" w:space="0" w:color="auto"/>
        <w:bottom w:val="none" w:sz="0" w:space="0" w:color="auto"/>
        <w:right w:val="none" w:sz="0" w:space="0" w:color="auto"/>
      </w:divBdr>
    </w:div>
    <w:div w:id="1422292887">
      <w:bodyDiv w:val="1"/>
      <w:marLeft w:val="0"/>
      <w:marRight w:val="0"/>
      <w:marTop w:val="0"/>
      <w:marBottom w:val="0"/>
      <w:divBdr>
        <w:top w:val="none" w:sz="0" w:space="0" w:color="auto"/>
        <w:left w:val="none" w:sz="0" w:space="0" w:color="auto"/>
        <w:bottom w:val="none" w:sz="0" w:space="0" w:color="auto"/>
        <w:right w:val="none" w:sz="0" w:space="0" w:color="auto"/>
      </w:divBdr>
    </w:div>
    <w:div w:id="1425540493">
      <w:bodyDiv w:val="1"/>
      <w:marLeft w:val="0"/>
      <w:marRight w:val="0"/>
      <w:marTop w:val="0"/>
      <w:marBottom w:val="0"/>
      <w:divBdr>
        <w:top w:val="none" w:sz="0" w:space="0" w:color="auto"/>
        <w:left w:val="none" w:sz="0" w:space="0" w:color="auto"/>
        <w:bottom w:val="none" w:sz="0" w:space="0" w:color="auto"/>
        <w:right w:val="none" w:sz="0" w:space="0" w:color="auto"/>
      </w:divBdr>
      <w:divsChild>
        <w:div w:id="60324818">
          <w:marLeft w:val="547"/>
          <w:marRight w:val="0"/>
          <w:marTop w:val="0"/>
          <w:marBottom w:val="0"/>
          <w:divBdr>
            <w:top w:val="none" w:sz="0" w:space="0" w:color="auto"/>
            <w:left w:val="none" w:sz="0" w:space="0" w:color="auto"/>
            <w:bottom w:val="none" w:sz="0" w:space="0" w:color="auto"/>
            <w:right w:val="none" w:sz="0" w:space="0" w:color="auto"/>
          </w:divBdr>
        </w:div>
      </w:divsChild>
    </w:div>
    <w:div w:id="1436515650">
      <w:bodyDiv w:val="1"/>
      <w:marLeft w:val="0"/>
      <w:marRight w:val="0"/>
      <w:marTop w:val="0"/>
      <w:marBottom w:val="0"/>
      <w:divBdr>
        <w:top w:val="none" w:sz="0" w:space="0" w:color="auto"/>
        <w:left w:val="none" w:sz="0" w:space="0" w:color="auto"/>
        <w:bottom w:val="none" w:sz="0" w:space="0" w:color="auto"/>
        <w:right w:val="none" w:sz="0" w:space="0" w:color="auto"/>
      </w:divBdr>
    </w:div>
    <w:div w:id="1438214962">
      <w:bodyDiv w:val="1"/>
      <w:marLeft w:val="0"/>
      <w:marRight w:val="0"/>
      <w:marTop w:val="0"/>
      <w:marBottom w:val="0"/>
      <w:divBdr>
        <w:top w:val="none" w:sz="0" w:space="0" w:color="auto"/>
        <w:left w:val="none" w:sz="0" w:space="0" w:color="auto"/>
        <w:bottom w:val="none" w:sz="0" w:space="0" w:color="auto"/>
        <w:right w:val="none" w:sz="0" w:space="0" w:color="auto"/>
      </w:divBdr>
    </w:div>
    <w:div w:id="1460562424">
      <w:bodyDiv w:val="1"/>
      <w:marLeft w:val="0"/>
      <w:marRight w:val="0"/>
      <w:marTop w:val="0"/>
      <w:marBottom w:val="0"/>
      <w:divBdr>
        <w:top w:val="none" w:sz="0" w:space="0" w:color="auto"/>
        <w:left w:val="none" w:sz="0" w:space="0" w:color="auto"/>
        <w:bottom w:val="none" w:sz="0" w:space="0" w:color="auto"/>
        <w:right w:val="none" w:sz="0" w:space="0" w:color="auto"/>
      </w:divBdr>
    </w:div>
    <w:div w:id="1500388777">
      <w:bodyDiv w:val="1"/>
      <w:marLeft w:val="0"/>
      <w:marRight w:val="0"/>
      <w:marTop w:val="0"/>
      <w:marBottom w:val="0"/>
      <w:divBdr>
        <w:top w:val="none" w:sz="0" w:space="0" w:color="auto"/>
        <w:left w:val="none" w:sz="0" w:space="0" w:color="auto"/>
        <w:bottom w:val="none" w:sz="0" w:space="0" w:color="auto"/>
        <w:right w:val="none" w:sz="0" w:space="0" w:color="auto"/>
      </w:divBdr>
    </w:div>
    <w:div w:id="1508248369">
      <w:bodyDiv w:val="1"/>
      <w:marLeft w:val="0"/>
      <w:marRight w:val="0"/>
      <w:marTop w:val="0"/>
      <w:marBottom w:val="0"/>
      <w:divBdr>
        <w:top w:val="none" w:sz="0" w:space="0" w:color="auto"/>
        <w:left w:val="none" w:sz="0" w:space="0" w:color="auto"/>
        <w:bottom w:val="none" w:sz="0" w:space="0" w:color="auto"/>
        <w:right w:val="none" w:sz="0" w:space="0" w:color="auto"/>
      </w:divBdr>
    </w:div>
    <w:div w:id="1512183055">
      <w:bodyDiv w:val="1"/>
      <w:marLeft w:val="0"/>
      <w:marRight w:val="0"/>
      <w:marTop w:val="0"/>
      <w:marBottom w:val="0"/>
      <w:divBdr>
        <w:top w:val="none" w:sz="0" w:space="0" w:color="auto"/>
        <w:left w:val="none" w:sz="0" w:space="0" w:color="auto"/>
        <w:bottom w:val="none" w:sz="0" w:space="0" w:color="auto"/>
        <w:right w:val="none" w:sz="0" w:space="0" w:color="auto"/>
      </w:divBdr>
    </w:div>
    <w:div w:id="1520200071">
      <w:bodyDiv w:val="1"/>
      <w:marLeft w:val="0"/>
      <w:marRight w:val="0"/>
      <w:marTop w:val="0"/>
      <w:marBottom w:val="0"/>
      <w:divBdr>
        <w:top w:val="none" w:sz="0" w:space="0" w:color="auto"/>
        <w:left w:val="none" w:sz="0" w:space="0" w:color="auto"/>
        <w:bottom w:val="none" w:sz="0" w:space="0" w:color="auto"/>
        <w:right w:val="none" w:sz="0" w:space="0" w:color="auto"/>
      </w:divBdr>
    </w:div>
    <w:div w:id="1523283505">
      <w:bodyDiv w:val="1"/>
      <w:marLeft w:val="0"/>
      <w:marRight w:val="0"/>
      <w:marTop w:val="0"/>
      <w:marBottom w:val="0"/>
      <w:divBdr>
        <w:top w:val="none" w:sz="0" w:space="0" w:color="auto"/>
        <w:left w:val="none" w:sz="0" w:space="0" w:color="auto"/>
        <w:bottom w:val="none" w:sz="0" w:space="0" w:color="auto"/>
        <w:right w:val="none" w:sz="0" w:space="0" w:color="auto"/>
      </w:divBdr>
    </w:div>
    <w:div w:id="1543135308">
      <w:bodyDiv w:val="1"/>
      <w:marLeft w:val="0"/>
      <w:marRight w:val="0"/>
      <w:marTop w:val="0"/>
      <w:marBottom w:val="0"/>
      <w:divBdr>
        <w:top w:val="none" w:sz="0" w:space="0" w:color="auto"/>
        <w:left w:val="none" w:sz="0" w:space="0" w:color="auto"/>
        <w:bottom w:val="none" w:sz="0" w:space="0" w:color="auto"/>
        <w:right w:val="none" w:sz="0" w:space="0" w:color="auto"/>
      </w:divBdr>
    </w:div>
    <w:div w:id="1569878349">
      <w:bodyDiv w:val="1"/>
      <w:marLeft w:val="0"/>
      <w:marRight w:val="0"/>
      <w:marTop w:val="0"/>
      <w:marBottom w:val="0"/>
      <w:divBdr>
        <w:top w:val="none" w:sz="0" w:space="0" w:color="auto"/>
        <w:left w:val="none" w:sz="0" w:space="0" w:color="auto"/>
        <w:bottom w:val="none" w:sz="0" w:space="0" w:color="auto"/>
        <w:right w:val="none" w:sz="0" w:space="0" w:color="auto"/>
      </w:divBdr>
    </w:div>
    <w:div w:id="1577203470">
      <w:bodyDiv w:val="1"/>
      <w:marLeft w:val="0"/>
      <w:marRight w:val="0"/>
      <w:marTop w:val="0"/>
      <w:marBottom w:val="0"/>
      <w:divBdr>
        <w:top w:val="none" w:sz="0" w:space="0" w:color="auto"/>
        <w:left w:val="none" w:sz="0" w:space="0" w:color="auto"/>
        <w:bottom w:val="none" w:sz="0" w:space="0" w:color="auto"/>
        <w:right w:val="none" w:sz="0" w:space="0" w:color="auto"/>
      </w:divBdr>
    </w:div>
    <w:div w:id="1610046073">
      <w:bodyDiv w:val="1"/>
      <w:marLeft w:val="0"/>
      <w:marRight w:val="0"/>
      <w:marTop w:val="0"/>
      <w:marBottom w:val="0"/>
      <w:divBdr>
        <w:top w:val="none" w:sz="0" w:space="0" w:color="auto"/>
        <w:left w:val="none" w:sz="0" w:space="0" w:color="auto"/>
        <w:bottom w:val="none" w:sz="0" w:space="0" w:color="auto"/>
        <w:right w:val="none" w:sz="0" w:space="0" w:color="auto"/>
      </w:divBdr>
    </w:div>
    <w:div w:id="1610775953">
      <w:bodyDiv w:val="1"/>
      <w:marLeft w:val="0"/>
      <w:marRight w:val="0"/>
      <w:marTop w:val="0"/>
      <w:marBottom w:val="0"/>
      <w:divBdr>
        <w:top w:val="none" w:sz="0" w:space="0" w:color="auto"/>
        <w:left w:val="none" w:sz="0" w:space="0" w:color="auto"/>
        <w:bottom w:val="none" w:sz="0" w:space="0" w:color="auto"/>
        <w:right w:val="none" w:sz="0" w:space="0" w:color="auto"/>
      </w:divBdr>
    </w:div>
    <w:div w:id="1648977147">
      <w:bodyDiv w:val="1"/>
      <w:marLeft w:val="0"/>
      <w:marRight w:val="0"/>
      <w:marTop w:val="0"/>
      <w:marBottom w:val="0"/>
      <w:divBdr>
        <w:top w:val="none" w:sz="0" w:space="0" w:color="auto"/>
        <w:left w:val="none" w:sz="0" w:space="0" w:color="auto"/>
        <w:bottom w:val="none" w:sz="0" w:space="0" w:color="auto"/>
        <w:right w:val="none" w:sz="0" w:space="0" w:color="auto"/>
      </w:divBdr>
    </w:div>
    <w:div w:id="1673217206">
      <w:bodyDiv w:val="1"/>
      <w:marLeft w:val="0"/>
      <w:marRight w:val="0"/>
      <w:marTop w:val="0"/>
      <w:marBottom w:val="0"/>
      <w:divBdr>
        <w:top w:val="none" w:sz="0" w:space="0" w:color="auto"/>
        <w:left w:val="none" w:sz="0" w:space="0" w:color="auto"/>
        <w:bottom w:val="none" w:sz="0" w:space="0" w:color="auto"/>
        <w:right w:val="none" w:sz="0" w:space="0" w:color="auto"/>
      </w:divBdr>
    </w:div>
    <w:div w:id="1673529902">
      <w:bodyDiv w:val="1"/>
      <w:marLeft w:val="0"/>
      <w:marRight w:val="0"/>
      <w:marTop w:val="0"/>
      <w:marBottom w:val="0"/>
      <w:divBdr>
        <w:top w:val="none" w:sz="0" w:space="0" w:color="auto"/>
        <w:left w:val="none" w:sz="0" w:space="0" w:color="auto"/>
        <w:bottom w:val="none" w:sz="0" w:space="0" w:color="auto"/>
        <w:right w:val="none" w:sz="0" w:space="0" w:color="auto"/>
      </w:divBdr>
    </w:div>
    <w:div w:id="1702628506">
      <w:bodyDiv w:val="1"/>
      <w:marLeft w:val="0"/>
      <w:marRight w:val="0"/>
      <w:marTop w:val="0"/>
      <w:marBottom w:val="0"/>
      <w:divBdr>
        <w:top w:val="none" w:sz="0" w:space="0" w:color="auto"/>
        <w:left w:val="none" w:sz="0" w:space="0" w:color="auto"/>
        <w:bottom w:val="none" w:sz="0" w:space="0" w:color="auto"/>
        <w:right w:val="none" w:sz="0" w:space="0" w:color="auto"/>
      </w:divBdr>
    </w:div>
    <w:div w:id="1707368255">
      <w:bodyDiv w:val="1"/>
      <w:marLeft w:val="0"/>
      <w:marRight w:val="0"/>
      <w:marTop w:val="0"/>
      <w:marBottom w:val="0"/>
      <w:divBdr>
        <w:top w:val="none" w:sz="0" w:space="0" w:color="auto"/>
        <w:left w:val="none" w:sz="0" w:space="0" w:color="auto"/>
        <w:bottom w:val="none" w:sz="0" w:space="0" w:color="auto"/>
        <w:right w:val="none" w:sz="0" w:space="0" w:color="auto"/>
      </w:divBdr>
    </w:div>
    <w:div w:id="1712340137">
      <w:bodyDiv w:val="1"/>
      <w:marLeft w:val="0"/>
      <w:marRight w:val="0"/>
      <w:marTop w:val="0"/>
      <w:marBottom w:val="0"/>
      <w:divBdr>
        <w:top w:val="none" w:sz="0" w:space="0" w:color="auto"/>
        <w:left w:val="none" w:sz="0" w:space="0" w:color="auto"/>
        <w:bottom w:val="none" w:sz="0" w:space="0" w:color="auto"/>
        <w:right w:val="none" w:sz="0" w:space="0" w:color="auto"/>
      </w:divBdr>
    </w:div>
    <w:div w:id="1761440796">
      <w:bodyDiv w:val="1"/>
      <w:marLeft w:val="0"/>
      <w:marRight w:val="0"/>
      <w:marTop w:val="0"/>
      <w:marBottom w:val="0"/>
      <w:divBdr>
        <w:top w:val="none" w:sz="0" w:space="0" w:color="auto"/>
        <w:left w:val="none" w:sz="0" w:space="0" w:color="auto"/>
        <w:bottom w:val="none" w:sz="0" w:space="0" w:color="auto"/>
        <w:right w:val="none" w:sz="0" w:space="0" w:color="auto"/>
      </w:divBdr>
    </w:div>
    <w:div w:id="1770850196">
      <w:bodyDiv w:val="1"/>
      <w:marLeft w:val="0"/>
      <w:marRight w:val="0"/>
      <w:marTop w:val="0"/>
      <w:marBottom w:val="0"/>
      <w:divBdr>
        <w:top w:val="none" w:sz="0" w:space="0" w:color="auto"/>
        <w:left w:val="none" w:sz="0" w:space="0" w:color="auto"/>
        <w:bottom w:val="none" w:sz="0" w:space="0" w:color="auto"/>
        <w:right w:val="none" w:sz="0" w:space="0" w:color="auto"/>
      </w:divBdr>
      <w:divsChild>
        <w:div w:id="908029739">
          <w:marLeft w:val="0"/>
          <w:marRight w:val="0"/>
          <w:marTop w:val="0"/>
          <w:marBottom w:val="0"/>
          <w:divBdr>
            <w:top w:val="none" w:sz="0" w:space="0" w:color="auto"/>
            <w:left w:val="none" w:sz="0" w:space="0" w:color="auto"/>
            <w:bottom w:val="none" w:sz="0" w:space="0" w:color="auto"/>
            <w:right w:val="none" w:sz="0" w:space="0" w:color="auto"/>
          </w:divBdr>
          <w:divsChild>
            <w:div w:id="1230380132">
              <w:marLeft w:val="0"/>
              <w:marRight w:val="0"/>
              <w:marTop w:val="0"/>
              <w:marBottom w:val="0"/>
              <w:divBdr>
                <w:top w:val="none" w:sz="0" w:space="0" w:color="auto"/>
                <w:left w:val="none" w:sz="0" w:space="0" w:color="auto"/>
                <w:bottom w:val="none" w:sz="0" w:space="0" w:color="auto"/>
                <w:right w:val="none" w:sz="0" w:space="0" w:color="auto"/>
              </w:divBdr>
              <w:divsChild>
                <w:div w:id="1672944904">
                  <w:marLeft w:val="0"/>
                  <w:marRight w:val="0"/>
                  <w:marTop w:val="0"/>
                  <w:marBottom w:val="0"/>
                  <w:divBdr>
                    <w:top w:val="none" w:sz="0" w:space="0" w:color="auto"/>
                    <w:left w:val="none" w:sz="0" w:space="0" w:color="auto"/>
                    <w:bottom w:val="none" w:sz="0" w:space="0" w:color="auto"/>
                    <w:right w:val="none" w:sz="0" w:space="0" w:color="auto"/>
                  </w:divBdr>
                  <w:divsChild>
                    <w:div w:id="230579342">
                      <w:marLeft w:val="0"/>
                      <w:marRight w:val="0"/>
                      <w:marTop w:val="0"/>
                      <w:marBottom w:val="0"/>
                      <w:divBdr>
                        <w:top w:val="none" w:sz="0" w:space="0" w:color="auto"/>
                        <w:left w:val="none" w:sz="0" w:space="0" w:color="auto"/>
                        <w:bottom w:val="none" w:sz="0" w:space="0" w:color="auto"/>
                        <w:right w:val="none" w:sz="0" w:space="0" w:color="auto"/>
                      </w:divBdr>
                      <w:divsChild>
                        <w:div w:id="447163332">
                          <w:marLeft w:val="0"/>
                          <w:marRight w:val="0"/>
                          <w:marTop w:val="0"/>
                          <w:marBottom w:val="0"/>
                          <w:divBdr>
                            <w:top w:val="none" w:sz="0" w:space="0" w:color="auto"/>
                            <w:left w:val="none" w:sz="0" w:space="0" w:color="auto"/>
                            <w:bottom w:val="none" w:sz="0" w:space="0" w:color="auto"/>
                            <w:right w:val="none" w:sz="0" w:space="0" w:color="auto"/>
                          </w:divBdr>
                          <w:divsChild>
                            <w:div w:id="13383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8694">
      <w:bodyDiv w:val="1"/>
      <w:marLeft w:val="0"/>
      <w:marRight w:val="0"/>
      <w:marTop w:val="0"/>
      <w:marBottom w:val="0"/>
      <w:divBdr>
        <w:top w:val="none" w:sz="0" w:space="0" w:color="auto"/>
        <w:left w:val="none" w:sz="0" w:space="0" w:color="auto"/>
        <w:bottom w:val="none" w:sz="0" w:space="0" w:color="auto"/>
        <w:right w:val="none" w:sz="0" w:space="0" w:color="auto"/>
      </w:divBdr>
    </w:div>
    <w:div w:id="1796748094">
      <w:bodyDiv w:val="1"/>
      <w:marLeft w:val="0"/>
      <w:marRight w:val="0"/>
      <w:marTop w:val="0"/>
      <w:marBottom w:val="0"/>
      <w:divBdr>
        <w:top w:val="none" w:sz="0" w:space="0" w:color="auto"/>
        <w:left w:val="none" w:sz="0" w:space="0" w:color="auto"/>
        <w:bottom w:val="none" w:sz="0" w:space="0" w:color="auto"/>
        <w:right w:val="none" w:sz="0" w:space="0" w:color="auto"/>
      </w:divBdr>
    </w:div>
    <w:div w:id="1821458696">
      <w:bodyDiv w:val="1"/>
      <w:marLeft w:val="0"/>
      <w:marRight w:val="0"/>
      <w:marTop w:val="0"/>
      <w:marBottom w:val="0"/>
      <w:divBdr>
        <w:top w:val="none" w:sz="0" w:space="0" w:color="auto"/>
        <w:left w:val="none" w:sz="0" w:space="0" w:color="auto"/>
        <w:bottom w:val="none" w:sz="0" w:space="0" w:color="auto"/>
        <w:right w:val="none" w:sz="0" w:space="0" w:color="auto"/>
      </w:divBdr>
    </w:div>
    <w:div w:id="1832214694">
      <w:bodyDiv w:val="1"/>
      <w:marLeft w:val="0"/>
      <w:marRight w:val="0"/>
      <w:marTop w:val="0"/>
      <w:marBottom w:val="0"/>
      <w:divBdr>
        <w:top w:val="none" w:sz="0" w:space="0" w:color="auto"/>
        <w:left w:val="none" w:sz="0" w:space="0" w:color="auto"/>
        <w:bottom w:val="none" w:sz="0" w:space="0" w:color="auto"/>
        <w:right w:val="none" w:sz="0" w:space="0" w:color="auto"/>
      </w:divBdr>
    </w:div>
    <w:div w:id="1832676322">
      <w:bodyDiv w:val="1"/>
      <w:marLeft w:val="0"/>
      <w:marRight w:val="0"/>
      <w:marTop w:val="0"/>
      <w:marBottom w:val="0"/>
      <w:divBdr>
        <w:top w:val="none" w:sz="0" w:space="0" w:color="auto"/>
        <w:left w:val="none" w:sz="0" w:space="0" w:color="auto"/>
        <w:bottom w:val="none" w:sz="0" w:space="0" w:color="auto"/>
        <w:right w:val="none" w:sz="0" w:space="0" w:color="auto"/>
      </w:divBdr>
    </w:div>
    <w:div w:id="1841038626">
      <w:bodyDiv w:val="1"/>
      <w:marLeft w:val="0"/>
      <w:marRight w:val="0"/>
      <w:marTop w:val="0"/>
      <w:marBottom w:val="0"/>
      <w:divBdr>
        <w:top w:val="none" w:sz="0" w:space="0" w:color="auto"/>
        <w:left w:val="none" w:sz="0" w:space="0" w:color="auto"/>
        <w:bottom w:val="none" w:sz="0" w:space="0" w:color="auto"/>
        <w:right w:val="none" w:sz="0" w:space="0" w:color="auto"/>
      </w:divBdr>
    </w:div>
    <w:div w:id="1842621710">
      <w:bodyDiv w:val="1"/>
      <w:marLeft w:val="0"/>
      <w:marRight w:val="0"/>
      <w:marTop w:val="0"/>
      <w:marBottom w:val="0"/>
      <w:divBdr>
        <w:top w:val="none" w:sz="0" w:space="0" w:color="auto"/>
        <w:left w:val="none" w:sz="0" w:space="0" w:color="auto"/>
        <w:bottom w:val="none" w:sz="0" w:space="0" w:color="auto"/>
        <w:right w:val="none" w:sz="0" w:space="0" w:color="auto"/>
      </w:divBdr>
      <w:divsChild>
        <w:div w:id="173155804">
          <w:marLeft w:val="0"/>
          <w:marRight w:val="0"/>
          <w:marTop w:val="0"/>
          <w:marBottom w:val="0"/>
          <w:divBdr>
            <w:top w:val="none" w:sz="0" w:space="0" w:color="auto"/>
            <w:left w:val="none" w:sz="0" w:space="0" w:color="auto"/>
            <w:bottom w:val="none" w:sz="0" w:space="0" w:color="auto"/>
            <w:right w:val="none" w:sz="0" w:space="0" w:color="auto"/>
          </w:divBdr>
          <w:divsChild>
            <w:div w:id="1724597093">
              <w:marLeft w:val="0"/>
              <w:marRight w:val="0"/>
              <w:marTop w:val="0"/>
              <w:marBottom w:val="0"/>
              <w:divBdr>
                <w:top w:val="none" w:sz="0" w:space="0" w:color="auto"/>
                <w:left w:val="none" w:sz="0" w:space="0" w:color="auto"/>
                <w:bottom w:val="none" w:sz="0" w:space="0" w:color="auto"/>
                <w:right w:val="none" w:sz="0" w:space="0" w:color="auto"/>
              </w:divBdr>
              <w:divsChild>
                <w:div w:id="2030135890">
                  <w:marLeft w:val="0"/>
                  <w:marRight w:val="0"/>
                  <w:marTop w:val="0"/>
                  <w:marBottom w:val="0"/>
                  <w:divBdr>
                    <w:top w:val="none" w:sz="0" w:space="0" w:color="auto"/>
                    <w:left w:val="none" w:sz="0" w:space="0" w:color="auto"/>
                    <w:bottom w:val="none" w:sz="0" w:space="0" w:color="auto"/>
                    <w:right w:val="none" w:sz="0" w:space="0" w:color="auto"/>
                  </w:divBdr>
                  <w:divsChild>
                    <w:div w:id="1986618975">
                      <w:marLeft w:val="0"/>
                      <w:marRight w:val="0"/>
                      <w:marTop w:val="0"/>
                      <w:marBottom w:val="0"/>
                      <w:divBdr>
                        <w:top w:val="none" w:sz="0" w:space="0" w:color="auto"/>
                        <w:left w:val="none" w:sz="0" w:space="0" w:color="auto"/>
                        <w:bottom w:val="none" w:sz="0" w:space="0" w:color="auto"/>
                        <w:right w:val="none" w:sz="0" w:space="0" w:color="auto"/>
                      </w:divBdr>
                      <w:divsChild>
                        <w:div w:id="1495531940">
                          <w:marLeft w:val="0"/>
                          <w:marRight w:val="0"/>
                          <w:marTop w:val="0"/>
                          <w:marBottom w:val="0"/>
                          <w:divBdr>
                            <w:top w:val="none" w:sz="0" w:space="0" w:color="auto"/>
                            <w:left w:val="none" w:sz="0" w:space="0" w:color="auto"/>
                            <w:bottom w:val="none" w:sz="0" w:space="0" w:color="auto"/>
                            <w:right w:val="none" w:sz="0" w:space="0" w:color="auto"/>
                          </w:divBdr>
                          <w:divsChild>
                            <w:div w:id="10182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969390">
      <w:bodyDiv w:val="1"/>
      <w:marLeft w:val="0"/>
      <w:marRight w:val="0"/>
      <w:marTop w:val="0"/>
      <w:marBottom w:val="0"/>
      <w:divBdr>
        <w:top w:val="none" w:sz="0" w:space="0" w:color="auto"/>
        <w:left w:val="none" w:sz="0" w:space="0" w:color="auto"/>
        <w:bottom w:val="none" w:sz="0" w:space="0" w:color="auto"/>
        <w:right w:val="none" w:sz="0" w:space="0" w:color="auto"/>
      </w:divBdr>
    </w:div>
    <w:div w:id="1864203464">
      <w:bodyDiv w:val="1"/>
      <w:marLeft w:val="0"/>
      <w:marRight w:val="0"/>
      <w:marTop w:val="0"/>
      <w:marBottom w:val="0"/>
      <w:divBdr>
        <w:top w:val="none" w:sz="0" w:space="0" w:color="auto"/>
        <w:left w:val="none" w:sz="0" w:space="0" w:color="auto"/>
        <w:bottom w:val="none" w:sz="0" w:space="0" w:color="auto"/>
        <w:right w:val="none" w:sz="0" w:space="0" w:color="auto"/>
      </w:divBdr>
    </w:div>
    <w:div w:id="1871187224">
      <w:bodyDiv w:val="1"/>
      <w:marLeft w:val="0"/>
      <w:marRight w:val="0"/>
      <w:marTop w:val="0"/>
      <w:marBottom w:val="0"/>
      <w:divBdr>
        <w:top w:val="none" w:sz="0" w:space="0" w:color="auto"/>
        <w:left w:val="none" w:sz="0" w:space="0" w:color="auto"/>
        <w:bottom w:val="none" w:sz="0" w:space="0" w:color="auto"/>
        <w:right w:val="none" w:sz="0" w:space="0" w:color="auto"/>
      </w:divBdr>
    </w:div>
    <w:div w:id="1887521708">
      <w:bodyDiv w:val="1"/>
      <w:marLeft w:val="0"/>
      <w:marRight w:val="0"/>
      <w:marTop w:val="0"/>
      <w:marBottom w:val="0"/>
      <w:divBdr>
        <w:top w:val="none" w:sz="0" w:space="0" w:color="auto"/>
        <w:left w:val="none" w:sz="0" w:space="0" w:color="auto"/>
        <w:bottom w:val="none" w:sz="0" w:space="0" w:color="auto"/>
        <w:right w:val="none" w:sz="0" w:space="0" w:color="auto"/>
      </w:divBdr>
    </w:div>
    <w:div w:id="1890609809">
      <w:bodyDiv w:val="1"/>
      <w:marLeft w:val="0"/>
      <w:marRight w:val="0"/>
      <w:marTop w:val="0"/>
      <w:marBottom w:val="0"/>
      <w:divBdr>
        <w:top w:val="none" w:sz="0" w:space="0" w:color="auto"/>
        <w:left w:val="none" w:sz="0" w:space="0" w:color="auto"/>
        <w:bottom w:val="none" w:sz="0" w:space="0" w:color="auto"/>
        <w:right w:val="none" w:sz="0" w:space="0" w:color="auto"/>
      </w:divBdr>
    </w:div>
    <w:div w:id="1903102092">
      <w:bodyDiv w:val="1"/>
      <w:marLeft w:val="0"/>
      <w:marRight w:val="0"/>
      <w:marTop w:val="0"/>
      <w:marBottom w:val="0"/>
      <w:divBdr>
        <w:top w:val="none" w:sz="0" w:space="0" w:color="auto"/>
        <w:left w:val="none" w:sz="0" w:space="0" w:color="auto"/>
        <w:bottom w:val="none" w:sz="0" w:space="0" w:color="auto"/>
        <w:right w:val="none" w:sz="0" w:space="0" w:color="auto"/>
      </w:divBdr>
    </w:div>
    <w:div w:id="1905599050">
      <w:bodyDiv w:val="1"/>
      <w:marLeft w:val="0"/>
      <w:marRight w:val="0"/>
      <w:marTop w:val="0"/>
      <w:marBottom w:val="0"/>
      <w:divBdr>
        <w:top w:val="none" w:sz="0" w:space="0" w:color="auto"/>
        <w:left w:val="none" w:sz="0" w:space="0" w:color="auto"/>
        <w:bottom w:val="none" w:sz="0" w:space="0" w:color="auto"/>
        <w:right w:val="none" w:sz="0" w:space="0" w:color="auto"/>
      </w:divBdr>
    </w:div>
    <w:div w:id="1921911008">
      <w:bodyDiv w:val="1"/>
      <w:marLeft w:val="0"/>
      <w:marRight w:val="0"/>
      <w:marTop w:val="0"/>
      <w:marBottom w:val="0"/>
      <w:divBdr>
        <w:top w:val="none" w:sz="0" w:space="0" w:color="auto"/>
        <w:left w:val="none" w:sz="0" w:space="0" w:color="auto"/>
        <w:bottom w:val="none" w:sz="0" w:space="0" w:color="auto"/>
        <w:right w:val="none" w:sz="0" w:space="0" w:color="auto"/>
      </w:divBdr>
    </w:div>
    <w:div w:id="1932007506">
      <w:bodyDiv w:val="1"/>
      <w:marLeft w:val="0"/>
      <w:marRight w:val="0"/>
      <w:marTop w:val="0"/>
      <w:marBottom w:val="0"/>
      <w:divBdr>
        <w:top w:val="none" w:sz="0" w:space="0" w:color="auto"/>
        <w:left w:val="none" w:sz="0" w:space="0" w:color="auto"/>
        <w:bottom w:val="none" w:sz="0" w:space="0" w:color="auto"/>
        <w:right w:val="none" w:sz="0" w:space="0" w:color="auto"/>
      </w:divBdr>
    </w:div>
    <w:div w:id="1933930329">
      <w:bodyDiv w:val="1"/>
      <w:marLeft w:val="0"/>
      <w:marRight w:val="0"/>
      <w:marTop w:val="0"/>
      <w:marBottom w:val="0"/>
      <w:divBdr>
        <w:top w:val="none" w:sz="0" w:space="0" w:color="auto"/>
        <w:left w:val="none" w:sz="0" w:space="0" w:color="auto"/>
        <w:bottom w:val="none" w:sz="0" w:space="0" w:color="auto"/>
        <w:right w:val="none" w:sz="0" w:space="0" w:color="auto"/>
      </w:divBdr>
    </w:div>
    <w:div w:id="1951861368">
      <w:bodyDiv w:val="1"/>
      <w:marLeft w:val="0"/>
      <w:marRight w:val="0"/>
      <w:marTop w:val="0"/>
      <w:marBottom w:val="0"/>
      <w:divBdr>
        <w:top w:val="none" w:sz="0" w:space="0" w:color="auto"/>
        <w:left w:val="none" w:sz="0" w:space="0" w:color="auto"/>
        <w:bottom w:val="none" w:sz="0" w:space="0" w:color="auto"/>
        <w:right w:val="none" w:sz="0" w:space="0" w:color="auto"/>
      </w:divBdr>
    </w:div>
    <w:div w:id="1977761246">
      <w:bodyDiv w:val="1"/>
      <w:marLeft w:val="0"/>
      <w:marRight w:val="0"/>
      <w:marTop w:val="0"/>
      <w:marBottom w:val="0"/>
      <w:divBdr>
        <w:top w:val="none" w:sz="0" w:space="0" w:color="auto"/>
        <w:left w:val="none" w:sz="0" w:space="0" w:color="auto"/>
        <w:bottom w:val="none" w:sz="0" w:space="0" w:color="auto"/>
        <w:right w:val="none" w:sz="0" w:space="0" w:color="auto"/>
      </w:divBdr>
    </w:div>
    <w:div w:id="2008288338">
      <w:bodyDiv w:val="1"/>
      <w:marLeft w:val="0"/>
      <w:marRight w:val="0"/>
      <w:marTop w:val="0"/>
      <w:marBottom w:val="0"/>
      <w:divBdr>
        <w:top w:val="none" w:sz="0" w:space="0" w:color="auto"/>
        <w:left w:val="none" w:sz="0" w:space="0" w:color="auto"/>
        <w:bottom w:val="none" w:sz="0" w:space="0" w:color="auto"/>
        <w:right w:val="none" w:sz="0" w:space="0" w:color="auto"/>
      </w:divBdr>
    </w:div>
    <w:div w:id="2008560202">
      <w:bodyDiv w:val="1"/>
      <w:marLeft w:val="0"/>
      <w:marRight w:val="0"/>
      <w:marTop w:val="0"/>
      <w:marBottom w:val="0"/>
      <w:divBdr>
        <w:top w:val="none" w:sz="0" w:space="0" w:color="auto"/>
        <w:left w:val="none" w:sz="0" w:space="0" w:color="auto"/>
        <w:bottom w:val="none" w:sz="0" w:space="0" w:color="auto"/>
        <w:right w:val="none" w:sz="0" w:space="0" w:color="auto"/>
      </w:divBdr>
    </w:div>
    <w:div w:id="2009016585">
      <w:bodyDiv w:val="1"/>
      <w:marLeft w:val="0"/>
      <w:marRight w:val="0"/>
      <w:marTop w:val="0"/>
      <w:marBottom w:val="0"/>
      <w:divBdr>
        <w:top w:val="none" w:sz="0" w:space="0" w:color="auto"/>
        <w:left w:val="none" w:sz="0" w:space="0" w:color="auto"/>
        <w:bottom w:val="none" w:sz="0" w:space="0" w:color="auto"/>
        <w:right w:val="none" w:sz="0" w:space="0" w:color="auto"/>
      </w:divBdr>
    </w:div>
    <w:div w:id="2014986704">
      <w:bodyDiv w:val="1"/>
      <w:marLeft w:val="0"/>
      <w:marRight w:val="0"/>
      <w:marTop w:val="0"/>
      <w:marBottom w:val="0"/>
      <w:divBdr>
        <w:top w:val="none" w:sz="0" w:space="0" w:color="auto"/>
        <w:left w:val="none" w:sz="0" w:space="0" w:color="auto"/>
        <w:bottom w:val="none" w:sz="0" w:space="0" w:color="auto"/>
        <w:right w:val="none" w:sz="0" w:space="0" w:color="auto"/>
      </w:divBdr>
    </w:div>
    <w:div w:id="2015649845">
      <w:bodyDiv w:val="1"/>
      <w:marLeft w:val="0"/>
      <w:marRight w:val="0"/>
      <w:marTop w:val="0"/>
      <w:marBottom w:val="0"/>
      <w:divBdr>
        <w:top w:val="none" w:sz="0" w:space="0" w:color="auto"/>
        <w:left w:val="none" w:sz="0" w:space="0" w:color="auto"/>
        <w:bottom w:val="none" w:sz="0" w:space="0" w:color="auto"/>
        <w:right w:val="none" w:sz="0" w:space="0" w:color="auto"/>
      </w:divBdr>
    </w:div>
    <w:div w:id="2017538297">
      <w:bodyDiv w:val="1"/>
      <w:marLeft w:val="0"/>
      <w:marRight w:val="0"/>
      <w:marTop w:val="0"/>
      <w:marBottom w:val="0"/>
      <w:divBdr>
        <w:top w:val="none" w:sz="0" w:space="0" w:color="auto"/>
        <w:left w:val="none" w:sz="0" w:space="0" w:color="auto"/>
        <w:bottom w:val="none" w:sz="0" w:space="0" w:color="auto"/>
        <w:right w:val="none" w:sz="0" w:space="0" w:color="auto"/>
      </w:divBdr>
    </w:div>
    <w:div w:id="2021274810">
      <w:bodyDiv w:val="1"/>
      <w:marLeft w:val="0"/>
      <w:marRight w:val="0"/>
      <w:marTop w:val="0"/>
      <w:marBottom w:val="0"/>
      <w:divBdr>
        <w:top w:val="none" w:sz="0" w:space="0" w:color="auto"/>
        <w:left w:val="none" w:sz="0" w:space="0" w:color="auto"/>
        <w:bottom w:val="none" w:sz="0" w:space="0" w:color="auto"/>
        <w:right w:val="none" w:sz="0" w:space="0" w:color="auto"/>
      </w:divBdr>
    </w:div>
    <w:div w:id="2033529494">
      <w:bodyDiv w:val="1"/>
      <w:marLeft w:val="0"/>
      <w:marRight w:val="0"/>
      <w:marTop w:val="0"/>
      <w:marBottom w:val="0"/>
      <w:divBdr>
        <w:top w:val="none" w:sz="0" w:space="0" w:color="auto"/>
        <w:left w:val="none" w:sz="0" w:space="0" w:color="auto"/>
        <w:bottom w:val="none" w:sz="0" w:space="0" w:color="auto"/>
        <w:right w:val="none" w:sz="0" w:space="0" w:color="auto"/>
      </w:divBdr>
    </w:div>
    <w:div w:id="2064517323">
      <w:bodyDiv w:val="1"/>
      <w:marLeft w:val="0"/>
      <w:marRight w:val="0"/>
      <w:marTop w:val="0"/>
      <w:marBottom w:val="0"/>
      <w:divBdr>
        <w:top w:val="none" w:sz="0" w:space="0" w:color="auto"/>
        <w:left w:val="none" w:sz="0" w:space="0" w:color="auto"/>
        <w:bottom w:val="none" w:sz="0" w:space="0" w:color="auto"/>
        <w:right w:val="none" w:sz="0" w:space="0" w:color="auto"/>
      </w:divBdr>
    </w:div>
    <w:div w:id="2073455473">
      <w:bodyDiv w:val="1"/>
      <w:marLeft w:val="0"/>
      <w:marRight w:val="0"/>
      <w:marTop w:val="0"/>
      <w:marBottom w:val="0"/>
      <w:divBdr>
        <w:top w:val="none" w:sz="0" w:space="0" w:color="auto"/>
        <w:left w:val="none" w:sz="0" w:space="0" w:color="auto"/>
        <w:bottom w:val="none" w:sz="0" w:space="0" w:color="auto"/>
        <w:right w:val="none" w:sz="0" w:space="0" w:color="auto"/>
      </w:divBdr>
    </w:div>
    <w:div w:id="2077971478">
      <w:bodyDiv w:val="1"/>
      <w:marLeft w:val="0"/>
      <w:marRight w:val="0"/>
      <w:marTop w:val="0"/>
      <w:marBottom w:val="0"/>
      <w:divBdr>
        <w:top w:val="none" w:sz="0" w:space="0" w:color="auto"/>
        <w:left w:val="none" w:sz="0" w:space="0" w:color="auto"/>
        <w:bottom w:val="none" w:sz="0" w:space="0" w:color="auto"/>
        <w:right w:val="none" w:sz="0" w:space="0" w:color="auto"/>
      </w:divBdr>
    </w:div>
    <w:div w:id="2081318734">
      <w:bodyDiv w:val="1"/>
      <w:marLeft w:val="0"/>
      <w:marRight w:val="0"/>
      <w:marTop w:val="0"/>
      <w:marBottom w:val="0"/>
      <w:divBdr>
        <w:top w:val="none" w:sz="0" w:space="0" w:color="auto"/>
        <w:left w:val="none" w:sz="0" w:space="0" w:color="auto"/>
        <w:bottom w:val="none" w:sz="0" w:space="0" w:color="auto"/>
        <w:right w:val="none" w:sz="0" w:space="0" w:color="auto"/>
      </w:divBdr>
    </w:div>
    <w:div w:id="2088259417">
      <w:bodyDiv w:val="1"/>
      <w:marLeft w:val="0"/>
      <w:marRight w:val="0"/>
      <w:marTop w:val="0"/>
      <w:marBottom w:val="0"/>
      <w:divBdr>
        <w:top w:val="none" w:sz="0" w:space="0" w:color="auto"/>
        <w:left w:val="none" w:sz="0" w:space="0" w:color="auto"/>
        <w:bottom w:val="none" w:sz="0" w:space="0" w:color="auto"/>
        <w:right w:val="none" w:sz="0" w:space="0" w:color="auto"/>
      </w:divBdr>
      <w:divsChild>
        <w:div w:id="2004820607">
          <w:marLeft w:val="547"/>
          <w:marRight w:val="0"/>
          <w:marTop w:val="0"/>
          <w:marBottom w:val="0"/>
          <w:divBdr>
            <w:top w:val="none" w:sz="0" w:space="0" w:color="auto"/>
            <w:left w:val="none" w:sz="0" w:space="0" w:color="auto"/>
            <w:bottom w:val="none" w:sz="0" w:space="0" w:color="auto"/>
            <w:right w:val="none" w:sz="0" w:space="0" w:color="auto"/>
          </w:divBdr>
        </w:div>
      </w:divsChild>
    </w:div>
    <w:div w:id="2089617651">
      <w:bodyDiv w:val="1"/>
      <w:marLeft w:val="0"/>
      <w:marRight w:val="0"/>
      <w:marTop w:val="0"/>
      <w:marBottom w:val="0"/>
      <w:divBdr>
        <w:top w:val="none" w:sz="0" w:space="0" w:color="auto"/>
        <w:left w:val="none" w:sz="0" w:space="0" w:color="auto"/>
        <w:bottom w:val="none" w:sz="0" w:space="0" w:color="auto"/>
        <w:right w:val="none" w:sz="0" w:space="0" w:color="auto"/>
      </w:divBdr>
    </w:div>
    <w:div w:id="2091924449">
      <w:bodyDiv w:val="1"/>
      <w:marLeft w:val="0"/>
      <w:marRight w:val="0"/>
      <w:marTop w:val="0"/>
      <w:marBottom w:val="0"/>
      <w:divBdr>
        <w:top w:val="none" w:sz="0" w:space="0" w:color="auto"/>
        <w:left w:val="none" w:sz="0" w:space="0" w:color="auto"/>
        <w:bottom w:val="none" w:sz="0" w:space="0" w:color="auto"/>
        <w:right w:val="none" w:sz="0" w:space="0" w:color="auto"/>
      </w:divBdr>
    </w:div>
    <w:div w:id="2099786655">
      <w:bodyDiv w:val="1"/>
      <w:marLeft w:val="0"/>
      <w:marRight w:val="0"/>
      <w:marTop w:val="0"/>
      <w:marBottom w:val="0"/>
      <w:divBdr>
        <w:top w:val="none" w:sz="0" w:space="0" w:color="auto"/>
        <w:left w:val="none" w:sz="0" w:space="0" w:color="auto"/>
        <w:bottom w:val="none" w:sz="0" w:space="0" w:color="auto"/>
        <w:right w:val="none" w:sz="0" w:space="0" w:color="auto"/>
      </w:divBdr>
    </w:div>
    <w:div w:id="2113549452">
      <w:bodyDiv w:val="1"/>
      <w:marLeft w:val="0"/>
      <w:marRight w:val="0"/>
      <w:marTop w:val="0"/>
      <w:marBottom w:val="0"/>
      <w:divBdr>
        <w:top w:val="none" w:sz="0" w:space="0" w:color="auto"/>
        <w:left w:val="none" w:sz="0" w:space="0" w:color="auto"/>
        <w:bottom w:val="none" w:sz="0" w:space="0" w:color="auto"/>
        <w:right w:val="none" w:sz="0" w:space="0" w:color="auto"/>
      </w:divBdr>
    </w:div>
    <w:div w:id="2127045148">
      <w:bodyDiv w:val="1"/>
      <w:marLeft w:val="0"/>
      <w:marRight w:val="0"/>
      <w:marTop w:val="0"/>
      <w:marBottom w:val="0"/>
      <w:divBdr>
        <w:top w:val="none" w:sz="0" w:space="0" w:color="auto"/>
        <w:left w:val="none" w:sz="0" w:space="0" w:color="auto"/>
        <w:bottom w:val="none" w:sz="0" w:space="0" w:color="auto"/>
        <w:right w:val="none" w:sz="0" w:space="0" w:color="auto"/>
      </w:divBdr>
    </w:div>
    <w:div w:id="21273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4158-C6E4-446D-BD0A-7CB427AC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47</Pages>
  <Words>17895</Words>
  <Characters>102008</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Petrović</dc:creator>
  <cp:keywords/>
  <dc:description/>
  <cp:lastModifiedBy>Vladimir Vasić</cp:lastModifiedBy>
  <cp:revision>69</cp:revision>
  <cp:lastPrinted>2023-11-13T09:07:00Z</cp:lastPrinted>
  <dcterms:created xsi:type="dcterms:W3CDTF">2025-11-06T10:01:00Z</dcterms:created>
  <dcterms:modified xsi:type="dcterms:W3CDTF">2025-11-13T08:57:00Z</dcterms:modified>
</cp:coreProperties>
</file>