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Pr="002F45C6" w:rsidRDefault="00E900A8">
      <w:pPr>
        <w:jc w:val="center"/>
        <w:rPr>
          <w:b/>
          <w:sz w:val="18"/>
          <w:szCs w:val="20"/>
          <w:lang w:val="sr-Latn-RS"/>
        </w:rPr>
      </w:pPr>
    </w:p>
    <w:p w:rsidR="00EE0A84" w:rsidRPr="002F45C6" w:rsidRDefault="00EE0A84" w:rsidP="00EE0A84">
      <w:pPr>
        <w:jc w:val="center"/>
        <w:rPr>
          <w:lang w:val="sr-Latn-RS"/>
        </w:rPr>
      </w:pPr>
    </w:p>
    <w:p w:rsidR="00EE0A84" w:rsidRPr="002F45C6" w:rsidRDefault="00EE0A84" w:rsidP="00EE0A84">
      <w:pPr>
        <w:jc w:val="center"/>
        <w:rPr>
          <w:lang w:val="sr-Latn-RS"/>
        </w:rPr>
      </w:pPr>
    </w:p>
    <w:p w:rsidR="00EE0A84" w:rsidRPr="002F45C6" w:rsidRDefault="00EE0A84" w:rsidP="00EE0A84">
      <w:pPr>
        <w:jc w:val="center"/>
        <w:rPr>
          <w:rFonts w:ascii="Corbel" w:hAnsi="Corbel"/>
          <w:b/>
          <w:sz w:val="40"/>
          <w:lang w:val="sr-Latn-RS"/>
        </w:rPr>
      </w:pPr>
    </w:p>
    <w:p w:rsidR="00EE0A84" w:rsidRPr="002F45C6" w:rsidRDefault="00EE0A84" w:rsidP="00EE0A84">
      <w:pPr>
        <w:jc w:val="center"/>
        <w:rPr>
          <w:rFonts w:ascii="Corbel" w:hAnsi="Corbel"/>
          <w:b/>
          <w:sz w:val="40"/>
          <w:lang w:val="sr-Latn-RS"/>
        </w:rPr>
      </w:pPr>
    </w:p>
    <w:p w:rsidR="005006CF" w:rsidRPr="002F45C6" w:rsidRDefault="005006CF" w:rsidP="005006CF">
      <w:pPr>
        <w:jc w:val="center"/>
        <w:rPr>
          <w:rFonts w:ascii="Corbel" w:hAnsi="Corbel"/>
          <w:b/>
          <w:sz w:val="48"/>
          <w:lang w:val="sr-Latn-RS"/>
        </w:rPr>
      </w:pPr>
      <w:r w:rsidRPr="002F45C6">
        <w:rPr>
          <w:rFonts w:ascii="Corbel" w:hAnsi="Corbel"/>
          <w:b/>
          <w:sz w:val="48"/>
          <w:lang w:val="sr-Latn-RS"/>
        </w:rPr>
        <w:t>Republika Srbija</w:t>
      </w:r>
    </w:p>
    <w:p w:rsidR="006D45B4" w:rsidRDefault="006D45B4" w:rsidP="005006CF">
      <w:pPr>
        <w:jc w:val="center"/>
        <w:rPr>
          <w:rFonts w:ascii="Corbel" w:hAnsi="Corbel"/>
          <w:b/>
          <w:sz w:val="48"/>
          <w:lang w:val="sr-Latn-RS"/>
        </w:rPr>
      </w:pPr>
      <w:r>
        <w:rPr>
          <w:rFonts w:ascii="Corbel" w:hAnsi="Corbel"/>
          <w:b/>
          <w:sz w:val="48"/>
          <w:lang w:val="sr-Latn-RS"/>
        </w:rPr>
        <w:t xml:space="preserve">Pokretanje dugoročnog finansiranja kroz </w:t>
      </w:r>
    </w:p>
    <w:p w:rsidR="0004358A" w:rsidRPr="002F45C6" w:rsidRDefault="00F26A20" w:rsidP="005006CF">
      <w:pPr>
        <w:jc w:val="center"/>
        <w:rPr>
          <w:rFonts w:ascii="Corbel" w:hAnsi="Corbel"/>
          <w:b/>
          <w:sz w:val="48"/>
          <w:lang w:val="sr-Latn-RS"/>
        </w:rPr>
      </w:pPr>
      <w:r>
        <w:rPr>
          <w:rFonts w:ascii="Corbel" w:hAnsi="Corbel"/>
          <w:b/>
          <w:sz w:val="48"/>
          <w:lang w:val="sr-Latn-RS"/>
        </w:rPr>
        <w:t>projekat t</w:t>
      </w:r>
      <w:r w:rsidR="002F45C6" w:rsidRPr="002F45C6">
        <w:rPr>
          <w:rFonts w:ascii="Corbel" w:hAnsi="Corbel"/>
          <w:b/>
          <w:sz w:val="48"/>
          <w:lang w:val="sr-Latn-RS"/>
        </w:rPr>
        <w:t>ržišt</w:t>
      </w:r>
      <w:r>
        <w:rPr>
          <w:rFonts w:ascii="Corbel" w:hAnsi="Corbel"/>
          <w:b/>
          <w:sz w:val="48"/>
          <w:lang w:val="sr-Latn-RS"/>
        </w:rPr>
        <w:t>a</w:t>
      </w:r>
      <w:r w:rsidR="002F45C6" w:rsidRPr="002F45C6">
        <w:rPr>
          <w:rFonts w:ascii="Corbel" w:hAnsi="Corbel"/>
          <w:b/>
          <w:sz w:val="48"/>
          <w:lang w:val="sr-Latn-RS"/>
        </w:rPr>
        <w:t xml:space="preserve"> kapital</w:t>
      </w:r>
      <w:r>
        <w:rPr>
          <w:rFonts w:ascii="Corbel" w:hAnsi="Corbel"/>
          <w:b/>
          <w:sz w:val="48"/>
          <w:lang w:val="sr-Latn-RS"/>
        </w:rPr>
        <w:t>a</w:t>
      </w:r>
      <w:r w:rsidR="002F45C6" w:rsidRPr="002F45C6">
        <w:rPr>
          <w:rFonts w:ascii="Corbel" w:hAnsi="Corbel"/>
          <w:b/>
          <w:sz w:val="48"/>
          <w:lang w:val="sr-Latn-RS"/>
        </w:rPr>
        <w:t xml:space="preserve"> </w:t>
      </w:r>
      <w:r w:rsidR="0004358A" w:rsidRPr="002F45C6">
        <w:rPr>
          <w:rFonts w:ascii="Corbel" w:hAnsi="Corbel"/>
          <w:b/>
          <w:sz w:val="48"/>
          <w:lang w:val="sr-Latn-RS"/>
        </w:rPr>
        <w:t>(P176069)</w:t>
      </w:r>
    </w:p>
    <w:p w:rsidR="00EE0A84" w:rsidRDefault="00EE0A84" w:rsidP="00EE0A84">
      <w:pPr>
        <w:jc w:val="center"/>
        <w:rPr>
          <w:rFonts w:ascii="Corbel" w:hAnsi="Corbel"/>
          <w:b/>
          <w:sz w:val="48"/>
          <w:lang w:val="sr-Latn-RS"/>
        </w:rPr>
      </w:pPr>
    </w:p>
    <w:p w:rsidR="00F31139" w:rsidRPr="002F45C6" w:rsidRDefault="00F31139" w:rsidP="00EE0A84">
      <w:pPr>
        <w:jc w:val="center"/>
        <w:rPr>
          <w:rFonts w:ascii="Corbel" w:hAnsi="Corbel"/>
          <w:b/>
          <w:sz w:val="48"/>
          <w:lang w:val="sr-Latn-RS"/>
        </w:rPr>
      </w:pPr>
    </w:p>
    <w:p w:rsidR="005006CF" w:rsidRPr="002F45C6" w:rsidRDefault="0015648F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  <w:r w:rsidRPr="002F45C6">
        <w:rPr>
          <w:rFonts w:ascii="Corbel" w:hAnsi="Corbel"/>
          <w:b/>
          <w:color w:val="4472C4" w:themeColor="accent1"/>
          <w:sz w:val="48"/>
          <w:lang w:val="sr-Latn-RS"/>
        </w:rPr>
        <w:t xml:space="preserve">OBAVEZUJUĆI </w:t>
      </w:r>
      <w:r w:rsidR="005006CF" w:rsidRPr="002F45C6">
        <w:rPr>
          <w:rFonts w:ascii="Corbel" w:hAnsi="Corbel"/>
          <w:b/>
          <w:color w:val="4472C4" w:themeColor="accent1"/>
          <w:sz w:val="48"/>
          <w:lang w:val="sr-Latn-RS"/>
        </w:rPr>
        <w:t>EKOLOŠKO SOCIJALNI</w:t>
      </w:r>
    </w:p>
    <w:p w:rsidR="00EE0A84" w:rsidRPr="002F45C6" w:rsidRDefault="005006CF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  <w:r w:rsidRPr="002F45C6">
        <w:rPr>
          <w:rFonts w:ascii="Corbel" w:hAnsi="Corbel"/>
          <w:b/>
          <w:color w:val="4472C4" w:themeColor="accent1"/>
          <w:sz w:val="48"/>
          <w:lang w:val="sr-Latn-RS"/>
        </w:rPr>
        <w:t>PLAN (ESCP)</w:t>
      </w:r>
    </w:p>
    <w:p w:rsidR="005006CF" w:rsidRDefault="005006CF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Pr="002F45C6" w:rsidRDefault="002F45C6" w:rsidP="002F45C6">
      <w:pPr>
        <w:jc w:val="center"/>
        <w:rPr>
          <w:rFonts w:ascii="Corbel" w:hAnsi="Corbel"/>
          <w:b/>
          <w:sz w:val="48"/>
          <w:lang w:val="sr-Latn-RS"/>
        </w:rPr>
      </w:pPr>
      <w:r w:rsidRPr="002F45C6">
        <w:rPr>
          <w:rFonts w:ascii="Corbel" w:hAnsi="Corbel"/>
          <w:b/>
          <w:sz w:val="48"/>
          <w:lang w:val="sr-Latn-RS"/>
        </w:rPr>
        <w:t>Nacrt</w:t>
      </w: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2F45C6" w:rsidRPr="002F45C6" w:rsidRDefault="002F45C6" w:rsidP="005006CF">
      <w:pPr>
        <w:jc w:val="center"/>
        <w:rPr>
          <w:rFonts w:ascii="Corbel" w:hAnsi="Corbel"/>
          <w:b/>
          <w:color w:val="4472C4" w:themeColor="accent1"/>
          <w:sz w:val="48"/>
          <w:lang w:val="sr-Latn-RS"/>
        </w:rPr>
      </w:pPr>
    </w:p>
    <w:p w:rsidR="00EE0A84" w:rsidRPr="002F45C6" w:rsidRDefault="00C659CB" w:rsidP="00EE0A84">
      <w:pPr>
        <w:jc w:val="center"/>
        <w:rPr>
          <w:rFonts w:ascii="Corbel" w:hAnsi="Corbel"/>
          <w:b/>
          <w:sz w:val="44"/>
          <w:szCs w:val="44"/>
          <w:lang w:val="sr-Latn-RS"/>
        </w:rPr>
      </w:pPr>
      <w:r>
        <w:rPr>
          <w:rFonts w:ascii="Corbel" w:hAnsi="Corbel"/>
          <w:b/>
          <w:sz w:val="44"/>
          <w:szCs w:val="44"/>
          <w:lang w:val="sr-Latn-RS"/>
        </w:rPr>
        <w:t>Januar</w:t>
      </w:r>
      <w:r w:rsidR="00D8462D" w:rsidRPr="002F45C6">
        <w:rPr>
          <w:rFonts w:ascii="Corbel" w:hAnsi="Corbel"/>
          <w:b/>
          <w:sz w:val="44"/>
          <w:szCs w:val="44"/>
          <w:lang w:val="sr-Latn-RS"/>
        </w:rPr>
        <w:t xml:space="preserve"> </w:t>
      </w:r>
      <w:r w:rsidR="001E0A6A">
        <w:rPr>
          <w:rFonts w:ascii="Corbel" w:hAnsi="Corbel"/>
          <w:b/>
          <w:sz w:val="44"/>
          <w:szCs w:val="44"/>
          <w:lang w:val="sr-Latn-RS"/>
        </w:rPr>
        <w:t>3</w:t>
      </w:r>
      <w:r>
        <w:rPr>
          <w:rFonts w:ascii="Corbel" w:hAnsi="Corbel"/>
          <w:b/>
          <w:sz w:val="44"/>
          <w:szCs w:val="44"/>
          <w:lang w:val="sr-Latn-RS"/>
        </w:rPr>
        <w:t>0</w:t>
      </w:r>
      <w:r w:rsidR="00D8462D" w:rsidRPr="002F45C6">
        <w:rPr>
          <w:rFonts w:ascii="Corbel" w:hAnsi="Corbel"/>
          <w:b/>
          <w:sz w:val="44"/>
          <w:szCs w:val="44"/>
          <w:lang w:val="sr-Latn-RS"/>
        </w:rPr>
        <w:t>, 202</w:t>
      </w:r>
      <w:r>
        <w:rPr>
          <w:rFonts w:ascii="Corbel" w:hAnsi="Corbel"/>
          <w:b/>
          <w:sz w:val="44"/>
          <w:szCs w:val="44"/>
          <w:lang w:val="sr-Latn-RS"/>
        </w:rPr>
        <w:t>3</w:t>
      </w:r>
    </w:p>
    <w:p w:rsidR="00EE0A84" w:rsidRPr="002F45C6" w:rsidRDefault="00EE0A84" w:rsidP="00EE0A8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2F45C6">
        <w:rPr>
          <w:rFonts w:asciiTheme="minorHAnsi" w:hAnsiTheme="minorHAnsi" w:cstheme="minorHAnsi"/>
          <w:sz w:val="22"/>
          <w:szCs w:val="22"/>
          <w:lang w:val="sr-Latn-RS"/>
        </w:rPr>
        <w:br w:type="page"/>
      </w:r>
    </w:p>
    <w:p w:rsidR="00EE0A84" w:rsidRPr="002F45C6" w:rsidRDefault="0015648F" w:rsidP="005006CF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F45C6">
        <w:rPr>
          <w:rFonts w:asciiTheme="minorHAnsi" w:hAnsiTheme="minorHAnsi" w:cstheme="minorHAnsi"/>
          <w:b/>
          <w:sz w:val="22"/>
          <w:szCs w:val="22"/>
          <w:lang w:val="sr-Latn-RS"/>
        </w:rPr>
        <w:lastRenderedPageBreak/>
        <w:t xml:space="preserve">OBAVEZUJUĆI </w:t>
      </w:r>
      <w:r w:rsidR="005006CF" w:rsidRPr="002F45C6">
        <w:rPr>
          <w:rFonts w:asciiTheme="minorHAnsi" w:hAnsiTheme="minorHAnsi" w:cstheme="minorHAnsi"/>
          <w:b/>
          <w:sz w:val="22"/>
          <w:szCs w:val="22"/>
          <w:lang w:val="sr-Latn-RS"/>
        </w:rPr>
        <w:t>EKOLOŠKO SOCIJALNI PLAN</w:t>
      </w:r>
    </w:p>
    <w:p w:rsidR="00E900A8" w:rsidRPr="002F45C6" w:rsidRDefault="00E900A8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  <w:lang w:val="sr-Latn-RS"/>
        </w:rPr>
      </w:pPr>
    </w:p>
    <w:p w:rsidR="0026489E" w:rsidRPr="006D45B4" w:rsidRDefault="005006CF" w:rsidP="00E96EB3">
      <w:pPr>
        <w:pStyle w:val="ListParagraph"/>
        <w:numPr>
          <w:ilvl w:val="0"/>
          <w:numId w:val="6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6D45B4">
        <w:rPr>
          <w:rFonts w:asciiTheme="minorHAnsi" w:hAnsiTheme="minorHAnsi" w:cstheme="minorHAnsi"/>
          <w:sz w:val="22"/>
          <w:szCs w:val="22"/>
          <w:lang w:val="sr-Latn-RS"/>
        </w:rPr>
        <w:t>Republika Srbija (u daljem tekstu</w:t>
      </w:r>
      <w:r w:rsidR="006E4BF7" w:rsidRPr="006D45B4">
        <w:rPr>
          <w:rFonts w:asciiTheme="minorHAnsi" w:hAnsiTheme="minorHAnsi" w:cstheme="minorHAnsi"/>
          <w:sz w:val="22"/>
          <w:szCs w:val="22"/>
          <w:lang w:val="sr-Latn-RS"/>
        </w:rPr>
        <w:t>:</w:t>
      </w:r>
      <w:r w:rsidRPr="006D45B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6D45B4">
        <w:rPr>
          <w:rFonts w:asciiTheme="minorHAnsi" w:hAnsiTheme="minorHAnsi" w:cstheme="minorHAnsi"/>
          <w:b/>
          <w:sz w:val="22"/>
          <w:szCs w:val="22"/>
          <w:lang w:val="sr-Latn-RS"/>
        </w:rPr>
        <w:t>Zajmoprimac</w:t>
      </w:r>
      <w:r w:rsidRPr="006D45B4">
        <w:rPr>
          <w:rFonts w:asciiTheme="minorHAnsi" w:hAnsiTheme="minorHAnsi" w:cstheme="minorHAnsi"/>
          <w:sz w:val="22"/>
          <w:szCs w:val="22"/>
          <w:lang w:val="sr-Latn-RS"/>
        </w:rPr>
        <w:t xml:space="preserve">) </w:t>
      </w:r>
      <w:proofErr w:type="spellStart"/>
      <w:r w:rsidRPr="006D45B4">
        <w:rPr>
          <w:rFonts w:asciiTheme="minorHAnsi" w:hAnsiTheme="minorHAnsi" w:cstheme="minorHAnsi"/>
          <w:sz w:val="22"/>
          <w:szCs w:val="22"/>
          <w:lang w:val="sr-Latn-RS"/>
        </w:rPr>
        <w:t>će</w:t>
      </w:r>
      <w:proofErr w:type="spellEnd"/>
      <w:r w:rsidRPr="006D45B4">
        <w:rPr>
          <w:rFonts w:asciiTheme="minorHAnsi" w:hAnsiTheme="minorHAnsi" w:cstheme="minorHAnsi"/>
          <w:sz w:val="22"/>
          <w:szCs w:val="22"/>
          <w:lang w:val="sr-Latn-RS"/>
        </w:rPr>
        <w:t xml:space="preserve"> realizovati Projekat </w:t>
      </w:r>
      <w:r w:rsidR="006D45B4" w:rsidRPr="006D45B4">
        <w:rPr>
          <w:rFonts w:asciiTheme="minorHAnsi" w:hAnsiTheme="minorHAnsi" w:cstheme="minorHAnsi"/>
          <w:sz w:val="22"/>
          <w:szCs w:val="22"/>
          <w:lang w:val="sr-Latn-RS"/>
        </w:rPr>
        <w:t>pokretanja dugoročnog finansiranja kroz</w:t>
      </w:r>
      <w:r w:rsidR="006D45B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D45B4" w:rsidRPr="006D45B4">
        <w:rPr>
          <w:rFonts w:asciiTheme="minorHAnsi" w:hAnsiTheme="minorHAnsi" w:cstheme="minorHAnsi"/>
          <w:sz w:val="22"/>
          <w:szCs w:val="22"/>
          <w:lang w:val="sr-Latn-RS"/>
        </w:rPr>
        <w:t xml:space="preserve">tržište kapitala </w:t>
      </w:r>
      <w:r w:rsidRPr="006D45B4">
        <w:rPr>
          <w:rFonts w:asciiTheme="minorHAnsi" w:hAnsiTheme="minorHAnsi" w:cstheme="minorHAnsi"/>
          <w:sz w:val="22"/>
          <w:szCs w:val="22"/>
          <w:lang w:val="sr-Latn-RS"/>
        </w:rPr>
        <w:t>(Projekat), preko Ministarstva finansija (MF). Međunarodna banka za obnovu i razvoj (u daljem tekstu</w:t>
      </w:r>
      <w:r w:rsidR="006E4BF7" w:rsidRPr="006D45B4">
        <w:rPr>
          <w:rFonts w:asciiTheme="minorHAnsi" w:hAnsiTheme="minorHAnsi" w:cstheme="minorHAnsi"/>
          <w:sz w:val="22"/>
          <w:szCs w:val="22"/>
          <w:lang w:val="sr-Latn-RS"/>
        </w:rPr>
        <w:t>:</w:t>
      </w:r>
      <w:r w:rsidRPr="006D45B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6D45B4">
        <w:rPr>
          <w:rFonts w:asciiTheme="minorHAnsi" w:hAnsiTheme="minorHAnsi" w:cstheme="minorHAnsi"/>
          <w:b/>
          <w:sz w:val="22"/>
          <w:szCs w:val="22"/>
          <w:lang w:val="sr-Latn-RS"/>
        </w:rPr>
        <w:t>Banka</w:t>
      </w:r>
      <w:r w:rsidRPr="006D45B4">
        <w:rPr>
          <w:rFonts w:asciiTheme="minorHAnsi" w:hAnsiTheme="minorHAnsi" w:cstheme="minorHAnsi"/>
          <w:sz w:val="22"/>
          <w:szCs w:val="22"/>
          <w:lang w:val="sr-Latn-RS"/>
        </w:rPr>
        <w:t>) je pristala da obezbedi finansiranje Projekta.</w:t>
      </w:r>
    </w:p>
    <w:p w:rsidR="00762F00" w:rsidRPr="002F45C6" w:rsidRDefault="00762F00" w:rsidP="00762F00">
      <w:pPr>
        <w:pStyle w:val="ListParagraph"/>
        <w:spacing w:after="24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94149" w:rsidRDefault="005006CF" w:rsidP="005006CF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sr-Latn-RS"/>
        </w:rPr>
      </w:pPr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Zajmoprimac </w:t>
      </w:r>
      <w:proofErr w:type="spellStart"/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>će</w:t>
      </w:r>
      <w:proofErr w:type="spellEnd"/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realizovati </w:t>
      </w:r>
      <w:r w:rsidR="008336F9">
        <w:rPr>
          <w:rFonts w:asciiTheme="minorHAnsi" w:eastAsiaTheme="minorEastAsia" w:hAnsiTheme="minorHAnsi" w:cstheme="minorHAnsi"/>
          <w:sz w:val="22"/>
          <w:szCs w:val="22"/>
          <w:lang w:val="sr-Latn-RS"/>
        </w:rPr>
        <w:t>P</w:t>
      </w:r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>rojekat u skladu sa ekološkim i socijalnim standard</w:t>
      </w:r>
      <w:r w:rsidR="008D0462"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>ima (ESS). U tom cilju, ovaj Ekološko socijalni obavezujući plan</w:t>
      </w:r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(ESCP) utvrđuje materijalne mere i radnje koje Zajmoprimac treba da sprovede ili izvrši, </w:t>
      </w:r>
      <w:proofErr w:type="spellStart"/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>uključujući</w:t>
      </w:r>
      <w:proofErr w:type="spellEnd"/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vremenske okvire akcija i mera, institucionalne, kadrovske, obuk</w:t>
      </w:r>
      <w:r w:rsidR="00816457"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>e</w:t>
      </w:r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, </w:t>
      </w:r>
      <w:proofErr w:type="spellStart"/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>praćenje</w:t>
      </w:r>
      <w:proofErr w:type="spellEnd"/>
      <w:r w:rsidRPr="002F45C6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i izveštavanje aranžmane, upravljanje pritužbama i ekološke i socijalne procene i instrumente koje treba pripremiti ili ažurirati, objaviti, konsultovati, usvojiti i primeniti u okviru ESCP i ESS-a, sve na način prihvatljiv za Banku.</w:t>
      </w:r>
    </w:p>
    <w:p w:rsidR="00F41CBE" w:rsidRPr="00F41CBE" w:rsidRDefault="00F41CBE" w:rsidP="00F41CBE">
      <w:pPr>
        <w:pStyle w:val="ListParagraph"/>
        <w:rPr>
          <w:rFonts w:asciiTheme="minorHAnsi" w:eastAsiaTheme="minorEastAsia" w:hAnsiTheme="minorHAnsi" w:cstheme="minorHAnsi"/>
          <w:sz w:val="22"/>
          <w:szCs w:val="22"/>
          <w:lang w:val="sr-Latn-RS"/>
        </w:rPr>
      </w:pPr>
    </w:p>
    <w:p w:rsidR="00F41CBE" w:rsidRPr="002F45C6" w:rsidRDefault="00F41CBE" w:rsidP="00F41CBE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sr-Latn-RS"/>
        </w:rPr>
      </w:pPr>
      <w:r w:rsidRPr="00F41CBE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Zajmoprimac </w:t>
      </w:r>
      <w:proofErr w:type="spellStart"/>
      <w:r w:rsidRPr="00F41CBE">
        <w:rPr>
          <w:rFonts w:asciiTheme="minorHAnsi" w:eastAsiaTheme="minorEastAsia" w:hAnsiTheme="minorHAnsi" w:cstheme="minorHAnsi"/>
          <w:sz w:val="22"/>
          <w:szCs w:val="22"/>
          <w:lang w:val="sr-Latn-RS"/>
        </w:rPr>
        <w:t>će</w:t>
      </w:r>
      <w:proofErr w:type="spellEnd"/>
      <w:r w:rsidRPr="00F41CBE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pratiti sprovođenje materijalnih mera i radnji navedenih u ovom ESCP-u i izveštavati ih Banci u skladu sa zahtevima ESCP-a i uslova </w:t>
      </w:r>
      <w:r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definisanih </w:t>
      </w:r>
      <w:r w:rsidRPr="00F41CBE">
        <w:rPr>
          <w:rFonts w:asciiTheme="minorHAnsi" w:eastAsiaTheme="minorEastAsia" w:hAnsiTheme="minorHAnsi" w:cstheme="minorHAnsi"/>
          <w:sz w:val="22"/>
          <w:szCs w:val="22"/>
          <w:lang w:val="sr-Latn-RS"/>
        </w:rPr>
        <w:t>Ugovor</w:t>
      </w:r>
      <w:r>
        <w:rPr>
          <w:rFonts w:asciiTheme="minorHAnsi" w:eastAsiaTheme="minorEastAsia" w:hAnsiTheme="minorHAnsi" w:cstheme="minorHAnsi"/>
          <w:sz w:val="22"/>
          <w:szCs w:val="22"/>
          <w:lang w:val="sr-Latn-RS"/>
        </w:rPr>
        <w:t>om</w:t>
      </w:r>
      <w:r w:rsidRPr="00F41CBE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o zajmu.</w:t>
      </w:r>
    </w:p>
    <w:p w:rsidR="00E20C02" w:rsidRDefault="00E20C02" w:rsidP="00E20C02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E20C02">
        <w:rPr>
          <w:rFonts w:asciiTheme="minorHAnsi" w:hAnsiTheme="minorHAnsi" w:cstheme="minorHAnsi"/>
          <w:sz w:val="22"/>
          <w:szCs w:val="22"/>
          <w:lang w:val="sr-Latn-RS"/>
        </w:rPr>
        <w:t xml:space="preserve">U skladu sa dogovorom između Banke i Zajmoprimca, ovaj ESCP može biti revidiran s vremena na vreme tokom implementacije Projekta, kako bi odražavao prilagodljivo upravljanje promenama na Projektu i nepredviđenim okolnostima ili kao odgovor na procenu performansi Projekta koja se sprovodi u okviru samog ESCP-a. U takvim okolnostima, Zajmoprimac </w:t>
      </w:r>
      <w:proofErr w:type="spellStart"/>
      <w:r w:rsidRPr="00E20C02">
        <w:rPr>
          <w:rFonts w:asciiTheme="minorHAnsi" w:hAnsiTheme="minorHAnsi" w:cstheme="minorHAnsi"/>
          <w:sz w:val="22"/>
          <w:szCs w:val="22"/>
          <w:lang w:val="sr-Latn-RS"/>
        </w:rPr>
        <w:t>će</w:t>
      </w:r>
      <w:proofErr w:type="spellEnd"/>
      <w:r w:rsidRPr="00E20C02">
        <w:rPr>
          <w:rFonts w:asciiTheme="minorHAnsi" w:hAnsiTheme="minorHAnsi" w:cstheme="minorHAnsi"/>
          <w:sz w:val="22"/>
          <w:szCs w:val="22"/>
          <w:lang w:val="sr-Latn-RS"/>
        </w:rPr>
        <w:t xml:space="preserve"> ažurirati ESCP kako bi odražavao dogovorene promene. Sporazum o izmenama ESCP-a </w:t>
      </w:r>
      <w:proofErr w:type="spellStart"/>
      <w:r w:rsidRPr="00E20C02">
        <w:rPr>
          <w:rFonts w:asciiTheme="minorHAnsi" w:hAnsiTheme="minorHAnsi" w:cstheme="minorHAnsi"/>
          <w:sz w:val="22"/>
          <w:szCs w:val="22"/>
          <w:lang w:val="sr-Latn-RS"/>
        </w:rPr>
        <w:t>biće</w:t>
      </w:r>
      <w:proofErr w:type="spellEnd"/>
      <w:r w:rsidRPr="00E20C02">
        <w:rPr>
          <w:rFonts w:asciiTheme="minorHAnsi" w:hAnsiTheme="minorHAnsi" w:cstheme="minorHAnsi"/>
          <w:sz w:val="22"/>
          <w:szCs w:val="22"/>
          <w:lang w:val="sr-Latn-RS"/>
        </w:rPr>
        <w:t xml:space="preserve"> dokumentovan putem razmene pisama potpisanih između Banke i Zajmoprimca. Zajmoprimac </w:t>
      </w:r>
      <w:proofErr w:type="spellStart"/>
      <w:r w:rsidRPr="00E20C02">
        <w:rPr>
          <w:rFonts w:asciiTheme="minorHAnsi" w:hAnsiTheme="minorHAnsi" w:cstheme="minorHAnsi"/>
          <w:sz w:val="22"/>
          <w:szCs w:val="22"/>
          <w:lang w:val="sr-Latn-RS"/>
        </w:rPr>
        <w:t>će</w:t>
      </w:r>
      <w:proofErr w:type="spellEnd"/>
      <w:r w:rsidRPr="00E20C02">
        <w:rPr>
          <w:rFonts w:asciiTheme="minorHAnsi" w:hAnsiTheme="minorHAnsi" w:cstheme="minorHAnsi"/>
          <w:sz w:val="22"/>
          <w:szCs w:val="22"/>
          <w:lang w:val="sr-Latn-RS"/>
        </w:rPr>
        <w:t xml:space="preserve"> odmah objaviti ažurirani ESCP.</w:t>
      </w:r>
    </w:p>
    <w:p w:rsidR="00294149" w:rsidRDefault="00816457" w:rsidP="00E20C02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F45C6">
        <w:rPr>
          <w:rFonts w:asciiTheme="minorHAnsi" w:hAnsiTheme="minorHAnsi" w:cstheme="minorHAnsi"/>
          <w:sz w:val="22"/>
          <w:szCs w:val="22"/>
          <w:lang w:val="sr-Latn-RS"/>
        </w:rPr>
        <w:t xml:space="preserve">U slučajevima izmene </w:t>
      </w:r>
      <w:r w:rsidR="00764DD1">
        <w:rPr>
          <w:rFonts w:asciiTheme="minorHAnsi" w:hAnsiTheme="minorHAnsi" w:cstheme="minorHAnsi"/>
          <w:sz w:val="22"/>
          <w:szCs w:val="22"/>
          <w:lang w:val="sr-Latn-RS"/>
        </w:rPr>
        <w:t>P</w:t>
      </w:r>
      <w:r w:rsidRPr="002F45C6">
        <w:rPr>
          <w:rFonts w:asciiTheme="minorHAnsi" w:hAnsiTheme="minorHAnsi" w:cstheme="minorHAnsi"/>
          <w:sz w:val="22"/>
          <w:szCs w:val="22"/>
          <w:lang w:val="sr-Latn-RS"/>
        </w:rPr>
        <w:t>rojekta</w:t>
      </w:r>
      <w:r w:rsidR="008D0462" w:rsidRPr="002F45C6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764DD1">
        <w:rPr>
          <w:rFonts w:asciiTheme="minorHAnsi" w:hAnsiTheme="minorHAnsi" w:cstheme="minorHAnsi"/>
          <w:sz w:val="22"/>
          <w:szCs w:val="22"/>
          <w:lang w:val="sr-Latn-RS"/>
        </w:rPr>
        <w:t xml:space="preserve">ukoliko </w:t>
      </w:r>
      <w:r w:rsidR="008D0462" w:rsidRPr="002F45C6">
        <w:rPr>
          <w:rFonts w:asciiTheme="minorHAnsi" w:hAnsiTheme="minorHAnsi" w:cstheme="minorHAnsi"/>
          <w:sz w:val="22"/>
          <w:szCs w:val="22"/>
          <w:lang w:val="sr-Latn-RS"/>
        </w:rPr>
        <w:t xml:space="preserve">nepredviđene okolnosti ili performanse projekta dovedu do promena rizika i uticaja tokom implementacije Projekta, Zajmoprimac </w:t>
      </w:r>
      <w:proofErr w:type="spellStart"/>
      <w:r w:rsidR="008D0462" w:rsidRPr="002F45C6">
        <w:rPr>
          <w:rFonts w:asciiTheme="minorHAnsi" w:hAnsiTheme="minorHAnsi" w:cstheme="minorHAnsi"/>
          <w:sz w:val="22"/>
          <w:szCs w:val="22"/>
          <w:lang w:val="sr-Latn-RS"/>
        </w:rPr>
        <w:t>će</w:t>
      </w:r>
      <w:proofErr w:type="spellEnd"/>
      <w:r w:rsidR="008D0462" w:rsidRPr="002F45C6">
        <w:rPr>
          <w:rFonts w:asciiTheme="minorHAnsi" w:hAnsiTheme="minorHAnsi" w:cstheme="minorHAnsi"/>
          <w:sz w:val="22"/>
          <w:szCs w:val="22"/>
          <w:lang w:val="sr-Latn-RS"/>
        </w:rPr>
        <w:t xml:space="preserve"> obezbediti dodatna sredstva, ako je potrebno, za sprovođenje radnji i mera za rešavanje takvih rizika i uticaja.</w:t>
      </w:r>
    </w:p>
    <w:p w:rsidR="00E20C02" w:rsidRPr="002F45C6" w:rsidRDefault="00E20C02" w:rsidP="00E20C02">
      <w:pPr>
        <w:pStyle w:val="ListParagraph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07005" w:rsidRDefault="00707005" w:rsidP="001F4C8A">
      <w:pPr>
        <w:spacing w:after="240"/>
        <w:jc w:val="both"/>
        <w:rPr>
          <w:rFonts w:asciiTheme="minorHAnsi" w:hAnsiTheme="minorHAnsi" w:cstheme="minorBidi"/>
          <w:color w:val="C00000"/>
          <w:sz w:val="18"/>
          <w:szCs w:val="18"/>
          <w:lang w:val="sr-Latn-RS"/>
        </w:rPr>
      </w:pPr>
    </w:p>
    <w:p w:rsidR="001F4C8A" w:rsidRPr="001F4C8A" w:rsidRDefault="001F4C8A" w:rsidP="001F4C8A">
      <w:pPr>
        <w:pStyle w:val="ListParagraph"/>
        <w:numPr>
          <w:ilvl w:val="0"/>
          <w:numId w:val="6"/>
        </w:numPr>
        <w:spacing w:after="240"/>
        <w:jc w:val="both"/>
        <w:rPr>
          <w:rFonts w:asciiTheme="minorHAnsi" w:hAnsiTheme="minorHAnsi" w:cstheme="minorBidi"/>
          <w:color w:val="C00000"/>
          <w:sz w:val="18"/>
          <w:szCs w:val="18"/>
          <w:lang w:val="sr-Latn-RS"/>
        </w:rPr>
        <w:sectPr w:rsidR="001F4C8A" w:rsidRPr="001F4C8A" w:rsidSect="006032CF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68" w:bottom="1134" w:left="992" w:header="397" w:footer="397" w:gutter="0"/>
          <w:cols w:space="720"/>
          <w:docGrid w:linePitch="360"/>
        </w:sectPr>
      </w:pP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750"/>
        <w:gridCol w:w="21"/>
        <w:gridCol w:w="4389"/>
        <w:gridCol w:w="6"/>
        <w:gridCol w:w="2424"/>
      </w:tblGrid>
      <w:tr w:rsidR="0052648F" w:rsidRPr="002F45C6" w:rsidTr="70D9D94D">
        <w:trPr>
          <w:cantSplit/>
          <w:trHeight w:val="397"/>
          <w:tblHeader/>
        </w:trPr>
        <w:tc>
          <w:tcPr>
            <w:tcW w:w="7486" w:type="dxa"/>
            <w:gridSpan w:val="3"/>
            <w:tcBorders>
              <w:top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900A8" w:rsidRPr="002F45C6" w:rsidRDefault="008D0462" w:rsidP="0052648F">
            <w:pPr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lastRenderedPageBreak/>
              <w:t>MATERIJALNE MERE I RADNJE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900A8" w:rsidRPr="002F45C6" w:rsidRDefault="008D0462" w:rsidP="0052648F">
            <w:pPr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VREMENSKI OKVIR</w:t>
            </w:r>
          </w:p>
        </w:tc>
        <w:tc>
          <w:tcPr>
            <w:tcW w:w="2424" w:type="dxa"/>
            <w:tcBorders>
              <w:top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E900A8" w:rsidRPr="002F45C6" w:rsidRDefault="008D0462" w:rsidP="00816457">
            <w:pPr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ODGOVORN</w:t>
            </w:r>
            <w:r w:rsidR="00816457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A INSTITUCIJA</w:t>
            </w:r>
          </w:p>
        </w:tc>
      </w:tr>
      <w:tr w:rsidR="0052648F" w:rsidRPr="002F45C6" w:rsidTr="70D9D94D">
        <w:trPr>
          <w:cantSplit/>
          <w:trHeight w:val="397"/>
        </w:trPr>
        <w:tc>
          <w:tcPr>
            <w:tcW w:w="14305" w:type="dxa"/>
            <w:gridSpan w:val="6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E900A8" w:rsidRPr="002F45C6" w:rsidRDefault="00C0061F" w:rsidP="0052648F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PRAĆENJE I IZVEŠTAVANJE</w:t>
            </w:r>
          </w:p>
        </w:tc>
      </w:tr>
      <w:tr w:rsidR="0052648F" w:rsidRPr="002F45C6" w:rsidTr="70D9D94D">
        <w:trPr>
          <w:cantSplit/>
          <w:trHeight w:val="397"/>
        </w:trPr>
        <w:tc>
          <w:tcPr>
            <w:tcW w:w="715" w:type="dxa"/>
            <w:tcBorders>
              <w:bottom w:val="single" w:sz="4" w:space="0" w:color="auto"/>
            </w:tcBorders>
          </w:tcPr>
          <w:p w:rsidR="00E900A8" w:rsidRPr="002F45C6" w:rsidRDefault="00AB6BDD" w:rsidP="004E36F5">
            <w:pPr>
              <w:keepLines/>
              <w:widowControl w:val="0"/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E900A8" w:rsidRPr="002F45C6" w:rsidRDefault="00C0061F" w:rsidP="004E36F5">
            <w:pPr>
              <w:keepLines/>
              <w:widowControl w:val="0"/>
              <w:spacing w:after="40"/>
              <w:rPr>
                <w:rFonts w:asciiTheme="minorHAnsi" w:hAnsiTheme="minorHAnsi" w:cstheme="minorHAnsi"/>
                <w:color w:val="0070C0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REDOVNO IZVEŠTAVANJE</w:t>
            </w:r>
            <w:r w:rsidR="00AB6BDD" w:rsidRPr="002F45C6">
              <w:rPr>
                <w:rFonts w:asciiTheme="minorHAnsi" w:hAnsiTheme="minorHAnsi" w:cstheme="minorHAnsi"/>
                <w:color w:val="0070C0"/>
                <w:sz w:val="20"/>
                <w:szCs w:val="20"/>
                <w:lang w:val="sr-Latn-RS"/>
              </w:rPr>
              <w:t xml:space="preserve">: </w:t>
            </w:r>
          </w:p>
          <w:p w:rsidR="00E900A8" w:rsidRPr="002F45C6" w:rsidRDefault="00C0061F" w:rsidP="003B296D">
            <w:pPr>
              <w:keepLines/>
              <w:widowControl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Priprema i dostavlja Banci redovne izveštaje o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praćenju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 vezi sa životnom, društven</w:t>
            </w:r>
            <w:r w:rsidR="003B296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m, zdravstven</w:t>
            </w:r>
            <w:r w:rsidR="003B296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 i bezbednosn</w:t>
            </w:r>
            <w:r w:rsidR="003B296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m (ESHS) učinkom Projekta,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uključujući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, ali ne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ograničavajući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se na implementaciju ESCP-a, status pripreme i implementacije E&amp;S dokumenata koji se zahtevaju u okviru ESCP-a, aktivnosti angažovanja zainteresovanih strana, fun</w:t>
            </w:r>
            <w:r w:rsidR="00175A7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kcionisanje žalbenog mehanizma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E900A8" w:rsidRPr="002F45C6" w:rsidRDefault="00E900A8" w:rsidP="004E36F5">
            <w:pPr>
              <w:keepLines/>
              <w:widowControl w:val="0"/>
              <w:spacing w:after="4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</w:p>
          <w:p w:rsidR="00A82C81" w:rsidRPr="002F45C6" w:rsidRDefault="00C0061F" w:rsidP="00B6781B">
            <w:pPr>
              <w:keepLines/>
              <w:widowControl w:val="0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Počev 180 dana nakon datuma stupanja na snagu</w:t>
            </w:r>
            <w:r w:rsidR="002E741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Projekta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, a zatim polugodišnje (svakih 6 meseci) tokom implementacije 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rojekta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E900A8" w:rsidRPr="002F45C6" w:rsidRDefault="000D00C9" w:rsidP="00B6781B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MF </w:t>
            </w:r>
            <w:r w:rsidR="0085459F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Jedinica za implementaciju projekata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85459F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</w:tc>
      </w:tr>
      <w:tr w:rsidR="00FC6F12" w:rsidRPr="002F45C6" w:rsidTr="70D9D94D">
        <w:trPr>
          <w:cantSplit/>
          <w:trHeight w:val="397"/>
        </w:trPr>
        <w:tc>
          <w:tcPr>
            <w:tcW w:w="715" w:type="dxa"/>
            <w:tcBorders>
              <w:bottom w:val="single" w:sz="4" w:space="0" w:color="auto"/>
            </w:tcBorders>
          </w:tcPr>
          <w:p w:rsidR="00E900A8" w:rsidRPr="002F45C6" w:rsidRDefault="00AB6BDD" w:rsidP="004E36F5">
            <w:pPr>
              <w:keepLines/>
              <w:widowControl w:val="0"/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B</w:t>
            </w:r>
          </w:p>
        </w:tc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52648F" w:rsidRPr="002F45C6" w:rsidRDefault="00E76F8E" w:rsidP="004E36F5">
            <w:pPr>
              <w:keepLines/>
              <w:widowControl w:val="0"/>
              <w:spacing w:after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sr-Latn-RS"/>
              </w:rPr>
            </w:pPr>
            <w:r w:rsidRPr="00175A7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sr-Latn-RS"/>
              </w:rPr>
              <w:t>NESREĆE</w:t>
            </w:r>
            <w:r w:rsidR="00C0061F" w:rsidRPr="00175A7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sr-Latn-RS"/>
              </w:rPr>
              <w:t xml:space="preserve"> I </w:t>
            </w:r>
            <w:r w:rsidRPr="00175A7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sr-Latn-RS"/>
              </w:rPr>
              <w:t>NEZGODE</w:t>
            </w:r>
            <w:r w:rsidR="00C0061F" w:rsidRPr="00175A7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sr-Latn-RS"/>
              </w:rPr>
              <w:t>:</w:t>
            </w:r>
          </w:p>
          <w:p w:rsidR="00E900A8" w:rsidRPr="002F45C6" w:rsidRDefault="0085459F" w:rsidP="003B296D">
            <w:pPr>
              <w:keepLines/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Jedinica za implementaciju projekta (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)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odmah obavestiti Banku o svako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j nesreći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ili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nezgodi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 vezi sa Projektom koji ima ili </w:t>
            </w:r>
            <w:proofErr w:type="spellStart"/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verovatno imati značajan negativan uticaj na životnu sredinu, ugrožene zajednice, javnost ili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zaposlene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 Nave</w:t>
            </w:r>
            <w:r w:rsidR="003B296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sti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dovoljno detalja u vezi sa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nesrećom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ili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nezgodom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navodeći</w:t>
            </w:r>
            <w:proofErr w:type="spellEnd"/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hitne mere koje su preduzete ili koje se planiraju preduzeti za rešavanje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takve nesreće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, prema potrebi. Nakon toga, na zahtev Ban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ke, </w:t>
            </w:r>
            <w:r w:rsidR="0002201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potrebno je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pripremiti izveštaj o nesreći 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ili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nezgodi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 predložiti mere za sprečavanje nj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ihovog</w:t>
            </w:r>
            <w:r w:rsidR="00C0061F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ponavljanja.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86A19" w:rsidRPr="002F45C6" w:rsidRDefault="00686A19" w:rsidP="000D2217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4E36F5" w:rsidRPr="002F45C6" w:rsidRDefault="0085459F" w:rsidP="004E36F5">
            <w:pPr>
              <w:keepLines/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Obavestit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Banku u roku od 48 sati od saznanja o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nesreć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ili nezgod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. MF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dostaviti Banci izveštaj o </w:t>
            </w:r>
            <w:r w:rsidR="00E76F8E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nesreći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uključujuć</w:t>
            </w:r>
            <w:r w:rsidRP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proofErr w:type="spellEnd"/>
            <w:r w:rsidRP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RCA,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mere predostrožnosti i preduzete mere kompenzacije, u roku od 30 kalendarskih dana.</w:t>
            </w:r>
          </w:p>
          <w:p w:rsidR="00E900A8" w:rsidRPr="002F45C6" w:rsidRDefault="00E900A8" w:rsidP="004E36F5">
            <w:pPr>
              <w:keepLines/>
              <w:widowControl w:val="0"/>
              <w:spacing w:after="4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E900A8" w:rsidRPr="002F45C6" w:rsidRDefault="0085459F" w:rsidP="004E36F5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</w:t>
            </w:r>
            <w:r w:rsidR="00EC604E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</w:t>
            </w: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E900A8" w:rsidRPr="002F45C6" w:rsidRDefault="00E900A8" w:rsidP="004E36F5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</w:tc>
      </w:tr>
      <w:tr w:rsidR="00FC6F12" w:rsidRPr="002F45C6" w:rsidTr="70D9D94D">
        <w:trPr>
          <w:cantSplit/>
          <w:trHeight w:val="397"/>
        </w:trPr>
        <w:tc>
          <w:tcPr>
            <w:tcW w:w="14305" w:type="dxa"/>
            <w:gridSpan w:val="6"/>
            <w:tcBorders>
              <w:top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E900A8" w:rsidRPr="002F45C6" w:rsidRDefault="00B6781B" w:rsidP="00E76F8E">
            <w:pPr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B6781B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Ekološki i socijalni standardi (</w:t>
            </w:r>
            <w:r w:rsidR="00AB6BDD" w:rsidRPr="00B6781B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ESS</w:t>
            </w:r>
            <w:r w:rsidRPr="00B6781B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)</w:t>
            </w:r>
            <w:r w:rsidR="00AB6BDD" w:rsidRPr="00B6781B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1:  </w:t>
            </w:r>
            <w:r w:rsidR="0085459F" w:rsidRPr="00B6781B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PROCENA</w:t>
            </w:r>
            <w:r w:rsidR="0085459F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I UPRAVLJANJE EKOLOŠKIM I </w:t>
            </w:r>
            <w:r w:rsidR="00E76F8E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SOCIJALNIM</w:t>
            </w:r>
            <w:r w:rsidR="0085459F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RIZICIMA I UTICAJIMA</w:t>
            </w:r>
          </w:p>
        </w:tc>
      </w:tr>
      <w:tr w:rsidR="00FC6F12" w:rsidRPr="002F45C6" w:rsidTr="70D9D94D">
        <w:trPr>
          <w:cantSplit/>
          <w:trHeight w:val="397"/>
        </w:trPr>
        <w:tc>
          <w:tcPr>
            <w:tcW w:w="715" w:type="dxa"/>
            <w:tcBorders>
              <w:top w:val="single" w:sz="4" w:space="0" w:color="000000" w:themeColor="text1"/>
            </w:tcBorders>
          </w:tcPr>
          <w:p w:rsidR="00E900A8" w:rsidRPr="002F45C6" w:rsidRDefault="00AB6BDD" w:rsidP="005C4FE0">
            <w:pPr>
              <w:keepLines/>
              <w:widowControl w:val="0"/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1.1</w:t>
            </w:r>
          </w:p>
        </w:tc>
        <w:tc>
          <w:tcPr>
            <w:tcW w:w="6771" w:type="dxa"/>
            <w:gridSpan w:val="2"/>
            <w:tcBorders>
              <w:top w:val="single" w:sz="4" w:space="0" w:color="000000" w:themeColor="text1"/>
            </w:tcBorders>
          </w:tcPr>
          <w:p w:rsidR="005C4FE0" w:rsidRPr="002F45C6" w:rsidRDefault="0085459F" w:rsidP="005C4FE0">
            <w:pPr>
              <w:keepLines/>
              <w:widowControl w:val="0"/>
              <w:spacing w:after="40"/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ORGANIZA</w:t>
            </w:r>
            <w:r w:rsidR="0002201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CIONA</w:t>
            </w:r>
            <w:r w:rsidRPr="002F45C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 xml:space="preserve"> STRU</w:t>
            </w:r>
            <w:r w:rsidR="0002201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K</w:t>
            </w:r>
            <w:r w:rsidRPr="002F45C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TUR</w:t>
            </w:r>
            <w:r w:rsidR="0002201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A</w:t>
            </w:r>
            <w:r w:rsidR="00AB6BDD" w:rsidRPr="002F45C6">
              <w:rPr>
                <w:rFonts w:asciiTheme="minorHAnsi" w:hAnsiTheme="minorHAnsi" w:cstheme="minorHAnsi"/>
                <w:color w:val="0070C0"/>
                <w:sz w:val="20"/>
                <w:szCs w:val="20"/>
                <w:lang w:val="sr-Latn-RS"/>
              </w:rPr>
              <w:t xml:space="preserve">:  </w:t>
            </w:r>
          </w:p>
          <w:p w:rsidR="00E900A8" w:rsidRPr="002F45C6" w:rsidRDefault="0085459F" w:rsidP="00B6781B">
            <w:pPr>
              <w:keepLines/>
              <w:widowControl w:val="0"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Projekat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realizovati Ministarstvo finansija kao opšti koordinator. Ministarstvo finansija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uspostaviti i održavati Jedinicu za implementaciju projekta (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) sa kvalifikovanim osobljem i resursima,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uključujući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jednog stručnjaka </w:t>
            </w:r>
            <w:r w:rsidR="00074858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za ekološka i socijalna pitanja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, kako bi podržalo upravljanje ekološkim, socijalnim, zdravstvenim i bezbednosnim (ESHS) rizicima i uticajima Projekta tokom implementacije projekta.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</w:tcBorders>
          </w:tcPr>
          <w:p w:rsidR="00686A19" w:rsidRPr="002F45C6" w:rsidRDefault="00686A19" w:rsidP="005C4FE0">
            <w:pPr>
              <w:keepLines/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E900A8" w:rsidRPr="002F45C6" w:rsidRDefault="00760207" w:rsidP="00B6781B">
            <w:pPr>
              <w:keepLines/>
              <w:widowControl w:val="0"/>
              <w:spacing w:after="4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JIP</w:t>
            </w:r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projekata u MF </w:t>
            </w:r>
            <w:proofErr w:type="spellStart"/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će</w:t>
            </w:r>
            <w:proofErr w:type="spellEnd"/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imenovati ili angažovati jednog stručnjaka za </w:t>
            </w:r>
            <w:r w:rsidR="00074858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ekološka i socijalna pitanja</w:t>
            </w:r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najkasnije 30 dana nakon datuma stupanja na snagu </w:t>
            </w:r>
            <w:r w:rsidR="00B6781B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P</w:t>
            </w:r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rojekta i </w:t>
            </w:r>
            <w:r w:rsidR="00B6781B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koji će biti angažovan</w:t>
            </w:r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tokom</w:t>
            </w:r>
            <w:r w:rsidR="00B6781B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perioda </w:t>
            </w:r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implementacije </w:t>
            </w:r>
            <w:r w:rsidR="00B6781B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P</w:t>
            </w:r>
            <w:r w:rsidR="00061C10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rojekta.</w:t>
            </w:r>
          </w:p>
        </w:tc>
        <w:tc>
          <w:tcPr>
            <w:tcW w:w="2424" w:type="dxa"/>
            <w:tcBorders>
              <w:top w:val="single" w:sz="4" w:space="0" w:color="000000" w:themeColor="text1"/>
            </w:tcBorders>
          </w:tcPr>
          <w:p w:rsidR="00E900A8" w:rsidRPr="002F45C6" w:rsidRDefault="00061C10" w:rsidP="005C4FE0">
            <w:pPr>
              <w:keepLines/>
              <w:widowControl w:val="0"/>
              <w:spacing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</w:t>
            </w:r>
          </w:p>
        </w:tc>
      </w:tr>
      <w:tr w:rsidR="0000536A" w:rsidRPr="002F45C6" w:rsidTr="70D9D94D">
        <w:trPr>
          <w:cantSplit/>
          <w:trHeight w:val="397"/>
        </w:trPr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00A8" w:rsidRPr="002F45C6" w:rsidRDefault="00AB6BDD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1.2</w:t>
            </w:r>
          </w:p>
        </w:tc>
        <w:tc>
          <w:tcPr>
            <w:tcW w:w="677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520B" w:rsidRPr="002F45C6" w:rsidRDefault="00061C10">
            <w:pPr>
              <w:keepLines/>
              <w:widowControl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EKOLOŠKA I SOCIJALNA PROCENA</w:t>
            </w:r>
          </w:p>
          <w:p w:rsidR="00CE6EEF" w:rsidRDefault="00061C10" w:rsidP="00D61F66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MF je pripremilo nacrt Procedure ekološkog i socijalnog 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praćenja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koji je uključen u Operativni priručnik projekta (POM). 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Neophodno je o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sigurati da je Procedura ekološkog i socijalnog 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</w:t>
            </w:r>
            <w:r w:rsidR="00B6781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raćenja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 potpunosti operativna i 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održiva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tokom trajanja 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rojekta.</w:t>
            </w:r>
          </w:p>
          <w:p w:rsidR="00D61F66" w:rsidRPr="002F45C6" w:rsidRDefault="00D61F66" w:rsidP="00D61F66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00A8" w:rsidRPr="002F45C6" w:rsidRDefault="00E66613" w:rsidP="00E66613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6661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Dostavit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E6661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ESP Banci na njenu prethodnu reviziju i odobrenje, kao deo konačnog POM-a, najkasnije 30 dana nakon 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</w:t>
            </w:r>
            <w:r w:rsidR="00772108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atuma stupanja na snagu </w:t>
            </w:r>
            <w:r w:rsidR="002E741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Projekta </w:t>
            </w:r>
            <w:r w:rsidR="00772108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 </w:t>
            </w:r>
            <w:proofErr w:type="spellStart"/>
            <w:r w:rsidR="00772108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sprovodiće</w:t>
            </w:r>
            <w:proofErr w:type="spellEnd"/>
            <w:r w:rsidR="00772108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se tokom 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perioda </w:t>
            </w:r>
            <w:r w:rsidR="00867EC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implementacije</w:t>
            </w:r>
            <w:r w:rsidR="007D6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</w:t>
            </w:r>
            <w:r w:rsidR="00772108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rojekta.</w:t>
            </w:r>
          </w:p>
        </w:tc>
        <w:tc>
          <w:tcPr>
            <w:tcW w:w="24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00A8" w:rsidRPr="002F45C6" w:rsidRDefault="00E900A8" w:rsidP="00A92D2F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A92D2F" w:rsidRPr="002F45C6" w:rsidRDefault="00772108" w:rsidP="00A92D2F">
            <w:pPr>
              <w:keepLines/>
              <w:widowControl w:val="0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</w:tc>
      </w:tr>
      <w:tr w:rsidR="00CB099A" w:rsidRPr="002F45C6" w:rsidTr="70D9D94D">
        <w:trPr>
          <w:cantSplit/>
          <w:trHeight w:val="397"/>
        </w:trPr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099A" w:rsidRPr="002F45C6" w:rsidRDefault="00CB099A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1.3 </w:t>
            </w:r>
          </w:p>
        </w:tc>
        <w:tc>
          <w:tcPr>
            <w:tcW w:w="677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099A" w:rsidRPr="00CB099A" w:rsidRDefault="00CB099A" w:rsidP="00CB099A">
            <w:pPr>
              <w:keepLines/>
              <w:widowControl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</w:pPr>
            <w:r w:rsidRPr="00CB099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UPRAVLJANJE IZVOĐAČIMA</w:t>
            </w:r>
          </w:p>
          <w:p w:rsidR="00CB099A" w:rsidRPr="002F45C6" w:rsidRDefault="00CB099A" w:rsidP="00CB099A">
            <w:pPr>
              <w:keepLines/>
              <w:widowControl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</w:pPr>
            <w:r w:rsidRPr="00CB099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Uključiti relevantne aspekte ESCP-a, </w:t>
            </w:r>
            <w:proofErr w:type="spellStart"/>
            <w:r w:rsidRPr="00CB099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uključujući</w:t>
            </w:r>
            <w:proofErr w:type="spellEnd"/>
            <w:r w:rsidRPr="00CB099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, između ostalog, relevantne E&amp;S instrumente, Procedure upravljanja radom i kodekse ponašanja u ESHS specifikacije dokumenata nabavke i ugovora sa izvođačima. Nakon toga osigurajte da se izvođači pridržavaju ESHS specifikacija svojih ugovora.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099A" w:rsidRPr="00CB099A" w:rsidRDefault="00CB099A" w:rsidP="00CB099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CB099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 izrade dokumentacije nabavke.</w:t>
            </w:r>
          </w:p>
          <w:p w:rsidR="00CB099A" w:rsidRPr="00E66613" w:rsidRDefault="00CB099A" w:rsidP="00CB099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CB099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Nadgledati izvođače tokom implementacije projekta</w:t>
            </w:r>
          </w:p>
        </w:tc>
        <w:tc>
          <w:tcPr>
            <w:tcW w:w="24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099A" w:rsidRPr="002F45C6" w:rsidRDefault="00CB099A" w:rsidP="00CB099A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 (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CB099A" w:rsidRPr="002F45C6" w:rsidRDefault="00CB099A" w:rsidP="00A92D2F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</w:tc>
      </w:tr>
      <w:tr w:rsidR="00933111" w:rsidRPr="002F45C6" w:rsidTr="70D9D94D">
        <w:trPr>
          <w:cantSplit/>
          <w:trHeight w:val="397"/>
        </w:trPr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3111" w:rsidRDefault="00933111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lastRenderedPageBreak/>
              <w:t>1.4</w:t>
            </w:r>
          </w:p>
        </w:tc>
        <w:tc>
          <w:tcPr>
            <w:tcW w:w="677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3111" w:rsidRPr="00933111" w:rsidRDefault="00933111" w:rsidP="00933111">
            <w:pPr>
              <w:keepLines/>
              <w:widowControl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</w:pPr>
            <w:r w:rsidRPr="0093311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TEHNIČKA POMOĆ</w:t>
            </w:r>
          </w:p>
          <w:p w:rsidR="00933111" w:rsidRPr="00933111" w:rsidRDefault="00933111" w:rsidP="00933111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Osigurati da se konsultacije, studije, izgradnja kapaciteta, obuka i svaka druga tehnička </w:t>
            </w:r>
            <w:proofErr w:type="spellStart"/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pomoc</w:t>
            </w:r>
            <w:proofErr w:type="spellEnd"/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́ koja se sprovodi u okviru Projekta sprovode u skladu sa projektnim zadacima koji su prihvatljivi za Banku i</w:t>
            </w:r>
            <w:r w:rsidR="00B957BA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koji uključuju relevantne zahte</w:t>
            </w:r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ve ESS-a.</w:t>
            </w:r>
          </w:p>
          <w:p w:rsidR="00933111" w:rsidRPr="00933111" w:rsidRDefault="00933111" w:rsidP="00933111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933111" w:rsidRPr="00933111" w:rsidRDefault="00933111" w:rsidP="00933111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Osigurati da su svi rezultati aktivnosti tehničke </w:t>
            </w:r>
            <w:proofErr w:type="spellStart"/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pomoći</w:t>
            </w:r>
            <w:proofErr w:type="spellEnd"/>
            <w:r w:rsidRPr="0093311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 skladu sa ESS-ovima.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3111" w:rsidRPr="00CB099A" w:rsidRDefault="00B9106E" w:rsidP="00CB099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B9106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Tokom implementacije Projekta</w:t>
            </w:r>
          </w:p>
        </w:tc>
        <w:tc>
          <w:tcPr>
            <w:tcW w:w="24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597F" w:rsidRPr="002F45C6" w:rsidRDefault="00BD597F" w:rsidP="00BD597F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 (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933111" w:rsidRPr="002F45C6" w:rsidRDefault="00933111" w:rsidP="00CB099A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</w:tc>
      </w:tr>
      <w:tr w:rsidR="00B669CD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B669CD">
            <w:pPr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ESS 2:</w:t>
            </w:r>
            <w:r w:rsidR="00772108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 RAD I USLOVI RADA</w:t>
            </w:r>
          </w:p>
        </w:tc>
      </w:tr>
      <w:tr w:rsidR="00FC6F12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AB6BDD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2.1</w:t>
            </w:r>
          </w:p>
        </w:tc>
        <w:tc>
          <w:tcPr>
            <w:tcW w:w="6771" w:type="dxa"/>
            <w:gridSpan w:val="2"/>
          </w:tcPr>
          <w:p w:rsidR="00283908" w:rsidRPr="002F45C6" w:rsidRDefault="001D61E4">
            <w:pPr>
              <w:keepLines/>
              <w:widowControl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r-Latn-RS"/>
              </w:rPr>
              <w:t>UPRAVLJANJE RADOM</w:t>
            </w:r>
          </w:p>
          <w:p w:rsidR="002E6BF9" w:rsidRPr="002F45C6" w:rsidRDefault="002E6BF9" w:rsidP="006E549C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Projekat će se sprovoditi u skladu sa primenjivim z</w:t>
            </w:r>
            <w:r w:rsidRPr="00867EC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ahtevima ESS2, na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način prihvatljiv za Banku, uključujući, između ostalog, sprovođenje adekvatnih mera zaštite zdravlja i bezbednosti na radu (uključujući mere pripravnosti i reagovanja u vanrednim situacijama), utvrđivanje žalbenih aranžmana za zaposlene na projektu, uključujući mere za rešavanje seksualnog uznemiravanja i seksualne eksploatacije i zlostavljanja.</w:t>
            </w:r>
          </w:p>
          <w:p w:rsidR="002E6BF9" w:rsidRPr="002F45C6" w:rsidRDefault="002E6BF9" w:rsidP="006E549C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E6BF9" w:rsidRPr="002F45C6" w:rsidRDefault="002E6BF9" w:rsidP="006E549C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Usvojiti i primeniti procedure upravljanja radom (</w:t>
            </w:r>
            <w:r w:rsidR="00867EC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PUR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), koje su pripremljene pre procene </w:t>
            </w:r>
            <w:r w:rsidR="00867EC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rojekta, u skladu sa zahtevima nacionalnog zakona i ESS2, i obezbediti da su zaposleni na Projektu obavešteni i da imaju pristup ovim dokumentima.</w:t>
            </w:r>
          </w:p>
          <w:p w:rsidR="002E6BF9" w:rsidRPr="002F45C6" w:rsidRDefault="002E6BF9" w:rsidP="006E549C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E6BF9" w:rsidRPr="002F45C6" w:rsidRDefault="002E6BF9" w:rsidP="006E549C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MF će obavezati izvođače da implementiraju procedure upravljanja radom, u skladu sa Projektom </w:t>
            </w:r>
            <w:r w:rsidR="00867EC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PUR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  <w:p w:rsidR="00283908" w:rsidRPr="002F45C6" w:rsidRDefault="00283908" w:rsidP="00191E7F">
            <w:pPr>
              <w:keepLines/>
              <w:widowControl w:val="0"/>
              <w:rPr>
                <w:rFonts w:asciiTheme="minorHAnsi" w:hAnsiTheme="minorHAnsi" w:cstheme="minorHAnsi"/>
                <w:color w:val="C00000"/>
                <w:sz w:val="20"/>
                <w:szCs w:val="20"/>
                <w:lang w:val="sr-Latn-RS"/>
              </w:rPr>
            </w:pPr>
          </w:p>
        </w:tc>
        <w:tc>
          <w:tcPr>
            <w:tcW w:w="4395" w:type="dxa"/>
            <w:gridSpan w:val="2"/>
          </w:tcPr>
          <w:p w:rsidR="00E95FA0" w:rsidRPr="002F45C6" w:rsidRDefault="00E95FA0" w:rsidP="004043C0">
            <w:pPr>
              <w:keepLines/>
              <w:widowControl w:val="0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</w:p>
          <w:p w:rsidR="000126DE" w:rsidRPr="002F45C6" w:rsidRDefault="001D61E4" w:rsidP="006B1C67">
            <w:pPr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Implementirati i pratiti procedure upravljanja radom </w:t>
            </w:r>
            <w:r w:rsidR="006B1C67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najkasnije 30 dana</w:t>
            </w:r>
            <w:r w:rsidRPr="002F45C6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od datuma stupanja na snagu</w:t>
            </w:r>
            <w:r w:rsidR="005A4EF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Projekta</w:t>
            </w:r>
            <w:r w:rsidRPr="002F45C6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i nakon toga tokom </w:t>
            </w:r>
            <w:r w:rsidR="00867EC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perioda implementacije</w:t>
            </w:r>
            <w:r w:rsidRPr="002F45C6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  <w:r w:rsidR="00867EC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</w:t>
            </w:r>
            <w:r w:rsidRPr="002F45C6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rojekta, i izveštavati kroz polugodišnje (svakih 6 meseci) izveštaje o napretku.</w:t>
            </w:r>
          </w:p>
        </w:tc>
        <w:tc>
          <w:tcPr>
            <w:tcW w:w="2424" w:type="dxa"/>
          </w:tcPr>
          <w:p w:rsidR="001D61E4" w:rsidRPr="002F45C6" w:rsidRDefault="001D61E4" w:rsidP="001D61E4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E900A8" w:rsidRPr="002F45C6" w:rsidRDefault="00E900A8" w:rsidP="001D61E4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9B3486" w:rsidRPr="002F45C6" w:rsidTr="70D9D94D">
        <w:trPr>
          <w:cantSplit/>
          <w:trHeight w:val="397"/>
        </w:trPr>
        <w:tc>
          <w:tcPr>
            <w:tcW w:w="715" w:type="dxa"/>
          </w:tcPr>
          <w:p w:rsidR="009B3486" w:rsidRPr="002F45C6" w:rsidRDefault="009B3486" w:rsidP="0035248A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2.2</w:t>
            </w:r>
          </w:p>
        </w:tc>
        <w:tc>
          <w:tcPr>
            <w:tcW w:w="6771" w:type="dxa"/>
            <w:gridSpan w:val="2"/>
          </w:tcPr>
          <w:p w:rsidR="009B3486" w:rsidRPr="002F45C6" w:rsidRDefault="003735C5" w:rsidP="0035248A">
            <w:pPr>
              <w:pStyle w:val="MainText"/>
              <w:keepLines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5B9BD5" w:themeColor="accent5"/>
                <w:szCs w:val="20"/>
                <w:lang w:val="sr-Latn-RS"/>
              </w:rPr>
              <w:t xml:space="preserve">ŽALBENI MEHANIZAM ZA </w:t>
            </w:r>
            <w:r w:rsidR="002E6BF9" w:rsidRPr="002F45C6">
              <w:rPr>
                <w:rFonts w:asciiTheme="minorHAnsi" w:hAnsiTheme="minorHAnsi" w:cstheme="minorHAnsi"/>
                <w:b/>
                <w:color w:val="5B9BD5" w:themeColor="accent5"/>
                <w:szCs w:val="20"/>
                <w:lang w:val="sr-Latn-RS"/>
              </w:rPr>
              <w:t xml:space="preserve">ZAPOSLENE NA PROJEKTU </w:t>
            </w:r>
          </w:p>
          <w:p w:rsidR="00A80AB6" w:rsidRPr="002F45C6" w:rsidRDefault="00A80AB6" w:rsidP="00A80AB6">
            <w:pPr>
              <w:pStyle w:val="MainText"/>
              <w:keepLines/>
              <w:widowControl w:val="0"/>
              <w:jc w:val="both"/>
              <w:rPr>
                <w:rFonts w:asciiTheme="minorHAnsi" w:hAnsiTheme="minorHAnsi" w:cstheme="minorHAnsi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Uspostaviti, održavati i upravljati žalbenim mehanizmom (</w:t>
            </w:r>
            <w:r w:rsidR="002E6BF9" w:rsidRPr="002F45C6">
              <w:rPr>
                <w:rFonts w:asciiTheme="minorHAnsi" w:hAnsiTheme="minorHAnsi" w:cstheme="minorHAnsi"/>
                <w:szCs w:val="20"/>
                <w:lang w:val="sr-Latn-RS"/>
              </w:rPr>
              <w:t>Ž</w:t>
            </w:r>
            <w:r w:rsidR="00CD100D">
              <w:rPr>
                <w:rFonts w:asciiTheme="minorHAnsi" w:hAnsiTheme="minorHAnsi" w:cstheme="minorHAnsi"/>
                <w:szCs w:val="20"/>
                <w:lang w:val="sr-Latn-RS"/>
              </w:rPr>
              <w:t>M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) za radnike na Projektu, kao što je opisano u </w:t>
            </w:r>
            <w:r w:rsidR="00CD100D">
              <w:rPr>
                <w:rFonts w:asciiTheme="minorHAnsi" w:hAnsiTheme="minorHAnsi" w:cstheme="minorHAnsi"/>
                <w:szCs w:val="20"/>
                <w:lang w:val="sr-Latn-RS"/>
              </w:rPr>
              <w:t>PUR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-u i u skladu sa ESS2. Žalbeni mehanizam </w:t>
            </w:r>
            <w:proofErr w:type="spellStart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biti prilagođen da prima žalbe na seksualno </w:t>
            </w:r>
            <w:proofErr w:type="spellStart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iskorišćavanje</w:t>
            </w:r>
            <w:proofErr w:type="spellEnd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i zlostavlj</w:t>
            </w:r>
            <w:r w:rsidR="002E6BF9" w:rsidRPr="002F45C6">
              <w:rPr>
                <w:rFonts w:asciiTheme="minorHAnsi" w:hAnsiTheme="minorHAnsi" w:cstheme="minorHAnsi"/>
                <w:szCs w:val="20"/>
                <w:lang w:val="sr-Latn-RS"/>
              </w:rPr>
              <w:t>anje i seksualno uznemiravanje. ŽP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</w:t>
            </w:r>
            <w:proofErr w:type="spellStart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biti lako </w:t>
            </w:r>
            <w:r w:rsidR="00CD100D">
              <w:rPr>
                <w:rFonts w:asciiTheme="minorHAnsi" w:hAnsiTheme="minorHAnsi" w:cstheme="minorHAnsi"/>
                <w:szCs w:val="20"/>
                <w:lang w:val="sr-Latn-RS"/>
              </w:rPr>
              <w:t>dostupan i blagovremeno obelodanjen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radnicima na Projektu, u skladu sa ESS2 i nacionalnim zakonima.</w:t>
            </w:r>
          </w:p>
          <w:p w:rsidR="00A80AB6" w:rsidRPr="002F45C6" w:rsidRDefault="00A80AB6" w:rsidP="00A80AB6">
            <w:pPr>
              <w:pStyle w:val="MainText"/>
              <w:keepLines/>
              <w:widowControl w:val="0"/>
              <w:jc w:val="both"/>
              <w:rPr>
                <w:rFonts w:asciiTheme="minorHAnsi" w:hAnsiTheme="minorHAnsi" w:cstheme="minorHAnsi"/>
                <w:szCs w:val="20"/>
                <w:lang w:val="sr-Latn-RS"/>
              </w:rPr>
            </w:pPr>
          </w:p>
          <w:p w:rsidR="00B9219B" w:rsidRPr="002F45C6" w:rsidRDefault="00A80AB6" w:rsidP="00CD100D">
            <w:pPr>
              <w:pStyle w:val="MainText"/>
              <w:keepLines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Izvođači </w:t>
            </w:r>
            <w:proofErr w:type="spellStart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upravljati Žalbenim mehanizmom</w:t>
            </w:r>
            <w:r w:rsidR="002E6BF9"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za zaposlene,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 xml:space="preserve"> kako je opisano u </w:t>
            </w:r>
            <w:r w:rsidR="00CD100D">
              <w:rPr>
                <w:rFonts w:asciiTheme="minorHAnsi" w:hAnsiTheme="minorHAnsi" w:cstheme="minorHAnsi"/>
                <w:szCs w:val="20"/>
                <w:lang w:val="sr-Latn-RS"/>
              </w:rPr>
              <w:t>PUR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-u i</w:t>
            </w:r>
            <w:r w:rsidR="00CD100D">
              <w:rPr>
                <w:rFonts w:asciiTheme="minorHAnsi" w:hAnsiTheme="minorHAnsi" w:cstheme="minorHAnsi"/>
                <w:szCs w:val="20"/>
                <w:lang w:val="sr-Latn-RS"/>
              </w:rPr>
              <w:t xml:space="preserve"> 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u skl</w:t>
            </w:r>
            <w:r w:rsidR="002E6BF9" w:rsidRPr="002F45C6">
              <w:rPr>
                <w:rFonts w:asciiTheme="minorHAnsi" w:hAnsiTheme="minorHAnsi" w:cstheme="minorHAnsi"/>
                <w:szCs w:val="20"/>
                <w:lang w:val="sr-Latn-RS"/>
              </w:rPr>
              <w:t>adu sa ESS2 i nacionalnim zakonodavstvom</w:t>
            </w:r>
            <w:r w:rsidRPr="002F45C6">
              <w:rPr>
                <w:rFonts w:asciiTheme="minorHAnsi" w:hAnsiTheme="minorHAnsi" w:cstheme="minorHAnsi"/>
                <w:szCs w:val="20"/>
                <w:lang w:val="sr-Latn-RS"/>
              </w:rPr>
              <w:t>.</w:t>
            </w:r>
          </w:p>
        </w:tc>
        <w:tc>
          <w:tcPr>
            <w:tcW w:w="4395" w:type="dxa"/>
            <w:gridSpan w:val="2"/>
          </w:tcPr>
          <w:p w:rsidR="009B3486" w:rsidRPr="002F45C6" w:rsidRDefault="009B3486" w:rsidP="0035248A">
            <w:pPr>
              <w:keepLines/>
              <w:widowControl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</w:p>
          <w:p w:rsidR="00A80AB6" w:rsidRPr="002F45C6" w:rsidRDefault="00A80AB6" w:rsidP="00A80AB6">
            <w:pPr>
              <w:keepLines/>
              <w:widowControl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Ž</w:t>
            </w:r>
            <w:r w:rsidR="00967FD8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M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biti operativan u roku od 30 dana od datuma stupanja na snagu </w:t>
            </w:r>
            <w:r w:rsidR="005A4EF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Projekta 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i </w:t>
            </w:r>
            <w:r w:rsidR="00CD100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sprovodiće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se tokom</w:t>
            </w:r>
            <w:r w:rsidR="00CD100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perioda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implementacije Projekta.</w:t>
            </w:r>
          </w:p>
          <w:p w:rsidR="00A80AB6" w:rsidRPr="002F45C6" w:rsidRDefault="00A80AB6" w:rsidP="00A80AB6">
            <w:pPr>
              <w:keepLines/>
              <w:widowControl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</w:p>
          <w:p w:rsidR="00A80AB6" w:rsidRPr="002F45C6" w:rsidRDefault="00A80AB6" w:rsidP="00A80AB6">
            <w:pPr>
              <w:keepLines/>
              <w:widowControl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Ugovarači </w:t>
            </w:r>
            <w:proofErr w:type="spellStart"/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operacionalizovati </w:t>
            </w:r>
            <w:r w:rsidR="008A6164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Ž</w:t>
            </w:r>
            <w:r w:rsidR="00CD100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M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za </w:t>
            </w:r>
            <w:r w:rsidR="008A6164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zaposlene sa ugovorom o radu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najkasnije 30 dana nakon datuma potpisivanja ugovora sa MF.</w:t>
            </w:r>
          </w:p>
          <w:p w:rsidR="00A80AB6" w:rsidRPr="002F45C6" w:rsidRDefault="00A80AB6" w:rsidP="00A80AB6">
            <w:pPr>
              <w:keepLines/>
              <w:widowControl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</w:p>
          <w:p w:rsidR="00A76F35" w:rsidRPr="002F45C6" w:rsidRDefault="00A80AB6" w:rsidP="00CD100D">
            <w:pPr>
              <w:keepLines/>
              <w:widowControl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Izveštavanje polugodišnje (svakih šest meseci) o </w:t>
            </w:r>
            <w:r w:rsidR="008A6164"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Ž</w:t>
            </w:r>
            <w:r w:rsidR="00CD100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M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 xml:space="preserve"> kroz izveštaje o napretku </w:t>
            </w:r>
            <w:r w:rsidR="00CD100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P</w:t>
            </w:r>
            <w:r w:rsidRPr="002F45C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sr-Latn-RS"/>
              </w:rPr>
              <w:t>rojekta.</w:t>
            </w:r>
          </w:p>
        </w:tc>
        <w:tc>
          <w:tcPr>
            <w:tcW w:w="2424" w:type="dxa"/>
          </w:tcPr>
          <w:p w:rsidR="00A80AB6" w:rsidRPr="002F45C6" w:rsidRDefault="00A80AB6" w:rsidP="00A80AB6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  <w:r w:rsidR="007D28BF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i </w:t>
            </w:r>
            <w:r w:rsidR="00CB09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izvođači</w:t>
            </w:r>
          </w:p>
          <w:p w:rsidR="009B3486" w:rsidRPr="002F45C6" w:rsidRDefault="009B3486" w:rsidP="00A80AB6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9B3486" w:rsidRPr="002F45C6" w:rsidTr="70D9D94D">
        <w:trPr>
          <w:cantSplit/>
          <w:trHeight w:val="397"/>
        </w:trPr>
        <w:tc>
          <w:tcPr>
            <w:tcW w:w="715" w:type="dxa"/>
          </w:tcPr>
          <w:p w:rsidR="009B3486" w:rsidRPr="002F45C6" w:rsidRDefault="009B3486" w:rsidP="0035248A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lastRenderedPageBreak/>
              <w:t>2.3</w:t>
            </w:r>
          </w:p>
        </w:tc>
        <w:tc>
          <w:tcPr>
            <w:tcW w:w="6771" w:type="dxa"/>
            <w:gridSpan w:val="2"/>
          </w:tcPr>
          <w:p w:rsidR="009B3486" w:rsidRPr="002F45C6" w:rsidRDefault="005C0B8A" w:rsidP="0035248A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5B9BD5" w:themeColor="accent5"/>
                <w:sz w:val="20"/>
                <w:szCs w:val="20"/>
                <w:lang w:val="sr-Latn-RS"/>
              </w:rPr>
              <w:t>MERE BEZBEDNOSTI I ZDRAVLJA NA RADU (OHS).</w:t>
            </w:r>
          </w:p>
          <w:p w:rsidR="005C0B8A" w:rsidRPr="002F45C6" w:rsidRDefault="005C0B8A" w:rsidP="005C0B8A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Usvojiti i primeniti mere zaštite na radu, zdravlja i bezbednosti (</w:t>
            </w:r>
            <w:proofErr w:type="spellStart"/>
            <w:r w:rsidR="00CD100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ZiB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) koje su navedene u </w:t>
            </w:r>
            <w:r w:rsidR="00CD100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PUR-u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  <w:p w:rsidR="005C0B8A" w:rsidRPr="002F45C6" w:rsidRDefault="005C0B8A" w:rsidP="005C0B8A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5C0B8A" w:rsidRPr="002F45C6" w:rsidRDefault="005C0B8A" w:rsidP="005C0B8A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Osigurati da izvođači sprovode i održavaju mere zaštite na radu za </w:t>
            </w:r>
            <w:r w:rsidR="008A6164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zaposlene sa ugovorom o radu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 skladu sa </w:t>
            </w:r>
            <w:r w:rsidR="00CD100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PUR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  <w:p w:rsidR="005C0B8A" w:rsidRPr="002F45C6" w:rsidRDefault="005C0B8A" w:rsidP="005C0B8A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920E1" w:rsidRPr="002F45C6" w:rsidRDefault="005C0B8A" w:rsidP="00CD100D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Pratiti da li su standardi zdravlja i bezbednosti na radu ispunjeni na radnim mestima u skladu sa nacionalnim zakonodavstvom o zdravlju i bezbednosti na radu, zahtevima ESS2 </w:t>
            </w:r>
            <w:proofErr w:type="spellStart"/>
            <w:r w:rsidR="00CD100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ZiB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 smernicama Svetske zdravstvene organizacije (SZO) i Svetske banke o prevenciji COVID-19, na način prihvatljiv za Banku.</w:t>
            </w:r>
          </w:p>
        </w:tc>
        <w:tc>
          <w:tcPr>
            <w:tcW w:w="4395" w:type="dxa"/>
            <w:gridSpan w:val="2"/>
          </w:tcPr>
          <w:p w:rsidR="006B1C67" w:rsidRDefault="006B1C67" w:rsidP="006B1C6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6B1C67" w:rsidRPr="006B1C67" w:rsidRDefault="006B1C67" w:rsidP="006B1C6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ajkasnije do</w:t>
            </w:r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30 dana nakon datuma stupanja na snagu i nakon toga implementirati tokom čitavog projekta.</w:t>
            </w:r>
          </w:p>
          <w:p w:rsidR="006B1C67" w:rsidRPr="006B1C67" w:rsidRDefault="006B1C67" w:rsidP="006B1C6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6B1C67" w:rsidRDefault="006B1C67" w:rsidP="006B1C6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ajkasnije do</w:t>
            </w:r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30 dana nakon datuma potpisivanja </w:t>
            </w:r>
            <w:proofErr w:type="spellStart"/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odgovarajućih</w:t>
            </w:r>
            <w:proofErr w:type="spellEnd"/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ugovora sa izvođačima i implementirati tokom implementacije projekta.</w:t>
            </w:r>
          </w:p>
          <w:p w:rsidR="006B1C67" w:rsidRPr="006B1C67" w:rsidRDefault="006B1C67" w:rsidP="006B1C6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941D2A" w:rsidRPr="006B1C67" w:rsidRDefault="006B1C67" w:rsidP="006B1C6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6B1C67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Tokom implementacije projekta i izveštavati Banku u polugodišnjim (šest meseci) izveštajima o napretku projekta.</w:t>
            </w:r>
          </w:p>
        </w:tc>
        <w:tc>
          <w:tcPr>
            <w:tcW w:w="2424" w:type="dxa"/>
          </w:tcPr>
          <w:p w:rsidR="005C0B8A" w:rsidRPr="002F45C6" w:rsidRDefault="005C0B8A" w:rsidP="005C0B8A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  <w:r w:rsidR="00BB7E02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i ugovarači</w:t>
            </w:r>
          </w:p>
          <w:p w:rsidR="004043C0" w:rsidRPr="002F45C6" w:rsidRDefault="004043C0" w:rsidP="004043C0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9B3486" w:rsidRPr="002F45C6" w:rsidRDefault="009B3486" w:rsidP="003524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006407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006407" w:rsidRPr="002F45C6" w:rsidRDefault="00006407" w:rsidP="008A6164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</w:t>
            </w:r>
            <w:r w:rsidR="005C0B8A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3:  EFIKASNO</w:t>
            </w:r>
            <w:r w:rsidR="008A616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UPRAVLJANJE RESURSIMA</w:t>
            </w:r>
            <w:r w:rsidR="005C0B8A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I SPREČAVANJE </w:t>
            </w:r>
            <w:r w:rsidR="008A616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ZAGAĐIVANJA</w:t>
            </w:r>
          </w:p>
        </w:tc>
      </w:tr>
      <w:tr w:rsidR="00801C18" w:rsidRPr="002F45C6" w:rsidTr="000123D6">
        <w:trPr>
          <w:cantSplit/>
          <w:trHeight w:val="397"/>
        </w:trPr>
        <w:tc>
          <w:tcPr>
            <w:tcW w:w="715" w:type="dxa"/>
            <w:shd w:val="clear" w:color="auto" w:fill="auto"/>
            <w:vAlign w:val="center"/>
          </w:tcPr>
          <w:p w:rsidR="00801C18" w:rsidRPr="002F45C6" w:rsidRDefault="00801C18" w:rsidP="00801C18">
            <w:pPr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      </w:t>
            </w:r>
            <w:r w:rsidR="00BF51A9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3.1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         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801C18" w:rsidRPr="000123D6" w:rsidRDefault="000123D6" w:rsidP="00BC6F5D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123D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ESP, kao deo POM-a, treba da uključi mere i radnje za obezbeđivanje usklađenosti sa zahtevima za energetsku efikasnost (EE) za hardverske komponente i odredbe o upravljanju e-otpadom kako bi se obezbedila usklađenost sa </w:t>
            </w:r>
            <w:proofErr w:type="spellStart"/>
            <w:r w:rsidRPr="000123D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važećim</w:t>
            </w:r>
            <w:proofErr w:type="spellEnd"/>
            <w:r w:rsidRPr="000123D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propisima, </w:t>
            </w:r>
            <w:proofErr w:type="spellStart"/>
            <w:r w:rsidRPr="000123D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uključujući</w:t>
            </w:r>
            <w:proofErr w:type="spellEnd"/>
            <w:r w:rsidRPr="000123D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EHS smernice Svetske banke i EU EE i nacionalni zahtevi i </w:t>
            </w:r>
            <w:r w:rsidR="00BC6F5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W</w:t>
            </w:r>
            <w:r w:rsidRPr="000123D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EEE direktiva. Implementirati ESP tokom implementacije projekta u skladu sa ESS-ovima i na način prihvatljiv za Banku.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801C18" w:rsidRPr="000123D6" w:rsidRDefault="00BC6F5D" w:rsidP="00E840BB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BC6F5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Dostavit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Pr="00BC6F5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ESP Banci na njenu prethodnu reviziju i odobrenje, kao deo konačnog POM-a, najkasnije 30 dana nakon Datuma stupanja na snagu</w:t>
            </w:r>
            <w:r w:rsidR="00F038C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Projekta</w:t>
            </w:r>
            <w:r w:rsidRPr="00BC6F5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. Nakon toga </w:t>
            </w:r>
            <w:r w:rsidR="00E840B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primeniti</w:t>
            </w:r>
            <w:r w:rsidRPr="00BC6F5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ESP tokom implementacije projekta.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BC6F5D" w:rsidRPr="002F45C6" w:rsidRDefault="00BC6F5D" w:rsidP="00BC6F5D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 (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801C18" w:rsidRPr="002F45C6" w:rsidRDefault="00801C18" w:rsidP="00801C18">
            <w:pPr>
              <w:keepLines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</w:p>
        </w:tc>
      </w:tr>
      <w:tr w:rsidR="008F6DDF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006407" w:rsidRPr="002F45C6" w:rsidRDefault="00006407" w:rsidP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4:  </w:t>
            </w:r>
            <w:r w:rsidR="005C0B8A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ZDRAVLJE I BEZBEDNOST ZAJEDNICE</w:t>
            </w:r>
          </w:p>
        </w:tc>
      </w:tr>
      <w:tr w:rsidR="00006407" w:rsidRPr="002F45C6" w:rsidTr="70D9D94D">
        <w:trPr>
          <w:cantSplit/>
          <w:trHeight w:val="397"/>
        </w:trPr>
        <w:tc>
          <w:tcPr>
            <w:tcW w:w="715" w:type="dxa"/>
          </w:tcPr>
          <w:p w:rsidR="00006407" w:rsidRPr="002F45C6" w:rsidRDefault="00006407" w:rsidP="0035248A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4.1</w:t>
            </w:r>
          </w:p>
          <w:p w:rsidR="00006407" w:rsidRPr="002F45C6" w:rsidRDefault="00006407" w:rsidP="0035248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006407" w:rsidRPr="002F45C6" w:rsidRDefault="00006407" w:rsidP="0035248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006407" w:rsidRPr="002F45C6" w:rsidRDefault="00006407" w:rsidP="0035248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006407" w:rsidRPr="002F45C6" w:rsidRDefault="00006407" w:rsidP="0035248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6771" w:type="dxa"/>
            <w:gridSpan w:val="2"/>
          </w:tcPr>
          <w:p w:rsidR="00006407" w:rsidRPr="002F45C6" w:rsidRDefault="005C0B8A" w:rsidP="003524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color w:val="5B9BD5" w:themeColor="accent5"/>
                <w:sz w:val="20"/>
                <w:szCs w:val="20"/>
                <w:lang w:val="sr-Latn-RS"/>
              </w:rPr>
              <w:t>ZDRAVLJE I BEZBEDNOST ZAJEDNICE</w:t>
            </w:r>
            <w:r w:rsidR="00006407" w:rsidRPr="002F45C6">
              <w:rPr>
                <w:rFonts w:asciiTheme="minorHAnsi" w:hAnsiTheme="minorHAnsi" w:cstheme="minorHAnsi"/>
                <w:b/>
                <w:color w:val="5B9BD5" w:themeColor="accent5"/>
                <w:sz w:val="20"/>
                <w:szCs w:val="20"/>
                <w:lang w:val="sr-Latn-RS"/>
              </w:rPr>
              <w:t>:</w:t>
            </w:r>
            <w:r w:rsidR="00006407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  <w:p w:rsidR="00006407" w:rsidRPr="002F45C6" w:rsidRDefault="005C0B8A" w:rsidP="00FB0FA3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Sprovesti mere zdravlja i bezbednosti zajednice </w:t>
            </w:r>
            <w:r w:rsidRP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navedene u POM, </w:t>
            </w:r>
            <w:r w:rsidR="00FB0FA3" w:rsidRP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PUR</w:t>
            </w:r>
            <w:r w:rsidRP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 </w:t>
            </w:r>
            <w:r w:rsidR="00FB0FA3" w:rsidRP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PAZS</w:t>
            </w:r>
            <w:r w:rsidR="00F85DF2" w:rsidRP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  <w:r w:rsidR="00192C6B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B326EC" w:rsidRPr="002F45C6" w:rsidRDefault="00705ED1" w:rsidP="00BB7E02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Najkasnije</w:t>
            </w:r>
            <w:r w:rsidR="00BB7E0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30 dana p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očev</w:t>
            </w:r>
            <w:r w:rsidR="008A6164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od </w:t>
            </w:r>
            <w:r w:rsid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</w:t>
            </w:r>
            <w:r w:rsidR="008A6164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atuma stupanja na snagu</w:t>
            </w:r>
            <w:r w:rsidR="00C12139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Projekta</w:t>
            </w:r>
            <w:r w:rsidR="008A6164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 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tokom</w:t>
            </w:r>
            <w:r w:rsid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perioda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implementacije Projekta; i izveštavati </w:t>
            </w:r>
            <w:r w:rsid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kroz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polugodišnj</w:t>
            </w:r>
            <w:r w:rsid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e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</w:t>
            </w:r>
            <w:r w:rsid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svakih 6 meseci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) izveštaj</w:t>
            </w:r>
            <w:r w:rsidR="00FB0FA3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e</w:t>
            </w:r>
            <w:r w:rsidR="005C0B8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o napretku.</w:t>
            </w:r>
          </w:p>
        </w:tc>
        <w:tc>
          <w:tcPr>
            <w:tcW w:w="2424" w:type="dxa"/>
          </w:tcPr>
          <w:p w:rsidR="005C0B8A" w:rsidRPr="002F45C6" w:rsidRDefault="005C0B8A" w:rsidP="005C0B8A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192C6B" w:rsidRPr="002F45C6" w:rsidRDefault="00192C6B" w:rsidP="00192C6B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006407" w:rsidRPr="002F45C6" w:rsidRDefault="00006407" w:rsidP="003524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2E3602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5:  </w:t>
            </w:r>
            <w:r w:rsidR="005C0B8A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ODUZIMANJE ZEMLJIŠTA, OGRANIČENJA KORIŠĆENJA ZEMLJIŠTA I PRINUDNO PRESELJENJE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E900A8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590" w:type="dxa"/>
            <w:gridSpan w:val="5"/>
          </w:tcPr>
          <w:p w:rsidR="00E900A8" w:rsidRPr="002F45C6" w:rsidRDefault="005C0B8A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Nije relevantno.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6:  </w:t>
            </w:r>
            <w:r w:rsidR="005C0B8A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OČUVANJE BIODIVERZITETA I ODRŽIVO UPRAVLJANJE ŽIVIM PRIRODNIM RESURSIMA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E900A8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590" w:type="dxa"/>
            <w:gridSpan w:val="5"/>
          </w:tcPr>
          <w:p w:rsidR="00E900A8" w:rsidRPr="002F45C6" w:rsidRDefault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Nije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relevanto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D80BA4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ESS 7</w:t>
            </w:r>
            <w:r w:rsidR="00D80BA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: </w:t>
            </w:r>
            <w:r w:rsidR="008A616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DOMORODAČKO STANOVNIŠTVO/POD-SAHARSKE ISTORIJSKI TRADICIONALNE </w:t>
            </w:r>
            <w:r w:rsidR="00D80BA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LOKALNE ZAJEDNICE SA NIŽIM STUPNJEM RAZVOJA SOCIJALINIH USLUGA</w:t>
            </w:r>
            <w:r w:rsidR="008A616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E900A8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590" w:type="dxa"/>
            <w:gridSpan w:val="5"/>
          </w:tcPr>
          <w:p w:rsidR="00E900A8" w:rsidRPr="002F45C6" w:rsidRDefault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Nije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relevanto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8: </w:t>
            </w:r>
            <w:r w:rsidR="005C0B8A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KULTURNA BAŠTINA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E900A8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590" w:type="dxa"/>
            <w:gridSpan w:val="5"/>
          </w:tcPr>
          <w:p w:rsidR="00E900A8" w:rsidRPr="002F45C6" w:rsidRDefault="005C0B8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 smatra se trenutno relevantnim.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D80BA4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9: </w:t>
            </w:r>
            <w:r w:rsidR="00D80BA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FINANSIJSKI POSREDNICI</w:t>
            </w:r>
          </w:p>
        </w:tc>
      </w:tr>
      <w:tr w:rsidR="002E3602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E900A8">
            <w:pPr>
              <w:keepLines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13590" w:type="dxa"/>
            <w:gridSpan w:val="5"/>
          </w:tcPr>
          <w:p w:rsidR="00E900A8" w:rsidRPr="002F45C6" w:rsidRDefault="00D80BA4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Nije relevantno</w:t>
            </w:r>
            <w:r w:rsidR="00AB6BDD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  <w:p w:rsidR="00E900A8" w:rsidRPr="002F45C6" w:rsidRDefault="00E900A8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4070EF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AB6BDD" w:rsidP="00D80BA4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ESS 10: </w:t>
            </w:r>
            <w:r w:rsidR="001D61E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ANGAŽOVANJE ZAINTERESOVANIH STRANA I </w:t>
            </w:r>
            <w:r w:rsidR="00D80BA4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OBJAVLJIVANJE PODATAKA</w:t>
            </w:r>
          </w:p>
        </w:tc>
      </w:tr>
      <w:tr w:rsidR="004070EF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AB6BDD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10.1</w:t>
            </w:r>
          </w:p>
        </w:tc>
        <w:tc>
          <w:tcPr>
            <w:tcW w:w="6771" w:type="dxa"/>
            <w:gridSpan w:val="2"/>
          </w:tcPr>
          <w:p w:rsidR="00C356DE" w:rsidRPr="002F45C6" w:rsidRDefault="001D61E4" w:rsidP="00192C6B">
            <w:pPr>
              <w:keepLines/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PLAN ANGAŽOVANJA ZAINTERESOVANIH STRANA</w:t>
            </w:r>
          </w:p>
          <w:p w:rsidR="00010972" w:rsidRPr="002F45C6" w:rsidRDefault="001D61E4" w:rsidP="00192C6B">
            <w:pPr>
              <w:keepLines/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Usvojiti i implementirati Projekt Plana angažovanja zainteresovanih strana (</w:t>
            </w:r>
            <w:r w:rsidR="0028519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PAZS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) u skladu sa ESS10, koji </w:t>
            </w:r>
            <w:proofErr w:type="spellStart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uključivati mere za, između ostalog, da se zainteresovanim stranama obezbede blagovremene, relevantne, razumljive i dostupne informacije i konsultuju se sa njima na </w:t>
            </w:r>
            <w:r w:rsidR="00D80BA4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kulturološki 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prikladan način, bez manipulacija, mešanje, prinuda, diskriminacija i zastrašivanje – sve na način prihvatljiv za Banku.</w:t>
            </w:r>
          </w:p>
          <w:p w:rsidR="008F6DDF" w:rsidRPr="002F45C6" w:rsidRDefault="008F6DDF" w:rsidP="008F6DD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4395" w:type="dxa"/>
            <w:gridSpan w:val="2"/>
          </w:tcPr>
          <w:p w:rsidR="00E900A8" w:rsidRPr="002F45C6" w:rsidRDefault="00E900A8" w:rsidP="00C356DE">
            <w:pPr>
              <w:keepLines/>
              <w:widowControl w:val="0"/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sr-Latn-RS"/>
              </w:rPr>
            </w:pPr>
          </w:p>
          <w:p w:rsidR="00B1039E" w:rsidRPr="00B1039E" w:rsidRDefault="00B1039E" w:rsidP="00B1039E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B10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Usvojiti konačni SEP najkasnije 30 dana nakon datuma stupanja na snagu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Projekta</w:t>
            </w:r>
            <w:r w:rsidRPr="00B10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. Nakon toga, implementirajte SEP tokom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primene</w:t>
            </w:r>
            <w:r w:rsidRPr="00B1039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projekta.</w:t>
            </w:r>
          </w:p>
          <w:p w:rsidR="00B1039E" w:rsidRPr="002F45C6" w:rsidRDefault="00B1039E" w:rsidP="00B1039E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010972" w:rsidRDefault="006F187A" w:rsidP="006F187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Izveštaj o implementaciji </w:t>
            </w:r>
            <w:r w:rsidR="0028519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PAZS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28519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kroz 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polugodišnje (svakih 6 meseci) izveštaj</w:t>
            </w:r>
            <w:r w:rsidR="0028519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e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o napretku.</w:t>
            </w:r>
          </w:p>
          <w:p w:rsidR="0028519B" w:rsidRPr="002F45C6" w:rsidRDefault="0028519B" w:rsidP="006F187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2424" w:type="dxa"/>
          </w:tcPr>
          <w:p w:rsidR="008153D7" w:rsidRPr="002F45C6" w:rsidRDefault="00AB6BDD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</w:t>
            </w:r>
          </w:p>
          <w:p w:rsidR="008153D7" w:rsidRPr="002F45C6" w:rsidRDefault="008153D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6F187A" w:rsidRPr="002F45C6" w:rsidRDefault="006F187A" w:rsidP="006F187A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E900A8" w:rsidRPr="002F45C6" w:rsidRDefault="00E900A8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</w:tc>
      </w:tr>
      <w:tr w:rsidR="004070EF" w:rsidRPr="002F45C6" w:rsidTr="70D9D94D">
        <w:trPr>
          <w:cantSplit/>
          <w:trHeight w:val="397"/>
        </w:trPr>
        <w:tc>
          <w:tcPr>
            <w:tcW w:w="715" w:type="dxa"/>
          </w:tcPr>
          <w:p w:rsidR="00E900A8" w:rsidRPr="002F45C6" w:rsidRDefault="00AB6BDD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10.2</w:t>
            </w:r>
          </w:p>
        </w:tc>
        <w:tc>
          <w:tcPr>
            <w:tcW w:w="6771" w:type="dxa"/>
            <w:gridSpan w:val="2"/>
          </w:tcPr>
          <w:p w:rsidR="00010972" w:rsidRPr="002F45C6" w:rsidRDefault="006F187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91D41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MEHANIZAM</w:t>
            </w:r>
            <w:r w:rsidR="0028519B" w:rsidRPr="00E91D41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PODNOŠENJA ŽALBI</w:t>
            </w:r>
          </w:p>
          <w:p w:rsidR="006F187A" w:rsidRPr="002F45C6" w:rsidRDefault="006F187A" w:rsidP="00D80BA4">
            <w:pPr>
              <w:pStyle w:val="Normal-PRsubhead"/>
              <w:rPr>
                <w:lang w:val="sr-Latn-RS"/>
              </w:rPr>
            </w:pPr>
            <w:r w:rsidRPr="002F45C6">
              <w:rPr>
                <w:lang w:val="sr-Latn-RS"/>
              </w:rPr>
              <w:t>Uspostaviti, objaviti, održavati i upravljati pristupačnim žalbeni mehaniz</w:t>
            </w:r>
            <w:r w:rsidR="00E91D41">
              <w:rPr>
                <w:lang w:val="sr-Latn-RS"/>
              </w:rPr>
              <w:t>a</w:t>
            </w:r>
            <w:r w:rsidR="00D80BA4" w:rsidRPr="002F45C6">
              <w:rPr>
                <w:lang w:val="sr-Latn-RS"/>
              </w:rPr>
              <w:t>m, kako bi primio i olakšao r</w:t>
            </w:r>
            <w:r w:rsidRPr="002F45C6">
              <w:rPr>
                <w:lang w:val="sr-Latn-RS"/>
              </w:rPr>
              <w:t xml:space="preserve">ešavanje zabrinutosti i pritužbi u vezi sa Projektom, brzo i efikasno, na transparentan način koji je </w:t>
            </w:r>
            <w:r w:rsidR="00D80BA4" w:rsidRPr="002F45C6">
              <w:rPr>
                <w:lang w:val="sr-Latn-RS"/>
              </w:rPr>
              <w:t xml:space="preserve">kulturološki </w:t>
            </w:r>
            <w:r w:rsidRPr="002F45C6">
              <w:rPr>
                <w:lang w:val="sr-Latn-RS"/>
              </w:rPr>
              <w:t xml:space="preserve">primeren i lako dostupan svim stranama pogođenim Projektom, bez troškova i bez odmazde, </w:t>
            </w:r>
            <w:proofErr w:type="spellStart"/>
            <w:r w:rsidRPr="002F45C6">
              <w:rPr>
                <w:lang w:val="sr-Latn-RS"/>
              </w:rPr>
              <w:t>uključujući</w:t>
            </w:r>
            <w:proofErr w:type="spellEnd"/>
            <w:r w:rsidRPr="002F45C6">
              <w:rPr>
                <w:lang w:val="sr-Latn-RS"/>
              </w:rPr>
              <w:t xml:space="preserve"> zabrinutosti i pritužbe podnete anonimno, na način u skladu sa ESS10, kao što je opisano u </w:t>
            </w:r>
            <w:r w:rsidR="00F168C2">
              <w:rPr>
                <w:lang w:val="sr-Latn-RS"/>
              </w:rPr>
              <w:t>PAZS</w:t>
            </w:r>
            <w:r w:rsidRPr="002F45C6">
              <w:rPr>
                <w:lang w:val="sr-Latn-RS"/>
              </w:rPr>
              <w:t>.</w:t>
            </w:r>
          </w:p>
          <w:p w:rsidR="006F187A" w:rsidRPr="002F45C6" w:rsidRDefault="006F187A" w:rsidP="00D80BA4">
            <w:pPr>
              <w:pStyle w:val="Normal-PRsubhead"/>
              <w:rPr>
                <w:lang w:val="sr-Latn-RS"/>
              </w:rPr>
            </w:pPr>
            <w:bookmarkStart w:id="0" w:name="_GoBack"/>
            <w:bookmarkEnd w:id="0"/>
          </w:p>
          <w:p w:rsidR="006F187A" w:rsidRPr="002F45C6" w:rsidRDefault="00F168C2" w:rsidP="00D80BA4">
            <w:pPr>
              <w:pStyle w:val="Normal-PRsubhead"/>
              <w:rPr>
                <w:lang w:val="sr-Latn-RS"/>
              </w:rPr>
            </w:pPr>
            <w:r>
              <w:rPr>
                <w:lang w:val="sr-Latn-RS"/>
              </w:rPr>
              <w:t>Odrediti</w:t>
            </w:r>
            <w:r w:rsidR="006F187A" w:rsidRPr="002F45C6">
              <w:rPr>
                <w:lang w:val="sr-Latn-RS"/>
              </w:rPr>
              <w:t xml:space="preserve"> osoblje za u</w:t>
            </w:r>
            <w:r>
              <w:rPr>
                <w:lang w:val="sr-Latn-RS"/>
              </w:rPr>
              <w:t xml:space="preserve">pravljanje i </w:t>
            </w:r>
            <w:proofErr w:type="spellStart"/>
            <w:r>
              <w:rPr>
                <w:lang w:val="sr-Latn-RS"/>
              </w:rPr>
              <w:t>praćenje</w:t>
            </w:r>
            <w:proofErr w:type="spellEnd"/>
            <w:r>
              <w:rPr>
                <w:lang w:val="sr-Latn-RS"/>
              </w:rPr>
              <w:t xml:space="preserve"> žalbi</w:t>
            </w:r>
            <w:r w:rsidR="006F187A" w:rsidRPr="002F45C6">
              <w:rPr>
                <w:lang w:val="sr-Latn-RS"/>
              </w:rPr>
              <w:t>, na način prihvatljiv za Banku.</w:t>
            </w:r>
          </w:p>
          <w:p w:rsidR="006F187A" w:rsidRPr="002F45C6" w:rsidRDefault="006F187A" w:rsidP="00D80BA4">
            <w:pPr>
              <w:pStyle w:val="Normal-PRsubhead"/>
              <w:rPr>
                <w:lang w:val="sr-Latn-RS"/>
              </w:rPr>
            </w:pPr>
          </w:p>
          <w:p w:rsidR="00E900A8" w:rsidRPr="002F45C6" w:rsidRDefault="006F187A" w:rsidP="00F168C2">
            <w:pPr>
              <w:pStyle w:val="Normal-PRsubhead"/>
              <w:rPr>
                <w:lang w:val="sr-Latn-RS"/>
              </w:rPr>
            </w:pPr>
            <w:r w:rsidRPr="002F45C6">
              <w:rPr>
                <w:lang w:val="sr-Latn-RS"/>
              </w:rPr>
              <w:t>Mehaniz</w:t>
            </w:r>
            <w:r w:rsidR="00F168C2">
              <w:rPr>
                <w:lang w:val="sr-Latn-RS"/>
              </w:rPr>
              <w:t>a</w:t>
            </w:r>
            <w:r w:rsidRPr="002F45C6">
              <w:rPr>
                <w:lang w:val="sr-Latn-RS"/>
              </w:rPr>
              <w:t xml:space="preserve">m za podnošenje </w:t>
            </w:r>
            <w:r w:rsidR="00F168C2">
              <w:rPr>
                <w:lang w:val="sr-Latn-RS"/>
              </w:rPr>
              <w:t>žalbi</w:t>
            </w:r>
            <w:r w:rsidRPr="002F45C6">
              <w:rPr>
                <w:lang w:val="sr-Latn-RS"/>
              </w:rPr>
              <w:t xml:space="preserve"> </w:t>
            </w:r>
            <w:proofErr w:type="spellStart"/>
            <w:r w:rsidRPr="002F45C6">
              <w:rPr>
                <w:lang w:val="sr-Latn-RS"/>
              </w:rPr>
              <w:t>biće</w:t>
            </w:r>
            <w:proofErr w:type="spellEnd"/>
            <w:r w:rsidRPr="002F45C6">
              <w:rPr>
                <w:lang w:val="sr-Latn-RS"/>
              </w:rPr>
              <w:t xml:space="preserve"> opremljen da prima, registruj</w:t>
            </w:r>
            <w:r w:rsidR="00F168C2">
              <w:rPr>
                <w:lang w:val="sr-Latn-RS"/>
              </w:rPr>
              <w:t>e</w:t>
            </w:r>
            <w:r w:rsidRPr="002F45C6">
              <w:rPr>
                <w:lang w:val="sr-Latn-RS"/>
              </w:rPr>
              <w:t xml:space="preserve"> i rešava probleme i pritužbe u vezi sa SEA/SH na bezbedan, poverljiv način i način usredsređen na žrtve, </w:t>
            </w:r>
            <w:proofErr w:type="spellStart"/>
            <w:r w:rsidRPr="002F45C6">
              <w:rPr>
                <w:lang w:val="sr-Latn-RS"/>
              </w:rPr>
              <w:t>uključujući</w:t>
            </w:r>
            <w:proofErr w:type="spellEnd"/>
            <w:r w:rsidRPr="002F45C6">
              <w:rPr>
                <w:lang w:val="sr-Latn-RS"/>
              </w:rPr>
              <w:t xml:space="preserve"> </w:t>
            </w:r>
            <w:proofErr w:type="spellStart"/>
            <w:r w:rsidRPr="002F45C6">
              <w:rPr>
                <w:lang w:val="sr-Latn-RS"/>
              </w:rPr>
              <w:t>upućivanje</w:t>
            </w:r>
            <w:proofErr w:type="spellEnd"/>
            <w:r w:rsidRPr="002F45C6">
              <w:rPr>
                <w:lang w:val="sr-Latn-RS"/>
              </w:rPr>
              <w:t xml:space="preserve"> preživelih na </w:t>
            </w:r>
            <w:proofErr w:type="spellStart"/>
            <w:r w:rsidRPr="002F45C6">
              <w:rPr>
                <w:lang w:val="sr-Latn-RS"/>
              </w:rPr>
              <w:t>pružaoce</w:t>
            </w:r>
            <w:proofErr w:type="spellEnd"/>
            <w:r w:rsidRPr="002F45C6">
              <w:rPr>
                <w:lang w:val="sr-Latn-RS"/>
              </w:rPr>
              <w:t xml:space="preserve"> usluga rodno zasnovanog nasilja</w:t>
            </w:r>
            <w:r w:rsidR="00F168C2">
              <w:rPr>
                <w:lang w:val="sr-Latn-RS"/>
              </w:rPr>
              <w:t>.</w:t>
            </w:r>
          </w:p>
        </w:tc>
        <w:tc>
          <w:tcPr>
            <w:tcW w:w="4395" w:type="dxa"/>
            <w:gridSpan w:val="2"/>
          </w:tcPr>
          <w:p w:rsidR="00D80BA4" w:rsidRPr="002F45C6" w:rsidRDefault="00D80BA4" w:rsidP="006F187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6F187A" w:rsidRPr="002F45C6" w:rsidRDefault="00F168C2" w:rsidP="00D80BA4">
            <w:pPr>
              <w:keepLines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ŽM</w:t>
            </w:r>
            <w:r w:rsidR="006F187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projekta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biće</w:t>
            </w:r>
            <w:r w:rsidR="006F187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operativan najkasnije 30 dana nakon datuma stupanja na snagu projekta i nakon toga </w:t>
            </w:r>
            <w:proofErr w:type="spellStart"/>
            <w:r w:rsidR="006F187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će</w:t>
            </w:r>
            <w:proofErr w:type="spellEnd"/>
            <w:r w:rsidR="006F187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se sprovoditi tokom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perioda</w:t>
            </w:r>
            <w:r w:rsidR="006F187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implementacije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</w:t>
            </w:r>
            <w:r w:rsidR="006F187A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rojekta.</w:t>
            </w:r>
          </w:p>
          <w:p w:rsidR="006F187A" w:rsidRPr="002F45C6" w:rsidRDefault="006F187A" w:rsidP="006F187A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010972" w:rsidRPr="002F45C6" w:rsidRDefault="006F187A" w:rsidP="00F168C2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Izveštaj o implementaciji </w:t>
            </w:r>
            <w:r w:rsidR="00D80BA4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Ž</w:t>
            </w:r>
            <w:r w:rsidR="00F168C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F168C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kroz 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polugodišnje (svakih šest meseci) izveštaj</w:t>
            </w:r>
            <w:r w:rsidR="00F168C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e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o napretku.</w:t>
            </w:r>
          </w:p>
        </w:tc>
        <w:tc>
          <w:tcPr>
            <w:tcW w:w="2424" w:type="dxa"/>
          </w:tcPr>
          <w:p w:rsidR="008153D7" w:rsidRPr="002F45C6" w:rsidRDefault="008153D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8153D7" w:rsidRPr="002F45C6" w:rsidRDefault="008153D7">
            <w:pPr>
              <w:keepLines/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</w:p>
          <w:p w:rsidR="00452A5D" w:rsidRPr="002F45C6" w:rsidRDefault="00452A5D" w:rsidP="00452A5D">
            <w:pPr>
              <w:keepLines/>
              <w:widowControl w:val="0"/>
              <w:spacing w:after="40"/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MF Jedinica za implementaciju projekta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 xml:space="preserve"> (</w:t>
            </w:r>
            <w:r w:rsidR="00F0489A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JIP</w:t>
            </w:r>
            <w:r w:rsidR="00E70A2C" w:rsidRPr="002F45C6">
              <w:rPr>
                <w:rFonts w:asciiTheme="minorHAnsi" w:hAnsiTheme="minorHAnsi" w:cstheme="minorHAnsi"/>
                <w:iCs/>
                <w:sz w:val="20"/>
                <w:szCs w:val="20"/>
                <w:lang w:val="sr-Latn-RS"/>
              </w:rPr>
              <w:t>)</w:t>
            </w:r>
          </w:p>
          <w:p w:rsidR="00E900A8" w:rsidRPr="002F45C6" w:rsidRDefault="00E900A8" w:rsidP="00452A5D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4070EF" w:rsidRPr="002F45C6" w:rsidTr="70D9D94D">
        <w:trPr>
          <w:cantSplit/>
          <w:trHeight w:val="397"/>
        </w:trPr>
        <w:tc>
          <w:tcPr>
            <w:tcW w:w="14305" w:type="dxa"/>
            <w:gridSpan w:val="6"/>
            <w:shd w:val="clear" w:color="auto" w:fill="F4B083" w:themeFill="accent2" w:themeFillTint="99"/>
            <w:vAlign w:val="center"/>
          </w:tcPr>
          <w:p w:rsidR="00E900A8" w:rsidRPr="002F45C6" w:rsidRDefault="00F449CC" w:rsidP="0032476F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PODRŠKA</w:t>
            </w:r>
            <w:r w:rsidR="00452A5D" w:rsidRPr="002F45C6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(TRENING)</w:t>
            </w:r>
          </w:p>
        </w:tc>
      </w:tr>
      <w:tr w:rsidR="004070EF" w:rsidRPr="002F45C6" w:rsidTr="70D9D94D">
        <w:trPr>
          <w:cantSplit/>
          <w:trHeight w:val="397"/>
        </w:trPr>
        <w:tc>
          <w:tcPr>
            <w:tcW w:w="715" w:type="dxa"/>
          </w:tcPr>
          <w:p w:rsidR="004070EF" w:rsidRPr="002F45C6" w:rsidRDefault="004070EF" w:rsidP="00D80BA4">
            <w:pPr>
              <w:pStyle w:val="Normal-PRsubhead"/>
              <w:rPr>
                <w:lang w:val="sr-Latn-RS"/>
              </w:rPr>
            </w:pPr>
            <w:r w:rsidRPr="002F45C6">
              <w:rPr>
                <w:lang w:val="sr-Latn-RS"/>
              </w:rPr>
              <w:t>CS1</w:t>
            </w:r>
          </w:p>
        </w:tc>
        <w:tc>
          <w:tcPr>
            <w:tcW w:w="6771" w:type="dxa"/>
            <w:gridSpan w:val="2"/>
          </w:tcPr>
          <w:p w:rsidR="004070EF" w:rsidRPr="002F45C6" w:rsidRDefault="00452A5D" w:rsidP="00F449CC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Obuka za osoblje </w:t>
            </w:r>
            <w:r w:rsidR="00F449CC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JIP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-a o implementaciji ESF i E&amp;S instrumenata pripremljenih u okviru Projekta</w:t>
            </w:r>
          </w:p>
        </w:tc>
        <w:tc>
          <w:tcPr>
            <w:tcW w:w="4395" w:type="dxa"/>
            <w:gridSpan w:val="2"/>
          </w:tcPr>
          <w:p w:rsidR="004C408F" w:rsidRPr="002F45C6" w:rsidRDefault="00452A5D" w:rsidP="00B62341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Najkasnije </w:t>
            </w:r>
            <w:r w:rsidR="00B623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9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0 dana od datuma stupanja na snagu </w:t>
            </w:r>
            <w:r w:rsidR="001322EC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</w:t>
            </w:r>
            <w:r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rojekta</w:t>
            </w:r>
            <w:r w:rsidR="00CA1F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CA1F41" w:rsidRPr="00CA1F41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redovno tokom implementacije projekta kako se novo osoblje pridružuje.</w:t>
            </w:r>
          </w:p>
        </w:tc>
        <w:tc>
          <w:tcPr>
            <w:tcW w:w="2424" w:type="dxa"/>
          </w:tcPr>
          <w:p w:rsidR="004070EF" w:rsidRPr="002F45C6" w:rsidRDefault="00B62341" w:rsidP="00B62341">
            <w:pPr>
              <w:keepLines/>
              <w:widowControl w:val="0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U saradnji sa </w:t>
            </w:r>
            <w:r w:rsidR="00452A5D" w:rsidRPr="002F45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Svetsk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om Bankom</w:t>
            </w:r>
          </w:p>
        </w:tc>
      </w:tr>
    </w:tbl>
    <w:p w:rsidR="00E900A8" w:rsidRPr="002F45C6" w:rsidRDefault="00E900A8">
      <w:pPr>
        <w:rPr>
          <w:color w:val="C00000"/>
          <w:sz w:val="20"/>
          <w:szCs w:val="20"/>
          <w:lang w:val="sr-Latn-RS"/>
        </w:rPr>
      </w:pPr>
    </w:p>
    <w:p w:rsidR="00E900A8" w:rsidRPr="002F45C6" w:rsidRDefault="00E900A8">
      <w:pPr>
        <w:rPr>
          <w:color w:val="C00000"/>
          <w:sz w:val="20"/>
          <w:szCs w:val="20"/>
          <w:lang w:val="sr-Latn-RS"/>
        </w:rPr>
      </w:pPr>
    </w:p>
    <w:p w:rsidR="00E900A8" w:rsidRPr="002F45C6" w:rsidRDefault="00E900A8">
      <w:pPr>
        <w:pStyle w:val="Body"/>
        <w:ind w:right="2970"/>
        <w:jc w:val="both"/>
        <w:rPr>
          <w:rFonts w:eastAsia="Arial Unicode MS"/>
          <w:color w:val="C00000"/>
          <w:sz w:val="23"/>
          <w:szCs w:val="23"/>
          <w:lang w:val="sr-Latn-RS"/>
        </w:rPr>
      </w:pPr>
    </w:p>
    <w:sectPr w:rsidR="00E900A8" w:rsidRPr="002F45C6" w:rsidSect="006032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077" w:right="1440" w:bottom="1077" w:left="115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FF" w:rsidRDefault="002500FF">
      <w:r>
        <w:separator/>
      </w:r>
    </w:p>
  </w:endnote>
  <w:endnote w:type="continuationSeparator" w:id="0">
    <w:p w:rsidR="002500FF" w:rsidRDefault="002500FF">
      <w:r>
        <w:continuationSeparator/>
      </w:r>
    </w:p>
  </w:endnote>
  <w:endnote w:type="continuationNotice" w:id="1">
    <w:p w:rsidR="002500FF" w:rsidRDefault="00250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180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5C6" w:rsidRDefault="002F45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149" w:rsidRDefault="00294149" w:rsidP="00294149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157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900A8" w:rsidRPr="00294149" w:rsidRDefault="006032CF" w:rsidP="006032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246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900A8" w:rsidRPr="006032CF" w:rsidRDefault="006032CF" w:rsidP="006032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FF" w:rsidRDefault="002500FF">
      <w:r>
        <w:separator/>
      </w:r>
    </w:p>
  </w:footnote>
  <w:footnote w:type="continuationSeparator" w:id="0">
    <w:p w:rsidR="002500FF" w:rsidRDefault="002500FF">
      <w:r>
        <w:continuationSeparator/>
      </w:r>
    </w:p>
  </w:footnote>
  <w:footnote w:type="continuationNotice" w:id="1">
    <w:p w:rsidR="002500FF" w:rsidRDefault="00250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B0" w:rsidRDefault="00876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5C" w:rsidRPr="006032CF" w:rsidRDefault="00D2025C" w:rsidP="006032CF">
    <w:pPr>
      <w:pStyle w:val="Header"/>
      <w:spacing w:after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B0" w:rsidRDefault="00876E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D4" w:rsidRPr="001F6ED4" w:rsidRDefault="001F6ED4" w:rsidP="001F6ED4">
    <w:pPr>
      <w:pStyle w:val="Header"/>
      <w:jc w:val="center"/>
      <w:rPr>
        <w:rFonts w:asciiTheme="minorHAnsi" w:hAnsiTheme="minorHAnsi" w:cstheme="minorHAnsi"/>
        <w:b/>
        <w:smallCaps/>
        <w:color w:val="808080" w:themeColor="background1" w:themeShade="80"/>
        <w:sz w:val="18"/>
      </w:rPr>
    </w:pP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SVETSKA BANKA – </w:t>
    </w:r>
    <w:r w:rsidR="0049725D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OBAVEZUJUĆI 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EKOLOŠKO SOCIJALNI PLAN</w:t>
    </w:r>
    <w:r w:rsidRPr="001F6ED4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(ESCP): VERZIJA 1.0 – NOVEMBAR 2021.</w:t>
    </w:r>
  </w:p>
  <w:p w:rsidR="006D45B4" w:rsidRPr="001F6ED4" w:rsidRDefault="006D45B4" w:rsidP="006D45B4">
    <w:pPr>
      <w:pStyle w:val="Header"/>
      <w:jc w:val="center"/>
      <w:rPr>
        <w:rFonts w:asciiTheme="minorHAnsi" w:hAnsiTheme="minorHAnsi" w:cstheme="minorHAnsi"/>
        <w:b/>
        <w:smallCaps/>
        <w:color w:val="808080" w:themeColor="background1" w:themeShade="80"/>
        <w:sz w:val="18"/>
      </w:rPr>
    </w:pP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POKRETANJE DUGOROČNOG FINANSIRANJA KROZ</w:t>
    </w:r>
    <w:r w:rsidR="00F26A20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PROJEKAT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TRŽIŠT</w:t>
    </w:r>
    <w:r w:rsidR="00F26A20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A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KAPITALA</w:t>
    </w:r>
  </w:p>
  <w:p w:rsidR="00E900A8" w:rsidRPr="001F6ED4" w:rsidRDefault="00E900A8" w:rsidP="006D45B4">
    <w:pPr>
      <w:pStyle w:val="Header"/>
      <w:jc w:val="center"/>
      <w:rPr>
        <w:rFonts w:asciiTheme="minorHAnsi" w:hAnsiTheme="minorHAnsi" w:cstheme="minorHAnsi"/>
        <w:b/>
        <w:smallCaps/>
        <w:color w:val="808080" w:themeColor="background1" w:themeShade="80"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D4" w:rsidRPr="001F6ED4" w:rsidRDefault="001F6ED4" w:rsidP="001F6ED4">
    <w:pPr>
      <w:pStyle w:val="Header"/>
      <w:jc w:val="center"/>
      <w:rPr>
        <w:rFonts w:asciiTheme="minorHAnsi" w:hAnsiTheme="minorHAnsi" w:cstheme="minorHAnsi"/>
        <w:b/>
        <w:smallCaps/>
        <w:color w:val="808080" w:themeColor="background1" w:themeShade="80"/>
        <w:sz w:val="18"/>
      </w:rPr>
    </w:pP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SVETSKA BANKA – </w:t>
    </w:r>
    <w:r w:rsidR="00760207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OBAVEZUJ</w:t>
    </w:r>
    <w:r w:rsidR="00876EB0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U</w:t>
    </w:r>
    <w:r w:rsidR="00760207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ĆI 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EKOLOŠKO SOCIJALNI PLAN</w:t>
    </w:r>
    <w:r w:rsidR="00175A71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(ESCP): VERZIJA 1.0 – DECEMBAR</w:t>
    </w:r>
    <w:r w:rsidRPr="001F6ED4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2021.</w:t>
    </w:r>
  </w:p>
  <w:p w:rsidR="00E900A8" w:rsidRPr="001F6ED4" w:rsidRDefault="006D45B4" w:rsidP="001F6ED4">
    <w:pPr>
      <w:pStyle w:val="Header"/>
      <w:jc w:val="center"/>
      <w:rPr>
        <w:rFonts w:asciiTheme="minorHAnsi" w:hAnsiTheme="minorHAnsi" w:cstheme="minorHAnsi"/>
        <w:b/>
        <w:smallCaps/>
        <w:color w:val="808080" w:themeColor="background1" w:themeShade="80"/>
        <w:sz w:val="18"/>
      </w:rPr>
    </w:pP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POKRETANJE </w:t>
    </w:r>
    <w:r w:rsidR="00175A71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DUGOROČNO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G</w:t>
    </w:r>
    <w:r w:rsidR="00175A71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FINANSIRANJ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A KROZ </w:t>
    </w:r>
    <w:r w:rsidR="00F26A20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PROJEKAT 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TRŽIŠT</w:t>
    </w:r>
    <w:r w:rsidR="00F26A20"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>A</w:t>
    </w:r>
    <w:r>
      <w:rPr>
        <w:rFonts w:asciiTheme="minorHAnsi" w:hAnsiTheme="minorHAnsi" w:cstheme="minorHAnsi"/>
        <w:b/>
        <w:smallCaps/>
        <w:color w:val="808080" w:themeColor="background1" w:themeShade="80"/>
        <w:sz w:val="18"/>
      </w:rPr>
      <w:t xml:space="preserve"> KAPITALA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D7"/>
    <w:multiLevelType w:val="multilevel"/>
    <w:tmpl w:val="002D7ED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8C8"/>
    <w:multiLevelType w:val="multilevel"/>
    <w:tmpl w:val="09C8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0582F"/>
    <w:multiLevelType w:val="multilevel"/>
    <w:tmpl w:val="0B80582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F057F"/>
    <w:multiLevelType w:val="multilevel"/>
    <w:tmpl w:val="120F057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92E07"/>
    <w:multiLevelType w:val="multilevel"/>
    <w:tmpl w:val="17292E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7191A"/>
    <w:multiLevelType w:val="multilevel"/>
    <w:tmpl w:val="192719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16FF"/>
    <w:multiLevelType w:val="multilevel"/>
    <w:tmpl w:val="1E8216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1F5B"/>
    <w:multiLevelType w:val="hybridMultilevel"/>
    <w:tmpl w:val="2D8E2DFC"/>
    <w:lvl w:ilvl="0" w:tplc="86A87E28">
      <w:start w:val="1"/>
      <w:numFmt w:val="decimal"/>
      <w:lvlText w:val="%1."/>
      <w:lvlJc w:val="left"/>
      <w:pPr>
        <w:ind w:left="720" w:hanging="360"/>
      </w:pPr>
    </w:lvl>
    <w:lvl w:ilvl="1" w:tplc="4DD418B0">
      <w:start w:val="1"/>
      <w:numFmt w:val="lowerLetter"/>
      <w:lvlText w:val="%2."/>
      <w:lvlJc w:val="left"/>
      <w:pPr>
        <w:ind w:left="1440" w:hanging="360"/>
      </w:pPr>
    </w:lvl>
    <w:lvl w:ilvl="2" w:tplc="645EC4CC">
      <w:start w:val="1"/>
      <w:numFmt w:val="lowerRoman"/>
      <w:lvlText w:val="%3."/>
      <w:lvlJc w:val="right"/>
      <w:pPr>
        <w:ind w:left="2160" w:hanging="180"/>
      </w:pPr>
    </w:lvl>
    <w:lvl w:ilvl="3" w:tplc="5DB8C8A8">
      <w:start w:val="1"/>
      <w:numFmt w:val="decimal"/>
      <w:lvlText w:val="%4."/>
      <w:lvlJc w:val="left"/>
      <w:pPr>
        <w:ind w:left="2880" w:hanging="360"/>
      </w:pPr>
    </w:lvl>
    <w:lvl w:ilvl="4" w:tplc="736C958E">
      <w:start w:val="1"/>
      <w:numFmt w:val="lowerLetter"/>
      <w:lvlText w:val="%5."/>
      <w:lvlJc w:val="left"/>
      <w:pPr>
        <w:ind w:left="3600" w:hanging="360"/>
      </w:pPr>
    </w:lvl>
    <w:lvl w:ilvl="5" w:tplc="DCC641F6">
      <w:start w:val="1"/>
      <w:numFmt w:val="lowerRoman"/>
      <w:lvlText w:val="%6."/>
      <w:lvlJc w:val="right"/>
      <w:pPr>
        <w:ind w:left="4320" w:hanging="180"/>
      </w:pPr>
    </w:lvl>
    <w:lvl w:ilvl="6" w:tplc="08528226">
      <w:start w:val="1"/>
      <w:numFmt w:val="decimal"/>
      <w:lvlText w:val="%7."/>
      <w:lvlJc w:val="left"/>
      <w:pPr>
        <w:ind w:left="5040" w:hanging="360"/>
      </w:pPr>
    </w:lvl>
    <w:lvl w:ilvl="7" w:tplc="9182A3E8">
      <w:start w:val="1"/>
      <w:numFmt w:val="lowerLetter"/>
      <w:lvlText w:val="%8."/>
      <w:lvlJc w:val="left"/>
      <w:pPr>
        <w:ind w:left="5760" w:hanging="360"/>
      </w:pPr>
    </w:lvl>
    <w:lvl w:ilvl="8" w:tplc="8DC8D6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874E4"/>
    <w:multiLevelType w:val="multilevel"/>
    <w:tmpl w:val="392874E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44D6D"/>
    <w:multiLevelType w:val="multilevel"/>
    <w:tmpl w:val="4D044D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6EB1"/>
    <w:multiLevelType w:val="multilevel"/>
    <w:tmpl w:val="5D4C6EB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0D74A6"/>
    <w:multiLevelType w:val="multilevel"/>
    <w:tmpl w:val="700D74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6000"/>
    <w:multiLevelType w:val="multilevel"/>
    <w:tmpl w:val="778B600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A7E59"/>
    <w:multiLevelType w:val="multilevel"/>
    <w:tmpl w:val="79CA7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8"/>
    <w:rsid w:val="0000536A"/>
    <w:rsid w:val="00006193"/>
    <w:rsid w:val="000061FC"/>
    <w:rsid w:val="00006407"/>
    <w:rsid w:val="00010972"/>
    <w:rsid w:val="000123D6"/>
    <w:rsid w:val="000126DE"/>
    <w:rsid w:val="00013A3F"/>
    <w:rsid w:val="00013DC5"/>
    <w:rsid w:val="0002201F"/>
    <w:rsid w:val="0002774F"/>
    <w:rsid w:val="000365A2"/>
    <w:rsid w:val="0004358A"/>
    <w:rsid w:val="00061C10"/>
    <w:rsid w:val="0006232C"/>
    <w:rsid w:val="00074858"/>
    <w:rsid w:val="00076CA8"/>
    <w:rsid w:val="0008364C"/>
    <w:rsid w:val="00083D28"/>
    <w:rsid w:val="000868E4"/>
    <w:rsid w:val="000903CC"/>
    <w:rsid w:val="00091FB3"/>
    <w:rsid w:val="00093B21"/>
    <w:rsid w:val="000A1AFC"/>
    <w:rsid w:val="000A5691"/>
    <w:rsid w:val="000B45C0"/>
    <w:rsid w:val="000B4E1D"/>
    <w:rsid w:val="000B73E1"/>
    <w:rsid w:val="000B7E2B"/>
    <w:rsid w:val="000C15D3"/>
    <w:rsid w:val="000C2705"/>
    <w:rsid w:val="000C38D3"/>
    <w:rsid w:val="000D00C9"/>
    <w:rsid w:val="000D2217"/>
    <w:rsid w:val="000D4716"/>
    <w:rsid w:val="000E33EC"/>
    <w:rsid w:val="000E36D7"/>
    <w:rsid w:val="000F5789"/>
    <w:rsid w:val="001232C3"/>
    <w:rsid w:val="00127E10"/>
    <w:rsid w:val="001322EC"/>
    <w:rsid w:val="00135260"/>
    <w:rsid w:val="0015648F"/>
    <w:rsid w:val="00156F25"/>
    <w:rsid w:val="00172F8F"/>
    <w:rsid w:val="00175A71"/>
    <w:rsid w:val="001778A5"/>
    <w:rsid w:val="00191E7F"/>
    <w:rsid w:val="001924C1"/>
    <w:rsid w:val="00192C6B"/>
    <w:rsid w:val="001953B1"/>
    <w:rsid w:val="001B4CA2"/>
    <w:rsid w:val="001C3B32"/>
    <w:rsid w:val="001D61E4"/>
    <w:rsid w:val="001E0A6A"/>
    <w:rsid w:val="001E2C21"/>
    <w:rsid w:val="001E6976"/>
    <w:rsid w:val="001F1706"/>
    <w:rsid w:val="001F4C8A"/>
    <w:rsid w:val="001F6ED4"/>
    <w:rsid w:val="00201F64"/>
    <w:rsid w:val="002048BE"/>
    <w:rsid w:val="00213CD9"/>
    <w:rsid w:val="002236FE"/>
    <w:rsid w:val="00230BF0"/>
    <w:rsid w:val="00235DF7"/>
    <w:rsid w:val="00245619"/>
    <w:rsid w:val="002500FF"/>
    <w:rsid w:val="0025171B"/>
    <w:rsid w:val="00251CEC"/>
    <w:rsid w:val="0025532A"/>
    <w:rsid w:val="0026489E"/>
    <w:rsid w:val="00266E7A"/>
    <w:rsid w:val="00275D38"/>
    <w:rsid w:val="00283908"/>
    <w:rsid w:val="00284B7E"/>
    <w:rsid w:val="0028519B"/>
    <w:rsid w:val="002920E1"/>
    <w:rsid w:val="0029333D"/>
    <w:rsid w:val="00294149"/>
    <w:rsid w:val="002A11A6"/>
    <w:rsid w:val="002A270A"/>
    <w:rsid w:val="002B3E5A"/>
    <w:rsid w:val="002B6E5E"/>
    <w:rsid w:val="002B7BD5"/>
    <w:rsid w:val="002C3D8C"/>
    <w:rsid w:val="002C5A09"/>
    <w:rsid w:val="002D12F1"/>
    <w:rsid w:val="002D583A"/>
    <w:rsid w:val="002E3602"/>
    <w:rsid w:val="002E6BF9"/>
    <w:rsid w:val="002E741F"/>
    <w:rsid w:val="002F0665"/>
    <w:rsid w:val="002F45C6"/>
    <w:rsid w:val="0030388C"/>
    <w:rsid w:val="0032476F"/>
    <w:rsid w:val="003254F6"/>
    <w:rsid w:val="00326702"/>
    <w:rsid w:val="003417A5"/>
    <w:rsid w:val="00342C82"/>
    <w:rsid w:val="00351D71"/>
    <w:rsid w:val="00352C3E"/>
    <w:rsid w:val="00363C10"/>
    <w:rsid w:val="00371C20"/>
    <w:rsid w:val="003735C5"/>
    <w:rsid w:val="0039041D"/>
    <w:rsid w:val="003A1413"/>
    <w:rsid w:val="003B296D"/>
    <w:rsid w:val="003D43BF"/>
    <w:rsid w:val="003D458A"/>
    <w:rsid w:val="003D57BC"/>
    <w:rsid w:val="003D71E4"/>
    <w:rsid w:val="003F1DA6"/>
    <w:rsid w:val="003F270E"/>
    <w:rsid w:val="003F2763"/>
    <w:rsid w:val="003F76EC"/>
    <w:rsid w:val="004043C0"/>
    <w:rsid w:val="00406BE9"/>
    <w:rsid w:val="004070EF"/>
    <w:rsid w:val="004227E2"/>
    <w:rsid w:val="0043028F"/>
    <w:rsid w:val="0043386B"/>
    <w:rsid w:val="004417DE"/>
    <w:rsid w:val="004418C5"/>
    <w:rsid w:val="00442727"/>
    <w:rsid w:val="00442A7D"/>
    <w:rsid w:val="00452A5D"/>
    <w:rsid w:val="00457868"/>
    <w:rsid w:val="00461099"/>
    <w:rsid w:val="00462A19"/>
    <w:rsid w:val="004656BC"/>
    <w:rsid w:val="0046663B"/>
    <w:rsid w:val="0047255E"/>
    <w:rsid w:val="004732EA"/>
    <w:rsid w:val="0049725D"/>
    <w:rsid w:val="004A5D11"/>
    <w:rsid w:val="004B541D"/>
    <w:rsid w:val="004C408F"/>
    <w:rsid w:val="004D705A"/>
    <w:rsid w:val="004E023C"/>
    <w:rsid w:val="004E36F5"/>
    <w:rsid w:val="004E4CF8"/>
    <w:rsid w:val="004F40EC"/>
    <w:rsid w:val="005006CF"/>
    <w:rsid w:val="00505D9A"/>
    <w:rsid w:val="00510121"/>
    <w:rsid w:val="00521B35"/>
    <w:rsid w:val="0052648F"/>
    <w:rsid w:val="005424BA"/>
    <w:rsid w:val="00544EC1"/>
    <w:rsid w:val="00557908"/>
    <w:rsid w:val="00575E5B"/>
    <w:rsid w:val="00580EF6"/>
    <w:rsid w:val="00581641"/>
    <w:rsid w:val="0058277D"/>
    <w:rsid w:val="00585079"/>
    <w:rsid w:val="005903A8"/>
    <w:rsid w:val="00591CD6"/>
    <w:rsid w:val="00597759"/>
    <w:rsid w:val="005A4EFF"/>
    <w:rsid w:val="005B6E1D"/>
    <w:rsid w:val="005C0B8A"/>
    <w:rsid w:val="005C0C52"/>
    <w:rsid w:val="005C31D1"/>
    <w:rsid w:val="005C4C18"/>
    <w:rsid w:val="005C4FE0"/>
    <w:rsid w:val="005D7639"/>
    <w:rsid w:val="005E459C"/>
    <w:rsid w:val="005F2FD2"/>
    <w:rsid w:val="006032CF"/>
    <w:rsid w:val="00607806"/>
    <w:rsid w:val="00613617"/>
    <w:rsid w:val="00633DCD"/>
    <w:rsid w:val="00656292"/>
    <w:rsid w:val="006569AF"/>
    <w:rsid w:val="006713AE"/>
    <w:rsid w:val="00677407"/>
    <w:rsid w:val="00684758"/>
    <w:rsid w:val="00686A19"/>
    <w:rsid w:val="006A7212"/>
    <w:rsid w:val="006B1C67"/>
    <w:rsid w:val="006B7583"/>
    <w:rsid w:val="006C0A38"/>
    <w:rsid w:val="006C42AF"/>
    <w:rsid w:val="006D45B4"/>
    <w:rsid w:val="006E3931"/>
    <w:rsid w:val="006E4BF7"/>
    <w:rsid w:val="006E5CB6"/>
    <w:rsid w:val="006F187A"/>
    <w:rsid w:val="006F3098"/>
    <w:rsid w:val="006F6D40"/>
    <w:rsid w:val="00705ED1"/>
    <w:rsid w:val="00706A58"/>
    <w:rsid w:val="00707005"/>
    <w:rsid w:val="00710624"/>
    <w:rsid w:val="00720C36"/>
    <w:rsid w:val="0072285B"/>
    <w:rsid w:val="00722902"/>
    <w:rsid w:val="00730089"/>
    <w:rsid w:val="0073119E"/>
    <w:rsid w:val="00753B8C"/>
    <w:rsid w:val="00754486"/>
    <w:rsid w:val="00760207"/>
    <w:rsid w:val="00762F00"/>
    <w:rsid w:val="00764450"/>
    <w:rsid w:val="00764999"/>
    <w:rsid w:val="00764DD1"/>
    <w:rsid w:val="00770E48"/>
    <w:rsid w:val="00772108"/>
    <w:rsid w:val="007A4A8B"/>
    <w:rsid w:val="007B12DB"/>
    <w:rsid w:val="007D28BF"/>
    <w:rsid w:val="007D639E"/>
    <w:rsid w:val="007F4649"/>
    <w:rsid w:val="007F4FA9"/>
    <w:rsid w:val="00801C18"/>
    <w:rsid w:val="00801FF1"/>
    <w:rsid w:val="00806C91"/>
    <w:rsid w:val="008103D1"/>
    <w:rsid w:val="008153D7"/>
    <w:rsid w:val="00816457"/>
    <w:rsid w:val="008178CF"/>
    <w:rsid w:val="00823FAF"/>
    <w:rsid w:val="008336F9"/>
    <w:rsid w:val="00836C04"/>
    <w:rsid w:val="008435AD"/>
    <w:rsid w:val="008461B9"/>
    <w:rsid w:val="0085459F"/>
    <w:rsid w:val="00857F27"/>
    <w:rsid w:val="00860201"/>
    <w:rsid w:val="00860CCD"/>
    <w:rsid w:val="00864978"/>
    <w:rsid w:val="00866016"/>
    <w:rsid w:val="00867ECF"/>
    <w:rsid w:val="00870C88"/>
    <w:rsid w:val="00874EC2"/>
    <w:rsid w:val="00876EB0"/>
    <w:rsid w:val="008911B6"/>
    <w:rsid w:val="00895617"/>
    <w:rsid w:val="008A36E4"/>
    <w:rsid w:val="008A6164"/>
    <w:rsid w:val="008A7B3E"/>
    <w:rsid w:val="008C01A6"/>
    <w:rsid w:val="008C1B3C"/>
    <w:rsid w:val="008D0462"/>
    <w:rsid w:val="008D479F"/>
    <w:rsid w:val="008F25A4"/>
    <w:rsid w:val="008F3C39"/>
    <w:rsid w:val="008F4150"/>
    <w:rsid w:val="008F6DDF"/>
    <w:rsid w:val="008F7E42"/>
    <w:rsid w:val="00902A9F"/>
    <w:rsid w:val="00915268"/>
    <w:rsid w:val="009212D1"/>
    <w:rsid w:val="009235FE"/>
    <w:rsid w:val="009251D4"/>
    <w:rsid w:val="00933111"/>
    <w:rsid w:val="00941D2A"/>
    <w:rsid w:val="00952D5E"/>
    <w:rsid w:val="00967FD8"/>
    <w:rsid w:val="0097580B"/>
    <w:rsid w:val="00977282"/>
    <w:rsid w:val="0099569F"/>
    <w:rsid w:val="009A2523"/>
    <w:rsid w:val="009A645B"/>
    <w:rsid w:val="009B3486"/>
    <w:rsid w:val="009B5173"/>
    <w:rsid w:val="009C21BE"/>
    <w:rsid w:val="009C2AA7"/>
    <w:rsid w:val="009D1FDE"/>
    <w:rsid w:val="009D398E"/>
    <w:rsid w:val="009D7B6B"/>
    <w:rsid w:val="00A13244"/>
    <w:rsid w:val="00A5293B"/>
    <w:rsid w:val="00A64789"/>
    <w:rsid w:val="00A663A7"/>
    <w:rsid w:val="00A67934"/>
    <w:rsid w:val="00A76F35"/>
    <w:rsid w:val="00A80AB6"/>
    <w:rsid w:val="00A80CB9"/>
    <w:rsid w:val="00A816E7"/>
    <w:rsid w:val="00A81AC6"/>
    <w:rsid w:val="00A82C81"/>
    <w:rsid w:val="00A83022"/>
    <w:rsid w:val="00A92D2F"/>
    <w:rsid w:val="00A9365C"/>
    <w:rsid w:val="00A97EB7"/>
    <w:rsid w:val="00AA2E16"/>
    <w:rsid w:val="00AB24E7"/>
    <w:rsid w:val="00AB6BDD"/>
    <w:rsid w:val="00AC55D8"/>
    <w:rsid w:val="00AD5C08"/>
    <w:rsid w:val="00AD66CF"/>
    <w:rsid w:val="00AE06ED"/>
    <w:rsid w:val="00AE229A"/>
    <w:rsid w:val="00AF0529"/>
    <w:rsid w:val="00B03A8D"/>
    <w:rsid w:val="00B1039E"/>
    <w:rsid w:val="00B13278"/>
    <w:rsid w:val="00B2765C"/>
    <w:rsid w:val="00B326EC"/>
    <w:rsid w:val="00B4410E"/>
    <w:rsid w:val="00B56CE0"/>
    <w:rsid w:val="00B62341"/>
    <w:rsid w:val="00B669CD"/>
    <w:rsid w:val="00B6781B"/>
    <w:rsid w:val="00B71825"/>
    <w:rsid w:val="00B9106E"/>
    <w:rsid w:val="00B91B91"/>
    <w:rsid w:val="00B9219B"/>
    <w:rsid w:val="00B957BA"/>
    <w:rsid w:val="00BA35C5"/>
    <w:rsid w:val="00BB31BF"/>
    <w:rsid w:val="00BB6146"/>
    <w:rsid w:val="00BB7E02"/>
    <w:rsid w:val="00BC17DA"/>
    <w:rsid w:val="00BC4646"/>
    <w:rsid w:val="00BC6F5D"/>
    <w:rsid w:val="00BD0928"/>
    <w:rsid w:val="00BD2FEC"/>
    <w:rsid w:val="00BD4BA1"/>
    <w:rsid w:val="00BD4F16"/>
    <w:rsid w:val="00BD5814"/>
    <w:rsid w:val="00BD597F"/>
    <w:rsid w:val="00BE006F"/>
    <w:rsid w:val="00BF1539"/>
    <w:rsid w:val="00BF3E7A"/>
    <w:rsid w:val="00BF51A9"/>
    <w:rsid w:val="00BF5260"/>
    <w:rsid w:val="00C0061F"/>
    <w:rsid w:val="00C07E5B"/>
    <w:rsid w:val="00C11136"/>
    <w:rsid w:val="00C12139"/>
    <w:rsid w:val="00C218CB"/>
    <w:rsid w:val="00C21EA6"/>
    <w:rsid w:val="00C22F06"/>
    <w:rsid w:val="00C32D82"/>
    <w:rsid w:val="00C356DE"/>
    <w:rsid w:val="00C36460"/>
    <w:rsid w:val="00C41B32"/>
    <w:rsid w:val="00C43A3E"/>
    <w:rsid w:val="00C51489"/>
    <w:rsid w:val="00C537A6"/>
    <w:rsid w:val="00C649B0"/>
    <w:rsid w:val="00C659CB"/>
    <w:rsid w:val="00C67B2C"/>
    <w:rsid w:val="00C7142F"/>
    <w:rsid w:val="00C8163B"/>
    <w:rsid w:val="00C93FA8"/>
    <w:rsid w:val="00CA0393"/>
    <w:rsid w:val="00CA16B3"/>
    <w:rsid w:val="00CA1F41"/>
    <w:rsid w:val="00CB099A"/>
    <w:rsid w:val="00CB2DD1"/>
    <w:rsid w:val="00CB40F3"/>
    <w:rsid w:val="00CB660B"/>
    <w:rsid w:val="00CC08A3"/>
    <w:rsid w:val="00CC1D9B"/>
    <w:rsid w:val="00CC3ECF"/>
    <w:rsid w:val="00CD100D"/>
    <w:rsid w:val="00CE3BBC"/>
    <w:rsid w:val="00CE6EEF"/>
    <w:rsid w:val="00CF0CE6"/>
    <w:rsid w:val="00CF21C6"/>
    <w:rsid w:val="00CF7BDD"/>
    <w:rsid w:val="00D0560F"/>
    <w:rsid w:val="00D10A01"/>
    <w:rsid w:val="00D2025C"/>
    <w:rsid w:val="00D21817"/>
    <w:rsid w:val="00D23D3E"/>
    <w:rsid w:val="00D52EF9"/>
    <w:rsid w:val="00D5684E"/>
    <w:rsid w:val="00D5745A"/>
    <w:rsid w:val="00D577D8"/>
    <w:rsid w:val="00D61F66"/>
    <w:rsid w:val="00D80BA4"/>
    <w:rsid w:val="00D8462D"/>
    <w:rsid w:val="00DA69DF"/>
    <w:rsid w:val="00DC21D9"/>
    <w:rsid w:val="00DC278B"/>
    <w:rsid w:val="00DC2EC4"/>
    <w:rsid w:val="00DD08A9"/>
    <w:rsid w:val="00DD5DA1"/>
    <w:rsid w:val="00DD60FD"/>
    <w:rsid w:val="00DE5BC5"/>
    <w:rsid w:val="00DE67F6"/>
    <w:rsid w:val="00DF145D"/>
    <w:rsid w:val="00E063DF"/>
    <w:rsid w:val="00E0665B"/>
    <w:rsid w:val="00E20C02"/>
    <w:rsid w:val="00E2516A"/>
    <w:rsid w:val="00E279F0"/>
    <w:rsid w:val="00E27E17"/>
    <w:rsid w:val="00E44325"/>
    <w:rsid w:val="00E4601F"/>
    <w:rsid w:val="00E54FA3"/>
    <w:rsid w:val="00E66613"/>
    <w:rsid w:val="00E70A2C"/>
    <w:rsid w:val="00E742A7"/>
    <w:rsid w:val="00E76F8E"/>
    <w:rsid w:val="00E77619"/>
    <w:rsid w:val="00E8032F"/>
    <w:rsid w:val="00E840BB"/>
    <w:rsid w:val="00E900A8"/>
    <w:rsid w:val="00E909C6"/>
    <w:rsid w:val="00E91D41"/>
    <w:rsid w:val="00E93236"/>
    <w:rsid w:val="00E95FA0"/>
    <w:rsid w:val="00EA21C2"/>
    <w:rsid w:val="00EA6D72"/>
    <w:rsid w:val="00EB7B38"/>
    <w:rsid w:val="00EC604E"/>
    <w:rsid w:val="00EE0A84"/>
    <w:rsid w:val="00EE0E69"/>
    <w:rsid w:val="00EE1295"/>
    <w:rsid w:val="00EF4501"/>
    <w:rsid w:val="00F038C7"/>
    <w:rsid w:val="00F0489A"/>
    <w:rsid w:val="00F16413"/>
    <w:rsid w:val="00F168C2"/>
    <w:rsid w:val="00F1725B"/>
    <w:rsid w:val="00F208F6"/>
    <w:rsid w:val="00F20E40"/>
    <w:rsid w:val="00F26A20"/>
    <w:rsid w:val="00F306B1"/>
    <w:rsid w:val="00F31139"/>
    <w:rsid w:val="00F41CBE"/>
    <w:rsid w:val="00F42975"/>
    <w:rsid w:val="00F449CC"/>
    <w:rsid w:val="00F456D0"/>
    <w:rsid w:val="00F4595E"/>
    <w:rsid w:val="00F47B42"/>
    <w:rsid w:val="00F62AA6"/>
    <w:rsid w:val="00F66C86"/>
    <w:rsid w:val="00F85255"/>
    <w:rsid w:val="00F85DF2"/>
    <w:rsid w:val="00F93FD2"/>
    <w:rsid w:val="00FA520B"/>
    <w:rsid w:val="00FB00AB"/>
    <w:rsid w:val="00FB0FA3"/>
    <w:rsid w:val="00FC4AB3"/>
    <w:rsid w:val="00FC6F12"/>
    <w:rsid w:val="00FD16A5"/>
    <w:rsid w:val="00FE7CD1"/>
    <w:rsid w:val="07AA5CA9"/>
    <w:rsid w:val="0B91F85F"/>
    <w:rsid w:val="0C5F2B7A"/>
    <w:rsid w:val="0EA6986D"/>
    <w:rsid w:val="102A9CA1"/>
    <w:rsid w:val="11CF8342"/>
    <w:rsid w:val="123174E8"/>
    <w:rsid w:val="1540C780"/>
    <w:rsid w:val="174034D6"/>
    <w:rsid w:val="1D8B24DD"/>
    <w:rsid w:val="1EA6068B"/>
    <w:rsid w:val="1FBA5781"/>
    <w:rsid w:val="24A52D3A"/>
    <w:rsid w:val="261070A8"/>
    <w:rsid w:val="26C606FF"/>
    <w:rsid w:val="2D0FF5C1"/>
    <w:rsid w:val="364507BC"/>
    <w:rsid w:val="376FBDEF"/>
    <w:rsid w:val="38D8B1C3"/>
    <w:rsid w:val="396622BA"/>
    <w:rsid w:val="3C5312E5"/>
    <w:rsid w:val="3C9DC37C"/>
    <w:rsid w:val="42B962D5"/>
    <w:rsid w:val="43887229"/>
    <w:rsid w:val="443ADEA5"/>
    <w:rsid w:val="44FF2DB0"/>
    <w:rsid w:val="4A34420A"/>
    <w:rsid w:val="4C0CE069"/>
    <w:rsid w:val="4D3D4484"/>
    <w:rsid w:val="4E259301"/>
    <w:rsid w:val="4E3A6445"/>
    <w:rsid w:val="55869E3F"/>
    <w:rsid w:val="5D4499D9"/>
    <w:rsid w:val="5E54A09A"/>
    <w:rsid w:val="618C415C"/>
    <w:rsid w:val="62BBDEC8"/>
    <w:rsid w:val="62CEF65C"/>
    <w:rsid w:val="63EA59FC"/>
    <w:rsid w:val="671572DD"/>
    <w:rsid w:val="6ABEA346"/>
    <w:rsid w:val="6D12BC02"/>
    <w:rsid w:val="6E63F93A"/>
    <w:rsid w:val="6FB2499D"/>
    <w:rsid w:val="70D9D94D"/>
    <w:rsid w:val="70E12F5B"/>
    <w:rsid w:val="71681AE0"/>
    <w:rsid w:val="78C13732"/>
    <w:rsid w:val="7C6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3C972"/>
  <w15:docId w15:val="{F2E6F99D-1155-4B68-9B7B-344CED4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C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link w:val="BodyText2Char"/>
    <w:pPr>
      <w:tabs>
        <w:tab w:val="left" w:pos="-720"/>
        <w:tab w:val="left" w:pos="720"/>
      </w:tabs>
      <w:suppressAutoHyphens/>
      <w:jc w:val="both"/>
    </w:pPr>
    <w:rPr>
      <w:b/>
      <w:bCs/>
    </w:rPr>
  </w:style>
  <w:style w:type="paragraph" w:styleId="BodyText3">
    <w:name w:val="Body Text 3"/>
    <w:basedOn w:val="Normal"/>
    <w:link w:val="BodyText3Char"/>
    <w:pPr>
      <w:tabs>
        <w:tab w:val="left" w:pos="-1440"/>
        <w:tab w:val="left" w:pos="-720"/>
        <w:tab w:val="left" w:pos="2592"/>
        <w:tab w:val="left" w:pos="4896"/>
        <w:tab w:val="left" w:pos="6300"/>
      </w:tabs>
      <w:suppressAutoHyphens/>
      <w:ind w:right="144"/>
    </w:pPr>
    <w:rPr>
      <w:b/>
      <w:bCs/>
      <w:spacing w:val="-3"/>
      <w:sz w:val="22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position w:val="0"/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120"/>
      <w:ind w:left="432" w:hanging="432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letterhead">
    <w:name w:val="Form: letterhead"/>
    <w:basedOn w:val="Normal"/>
    <w:pPr>
      <w:tabs>
        <w:tab w:val="left" w:pos="5130"/>
        <w:tab w:val="left" w:pos="7290"/>
      </w:tabs>
      <w:ind w:left="180"/>
    </w:pPr>
    <w:rPr>
      <w:rFonts w:ascii="Arial" w:hAnsi="Arial"/>
      <w:sz w:val="28"/>
      <w:szCs w:val="20"/>
    </w:rPr>
  </w:style>
  <w:style w:type="paragraph" w:customStyle="1" w:styleId="ModelDoubleNoIndent">
    <w:name w:val="ModelDoubleNoIndent"/>
    <w:basedOn w:val="ModelNrmlDouble"/>
    <w:pPr>
      <w:ind w:firstLine="0"/>
    </w:pPr>
    <w:rPr>
      <w:u w:val="single"/>
    </w:rPr>
  </w:style>
  <w:style w:type="paragraph" w:customStyle="1" w:styleId="ModelNrmlDouble">
    <w:name w:val="ModelNrmlDouble"/>
    <w:basedOn w:val="Normal"/>
    <w:pPr>
      <w:spacing w:after="360" w:line="480" w:lineRule="auto"/>
      <w:ind w:firstLine="720"/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b/>
      <w:bCs/>
      <w:spacing w:val="-3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ModelNrmlSingle">
    <w:name w:val="ModelNrmlSingle"/>
    <w:basedOn w:val="Normal"/>
    <w:link w:val="ModelNrmlSingleChar"/>
    <w:pPr>
      <w:spacing w:after="240"/>
      <w:ind w:firstLine="720"/>
      <w:jc w:val="both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1.1.1_List Paragraph,List Paragraph (numbered (a)),List Paragraph 1,List Paragraph 1.1.1,List Paragraph1,List_Paragraph,Main numbered paragraph,Multilevel para_II,NUMBERED PARAGRAPH,Normal 2,Numbered List Paragraph,References,Bullet1,Ha"/>
    <w:basedOn w:val="Normal"/>
    <w:link w:val="ListParagraphChar"/>
    <w:uiPriority w:val="34"/>
    <w:qFormat/>
    <w:pPr>
      <w:ind w:left="720"/>
      <w:contextualSpacing/>
    </w:pPr>
  </w:style>
  <w:style w:type="paragraph" w:customStyle="1" w:styleId="Referencestyle">
    <w:name w:val="Reference style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ascii="Times New Roman" w:eastAsia="Times New Roman" w:hAnsi="Times New Roman" w:cs="Times New Roman"/>
      <w:color w:val="000000"/>
      <w:u w:color="000000"/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character" w:customStyle="1" w:styleId="ListParagraphChar">
    <w:name w:val="List Paragraph Char"/>
    <w:aliases w:val="1.1.1_List Paragraph Char,List Paragraph (numbered (a)) Char,List Paragraph 1 Char,List Paragraph 1.1.1 Char,List Paragraph1 Char,List_Paragraph Char,Main numbered paragraph Char,Multilevel para_II Char,NUMBERED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qFormat/>
    <w:pPr>
      <w:spacing w:after="24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Outline">
    <w:name w:val="Outline"/>
    <w:qFormat/>
    <w:pPr>
      <w:spacing w:before="240"/>
    </w:pPr>
    <w:rPr>
      <w:rFonts w:ascii="Times New Roman" w:eastAsia="Times New Roman" w:hAnsi="Times New Roman" w:cs="Times New Roman"/>
      <w:color w:val="000000"/>
      <w:kern w:val="28"/>
      <w:sz w:val="24"/>
      <w:szCs w:val="24"/>
      <w:u w:color="000000"/>
    </w:rPr>
  </w:style>
  <w:style w:type="character" w:customStyle="1" w:styleId="ModelNrmlSingleChar">
    <w:name w:val="ModelNrmlSingle Char"/>
    <w:link w:val="ModelNrmlSingle"/>
    <w:qFormat/>
    <w:rPr>
      <w:rFonts w:ascii="Times New Roman" w:eastAsia="Times New Roman" w:hAnsi="Times New Roman" w:cs="Times New Roman"/>
      <w:szCs w:val="20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MainText">
    <w:name w:val="MainText"/>
    <w:basedOn w:val="Normal"/>
    <w:link w:val="MainTextChar"/>
    <w:rsid w:val="009B3486"/>
    <w:pPr>
      <w:spacing w:after="120" w:line="269" w:lineRule="auto"/>
    </w:pPr>
    <w:rPr>
      <w:rFonts w:ascii="Arial" w:hAnsi="Arial" w:cs="Arial"/>
      <w:sz w:val="20"/>
      <w:szCs w:val="22"/>
      <w:lang w:val="en-GB" w:eastAsia="zh-CN"/>
    </w:rPr>
  </w:style>
  <w:style w:type="character" w:customStyle="1" w:styleId="MainTextChar">
    <w:name w:val="MainText Char"/>
    <w:link w:val="MainText"/>
    <w:rsid w:val="009B3486"/>
    <w:rPr>
      <w:rFonts w:ascii="Arial" w:eastAsia="Times New Roman" w:hAnsi="Arial" w:cs="Arial"/>
      <w:szCs w:val="22"/>
      <w:lang w:val="en-GB" w:eastAsia="zh-CN"/>
    </w:rPr>
  </w:style>
  <w:style w:type="paragraph" w:customStyle="1" w:styleId="Normal-PRsubhead">
    <w:name w:val="Normal-PR subhead"/>
    <w:basedOn w:val="Normal"/>
    <w:next w:val="Normal"/>
    <w:autoRedefine/>
    <w:qFormat/>
    <w:rsid w:val="00D80BA4"/>
    <w:pPr>
      <w:keepLines/>
      <w:widowControl w:val="0"/>
      <w:tabs>
        <w:tab w:val="left" w:pos="113"/>
      </w:tabs>
      <w:jc w:val="both"/>
    </w:pPr>
    <w:rPr>
      <w:rFonts w:asciiTheme="minorHAnsi" w:eastAsia="Calibri" w:hAnsiTheme="minorHAnsi" w:cstheme="minorHAnsi"/>
      <w:sz w:val="2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Authors xmlns="b99a068c-3844-4a16-badd-77233eea0529">000269451:Predrag Djukic:pdjukic@worldbank.org;</DocAuthors>
    <Authors xmlns="b99a068c-3844-4a16-badd-77233eea0529">
      <UserInfo>
        <DisplayName>i:0#.w|wb\wb269451</DisplayName>
        <AccountId>9230</AccountId>
        <AccountType/>
      </UserInfo>
      <UserInfo>
        <DisplayName/>
        <AccountId xsi:nil="true"/>
        <AccountType/>
      </UserInfo>
    </Authors>
    <SequenceNum xmlns="b99a068c-3844-4a16-badd-77233eea0529">001</SequenceNum>
    <Cordis_x0020_ID xmlns="b99a068c-3844-4a16-badd-77233eea0529" xsi:nil="true"/>
    <Stage xmlns="b99a068c-3844-4a16-badd-77233eea0529">IMP</Stage>
    <PolicyExceptions xmlns="b99a068c-3844-4a16-badd-77233eea0529">PE09:9.Deliberative;</PolicyExceptions>
    <IsTemplate xmlns="b99a068c-3844-4a16-badd-77233eea0529">false</IsTemplate>
    <WBDocType xmlns="b99a068c-3844-4a16-badd-77233eea0529" xsi:nil="true"/>
    <SecurityClassification xmlns="b99a068c-3844-4a16-badd-77233eea0529">Official use only</SecurityClassification>
    <DeliverableID xmlns="b99a068c-3844-4a16-badd-77233eea0529" xsi:nil="true"/>
    <ProjectID xmlns="b99a068c-3844-4a16-badd-77233eea0529">P173892</ProjectID>
    <Task_x0020_ID xmlns="b99a068c-3844-4a16-badd-77233eea0529">TSK9945659</Task_x0020_ID>
    <HasUserUploaded xmlns="b99a068c-3844-4a16-badd-77233eea0529">true</HasUserUploaded>
    <DocumentDate xmlns="b99a068c-3844-4a16-badd-77233eea0529">2021-07-28T04:00:00+00:00</DocumentDate>
    <Package xmlns="b99a068c-3844-4a16-badd-77233eea0529">true</Package>
    <TemplateDocVersion xmlns="b99a068c-3844-4a16-badd-77233eea0529" xsi:nil="true"/>
    <RefreshDate xmlns="b99a068c-3844-4a16-badd-77233eea0529" xsi:nil="true"/>
    <IsMandatory xmlns="b99a068c-3844-4a16-badd-77233eea0529">false</IsMandatory>
    <SortOrder xmlns="b99a068c-3844-4a16-badd-77233eea0529" xsi:nil="true"/>
    <IsHidden xmlns="b99a068c-3844-4a16-badd-77233eea0529">false</IsHidden>
    <AttachmentType xmlns="b99a068c-3844-4a16-badd-77233eea0529" xsi:nil="true"/>
    <DisclosedVersion xmlns="b99a068c-3844-4a16-badd-77233eea0529" xsi:nil="true"/>
    <DocumentType xmlns="b99a068c-3844-4a16-badd-77233eea0529" xsi:nil="true"/>
    <ApprovedVersion xmlns="b99a068c-3844-4a16-badd-77233eea0529" xsi:nil="true"/>
    <DocStatus xmlns="b99a068c-3844-4a16-badd-77233eea0529" xsi:nil="true"/>
    <DependentDoc xmlns="b99a068c-3844-4a16-badd-77233eea0529" xsi:nil="true"/>
    <SAPStage xmlns="b99a068c-3844-4a16-badd-77233eea0529" xsi:nil="true"/>
    <LockStatus xmlns="b99a068c-3844-4a16-badd-77233eea0529" xsi:nil="true"/>
    <Abstract xmlns="b99a068c-3844-4a16-badd-77233eea0529" xsi:nil="true"/>
    <DocumentAction xmlns="b99a068c-3844-4a16-badd-77233eea0529" xsi:nil="true"/>
  </documentManagement>
</p:properties>
</file>

<file path=customXml/item2.xml><?xml version="1.0" encoding="utf-8"?>
<?mso-contentType ?>
<SharedContentType xmlns="Microsoft.SharePoint.Taxonomy.ContentTypeSync" SourceId="a4117c50-33ca-4e49-9a5c-4b51d291b3ff" ContentTypeId="0x01010054E0FEF4951F9D49A6F48A35419983C7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BOpsProjectDoc" ma:contentTypeID="0x01010054E0FEF4951F9D49A6F48A35419983C70091226E8066EBE14CA94F639E87A6B2C3" ma:contentTypeVersion="3" ma:contentTypeDescription="" ma:contentTypeScope="" ma:versionID="97472c43f3786a83c24bc0d2822b1708">
  <xsd:schema xmlns:xsd="http://www.w3.org/2001/XMLSchema" xmlns:xs="http://www.w3.org/2001/XMLSchema" xmlns:p="http://schemas.microsoft.com/office/2006/metadata/properties" xmlns:ns2="b99a068c-3844-4a16-badd-77233eea0529" targetNamespace="http://schemas.microsoft.com/office/2006/metadata/properties" ma:root="true" ma:fieldsID="3601a636447cc90561ca037b5dbf727c" ns2:_="">
    <xsd:import namespace="b99a068c-3844-4a16-badd-77233eea0529"/>
    <xsd:element name="properties">
      <xsd:complexType>
        <xsd:sequence>
          <xsd:element name="documentManagement">
            <xsd:complexType>
              <xsd:all>
                <xsd:element ref="ns2:ProjectID" minOccurs="0"/>
                <xsd:element ref="ns2:Stage" minOccurs="0"/>
                <xsd:element ref="ns2:Package" minOccurs="0"/>
                <xsd:element ref="ns2:DocumentType" minOccurs="0"/>
                <xsd:element ref="ns2:SortOrder" minOccurs="0"/>
                <xsd:element ref="ns2:AttachmentType" minOccurs="0"/>
                <xsd:element ref="ns2:Abstract" minOccurs="0"/>
                <xsd:element ref="ns2:SecurityClassification" minOccurs="0"/>
                <xsd:element ref="ns2:Cordis_x0020_ID" minOccurs="0"/>
                <xsd:element ref="ns2:Task_x0020_ID" minOccurs="0"/>
                <xsd:element ref="ns2:DependentDoc" minOccurs="0"/>
                <xsd:element ref="ns2:DeliverableID" minOccurs="0"/>
                <xsd:element ref="ns2:RefreshDate" minOccurs="0"/>
                <xsd:element ref="ns2:DocStatus" minOccurs="0"/>
                <xsd:element ref="ns2:ApprovedVersion" minOccurs="0"/>
                <xsd:element ref="ns2:DisclosedVersion" minOccurs="0"/>
                <xsd:element ref="ns2:HasUserUploaded" minOccurs="0"/>
                <xsd:element ref="ns2:IsMandatory" minOccurs="0"/>
                <xsd:element ref="ns2:IsTemplate" minOccurs="0"/>
                <xsd:element ref="ns2:SAPStage" minOccurs="0"/>
                <xsd:element ref="ns2:Authors" minOccurs="0"/>
                <xsd:element ref="ns2:DocAuthors" minOccurs="0"/>
                <xsd:element ref="ns2:DocumentDate" minOccurs="0"/>
                <xsd:element ref="ns2:PolicyExceptions" minOccurs="0"/>
                <xsd:element ref="ns2:WBDocType" minOccurs="0"/>
                <xsd:element ref="ns2:LockStatus" minOccurs="0"/>
                <xsd:element ref="ns2:DocumentAction" minOccurs="0"/>
                <xsd:element ref="ns2:IsHidden" minOccurs="0"/>
                <xsd:element ref="ns2:TemplateDocVersion" minOccurs="0"/>
                <xsd:element ref="ns2:Sequence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068c-3844-4a16-badd-77233eea0529" elementFormDefault="qualified">
    <xsd:import namespace="http://schemas.microsoft.com/office/2006/documentManagement/types"/>
    <xsd:import namespace="http://schemas.microsoft.com/office/infopath/2007/PartnerControls"/>
    <xsd:element name="ProjectID" ma:index="8" nillable="true" ma:displayName="ProjectID" ma:internalName="ProjectID">
      <xsd:simpleType>
        <xsd:restriction base="dms:Text">
          <xsd:maxLength value="255"/>
        </xsd:restriction>
      </xsd:simpleType>
    </xsd:element>
    <xsd:element name="Stage" ma:index="9" nillable="true" ma:displayName="Stage" ma:internalName="Stage">
      <xsd:simpleType>
        <xsd:restriction base="dms:Text">
          <xsd:maxLength value="255"/>
        </xsd:restriction>
      </xsd:simpleType>
    </xsd:element>
    <xsd:element name="Package" ma:index="10" nillable="true" ma:displayName="Package" ma:default="1" ma:internalName="Package">
      <xsd:simpleType>
        <xsd:restriction base="dms:Boolean"/>
      </xsd:simpleType>
    </xsd:element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  <xsd:element name="SortOrder" ma:index="12" nillable="true" ma:displayName="SortOrder" ma:internalName="SortOrder">
      <xsd:simpleType>
        <xsd:restriction base="dms:Number"/>
      </xsd:simpleType>
    </xsd:element>
    <xsd:element name="AttachmentType" ma:index="13" nillable="true" ma:displayName="AttachmentType" ma:internalName="AttachmentType">
      <xsd:simpleType>
        <xsd:restriction base="dms:Text">
          <xsd:maxLength value="255"/>
        </xsd:restriction>
      </xsd:simpleType>
    </xsd:element>
    <xsd:element name="Abstract" ma:index="14" nillable="true" ma:displayName="Abstract" ma:internalName="Abstract">
      <xsd:simpleType>
        <xsd:restriction base="dms:Note"/>
      </xsd:simpleType>
    </xsd:element>
    <xsd:element name="SecurityClassification" ma:index="15" nillable="true" ma:displayName="SecurityClassification" ma:format="Dropdown" ma:internalName="SecurityClassification">
      <xsd:simpleType>
        <xsd:restriction base="dms:Choice">
          <xsd:enumeration value="Official use only"/>
          <xsd:enumeration value="Public"/>
        </xsd:restriction>
      </xsd:simpleType>
    </xsd:element>
    <xsd:element name="Cordis_x0020_ID" ma:index="16" nillable="true" ma:displayName="Cordis ID" ma:internalName="Cordis_x0020_ID">
      <xsd:simpleType>
        <xsd:restriction base="dms:Note"/>
      </xsd:simpleType>
    </xsd:element>
    <xsd:element name="Task_x0020_ID" ma:index="17" nillable="true" ma:displayName="Task ID" ma:internalName="Task_x0020_ID">
      <xsd:simpleType>
        <xsd:restriction base="dms:Note"/>
      </xsd:simpleType>
    </xsd:element>
    <xsd:element name="DependentDoc" ma:index="18" nillable="true" ma:displayName="DependentDoc" ma:internalName="DependentDoc">
      <xsd:simpleType>
        <xsd:restriction base="dms:Note"/>
      </xsd:simpleType>
    </xsd:element>
    <xsd:element name="DeliverableID" ma:index="19" nillable="true" ma:displayName="DeliverableID" ma:internalName="DeliverableID">
      <xsd:simpleType>
        <xsd:restriction base="dms:Note"/>
      </xsd:simpleType>
    </xsd:element>
    <xsd:element name="RefreshDate" ma:index="20" nillable="true" ma:displayName="RefreshDate" ma:format="DateTime" ma:internalName="RefreshDate">
      <xsd:simpleType>
        <xsd:restriction base="dms:DateTime"/>
      </xsd:simpleType>
    </xsd:element>
    <xsd:element name="DocStatus" ma:index="21" nillable="true" ma:displayName="DocStatus" ma:internalName="DocStatus">
      <xsd:simpleType>
        <xsd:restriction base="dms:Text">
          <xsd:maxLength value="255"/>
        </xsd:restriction>
      </xsd:simpleType>
    </xsd:element>
    <xsd:element name="ApprovedVersion" ma:index="22" nillable="true" ma:displayName="ApprovedVersion" ma:internalName="ApprovedVersion">
      <xsd:simpleType>
        <xsd:restriction base="dms:Text">
          <xsd:maxLength value="255"/>
        </xsd:restriction>
      </xsd:simpleType>
    </xsd:element>
    <xsd:element name="DisclosedVersion" ma:index="23" nillable="true" ma:displayName="DisclosedVersion" ma:internalName="DisclosedVersion">
      <xsd:simpleType>
        <xsd:restriction base="dms:Note"/>
      </xsd:simpleType>
    </xsd:element>
    <xsd:element name="HasUserUploaded" ma:index="24" nillable="true" ma:displayName="HasUserUploaded" ma:default="0" ma:internalName="HasUserUploaded">
      <xsd:simpleType>
        <xsd:restriction base="dms:Boolean"/>
      </xsd:simpleType>
    </xsd:element>
    <xsd:element name="IsMandatory" ma:index="25" nillable="true" ma:displayName="IsMandatory" ma:default="0" ma:internalName="IsMandatory">
      <xsd:simpleType>
        <xsd:restriction base="dms:Boolean"/>
      </xsd:simpleType>
    </xsd:element>
    <xsd:element name="IsTemplate" ma:index="26" nillable="true" ma:displayName="IsTemplate" ma:default="0" ma:internalName="IsTemplate">
      <xsd:simpleType>
        <xsd:restriction base="dms:Boolean"/>
      </xsd:simpleType>
    </xsd:element>
    <xsd:element name="SAPStage" ma:index="27" nillable="true" ma:displayName="SAPStage" ma:internalName="SAPStage">
      <xsd:simpleType>
        <xsd:restriction base="dms:Text">
          <xsd:maxLength value="255"/>
        </xsd:restriction>
      </xsd:simpleType>
    </xsd:element>
    <xsd:element name="Authors" ma:index="28" nillable="true" ma:displayName="Authors" ma:list="UserInfo" ma:SharePointGroup="0" ma:internalName="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Authors" ma:index="29" nillable="true" ma:displayName="DocAuthors" ma:internalName="DocAuthors">
      <xsd:simpleType>
        <xsd:restriction base="dms:Note">
          <xsd:maxLength value="255"/>
        </xsd:restriction>
      </xsd:simpleType>
    </xsd:element>
    <xsd:element name="DocumentDate" ma:index="30" nillable="true" ma:displayName="DocumentDate" ma:format="DateOnly" ma:internalName="DocumentDate">
      <xsd:simpleType>
        <xsd:restriction base="dms:DateTime"/>
      </xsd:simpleType>
    </xsd:element>
    <xsd:element name="PolicyExceptions" ma:index="31" nillable="true" ma:displayName="PolicyExceptions" ma:internalName="PolicyExceptions">
      <xsd:simpleType>
        <xsd:restriction base="dms:Note">
          <xsd:maxLength value="255"/>
        </xsd:restriction>
      </xsd:simpleType>
    </xsd:element>
    <xsd:element name="WBDocType" ma:index="32" nillable="true" ma:displayName="WBDocType" ma:internalName="WBDocType">
      <xsd:simpleType>
        <xsd:restriction base="dms:Text">
          <xsd:maxLength value="255"/>
        </xsd:restriction>
      </xsd:simpleType>
    </xsd:element>
    <xsd:element name="LockStatus" ma:index="33" nillable="true" ma:displayName="LockStatus" ma:internalName="LockStatus">
      <xsd:simpleType>
        <xsd:restriction base="dms:Text">
          <xsd:maxLength value="255"/>
        </xsd:restriction>
      </xsd:simpleType>
    </xsd:element>
    <xsd:element name="DocumentAction" ma:index="34" nillable="true" ma:displayName="DocumentAction" ma:internalName="DocumentAction">
      <xsd:simpleType>
        <xsd:restriction base="dms:Text">
          <xsd:maxLength value="255"/>
        </xsd:restriction>
      </xsd:simpleType>
    </xsd:element>
    <xsd:element name="IsHidden" ma:index="35" nillable="true" ma:displayName="IsHidden" ma:default="0" ma:internalName="IsHidden">
      <xsd:simpleType>
        <xsd:restriction base="dms:Boolean"/>
      </xsd:simpleType>
    </xsd:element>
    <xsd:element name="TemplateDocVersion" ma:index="36" nillable="true" ma:displayName="TemplateDocVersion" ma:internalName="TemplateDocVersion">
      <xsd:simpleType>
        <xsd:restriction base="dms:Text">
          <xsd:maxLength value="255"/>
        </xsd:restriction>
      </xsd:simpleType>
    </xsd:element>
    <xsd:element name="SequenceNum" ma:index="37" nillable="true" ma:displayName="SequenceNum" ma:internalName="SequenceNu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70A9-8B63-45B4-A26C-3B9AD86FA695}">
  <ds:schemaRefs>
    <ds:schemaRef ds:uri="http://schemas.microsoft.com/office/2006/metadata/properties"/>
    <ds:schemaRef ds:uri="http://schemas.microsoft.com/office/infopath/2007/PartnerControls"/>
    <ds:schemaRef ds:uri="b99a068c-3844-4a16-badd-77233eea0529"/>
  </ds:schemaRefs>
</ds:datastoreItem>
</file>

<file path=customXml/itemProps2.xml><?xml version="1.0" encoding="utf-8"?>
<ds:datastoreItem xmlns:ds="http://schemas.openxmlformats.org/officeDocument/2006/customXml" ds:itemID="{895ADCE8-13B5-41E8-B7A7-4E48C68448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926C52F-6C0B-4DCF-9A07-2996367902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13D7C-03DC-4E7C-A542-D0D16FAF1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a068c-3844-4a16-badd-77233eea0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5400966-1405-4D00-B0CE-38A32274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Catalyzing Long Term Finance through Capital Markets</vt:lpstr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Catalyzing Long Term Finance through Capital Markets</dc:title>
  <dc:subject>Draft ESCP</dc:subject>
  <dc:creator>Igor Radovic</dc:creator>
  <cp:keywords>CLTFCM</cp:keywords>
  <cp:lastModifiedBy>Ministarstvo finansija</cp:lastModifiedBy>
  <cp:revision>106</cp:revision>
  <dcterms:created xsi:type="dcterms:W3CDTF">2021-11-25T09:22:00Z</dcterms:created>
  <dcterms:modified xsi:type="dcterms:W3CDTF">2023-01-30T08:21:00Z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0x01010054E0FEF4951F9D49A6F48A35419983C70091226E8066EBE14CA94F639E87A6B2C3</vt:lpwstr>
  </property>
  <property fmtid="{D5CDD505-2E9C-101B-9397-08002B2CF9AE}" pid="3" name="RatedBy">
    <vt:lpwstr/>
  </property>
  <property fmtid="{D5CDD505-2E9C-101B-9397-08002B2CF9AE}" pid="4" name="LikedBy">
    <vt:lpwstr/>
  </property>
  <property fmtid="{D5CDD505-2E9C-101B-9397-08002B2CF9AE}" pid="5" name="Order">
    <vt:r8>3100</vt:r8>
  </property>
  <property fmtid="{D5CDD505-2E9C-101B-9397-08002B2CF9AE}" pid="6" name="WBDocs_Originating_Unit">
    <vt:lpwstr>5;#LEGLE|7979dfdf-df9c-41ae-a5ba-388b42fc33fd</vt:lpwstr>
  </property>
  <property fmtid="{D5CDD505-2E9C-101B-9397-08002B2CF9AE}" pid="7" name="WBDocs_Local_Document_Type">
    <vt:lpwstr/>
  </property>
  <property fmtid="{D5CDD505-2E9C-101B-9397-08002B2CF9AE}" pid="8" name="WbDocsObjectId">
    <vt:lpwstr/>
  </property>
  <property fmtid="{D5CDD505-2E9C-101B-9397-08002B2CF9AE}" pid="9" name="IsDocumentTagged">
    <vt:lpwstr/>
  </property>
  <property fmtid="{D5CDD505-2E9C-101B-9397-08002B2CF9AE}" pid="10" name="KSOProductBuildVer">
    <vt:lpwstr>1033-11.2.0.10265</vt:lpwstr>
  </property>
  <property fmtid="{D5CDD505-2E9C-101B-9397-08002B2CF9AE}" pid="11" name="ICV">
    <vt:lpwstr>86C111F87BC1406AB80BA07B2EF790AA</vt:lpwstr>
  </property>
</Properties>
</file>