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22" w:rsidRPr="00967563" w:rsidRDefault="008503C6" w:rsidP="00967563">
      <w:pPr>
        <w:pStyle w:val="Title"/>
        <w:spacing w:before="120" w:line="240" w:lineRule="auto"/>
        <w:rPr>
          <w:rFonts w:asciiTheme="minorHAnsi" w:hAnsiTheme="minorHAnsi"/>
          <w:color w:val="auto"/>
          <w:sz w:val="22"/>
          <w:szCs w:val="22"/>
        </w:rPr>
      </w:pPr>
      <w:r w:rsidRPr="00967563">
        <w:rPr>
          <w:rFonts w:asciiTheme="minorHAnsi" w:hAnsiTheme="minorHAnsi"/>
          <w:color w:val="auto"/>
          <w:sz w:val="22"/>
          <w:szCs w:val="22"/>
        </w:rPr>
        <w:t>TERMS OF REFERENCE</w:t>
      </w:r>
    </w:p>
    <w:p w:rsidR="00AC0200" w:rsidRPr="00967563" w:rsidRDefault="00AC0200" w:rsidP="00967563">
      <w:pPr>
        <w:pStyle w:val="Title"/>
        <w:spacing w:line="240" w:lineRule="auto"/>
        <w:ind w:firstLine="576"/>
        <w:rPr>
          <w:rFonts w:asciiTheme="minorHAnsi" w:hAnsiTheme="minorHAnsi"/>
          <w:sz w:val="22"/>
          <w:szCs w:val="22"/>
          <w:lang w:bidi="hi-IN"/>
        </w:rPr>
      </w:pPr>
      <w:r w:rsidRPr="00967563">
        <w:rPr>
          <w:rFonts w:asciiTheme="minorHAnsi" w:hAnsiTheme="minorHAnsi"/>
          <w:sz w:val="22"/>
          <w:szCs w:val="22"/>
          <w:lang w:bidi="hi-IN"/>
        </w:rPr>
        <w:t>I</w:t>
      </w:r>
      <w:r w:rsidR="008503C6" w:rsidRPr="00967563">
        <w:rPr>
          <w:rFonts w:asciiTheme="minorHAnsi" w:hAnsiTheme="minorHAnsi"/>
          <w:sz w:val="22"/>
          <w:szCs w:val="22"/>
          <w:lang w:bidi="hi-IN"/>
        </w:rPr>
        <w:t xml:space="preserve">ndependent </w:t>
      </w:r>
      <w:r w:rsidRPr="00967563">
        <w:rPr>
          <w:rFonts w:asciiTheme="minorHAnsi" w:hAnsiTheme="minorHAnsi"/>
          <w:sz w:val="22"/>
          <w:szCs w:val="22"/>
          <w:lang w:bidi="hi-IN"/>
        </w:rPr>
        <w:t>V</w:t>
      </w:r>
      <w:r w:rsidR="008503C6" w:rsidRPr="00967563">
        <w:rPr>
          <w:rFonts w:asciiTheme="minorHAnsi" w:hAnsiTheme="minorHAnsi"/>
          <w:sz w:val="22"/>
          <w:szCs w:val="22"/>
          <w:lang w:bidi="hi-IN"/>
        </w:rPr>
        <w:t xml:space="preserve">erification </w:t>
      </w:r>
      <w:r w:rsidRPr="00967563">
        <w:rPr>
          <w:rFonts w:asciiTheme="minorHAnsi" w:hAnsiTheme="minorHAnsi"/>
          <w:sz w:val="22"/>
          <w:szCs w:val="22"/>
          <w:lang w:bidi="hi-IN"/>
        </w:rPr>
        <w:t>Agent</w:t>
      </w:r>
      <w:r w:rsidR="00AB174F" w:rsidRPr="00967563">
        <w:rPr>
          <w:rFonts w:asciiTheme="minorHAnsi" w:hAnsiTheme="minorHAnsi"/>
          <w:sz w:val="22"/>
          <w:szCs w:val="22"/>
          <w:lang w:bidi="hi-IN"/>
        </w:rPr>
        <w:t xml:space="preserve"> for Disbursement Linked Indicator 1</w:t>
      </w:r>
      <w:r w:rsidR="00967563" w:rsidRPr="00967563">
        <w:rPr>
          <w:rFonts w:asciiTheme="minorHAnsi" w:hAnsiTheme="minorHAnsi"/>
          <w:sz w:val="22"/>
          <w:szCs w:val="22"/>
          <w:lang w:bidi="hi-IN"/>
        </w:rPr>
        <w:t xml:space="preserve"> </w:t>
      </w:r>
      <w:r w:rsidRPr="00967563">
        <w:rPr>
          <w:rFonts w:asciiTheme="minorHAnsi" w:hAnsiTheme="minorHAnsi"/>
          <w:sz w:val="22"/>
          <w:szCs w:val="22"/>
          <w:lang w:bidi="hi-IN"/>
        </w:rPr>
        <w:t>for</w:t>
      </w:r>
    </w:p>
    <w:p w:rsidR="00E63C22" w:rsidRPr="00967563" w:rsidRDefault="00AC0200" w:rsidP="00967563">
      <w:pPr>
        <w:pStyle w:val="Title"/>
        <w:spacing w:line="240" w:lineRule="auto"/>
        <w:ind w:firstLine="576"/>
        <w:rPr>
          <w:rFonts w:asciiTheme="minorHAnsi" w:hAnsiTheme="minorHAnsi"/>
          <w:color w:val="auto"/>
          <w:sz w:val="22"/>
          <w:szCs w:val="22"/>
        </w:rPr>
      </w:pPr>
      <w:r w:rsidRPr="00967563">
        <w:rPr>
          <w:rFonts w:asciiTheme="minorHAnsi" w:hAnsiTheme="minorHAnsi"/>
          <w:sz w:val="22"/>
          <w:szCs w:val="22"/>
          <w:lang w:bidi="hi-IN"/>
        </w:rPr>
        <w:t>Improving Public Financial Management for the Green Transition Operation</w:t>
      </w:r>
    </w:p>
    <w:p w:rsidR="004D3124" w:rsidRPr="00967563" w:rsidRDefault="008503C6" w:rsidP="00967563">
      <w:pPr>
        <w:tabs>
          <w:tab w:val="left" w:pos="0"/>
        </w:tabs>
        <w:spacing w:before="120"/>
        <w:ind w:left="-90"/>
        <w:rPr>
          <w:rFonts w:asciiTheme="minorHAnsi" w:hAnsiTheme="minorHAnsi"/>
          <w:b/>
          <w:sz w:val="22"/>
          <w:szCs w:val="22"/>
          <w:u w:val="single"/>
        </w:rPr>
      </w:pPr>
      <w:r w:rsidRPr="00967563">
        <w:rPr>
          <w:rFonts w:asciiTheme="minorHAnsi" w:hAnsiTheme="minorHAnsi"/>
          <w:b/>
          <w:sz w:val="22"/>
          <w:szCs w:val="22"/>
          <w:u w:val="single"/>
        </w:rPr>
        <w:t>Background</w:t>
      </w:r>
    </w:p>
    <w:p w:rsidR="00967563" w:rsidRPr="00967563" w:rsidRDefault="004D3124" w:rsidP="00967563">
      <w:pPr>
        <w:tabs>
          <w:tab w:val="left" w:pos="0"/>
        </w:tabs>
        <w:spacing w:before="120"/>
        <w:ind w:left="-90"/>
        <w:jc w:val="both"/>
        <w:rPr>
          <w:rFonts w:asciiTheme="minorHAnsi" w:hAnsiTheme="minorHAnsi"/>
          <w:b/>
          <w:sz w:val="22"/>
          <w:szCs w:val="22"/>
          <w:u w:val="single"/>
        </w:rPr>
      </w:pPr>
      <w:r w:rsidRPr="00967563">
        <w:rPr>
          <w:rFonts w:asciiTheme="minorHAnsi" w:hAnsiTheme="minorHAnsi"/>
          <w:sz w:val="22"/>
          <w:szCs w:val="22"/>
          <w:shd w:val="clear" w:color="auto" w:fill="FFFFFF"/>
        </w:rPr>
        <w:t>Improving Public Finance Management for the Green Transition in</w:t>
      </w:r>
      <w:r w:rsidRPr="00967563">
        <w:rPr>
          <w:rFonts w:asciiTheme="minorHAnsi" w:hAnsiTheme="minorHAnsi"/>
          <w:sz w:val="22"/>
          <w:szCs w:val="22"/>
        </w:rPr>
        <w:t xml:space="preserve"> </w:t>
      </w:r>
      <w:r w:rsidRPr="00967563">
        <w:rPr>
          <w:rFonts w:asciiTheme="minorHAnsi" w:hAnsiTheme="minorHAnsi"/>
          <w:sz w:val="22"/>
          <w:szCs w:val="22"/>
          <w:shd w:val="clear" w:color="auto" w:fill="FFFFFF"/>
        </w:rPr>
        <w:t xml:space="preserve">the Republic of Serbia is a four-year </w:t>
      </w:r>
      <w:r w:rsidR="00AC0200" w:rsidRPr="00967563">
        <w:rPr>
          <w:rFonts w:asciiTheme="minorHAnsi" w:hAnsiTheme="minorHAnsi"/>
          <w:sz w:val="22"/>
          <w:szCs w:val="22"/>
          <w:shd w:val="clear" w:color="auto" w:fill="FFFFFF"/>
        </w:rPr>
        <w:t xml:space="preserve">Operation </w:t>
      </w:r>
      <w:r w:rsidRPr="00967563">
        <w:rPr>
          <w:rFonts w:asciiTheme="minorHAnsi" w:hAnsiTheme="minorHAnsi"/>
          <w:sz w:val="22"/>
          <w:szCs w:val="22"/>
          <w:shd w:val="clear" w:color="auto" w:fill="FFFFFF"/>
        </w:rPr>
        <w:t>supported by the World Bank</w:t>
      </w:r>
      <w:r w:rsidR="00AC0200" w:rsidRPr="00967563">
        <w:rPr>
          <w:rFonts w:asciiTheme="minorHAnsi" w:hAnsiTheme="minorHAnsi"/>
          <w:sz w:val="22"/>
          <w:szCs w:val="22"/>
          <w:shd w:val="clear" w:color="auto" w:fill="FFFFFF"/>
        </w:rPr>
        <w:t xml:space="preserve"> and </w:t>
      </w:r>
      <w:r w:rsidR="00300DDD" w:rsidRPr="00967563">
        <w:rPr>
          <w:rFonts w:asciiTheme="minorHAnsi" w:hAnsiTheme="minorHAnsi"/>
          <w:sz w:val="22"/>
          <w:szCs w:val="22"/>
          <w:shd w:val="clear" w:color="auto" w:fill="FFFFFF"/>
        </w:rPr>
        <w:t xml:space="preserve">the </w:t>
      </w:r>
      <w:r w:rsidR="00AC0200" w:rsidRPr="00967563">
        <w:rPr>
          <w:rFonts w:asciiTheme="minorHAnsi" w:hAnsiTheme="minorHAnsi"/>
          <w:sz w:val="22"/>
          <w:szCs w:val="22"/>
          <w:shd w:val="clear" w:color="auto" w:fill="FFFFFF"/>
        </w:rPr>
        <w:t>AFD</w:t>
      </w:r>
      <w:r w:rsidRPr="00967563">
        <w:rPr>
          <w:rFonts w:asciiTheme="minorHAnsi" w:hAnsiTheme="minorHAnsi"/>
          <w:sz w:val="22"/>
          <w:szCs w:val="22"/>
          <w:shd w:val="clear" w:color="auto" w:fill="FFFFFF"/>
        </w:rPr>
        <w:t>, which aims to help the Government of the Republic of Serbia in strengthening its capacity to manage public finances and implement green investments. Key implementing institutions besides the Ministry of Finance</w:t>
      </w:r>
      <w:r w:rsidR="00770EAE">
        <w:rPr>
          <w:rFonts w:asciiTheme="minorHAnsi" w:hAnsiTheme="minorHAnsi"/>
          <w:sz w:val="22"/>
          <w:szCs w:val="22"/>
          <w:shd w:val="clear" w:color="auto" w:fill="FFFFFF"/>
        </w:rPr>
        <w:t xml:space="preserve"> (</w:t>
      </w:r>
      <w:proofErr w:type="spellStart"/>
      <w:r w:rsidR="00770EAE">
        <w:rPr>
          <w:rFonts w:asciiTheme="minorHAnsi" w:hAnsiTheme="minorHAnsi"/>
          <w:sz w:val="22"/>
          <w:szCs w:val="22"/>
          <w:shd w:val="clear" w:color="auto" w:fill="FFFFFF"/>
        </w:rPr>
        <w:t>MoF</w:t>
      </w:r>
      <w:proofErr w:type="spellEnd"/>
      <w:r w:rsidR="00770EAE">
        <w:rPr>
          <w:rFonts w:asciiTheme="minorHAnsi" w:hAnsiTheme="minorHAnsi"/>
          <w:sz w:val="22"/>
          <w:szCs w:val="22"/>
          <w:shd w:val="clear" w:color="auto" w:fill="FFFFFF"/>
        </w:rPr>
        <w:t>)</w:t>
      </w:r>
      <w:r w:rsidRPr="00967563">
        <w:rPr>
          <w:rFonts w:asciiTheme="minorHAnsi" w:hAnsiTheme="minorHAnsi"/>
          <w:sz w:val="22"/>
          <w:szCs w:val="22"/>
          <w:shd w:val="clear" w:color="auto" w:fill="FFFFFF"/>
        </w:rPr>
        <w:t xml:space="preserve"> are the Ministry of Environmental Protection</w:t>
      </w:r>
      <w:r w:rsidR="00325E44">
        <w:rPr>
          <w:rFonts w:asciiTheme="minorHAnsi" w:hAnsiTheme="minorHAnsi"/>
          <w:sz w:val="22"/>
          <w:szCs w:val="22"/>
          <w:shd w:val="clear" w:color="auto" w:fill="FFFFFF"/>
        </w:rPr>
        <w:t>(</w:t>
      </w:r>
      <w:proofErr w:type="spellStart"/>
      <w:r w:rsidR="00325E44" w:rsidRPr="00FD1B99">
        <w:rPr>
          <w:rFonts w:asciiTheme="minorHAnsi" w:hAnsiTheme="minorHAnsi"/>
          <w:sz w:val="22"/>
          <w:szCs w:val="22"/>
          <w:shd w:val="clear" w:color="auto" w:fill="FFFFFF"/>
        </w:rPr>
        <w:t>MoEP</w:t>
      </w:r>
      <w:proofErr w:type="spellEnd"/>
      <w:r w:rsidR="00325E44" w:rsidRPr="00FD1B99">
        <w:rPr>
          <w:rFonts w:asciiTheme="minorHAnsi" w:hAnsiTheme="minorHAnsi"/>
          <w:sz w:val="22"/>
          <w:szCs w:val="22"/>
          <w:shd w:val="clear" w:color="auto" w:fill="FFFFFF"/>
        </w:rPr>
        <w:t>)</w:t>
      </w:r>
      <w:r w:rsidRPr="00967563">
        <w:rPr>
          <w:rFonts w:asciiTheme="minorHAnsi" w:hAnsiTheme="minorHAnsi"/>
          <w:sz w:val="22"/>
          <w:szCs w:val="22"/>
          <w:shd w:val="clear" w:color="auto" w:fill="FFFFFF"/>
        </w:rPr>
        <w:t>, the Republic Property Directorate</w:t>
      </w:r>
      <w:r w:rsidR="00325E44">
        <w:rPr>
          <w:rFonts w:asciiTheme="minorHAnsi" w:hAnsiTheme="minorHAnsi"/>
          <w:sz w:val="22"/>
          <w:szCs w:val="22"/>
          <w:shd w:val="clear" w:color="auto" w:fill="FFFFFF"/>
        </w:rPr>
        <w:t xml:space="preserve"> (RPD)</w:t>
      </w:r>
      <w:r w:rsidRPr="00967563">
        <w:rPr>
          <w:rFonts w:asciiTheme="minorHAnsi" w:hAnsiTheme="minorHAnsi"/>
          <w:sz w:val="22"/>
          <w:szCs w:val="22"/>
          <w:shd w:val="clear" w:color="auto" w:fill="FFFFFF"/>
        </w:rPr>
        <w:t>, the Public Policy Secretariat</w:t>
      </w:r>
      <w:r w:rsidR="00325E44">
        <w:rPr>
          <w:rFonts w:asciiTheme="minorHAnsi" w:hAnsiTheme="minorHAnsi"/>
          <w:sz w:val="22"/>
          <w:szCs w:val="22"/>
          <w:shd w:val="clear" w:color="auto" w:fill="FFFFFF"/>
        </w:rPr>
        <w:t xml:space="preserve"> (PPS)</w:t>
      </w:r>
      <w:r w:rsidRPr="00967563">
        <w:rPr>
          <w:rFonts w:asciiTheme="minorHAnsi" w:hAnsiTheme="minorHAnsi"/>
          <w:sz w:val="22"/>
          <w:szCs w:val="22"/>
          <w:shd w:val="clear" w:color="auto" w:fill="FFFFFF"/>
        </w:rPr>
        <w:t>, the Public Procurement Office</w:t>
      </w:r>
      <w:r w:rsidR="00325E44">
        <w:rPr>
          <w:rFonts w:asciiTheme="minorHAnsi" w:hAnsiTheme="minorHAnsi"/>
          <w:sz w:val="22"/>
          <w:szCs w:val="22"/>
          <w:shd w:val="clear" w:color="auto" w:fill="FFFFFF"/>
        </w:rPr>
        <w:t xml:space="preserve"> (PPO)</w:t>
      </w:r>
      <w:r w:rsidRPr="00967563">
        <w:rPr>
          <w:rFonts w:asciiTheme="minorHAnsi" w:hAnsiTheme="minorHAnsi"/>
          <w:sz w:val="22"/>
          <w:szCs w:val="22"/>
          <w:shd w:val="clear" w:color="auto" w:fill="FFFFFF"/>
        </w:rPr>
        <w:t>.</w:t>
      </w:r>
    </w:p>
    <w:p w:rsidR="004D3124" w:rsidRPr="00967563" w:rsidRDefault="004D3124" w:rsidP="00967563">
      <w:pPr>
        <w:tabs>
          <w:tab w:val="left" w:pos="0"/>
        </w:tabs>
        <w:spacing w:before="120"/>
        <w:ind w:left="-90"/>
        <w:jc w:val="both"/>
        <w:rPr>
          <w:rFonts w:asciiTheme="minorHAnsi" w:hAnsiTheme="minorHAnsi"/>
          <w:b/>
          <w:sz w:val="22"/>
          <w:szCs w:val="22"/>
          <w:u w:val="single"/>
        </w:rPr>
      </w:pPr>
      <w:r w:rsidRPr="00967563">
        <w:rPr>
          <w:rFonts w:asciiTheme="minorHAnsi" w:hAnsiTheme="minorHAnsi"/>
          <w:sz w:val="22"/>
          <w:szCs w:val="22"/>
          <w:shd w:val="clear" w:color="auto" w:fill="FFFFFF"/>
        </w:rPr>
        <w:t xml:space="preserve">The Operation consists of two components: </w:t>
      </w:r>
    </w:p>
    <w:p w:rsidR="004D3124" w:rsidRPr="00967563" w:rsidRDefault="004D3124" w:rsidP="00967563">
      <w:pPr>
        <w:spacing w:before="120"/>
        <w:jc w:val="both"/>
        <w:rPr>
          <w:rFonts w:asciiTheme="minorHAnsi" w:hAnsiTheme="minorHAnsi"/>
          <w:sz w:val="22"/>
          <w:szCs w:val="22"/>
          <w:shd w:val="clear" w:color="auto" w:fill="FFFFFF"/>
        </w:rPr>
      </w:pPr>
      <w:r w:rsidRPr="00967563">
        <w:rPr>
          <w:rFonts w:asciiTheme="minorHAnsi" w:hAnsiTheme="minorHAnsi"/>
          <w:sz w:val="22"/>
          <w:szCs w:val="22"/>
          <w:shd w:val="clear" w:color="auto" w:fill="FFFFFF"/>
        </w:rPr>
        <w:t xml:space="preserve">1) </w:t>
      </w:r>
      <w:r w:rsidRPr="00967563">
        <w:rPr>
          <w:rFonts w:asciiTheme="minorHAnsi" w:hAnsiTheme="minorHAnsi"/>
          <w:b/>
          <w:bCs/>
          <w:sz w:val="22"/>
          <w:szCs w:val="22"/>
          <w:shd w:val="clear" w:color="auto" w:fill="FFFFFF"/>
        </w:rPr>
        <w:t>Program for Results (</w:t>
      </w:r>
      <w:proofErr w:type="spellStart"/>
      <w:r w:rsidRPr="00967563">
        <w:rPr>
          <w:rFonts w:asciiTheme="minorHAnsi" w:hAnsiTheme="minorHAnsi"/>
          <w:b/>
          <w:bCs/>
          <w:sz w:val="22"/>
          <w:szCs w:val="22"/>
          <w:shd w:val="clear" w:color="auto" w:fill="FFFFFF"/>
        </w:rPr>
        <w:t>PforR</w:t>
      </w:r>
      <w:proofErr w:type="spellEnd"/>
      <w:r w:rsidRPr="00967563">
        <w:rPr>
          <w:rFonts w:asciiTheme="minorHAnsi" w:hAnsiTheme="minorHAnsi"/>
          <w:b/>
          <w:bCs/>
          <w:sz w:val="22"/>
          <w:szCs w:val="22"/>
          <w:shd w:val="clear" w:color="auto" w:fill="FFFFFF"/>
        </w:rPr>
        <w:t>) component</w:t>
      </w:r>
      <w:r w:rsidRPr="00967563">
        <w:rPr>
          <w:rFonts w:asciiTheme="minorHAnsi" w:hAnsiTheme="minorHAnsi"/>
          <w:sz w:val="22"/>
          <w:szCs w:val="22"/>
          <w:shd w:val="clear" w:color="auto" w:fill="FFFFFF"/>
        </w:rPr>
        <w:t xml:space="preserve"> </w:t>
      </w:r>
      <w:r w:rsidRPr="00967563">
        <w:rPr>
          <w:rFonts w:asciiTheme="minorHAnsi" w:hAnsiTheme="minorHAnsi"/>
          <w:b/>
          <w:sz w:val="22"/>
          <w:szCs w:val="22"/>
          <w:shd w:val="clear" w:color="auto" w:fill="FFFFFF"/>
        </w:rPr>
        <w:t>(Program)</w:t>
      </w:r>
      <w:r w:rsidRPr="00967563">
        <w:rPr>
          <w:rFonts w:asciiTheme="minorHAnsi" w:hAnsiTheme="minorHAnsi"/>
          <w:sz w:val="22"/>
          <w:szCs w:val="22"/>
          <w:shd w:val="clear" w:color="auto" w:fill="FFFFFF"/>
        </w:rPr>
        <w:t xml:space="preserve"> comprising two results areas: </w:t>
      </w:r>
    </w:p>
    <w:p w:rsidR="004D3124" w:rsidRPr="00967563" w:rsidRDefault="004D3124" w:rsidP="00967563">
      <w:pPr>
        <w:pStyle w:val="ListParagraph"/>
        <w:keepNext/>
        <w:keepLines/>
        <w:widowControl/>
        <w:numPr>
          <w:ilvl w:val="0"/>
          <w:numId w:val="10"/>
        </w:numPr>
        <w:autoSpaceDE/>
        <w:autoSpaceDN/>
        <w:adjustRightInd/>
        <w:spacing w:before="120"/>
        <w:contextualSpacing w:val="0"/>
        <w:jc w:val="both"/>
        <w:rPr>
          <w:rFonts w:asciiTheme="minorHAnsi" w:hAnsiTheme="minorHAnsi" w:cs="Times New Roman"/>
          <w:sz w:val="22"/>
          <w:szCs w:val="22"/>
          <w:shd w:val="clear" w:color="auto" w:fill="FFFFFF"/>
        </w:rPr>
      </w:pPr>
      <w:r w:rsidRPr="00967563">
        <w:rPr>
          <w:rFonts w:asciiTheme="minorHAnsi" w:hAnsiTheme="minorHAnsi" w:cs="Times New Roman"/>
          <w:sz w:val="22"/>
          <w:szCs w:val="22"/>
          <w:shd w:val="clear" w:color="auto" w:fill="FFFFFF"/>
        </w:rPr>
        <w:t>Strengthen fiscal resilience, transparency, and spending effectiveness-focused on further strengthening fiscal resilience, using public expenditure management to enhance efficiency and a results focus, enhancing the ability to link plans and budgets through stronger costing at the planning stage, improving fiscal transparency, and improving the preparation of public investment projects.</w:t>
      </w:r>
    </w:p>
    <w:p w:rsidR="004D3124" w:rsidRPr="00967563" w:rsidRDefault="004D3124" w:rsidP="00967563">
      <w:pPr>
        <w:pStyle w:val="ListParagraph"/>
        <w:keepNext/>
        <w:keepLines/>
        <w:widowControl/>
        <w:numPr>
          <w:ilvl w:val="0"/>
          <w:numId w:val="10"/>
        </w:numPr>
        <w:autoSpaceDE/>
        <w:autoSpaceDN/>
        <w:adjustRightInd/>
        <w:spacing w:before="120"/>
        <w:contextualSpacing w:val="0"/>
        <w:jc w:val="both"/>
        <w:rPr>
          <w:rFonts w:asciiTheme="minorHAnsi" w:hAnsiTheme="minorHAnsi" w:cs="Times New Roman"/>
          <w:sz w:val="22"/>
          <w:szCs w:val="22"/>
          <w:shd w:val="clear" w:color="auto" w:fill="FFFFFF"/>
        </w:rPr>
      </w:pPr>
      <w:r w:rsidRPr="00967563">
        <w:rPr>
          <w:rFonts w:asciiTheme="minorHAnsi" w:hAnsiTheme="minorHAnsi" w:cs="Times New Roman"/>
          <w:sz w:val="22"/>
          <w:szCs w:val="22"/>
          <w:shd w:val="clear" w:color="auto" w:fill="FFFFFF"/>
        </w:rPr>
        <w:t>Greening Serbia’s expenditure cycle and developing selected other institutions for greater environmental resilience focused on introducing and utilizing green criteria in PFM, PIM, and public procurement, and on strengthening systems for monitoring and reporting on GHG emissions from installations.</w:t>
      </w:r>
    </w:p>
    <w:p w:rsidR="004D3124" w:rsidRPr="00967563" w:rsidRDefault="004D3124" w:rsidP="00967563">
      <w:pPr>
        <w:spacing w:before="120"/>
        <w:jc w:val="both"/>
        <w:rPr>
          <w:rFonts w:asciiTheme="minorHAnsi" w:hAnsiTheme="minorHAnsi"/>
          <w:sz w:val="22"/>
          <w:szCs w:val="22"/>
          <w:shd w:val="clear" w:color="auto" w:fill="FFFFFF"/>
        </w:rPr>
      </w:pPr>
      <w:r w:rsidRPr="00967563">
        <w:rPr>
          <w:rFonts w:asciiTheme="minorHAnsi" w:hAnsiTheme="minorHAnsi"/>
          <w:sz w:val="22"/>
          <w:szCs w:val="22"/>
          <w:shd w:val="clear" w:color="auto" w:fill="FFFFFF"/>
        </w:rPr>
        <w:t xml:space="preserve">2) </w:t>
      </w:r>
      <w:r w:rsidRPr="00967563">
        <w:rPr>
          <w:rFonts w:asciiTheme="minorHAnsi" w:hAnsiTheme="minorHAnsi"/>
          <w:b/>
          <w:bCs/>
          <w:sz w:val="22"/>
          <w:szCs w:val="22"/>
          <w:shd w:val="clear" w:color="auto" w:fill="FFFFFF"/>
        </w:rPr>
        <w:t>Investment Project Financing (IPF)</w:t>
      </w:r>
      <w:r w:rsidRPr="00967563">
        <w:rPr>
          <w:rFonts w:asciiTheme="minorHAnsi" w:hAnsiTheme="minorHAnsi"/>
          <w:sz w:val="22"/>
          <w:szCs w:val="22"/>
          <w:shd w:val="clear" w:color="auto" w:fill="FFFFFF"/>
        </w:rPr>
        <w:t xml:space="preserve"> </w:t>
      </w:r>
      <w:r w:rsidRPr="00967563">
        <w:rPr>
          <w:rFonts w:asciiTheme="minorHAnsi" w:hAnsiTheme="minorHAnsi"/>
          <w:b/>
          <w:bCs/>
          <w:sz w:val="22"/>
          <w:szCs w:val="22"/>
          <w:shd w:val="clear" w:color="auto" w:fill="FFFFFF"/>
        </w:rPr>
        <w:t xml:space="preserve">component (Project) </w:t>
      </w:r>
      <w:r w:rsidRPr="00967563">
        <w:rPr>
          <w:rFonts w:asciiTheme="minorHAnsi" w:hAnsiTheme="minorHAnsi"/>
          <w:sz w:val="22"/>
          <w:szCs w:val="22"/>
          <w:shd w:val="clear" w:color="auto" w:fill="FFFFFF"/>
        </w:rPr>
        <w:t>consisting of technical assistance</w:t>
      </w:r>
      <w:r w:rsidR="00967563">
        <w:rPr>
          <w:rFonts w:asciiTheme="minorHAnsi" w:hAnsiTheme="minorHAnsi"/>
          <w:sz w:val="22"/>
          <w:szCs w:val="22"/>
          <w:shd w:val="clear" w:color="auto" w:fill="FFFFFF"/>
        </w:rPr>
        <w:t xml:space="preserve"> (TA)</w:t>
      </w:r>
      <w:r w:rsidRPr="00967563">
        <w:rPr>
          <w:rFonts w:asciiTheme="minorHAnsi" w:hAnsiTheme="minorHAnsi"/>
          <w:sz w:val="22"/>
          <w:szCs w:val="22"/>
          <w:shd w:val="clear" w:color="auto" w:fill="FFFFFF"/>
        </w:rPr>
        <w:t xml:space="preserve"> to support the implementing entities</w:t>
      </w:r>
      <w:r w:rsidRPr="00967563">
        <w:rPr>
          <w:rFonts w:asciiTheme="minorHAnsi" w:hAnsiTheme="minorHAnsi"/>
          <w:sz w:val="22"/>
          <w:szCs w:val="22"/>
          <w:shd w:val="clear" w:color="auto" w:fill="FFFFFF"/>
          <w:lang w:val="sr-Cyrl-RS"/>
        </w:rPr>
        <w:t xml:space="preserve"> </w:t>
      </w:r>
      <w:r w:rsidRPr="00967563">
        <w:rPr>
          <w:rFonts w:asciiTheme="minorHAnsi" w:hAnsiTheme="minorHAnsi"/>
          <w:sz w:val="22"/>
          <w:szCs w:val="22"/>
          <w:shd w:val="clear" w:color="auto" w:fill="FFFFFF"/>
          <w:lang w:val="sr-Latn-RS"/>
        </w:rPr>
        <w:t xml:space="preserve">in </w:t>
      </w:r>
      <w:r w:rsidRPr="003F1727">
        <w:rPr>
          <w:rFonts w:asciiTheme="minorHAnsi" w:hAnsiTheme="minorHAnsi"/>
          <w:sz w:val="22"/>
          <w:szCs w:val="22"/>
          <w:shd w:val="clear" w:color="auto" w:fill="FFFFFF"/>
          <w:lang w:val="en-GB"/>
        </w:rPr>
        <w:t>delivering expected results</w:t>
      </w:r>
      <w:r w:rsidRPr="00967563">
        <w:rPr>
          <w:rFonts w:asciiTheme="minorHAnsi" w:hAnsiTheme="minorHAnsi"/>
          <w:sz w:val="22"/>
          <w:szCs w:val="22"/>
          <w:shd w:val="clear" w:color="auto" w:fill="FFFFFF"/>
        </w:rPr>
        <w:t>. The IPF</w:t>
      </w:r>
      <w:r w:rsidR="00A5281A" w:rsidRPr="00967563">
        <w:rPr>
          <w:rFonts w:asciiTheme="minorHAnsi" w:hAnsiTheme="minorHAnsi"/>
          <w:sz w:val="22"/>
          <w:szCs w:val="22"/>
          <w:shd w:val="clear" w:color="auto" w:fill="FFFFFF"/>
        </w:rPr>
        <w:t xml:space="preserve"> component will consist of TA -</w:t>
      </w:r>
      <w:r w:rsidRPr="00967563">
        <w:rPr>
          <w:rFonts w:asciiTheme="minorHAnsi" w:hAnsiTheme="minorHAnsi"/>
          <w:sz w:val="22"/>
          <w:szCs w:val="22"/>
          <w:shd w:val="clear" w:color="auto" w:fill="FFFFFF"/>
        </w:rPr>
        <w:t xml:space="preserve"> including trainings, capacity building and peer learning, support for stakeholder engagement, and support for managing the Program. </w:t>
      </w:r>
    </w:p>
    <w:p w:rsidR="008503C6" w:rsidRPr="00967563" w:rsidRDefault="008503C6" w:rsidP="00967563">
      <w:pPr>
        <w:tabs>
          <w:tab w:val="left" w:pos="0"/>
        </w:tabs>
        <w:spacing w:before="120"/>
        <w:ind w:left="-90"/>
        <w:rPr>
          <w:rFonts w:asciiTheme="minorHAnsi" w:hAnsiTheme="minorHAnsi"/>
          <w:b/>
          <w:sz w:val="22"/>
          <w:szCs w:val="22"/>
          <w:u w:val="single"/>
        </w:rPr>
      </w:pPr>
      <w:r w:rsidRPr="00967563">
        <w:rPr>
          <w:rFonts w:asciiTheme="minorHAnsi" w:hAnsiTheme="minorHAnsi"/>
          <w:b/>
          <w:sz w:val="22"/>
          <w:szCs w:val="22"/>
          <w:u w:val="single"/>
        </w:rPr>
        <w:t>Objective</w:t>
      </w:r>
      <w:r w:rsidR="002B5943">
        <w:rPr>
          <w:rFonts w:asciiTheme="minorHAnsi" w:hAnsiTheme="minorHAnsi"/>
          <w:b/>
          <w:sz w:val="22"/>
          <w:szCs w:val="22"/>
          <w:u w:val="single"/>
        </w:rPr>
        <w:t xml:space="preserve"> </w:t>
      </w:r>
      <w:r w:rsidR="002B5943" w:rsidRPr="008139E2">
        <w:rPr>
          <w:rFonts w:asciiTheme="minorHAnsi" w:hAnsiTheme="minorHAnsi" w:cstheme="minorHAnsi"/>
          <w:b/>
          <w:color w:val="000000" w:themeColor="text1"/>
          <w:sz w:val="22"/>
          <w:szCs w:val="22"/>
        </w:rPr>
        <w:t>of the assignment</w:t>
      </w:r>
    </w:p>
    <w:p w:rsidR="00793341" w:rsidRPr="00967563" w:rsidRDefault="00AC0200" w:rsidP="00967563">
      <w:pPr>
        <w:tabs>
          <w:tab w:val="left" w:pos="0"/>
        </w:tabs>
        <w:spacing w:before="120"/>
        <w:ind w:left="-90"/>
        <w:jc w:val="both"/>
        <w:rPr>
          <w:rFonts w:asciiTheme="minorHAnsi" w:hAnsiTheme="minorHAnsi"/>
          <w:sz w:val="22"/>
          <w:szCs w:val="22"/>
        </w:rPr>
      </w:pPr>
      <w:r w:rsidRPr="00967563">
        <w:rPr>
          <w:rFonts w:asciiTheme="minorHAnsi" w:hAnsiTheme="minorHAnsi"/>
          <w:sz w:val="22"/>
          <w:szCs w:val="22"/>
        </w:rPr>
        <w:t>Independent Verification Agent</w:t>
      </w:r>
      <w:r w:rsidR="005D6876">
        <w:rPr>
          <w:rFonts w:asciiTheme="minorHAnsi" w:hAnsiTheme="minorHAnsi"/>
          <w:sz w:val="22"/>
          <w:szCs w:val="22"/>
        </w:rPr>
        <w:t xml:space="preserve"> (IVA)</w:t>
      </w:r>
      <w:r w:rsidRPr="00967563">
        <w:rPr>
          <w:rFonts w:asciiTheme="minorHAnsi" w:hAnsiTheme="minorHAnsi"/>
          <w:sz w:val="22"/>
          <w:szCs w:val="22"/>
        </w:rPr>
        <w:t xml:space="preserve"> will perform the verification process of achievements of the </w:t>
      </w:r>
      <w:r w:rsidR="00E14071" w:rsidRPr="00E14071">
        <w:rPr>
          <w:rFonts w:asciiTheme="minorHAnsi" w:hAnsiTheme="minorHAnsi"/>
          <w:sz w:val="22"/>
          <w:szCs w:val="22"/>
        </w:rPr>
        <w:t>Disbursement Linked Indicator 1</w:t>
      </w:r>
      <w:r w:rsidR="00E14071">
        <w:rPr>
          <w:rFonts w:asciiTheme="minorHAnsi" w:hAnsiTheme="minorHAnsi"/>
          <w:sz w:val="22"/>
          <w:szCs w:val="22"/>
        </w:rPr>
        <w:t xml:space="preserve"> (</w:t>
      </w:r>
      <w:r w:rsidR="00793341" w:rsidRPr="00967563">
        <w:rPr>
          <w:rFonts w:asciiTheme="minorHAnsi" w:hAnsiTheme="minorHAnsi"/>
          <w:sz w:val="22"/>
          <w:szCs w:val="22"/>
        </w:rPr>
        <w:t>DLI 1</w:t>
      </w:r>
      <w:r w:rsidR="00E14071">
        <w:rPr>
          <w:rFonts w:asciiTheme="minorHAnsi" w:hAnsiTheme="minorHAnsi"/>
          <w:sz w:val="22"/>
          <w:szCs w:val="22"/>
        </w:rPr>
        <w:t>)</w:t>
      </w:r>
      <w:r w:rsidRPr="00967563">
        <w:rPr>
          <w:rFonts w:asciiTheme="minorHAnsi" w:hAnsiTheme="minorHAnsi"/>
          <w:sz w:val="22"/>
          <w:szCs w:val="22"/>
        </w:rPr>
        <w:t>, and provide formal report</w:t>
      </w:r>
      <w:r w:rsidR="000870D1">
        <w:rPr>
          <w:rFonts w:asciiTheme="minorHAnsi" w:hAnsiTheme="minorHAnsi"/>
          <w:sz w:val="22"/>
          <w:szCs w:val="22"/>
        </w:rPr>
        <w:t>s</w:t>
      </w:r>
      <w:r w:rsidRPr="00967563">
        <w:rPr>
          <w:rFonts w:asciiTheme="minorHAnsi" w:hAnsiTheme="minorHAnsi"/>
          <w:sz w:val="22"/>
          <w:szCs w:val="22"/>
        </w:rPr>
        <w:t xml:space="preserve"> with i</w:t>
      </w:r>
      <w:r w:rsidR="00793341" w:rsidRPr="00967563">
        <w:rPr>
          <w:rFonts w:asciiTheme="minorHAnsi" w:hAnsiTheme="minorHAnsi"/>
          <w:sz w:val="22"/>
          <w:szCs w:val="22"/>
        </w:rPr>
        <w:t xml:space="preserve">ts conclusion to </w:t>
      </w:r>
      <w:r w:rsidR="005D6876">
        <w:rPr>
          <w:rFonts w:asciiTheme="minorHAnsi" w:hAnsiTheme="minorHAnsi"/>
          <w:sz w:val="22"/>
          <w:szCs w:val="22"/>
        </w:rPr>
        <w:t xml:space="preserve">the </w:t>
      </w:r>
      <w:r w:rsidR="00793341" w:rsidRPr="00967563">
        <w:rPr>
          <w:rFonts w:asciiTheme="minorHAnsi" w:hAnsiTheme="minorHAnsi"/>
          <w:sz w:val="22"/>
          <w:szCs w:val="22"/>
        </w:rPr>
        <w:t>MOF</w:t>
      </w:r>
      <w:r w:rsidR="005D6876">
        <w:rPr>
          <w:rFonts w:asciiTheme="minorHAnsi" w:hAnsiTheme="minorHAnsi"/>
          <w:sz w:val="22"/>
          <w:szCs w:val="22"/>
        </w:rPr>
        <w:t>’s O</w:t>
      </w:r>
      <w:r w:rsidR="0079735E">
        <w:rPr>
          <w:rFonts w:asciiTheme="minorHAnsi" w:hAnsiTheme="minorHAnsi"/>
          <w:sz w:val="22"/>
          <w:szCs w:val="22"/>
        </w:rPr>
        <w:t xml:space="preserve">peration </w:t>
      </w:r>
      <w:r w:rsidR="005D6876">
        <w:rPr>
          <w:rFonts w:asciiTheme="minorHAnsi" w:hAnsiTheme="minorHAnsi"/>
          <w:sz w:val="22"/>
          <w:szCs w:val="22"/>
        </w:rPr>
        <w:t>Coordination Unit in the Department for International Cooperation and European Integration</w:t>
      </w:r>
      <w:r w:rsidR="00793341" w:rsidRPr="00967563">
        <w:rPr>
          <w:rFonts w:asciiTheme="minorHAnsi" w:hAnsiTheme="minorHAnsi"/>
          <w:sz w:val="22"/>
          <w:szCs w:val="22"/>
        </w:rPr>
        <w:t xml:space="preserve"> </w:t>
      </w:r>
      <w:r w:rsidR="005D6876">
        <w:rPr>
          <w:rFonts w:asciiTheme="minorHAnsi" w:hAnsiTheme="minorHAnsi"/>
          <w:sz w:val="22"/>
          <w:szCs w:val="22"/>
        </w:rPr>
        <w:t>(</w:t>
      </w:r>
      <w:r w:rsidR="00793341" w:rsidRPr="00967563">
        <w:rPr>
          <w:rFonts w:asciiTheme="minorHAnsi" w:hAnsiTheme="minorHAnsi"/>
          <w:sz w:val="22"/>
          <w:szCs w:val="22"/>
        </w:rPr>
        <w:t>OCU</w:t>
      </w:r>
      <w:r w:rsidR="005D6876">
        <w:rPr>
          <w:rFonts w:asciiTheme="minorHAnsi" w:hAnsiTheme="minorHAnsi"/>
          <w:sz w:val="22"/>
          <w:szCs w:val="22"/>
        </w:rPr>
        <w:t>)</w:t>
      </w:r>
      <w:r w:rsidR="00793341" w:rsidRPr="00967563">
        <w:rPr>
          <w:rFonts w:asciiTheme="minorHAnsi" w:hAnsiTheme="minorHAnsi"/>
          <w:sz w:val="22"/>
          <w:szCs w:val="22"/>
        </w:rPr>
        <w:t xml:space="preserve"> and </w:t>
      </w:r>
      <w:r w:rsidRPr="00967563">
        <w:rPr>
          <w:rFonts w:asciiTheme="minorHAnsi" w:hAnsiTheme="minorHAnsi"/>
          <w:sz w:val="22"/>
          <w:szCs w:val="22"/>
        </w:rPr>
        <w:t>to the W</w:t>
      </w:r>
      <w:r w:rsidR="00793341" w:rsidRPr="00967563">
        <w:rPr>
          <w:rFonts w:asciiTheme="minorHAnsi" w:hAnsiTheme="minorHAnsi"/>
          <w:sz w:val="22"/>
          <w:szCs w:val="22"/>
        </w:rPr>
        <w:t xml:space="preserve">orld Bank </w:t>
      </w:r>
      <w:r w:rsidRPr="00967563">
        <w:rPr>
          <w:rFonts w:asciiTheme="minorHAnsi" w:hAnsiTheme="minorHAnsi"/>
          <w:sz w:val="22"/>
          <w:szCs w:val="22"/>
        </w:rPr>
        <w:t xml:space="preserve">for approval.  The </w:t>
      </w:r>
      <w:r w:rsidR="000870D1">
        <w:rPr>
          <w:rFonts w:asciiTheme="minorHAnsi" w:hAnsiTheme="minorHAnsi"/>
          <w:sz w:val="22"/>
          <w:szCs w:val="22"/>
        </w:rPr>
        <w:t xml:space="preserve">part of the </w:t>
      </w:r>
      <w:r w:rsidRPr="00967563">
        <w:rPr>
          <w:rFonts w:asciiTheme="minorHAnsi" w:hAnsiTheme="minorHAnsi"/>
          <w:sz w:val="22"/>
          <w:szCs w:val="22"/>
        </w:rPr>
        <w:t xml:space="preserve">Verification Protocol for the </w:t>
      </w:r>
      <w:r w:rsidR="000870D1">
        <w:rPr>
          <w:rFonts w:asciiTheme="minorHAnsi" w:hAnsiTheme="minorHAnsi"/>
          <w:sz w:val="22"/>
          <w:szCs w:val="22"/>
        </w:rPr>
        <w:t>DLI</w:t>
      </w:r>
      <w:r w:rsidR="007C3179">
        <w:rPr>
          <w:rFonts w:asciiTheme="minorHAnsi" w:hAnsiTheme="minorHAnsi"/>
          <w:sz w:val="22"/>
          <w:szCs w:val="22"/>
        </w:rPr>
        <w:t xml:space="preserve"> </w:t>
      </w:r>
      <w:r w:rsidR="000870D1">
        <w:rPr>
          <w:rFonts w:asciiTheme="minorHAnsi" w:hAnsiTheme="minorHAnsi"/>
          <w:sz w:val="22"/>
          <w:szCs w:val="22"/>
        </w:rPr>
        <w:t>1</w:t>
      </w:r>
      <w:r w:rsidR="007C3179">
        <w:rPr>
          <w:rFonts w:asciiTheme="minorHAnsi" w:hAnsiTheme="minorHAnsi"/>
          <w:sz w:val="22"/>
          <w:szCs w:val="22"/>
        </w:rPr>
        <w:t>,</w:t>
      </w:r>
      <w:r w:rsidR="000870D1">
        <w:rPr>
          <w:rFonts w:asciiTheme="minorHAnsi" w:hAnsiTheme="minorHAnsi"/>
          <w:sz w:val="22"/>
          <w:szCs w:val="22"/>
        </w:rPr>
        <w:t>1</w:t>
      </w:r>
      <w:r w:rsidRPr="00967563">
        <w:rPr>
          <w:rFonts w:asciiTheme="minorHAnsi" w:hAnsiTheme="minorHAnsi"/>
          <w:sz w:val="22"/>
          <w:szCs w:val="22"/>
        </w:rPr>
        <w:t xml:space="preserve"> is set out in Annex 1</w:t>
      </w:r>
      <w:r w:rsidR="000870D1">
        <w:rPr>
          <w:rFonts w:asciiTheme="minorHAnsi" w:hAnsiTheme="minorHAnsi"/>
          <w:sz w:val="22"/>
          <w:szCs w:val="22"/>
        </w:rPr>
        <w:t xml:space="preserve"> </w:t>
      </w:r>
      <w:r w:rsidRPr="00967563">
        <w:rPr>
          <w:rFonts w:asciiTheme="minorHAnsi" w:hAnsiTheme="minorHAnsi"/>
          <w:sz w:val="22"/>
          <w:szCs w:val="22"/>
        </w:rPr>
        <w:t xml:space="preserve">with further detail on the interpretation of terms and of quantities (in particular the enumerators and denominators for achievements expressed in percentages). </w:t>
      </w:r>
    </w:p>
    <w:p w:rsidR="00962F6F" w:rsidRPr="00967563" w:rsidRDefault="00D6464C" w:rsidP="00967563">
      <w:pPr>
        <w:tabs>
          <w:tab w:val="left" w:pos="0"/>
        </w:tabs>
        <w:spacing w:before="120"/>
        <w:ind w:left="-90"/>
        <w:jc w:val="both"/>
        <w:rPr>
          <w:rFonts w:asciiTheme="minorHAnsi" w:hAnsiTheme="minorHAnsi"/>
          <w:sz w:val="22"/>
          <w:szCs w:val="22"/>
        </w:rPr>
      </w:pPr>
      <w:r w:rsidRPr="00967563">
        <w:rPr>
          <w:rFonts w:asciiTheme="minorHAnsi" w:hAnsiTheme="minorHAnsi"/>
          <w:sz w:val="22"/>
          <w:szCs w:val="22"/>
        </w:rPr>
        <w:t>Independent ver</w:t>
      </w:r>
      <w:r w:rsidR="00AB174F" w:rsidRPr="00967563">
        <w:rPr>
          <w:rFonts w:asciiTheme="minorHAnsi" w:hAnsiTheme="minorHAnsi"/>
          <w:sz w:val="22"/>
          <w:szCs w:val="22"/>
        </w:rPr>
        <w:t>ification of achievement of</w:t>
      </w:r>
      <w:r w:rsidR="00231214">
        <w:rPr>
          <w:rFonts w:asciiTheme="minorHAnsi" w:hAnsiTheme="minorHAnsi"/>
          <w:sz w:val="22"/>
          <w:szCs w:val="22"/>
        </w:rPr>
        <w:t xml:space="preserve"> disbursement linked indicator</w:t>
      </w:r>
      <w:r w:rsidR="00AB174F" w:rsidRPr="00967563">
        <w:rPr>
          <w:rFonts w:asciiTheme="minorHAnsi" w:hAnsiTheme="minorHAnsi"/>
          <w:sz w:val="22"/>
          <w:szCs w:val="22"/>
        </w:rPr>
        <w:t xml:space="preserve"> DL</w:t>
      </w:r>
      <w:r w:rsidR="004D0EBC">
        <w:rPr>
          <w:rFonts w:asciiTheme="minorHAnsi" w:hAnsiTheme="minorHAnsi"/>
          <w:sz w:val="22"/>
          <w:szCs w:val="22"/>
        </w:rPr>
        <w:t>I</w:t>
      </w:r>
      <w:r w:rsidR="00AB174F" w:rsidRPr="00967563">
        <w:rPr>
          <w:rFonts w:asciiTheme="minorHAnsi" w:hAnsiTheme="minorHAnsi"/>
          <w:sz w:val="22"/>
          <w:szCs w:val="22"/>
        </w:rPr>
        <w:t>1</w:t>
      </w:r>
      <w:r w:rsidRPr="00967563">
        <w:rPr>
          <w:rFonts w:asciiTheme="minorHAnsi" w:hAnsiTheme="minorHAnsi"/>
          <w:sz w:val="22"/>
          <w:szCs w:val="22"/>
        </w:rPr>
        <w:t xml:space="preserve"> will be conducted by the independent external verifier (hereinafter: </w:t>
      </w:r>
      <w:proofErr w:type="gramStart"/>
      <w:r w:rsidRPr="00967563">
        <w:rPr>
          <w:rFonts w:asciiTheme="minorHAnsi" w:hAnsiTheme="minorHAnsi"/>
          <w:sz w:val="22"/>
          <w:szCs w:val="22"/>
        </w:rPr>
        <w:t>the</w:t>
      </w:r>
      <w:proofErr w:type="gramEnd"/>
      <w:r w:rsidRPr="00967563">
        <w:rPr>
          <w:rFonts w:asciiTheme="minorHAnsi" w:hAnsiTheme="minorHAnsi"/>
          <w:sz w:val="22"/>
          <w:szCs w:val="22"/>
        </w:rPr>
        <w:t xml:space="preserve"> Consultant)</w:t>
      </w:r>
      <w:r w:rsidR="004F0526" w:rsidRPr="00967563">
        <w:rPr>
          <w:rFonts w:asciiTheme="minorHAnsi" w:hAnsiTheme="minorHAnsi"/>
          <w:sz w:val="22"/>
          <w:szCs w:val="22"/>
        </w:rPr>
        <w:t xml:space="preserve"> </w:t>
      </w:r>
      <w:r w:rsidRPr="00967563">
        <w:rPr>
          <w:rFonts w:asciiTheme="minorHAnsi" w:hAnsiTheme="minorHAnsi"/>
          <w:sz w:val="22"/>
          <w:szCs w:val="22"/>
        </w:rPr>
        <w:t xml:space="preserve">hired under the Project. </w:t>
      </w:r>
      <w:r w:rsidR="00545989" w:rsidRPr="00967563">
        <w:rPr>
          <w:rFonts w:asciiTheme="minorHAnsi" w:hAnsiTheme="minorHAnsi"/>
          <w:sz w:val="22"/>
          <w:szCs w:val="22"/>
        </w:rPr>
        <w:t xml:space="preserve">The objective of the </w:t>
      </w:r>
      <w:r w:rsidR="001F497A" w:rsidRPr="00967563">
        <w:rPr>
          <w:rFonts w:asciiTheme="minorHAnsi" w:hAnsiTheme="minorHAnsi"/>
          <w:sz w:val="22"/>
          <w:szCs w:val="22"/>
        </w:rPr>
        <w:t>C</w:t>
      </w:r>
      <w:r w:rsidR="00EC02B8" w:rsidRPr="00967563">
        <w:rPr>
          <w:rFonts w:asciiTheme="minorHAnsi" w:hAnsiTheme="minorHAnsi"/>
          <w:sz w:val="22"/>
          <w:szCs w:val="22"/>
        </w:rPr>
        <w:t xml:space="preserve">onsultant, engaged for performing the </w:t>
      </w:r>
      <w:r w:rsidR="004F0526" w:rsidRPr="00967563">
        <w:rPr>
          <w:rFonts w:asciiTheme="minorHAnsi" w:hAnsiTheme="minorHAnsi"/>
          <w:sz w:val="22"/>
          <w:szCs w:val="22"/>
        </w:rPr>
        <w:t>i</w:t>
      </w:r>
      <w:r w:rsidR="00545989" w:rsidRPr="00967563">
        <w:rPr>
          <w:rFonts w:asciiTheme="minorHAnsi" w:hAnsiTheme="minorHAnsi"/>
          <w:sz w:val="22"/>
          <w:szCs w:val="22"/>
        </w:rPr>
        <w:t xml:space="preserve">ndependent </w:t>
      </w:r>
      <w:r w:rsidR="004F0526" w:rsidRPr="00967563">
        <w:rPr>
          <w:rFonts w:asciiTheme="minorHAnsi" w:hAnsiTheme="minorHAnsi"/>
          <w:sz w:val="22"/>
          <w:szCs w:val="22"/>
        </w:rPr>
        <w:t>v</w:t>
      </w:r>
      <w:r w:rsidR="007025DD" w:rsidRPr="00967563">
        <w:rPr>
          <w:rFonts w:asciiTheme="minorHAnsi" w:hAnsiTheme="minorHAnsi"/>
          <w:sz w:val="22"/>
          <w:szCs w:val="22"/>
        </w:rPr>
        <w:t>erification of DL</w:t>
      </w:r>
      <w:r w:rsidR="004D0EBC">
        <w:rPr>
          <w:rFonts w:asciiTheme="minorHAnsi" w:hAnsiTheme="minorHAnsi"/>
          <w:sz w:val="22"/>
          <w:szCs w:val="22"/>
        </w:rPr>
        <w:t>I</w:t>
      </w:r>
      <w:r w:rsidR="00AB174F" w:rsidRPr="00967563">
        <w:rPr>
          <w:rFonts w:asciiTheme="minorHAnsi" w:hAnsiTheme="minorHAnsi"/>
          <w:sz w:val="22"/>
          <w:szCs w:val="22"/>
        </w:rPr>
        <w:t>1</w:t>
      </w:r>
      <w:r w:rsidR="007025DD" w:rsidRPr="00967563">
        <w:rPr>
          <w:rFonts w:asciiTheme="minorHAnsi" w:hAnsiTheme="minorHAnsi"/>
          <w:sz w:val="22"/>
          <w:szCs w:val="22"/>
        </w:rPr>
        <w:t xml:space="preserve"> </w:t>
      </w:r>
      <w:r w:rsidRPr="00967563">
        <w:rPr>
          <w:rFonts w:asciiTheme="minorHAnsi" w:hAnsiTheme="minorHAnsi"/>
          <w:sz w:val="22"/>
          <w:szCs w:val="22"/>
        </w:rPr>
        <w:t>a</w:t>
      </w:r>
      <w:r w:rsidR="00204AA7" w:rsidRPr="00967563">
        <w:rPr>
          <w:rFonts w:asciiTheme="minorHAnsi" w:hAnsiTheme="minorHAnsi"/>
          <w:sz w:val="22"/>
          <w:szCs w:val="22"/>
        </w:rPr>
        <w:t>chievement</w:t>
      </w:r>
      <w:r w:rsidR="00E32334" w:rsidRPr="00967563">
        <w:rPr>
          <w:rFonts w:asciiTheme="minorHAnsi" w:hAnsiTheme="minorHAnsi"/>
          <w:sz w:val="22"/>
          <w:szCs w:val="22"/>
        </w:rPr>
        <w:t xml:space="preserve"> report</w:t>
      </w:r>
      <w:r w:rsidR="000870D1">
        <w:rPr>
          <w:rFonts w:asciiTheme="minorHAnsi" w:hAnsiTheme="minorHAnsi"/>
          <w:sz w:val="22"/>
          <w:szCs w:val="22"/>
        </w:rPr>
        <w:t>s</w:t>
      </w:r>
      <w:r w:rsidR="00EC02B8" w:rsidRPr="00967563">
        <w:rPr>
          <w:rFonts w:asciiTheme="minorHAnsi" w:hAnsiTheme="minorHAnsi"/>
          <w:sz w:val="22"/>
          <w:szCs w:val="22"/>
        </w:rPr>
        <w:t>,</w:t>
      </w:r>
      <w:r w:rsidR="00545989" w:rsidRPr="00967563">
        <w:rPr>
          <w:rFonts w:asciiTheme="minorHAnsi" w:hAnsiTheme="minorHAnsi"/>
          <w:sz w:val="22"/>
          <w:szCs w:val="22"/>
        </w:rPr>
        <w:t xml:space="preserve"> is to</w:t>
      </w:r>
      <w:r w:rsidR="00962F6F" w:rsidRPr="00967563">
        <w:rPr>
          <w:rFonts w:asciiTheme="minorHAnsi" w:hAnsiTheme="minorHAnsi"/>
          <w:sz w:val="22"/>
          <w:szCs w:val="22"/>
        </w:rPr>
        <w:t xml:space="preserve"> review the credibility and accuracy of the supporting documentation related to </w:t>
      </w:r>
      <w:r w:rsidR="004D0EBC" w:rsidRPr="00967563">
        <w:rPr>
          <w:rFonts w:asciiTheme="minorHAnsi" w:hAnsiTheme="minorHAnsi"/>
          <w:sz w:val="22"/>
          <w:szCs w:val="22"/>
        </w:rPr>
        <w:t>DL</w:t>
      </w:r>
      <w:r w:rsidR="004D0EBC">
        <w:rPr>
          <w:rFonts w:asciiTheme="minorHAnsi" w:hAnsiTheme="minorHAnsi"/>
          <w:sz w:val="22"/>
          <w:szCs w:val="22"/>
        </w:rPr>
        <w:t>I</w:t>
      </w:r>
      <w:r w:rsidR="004D0EBC" w:rsidRPr="00967563">
        <w:rPr>
          <w:rFonts w:asciiTheme="minorHAnsi" w:hAnsiTheme="minorHAnsi"/>
          <w:sz w:val="22"/>
          <w:szCs w:val="22"/>
        </w:rPr>
        <w:t xml:space="preserve">1 </w:t>
      </w:r>
      <w:r w:rsidR="00962F6F" w:rsidRPr="00967563">
        <w:rPr>
          <w:rFonts w:asciiTheme="minorHAnsi" w:hAnsiTheme="minorHAnsi"/>
          <w:sz w:val="22"/>
          <w:szCs w:val="22"/>
        </w:rPr>
        <w:t>achievement</w:t>
      </w:r>
      <w:r w:rsidR="000870D1">
        <w:rPr>
          <w:rFonts w:asciiTheme="minorHAnsi" w:hAnsiTheme="minorHAnsi"/>
          <w:sz w:val="22"/>
          <w:szCs w:val="22"/>
        </w:rPr>
        <w:t>s</w:t>
      </w:r>
      <w:r w:rsidR="00962F6F" w:rsidRPr="00967563">
        <w:rPr>
          <w:rFonts w:asciiTheme="minorHAnsi" w:hAnsiTheme="minorHAnsi"/>
          <w:sz w:val="22"/>
          <w:szCs w:val="22"/>
        </w:rPr>
        <w:t xml:space="preserve"> which will be provided by the</w:t>
      </w:r>
      <w:r w:rsidRPr="00967563">
        <w:rPr>
          <w:rFonts w:asciiTheme="minorHAnsi" w:hAnsiTheme="minorHAnsi"/>
          <w:sz w:val="22"/>
          <w:szCs w:val="22"/>
        </w:rPr>
        <w:t xml:space="preserve"> </w:t>
      </w:r>
      <w:r w:rsidR="00A45585" w:rsidRPr="00967563">
        <w:rPr>
          <w:rFonts w:asciiTheme="minorHAnsi" w:hAnsiTheme="minorHAnsi"/>
          <w:sz w:val="22"/>
          <w:szCs w:val="22"/>
        </w:rPr>
        <w:t xml:space="preserve">MOF OCU collected from the </w:t>
      </w:r>
      <w:r w:rsidR="00793341" w:rsidRPr="00967563">
        <w:rPr>
          <w:rFonts w:asciiTheme="minorHAnsi" w:hAnsiTheme="minorHAnsi"/>
          <w:sz w:val="22"/>
          <w:szCs w:val="22"/>
        </w:rPr>
        <w:t>Public Policy Secretariat</w:t>
      </w:r>
      <w:r w:rsidR="00A45585" w:rsidRPr="00967563">
        <w:rPr>
          <w:rFonts w:asciiTheme="minorHAnsi" w:hAnsiTheme="minorHAnsi"/>
          <w:sz w:val="22"/>
          <w:szCs w:val="22"/>
        </w:rPr>
        <w:t xml:space="preserve"> (PPS)</w:t>
      </w:r>
      <w:r w:rsidR="00962F6F" w:rsidRPr="00967563">
        <w:rPr>
          <w:rFonts w:asciiTheme="minorHAnsi" w:hAnsiTheme="minorHAnsi"/>
          <w:sz w:val="22"/>
          <w:szCs w:val="22"/>
        </w:rPr>
        <w:t xml:space="preserve">.  </w:t>
      </w:r>
    </w:p>
    <w:p w:rsidR="00A93A5D" w:rsidRDefault="00A93A5D" w:rsidP="00967563">
      <w:pPr>
        <w:pStyle w:val="BodyText"/>
        <w:tabs>
          <w:tab w:val="left" w:pos="0"/>
        </w:tabs>
        <w:spacing w:before="120" w:line="240" w:lineRule="auto"/>
        <w:ind w:left="-90"/>
        <w:rPr>
          <w:rFonts w:asciiTheme="minorHAnsi" w:hAnsiTheme="minorHAnsi"/>
          <w:b/>
          <w:sz w:val="22"/>
          <w:szCs w:val="22"/>
          <w:u w:val="single"/>
        </w:rPr>
      </w:pPr>
    </w:p>
    <w:p w:rsidR="00A93A5D" w:rsidRDefault="00A93A5D" w:rsidP="00967563">
      <w:pPr>
        <w:pStyle w:val="BodyText"/>
        <w:tabs>
          <w:tab w:val="left" w:pos="0"/>
        </w:tabs>
        <w:spacing w:before="120" w:line="240" w:lineRule="auto"/>
        <w:ind w:left="-90"/>
        <w:rPr>
          <w:rFonts w:asciiTheme="minorHAnsi" w:hAnsiTheme="minorHAnsi"/>
          <w:b/>
          <w:sz w:val="22"/>
          <w:szCs w:val="22"/>
          <w:u w:val="single"/>
        </w:rPr>
      </w:pPr>
    </w:p>
    <w:p w:rsidR="00A93A5D" w:rsidRDefault="00A93A5D" w:rsidP="00967563">
      <w:pPr>
        <w:pStyle w:val="BodyText"/>
        <w:tabs>
          <w:tab w:val="left" w:pos="0"/>
        </w:tabs>
        <w:spacing w:before="120" w:line="240" w:lineRule="auto"/>
        <w:ind w:left="-90"/>
        <w:rPr>
          <w:rFonts w:asciiTheme="minorHAnsi" w:hAnsiTheme="minorHAnsi"/>
          <w:b/>
          <w:sz w:val="22"/>
          <w:szCs w:val="22"/>
          <w:u w:val="single"/>
        </w:rPr>
      </w:pPr>
    </w:p>
    <w:p w:rsidR="00A93A5D" w:rsidRDefault="00A93A5D" w:rsidP="00967563">
      <w:pPr>
        <w:pStyle w:val="BodyText"/>
        <w:tabs>
          <w:tab w:val="left" w:pos="0"/>
        </w:tabs>
        <w:spacing w:before="120" w:line="240" w:lineRule="auto"/>
        <w:ind w:left="-90"/>
        <w:rPr>
          <w:rFonts w:asciiTheme="minorHAnsi" w:hAnsiTheme="minorHAnsi"/>
          <w:b/>
          <w:sz w:val="22"/>
          <w:szCs w:val="22"/>
          <w:u w:val="single"/>
        </w:rPr>
      </w:pPr>
    </w:p>
    <w:p w:rsidR="004F0526" w:rsidRDefault="004F0526" w:rsidP="00967563">
      <w:pPr>
        <w:pStyle w:val="BodyText"/>
        <w:tabs>
          <w:tab w:val="left" w:pos="0"/>
        </w:tabs>
        <w:spacing w:before="120" w:line="240" w:lineRule="auto"/>
        <w:ind w:left="-90"/>
        <w:rPr>
          <w:rFonts w:asciiTheme="minorHAnsi" w:hAnsiTheme="minorHAnsi"/>
          <w:b/>
          <w:sz w:val="22"/>
          <w:szCs w:val="22"/>
          <w:u w:val="single"/>
        </w:rPr>
      </w:pPr>
      <w:r w:rsidRPr="00967563">
        <w:rPr>
          <w:rFonts w:asciiTheme="minorHAnsi" w:hAnsiTheme="minorHAnsi"/>
          <w:b/>
          <w:sz w:val="22"/>
          <w:szCs w:val="22"/>
          <w:u w:val="single"/>
        </w:rPr>
        <w:lastRenderedPageBreak/>
        <w:t>Scope of Work</w:t>
      </w:r>
    </w:p>
    <w:p w:rsidR="00F16C1E" w:rsidRPr="008139E2" w:rsidRDefault="00F16C1E" w:rsidP="00F16C1E">
      <w:pPr>
        <w:spacing w:before="120"/>
        <w:jc w:val="both"/>
        <w:rPr>
          <w:rFonts w:asciiTheme="minorHAnsi" w:eastAsia="Calibri" w:hAnsiTheme="minorHAnsi" w:cstheme="minorHAnsi"/>
          <w:color w:val="000000" w:themeColor="text1"/>
          <w:sz w:val="22"/>
          <w:szCs w:val="22"/>
        </w:rPr>
      </w:pPr>
      <w:r w:rsidRPr="008139E2">
        <w:rPr>
          <w:rFonts w:asciiTheme="minorHAnsi" w:eastAsia="Calibri" w:hAnsiTheme="minorHAnsi" w:cstheme="minorHAnsi"/>
          <w:color w:val="000000" w:themeColor="text1"/>
          <w:sz w:val="22"/>
          <w:szCs w:val="22"/>
        </w:rPr>
        <w:t xml:space="preserve">The </w:t>
      </w:r>
      <w:r w:rsidR="00346B69">
        <w:rPr>
          <w:rFonts w:asciiTheme="minorHAnsi" w:eastAsia="Calibri" w:hAnsiTheme="minorHAnsi" w:cstheme="minorHAnsi"/>
          <w:color w:val="000000" w:themeColor="text1"/>
          <w:sz w:val="22"/>
          <w:szCs w:val="22"/>
        </w:rPr>
        <w:t>consultant</w:t>
      </w:r>
      <w:r w:rsidRPr="008139E2">
        <w:rPr>
          <w:rFonts w:asciiTheme="minorHAnsi" w:eastAsia="Calibri" w:hAnsiTheme="minorHAnsi" w:cstheme="minorHAnsi"/>
          <w:color w:val="000000" w:themeColor="text1"/>
          <w:sz w:val="22"/>
          <w:szCs w:val="22"/>
        </w:rPr>
        <w:t xml:space="preserve"> scope of work will include, but not be limited to, the following:</w:t>
      </w:r>
    </w:p>
    <w:p w:rsidR="00F7656D" w:rsidRPr="00FD1B99" w:rsidRDefault="00F7656D" w:rsidP="00967563">
      <w:pPr>
        <w:pStyle w:val="ListParagraph"/>
        <w:numPr>
          <w:ilvl w:val="0"/>
          <w:numId w:val="8"/>
        </w:numPr>
        <w:tabs>
          <w:tab w:val="left" w:pos="0"/>
        </w:tabs>
        <w:spacing w:before="120"/>
        <w:contextualSpacing w:val="0"/>
        <w:jc w:val="both"/>
        <w:rPr>
          <w:rFonts w:asciiTheme="minorHAnsi" w:hAnsiTheme="minorHAnsi" w:cs="Times New Roman"/>
          <w:sz w:val="22"/>
          <w:szCs w:val="22"/>
        </w:rPr>
      </w:pPr>
      <w:r w:rsidRPr="00967563">
        <w:rPr>
          <w:rFonts w:asciiTheme="minorHAnsi" w:hAnsiTheme="minorHAnsi" w:cs="Times New Roman"/>
          <w:sz w:val="22"/>
          <w:szCs w:val="22"/>
        </w:rPr>
        <w:t xml:space="preserve">performing the independent </w:t>
      </w:r>
      <w:r w:rsidRPr="00967563">
        <w:rPr>
          <w:rFonts w:asciiTheme="minorHAnsi" w:hAnsiTheme="minorHAnsi" w:cs="Times New Roman"/>
          <w:color w:val="auto"/>
          <w:sz w:val="22"/>
          <w:szCs w:val="22"/>
        </w:rPr>
        <w:t>verification of</w:t>
      </w:r>
      <w:r w:rsidRPr="00967563">
        <w:rPr>
          <w:rFonts w:asciiTheme="minorHAnsi" w:hAnsiTheme="minorHAnsi" w:cs="Times New Roman"/>
          <w:sz w:val="22"/>
          <w:szCs w:val="22"/>
        </w:rPr>
        <w:t xml:space="preserve"> DL</w:t>
      </w:r>
      <w:r w:rsidR="004D0EBC">
        <w:rPr>
          <w:rFonts w:asciiTheme="minorHAnsi" w:hAnsiTheme="minorHAnsi" w:cs="Times New Roman"/>
          <w:sz w:val="22"/>
          <w:szCs w:val="22"/>
        </w:rPr>
        <w:t>I</w:t>
      </w:r>
      <w:r w:rsidR="004D3124" w:rsidRPr="00967563">
        <w:rPr>
          <w:rFonts w:asciiTheme="minorHAnsi" w:hAnsiTheme="minorHAnsi" w:cs="Times New Roman"/>
          <w:sz w:val="22"/>
          <w:szCs w:val="22"/>
        </w:rPr>
        <w:t>1</w:t>
      </w:r>
      <w:r w:rsidRPr="00967563">
        <w:rPr>
          <w:rFonts w:asciiTheme="minorHAnsi" w:hAnsiTheme="minorHAnsi" w:cs="Times New Roman"/>
          <w:color w:val="auto"/>
          <w:sz w:val="22"/>
          <w:szCs w:val="22"/>
        </w:rPr>
        <w:t xml:space="preserve"> achievement;</w:t>
      </w:r>
    </w:p>
    <w:p w:rsidR="004D0EBC" w:rsidRPr="00967563" w:rsidRDefault="004D0EBC" w:rsidP="00967563">
      <w:pPr>
        <w:pStyle w:val="ListParagraph"/>
        <w:numPr>
          <w:ilvl w:val="0"/>
          <w:numId w:val="8"/>
        </w:numPr>
        <w:tabs>
          <w:tab w:val="left" w:pos="0"/>
        </w:tabs>
        <w:spacing w:before="120"/>
        <w:contextualSpacing w:val="0"/>
        <w:jc w:val="both"/>
        <w:rPr>
          <w:rFonts w:asciiTheme="minorHAnsi" w:hAnsiTheme="minorHAnsi" w:cs="Times New Roman"/>
          <w:sz w:val="22"/>
          <w:szCs w:val="22"/>
        </w:rPr>
      </w:pPr>
      <w:r>
        <w:rPr>
          <w:rFonts w:asciiTheme="minorHAnsi" w:hAnsiTheme="minorHAnsi" w:cs="Times New Roman"/>
          <w:color w:val="auto"/>
          <w:sz w:val="22"/>
          <w:szCs w:val="22"/>
        </w:rPr>
        <w:t>preparing verification reports;</w:t>
      </w:r>
    </w:p>
    <w:p w:rsidR="00F7656D" w:rsidRPr="00967563" w:rsidRDefault="00F7656D" w:rsidP="00967563">
      <w:pPr>
        <w:pStyle w:val="ListParagraph"/>
        <w:numPr>
          <w:ilvl w:val="0"/>
          <w:numId w:val="8"/>
        </w:numPr>
        <w:tabs>
          <w:tab w:val="left" w:pos="0"/>
        </w:tabs>
        <w:spacing w:before="120"/>
        <w:contextualSpacing w:val="0"/>
        <w:jc w:val="both"/>
        <w:rPr>
          <w:rFonts w:asciiTheme="minorHAnsi" w:hAnsiTheme="minorHAnsi" w:cs="Times New Roman"/>
          <w:sz w:val="22"/>
          <w:szCs w:val="22"/>
        </w:rPr>
      </w:pPr>
      <w:r w:rsidRPr="00967563">
        <w:rPr>
          <w:rFonts w:asciiTheme="minorHAnsi" w:hAnsiTheme="minorHAnsi" w:cs="Times New Roman"/>
          <w:sz w:val="22"/>
          <w:szCs w:val="22"/>
        </w:rPr>
        <w:t>reviewing the credibility and accuracy of the supporting documentation related to DL</w:t>
      </w:r>
      <w:r w:rsidR="004D0EBC">
        <w:rPr>
          <w:rFonts w:asciiTheme="minorHAnsi" w:hAnsiTheme="minorHAnsi" w:cs="Times New Roman"/>
          <w:sz w:val="22"/>
          <w:szCs w:val="22"/>
        </w:rPr>
        <w:t>l</w:t>
      </w:r>
      <w:r w:rsidR="00AB174F" w:rsidRPr="00967563">
        <w:rPr>
          <w:rFonts w:asciiTheme="minorHAnsi" w:hAnsiTheme="minorHAnsi" w:cs="Times New Roman"/>
          <w:sz w:val="22"/>
          <w:szCs w:val="22"/>
        </w:rPr>
        <w:t>1</w:t>
      </w:r>
      <w:r w:rsidRPr="00967563">
        <w:rPr>
          <w:rFonts w:asciiTheme="minorHAnsi" w:hAnsiTheme="minorHAnsi" w:cs="Times New Roman"/>
          <w:sz w:val="22"/>
          <w:szCs w:val="22"/>
        </w:rPr>
        <w:t xml:space="preserve"> achievement which will be provided by the </w:t>
      </w:r>
      <w:r w:rsidR="00A45585" w:rsidRPr="00967563">
        <w:rPr>
          <w:rFonts w:asciiTheme="minorHAnsi" w:hAnsiTheme="minorHAnsi" w:cs="Times New Roman"/>
          <w:sz w:val="22"/>
          <w:szCs w:val="22"/>
        </w:rPr>
        <w:t>by the MOF OCU collected from the Public Policy Secretariat (PPS)</w:t>
      </w:r>
      <w:r w:rsidRPr="00967563">
        <w:rPr>
          <w:rFonts w:asciiTheme="minorHAnsi" w:hAnsiTheme="minorHAnsi" w:cs="Times New Roman"/>
          <w:sz w:val="22"/>
          <w:szCs w:val="22"/>
        </w:rPr>
        <w:t>;</w:t>
      </w:r>
    </w:p>
    <w:p w:rsidR="00F7656D" w:rsidRPr="00967563" w:rsidRDefault="00F7656D" w:rsidP="00967563">
      <w:pPr>
        <w:pStyle w:val="ListParagraph"/>
        <w:numPr>
          <w:ilvl w:val="0"/>
          <w:numId w:val="8"/>
        </w:numPr>
        <w:tabs>
          <w:tab w:val="left" w:pos="0"/>
        </w:tabs>
        <w:spacing w:before="120"/>
        <w:contextualSpacing w:val="0"/>
        <w:jc w:val="both"/>
        <w:rPr>
          <w:rFonts w:asciiTheme="minorHAnsi" w:hAnsiTheme="minorHAnsi"/>
          <w:sz w:val="22"/>
          <w:szCs w:val="22"/>
        </w:rPr>
      </w:pPr>
      <w:r w:rsidRPr="00967563">
        <w:rPr>
          <w:rFonts w:asciiTheme="minorHAnsi" w:hAnsiTheme="minorHAnsi" w:cs="Times New Roman"/>
          <w:sz w:val="22"/>
          <w:szCs w:val="22"/>
        </w:rPr>
        <w:t>assisting in the preparation of the progress reports for the purpose of reporting to the World Bank</w:t>
      </w:r>
      <w:r w:rsidR="00D70552" w:rsidRPr="00967563">
        <w:rPr>
          <w:rFonts w:asciiTheme="minorHAnsi" w:hAnsiTheme="minorHAnsi" w:cs="Times New Roman"/>
          <w:sz w:val="22"/>
          <w:szCs w:val="22"/>
        </w:rPr>
        <w:t>.</w:t>
      </w:r>
    </w:p>
    <w:p w:rsidR="009A53FA" w:rsidRDefault="009A53FA" w:rsidP="009A53FA">
      <w:pPr>
        <w:pStyle w:val="BodyText"/>
        <w:tabs>
          <w:tab w:val="left" w:pos="0"/>
        </w:tabs>
        <w:spacing w:before="120" w:line="240" w:lineRule="auto"/>
        <w:ind w:left="-90"/>
        <w:rPr>
          <w:rFonts w:asciiTheme="minorHAnsi" w:hAnsiTheme="minorHAnsi"/>
          <w:b/>
          <w:sz w:val="22"/>
          <w:szCs w:val="22"/>
          <w:u w:val="single"/>
        </w:rPr>
      </w:pPr>
      <w:r>
        <w:rPr>
          <w:rFonts w:asciiTheme="minorHAnsi" w:hAnsiTheme="minorHAnsi"/>
          <w:b/>
          <w:sz w:val="22"/>
          <w:szCs w:val="22"/>
          <w:u w:val="single"/>
        </w:rPr>
        <w:t>Deliverables</w:t>
      </w:r>
    </w:p>
    <w:p w:rsidR="009A53FA" w:rsidRPr="00E479A5" w:rsidRDefault="009A53FA" w:rsidP="00CE45C1">
      <w:pPr>
        <w:pStyle w:val="BodyText"/>
        <w:tabs>
          <w:tab w:val="left" w:pos="0"/>
        </w:tabs>
        <w:spacing w:before="120" w:after="120"/>
        <w:ind w:left="-90"/>
        <w:rPr>
          <w:rFonts w:asciiTheme="minorHAnsi" w:hAnsiTheme="minorHAnsi"/>
          <w:sz w:val="22"/>
          <w:szCs w:val="22"/>
        </w:rPr>
      </w:pPr>
      <w:r w:rsidRPr="00E479A5">
        <w:rPr>
          <w:rFonts w:asciiTheme="minorHAnsi" w:hAnsiTheme="minorHAnsi"/>
          <w:sz w:val="22"/>
          <w:szCs w:val="22"/>
        </w:rPr>
        <w:t>The Consultant shall prepare and deliver the following in the corresponding stages of the assignment.</w:t>
      </w:r>
    </w:p>
    <w:tbl>
      <w:tblPr>
        <w:tblW w:w="971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7"/>
        <w:gridCol w:w="2842"/>
      </w:tblGrid>
      <w:tr w:rsidR="009A53FA" w:rsidRPr="0083567F" w:rsidTr="008D7182">
        <w:trPr>
          <w:trHeight w:val="301"/>
        </w:trPr>
        <w:tc>
          <w:tcPr>
            <w:tcW w:w="6877" w:type="dxa"/>
            <w:tcBorders>
              <w:top w:val="single" w:sz="4" w:space="0" w:color="auto"/>
              <w:left w:val="single" w:sz="4" w:space="0" w:color="auto"/>
              <w:bottom w:val="single" w:sz="4" w:space="0" w:color="auto"/>
              <w:right w:val="single" w:sz="4" w:space="0" w:color="auto"/>
            </w:tcBorders>
            <w:hideMark/>
          </w:tcPr>
          <w:p w:rsidR="009A53FA" w:rsidRPr="00E479A5" w:rsidRDefault="009A53FA" w:rsidP="00581B60">
            <w:pPr>
              <w:pStyle w:val="BodyText"/>
              <w:tabs>
                <w:tab w:val="left" w:pos="0"/>
              </w:tabs>
              <w:spacing w:before="120"/>
              <w:ind w:left="-90"/>
              <w:jc w:val="center"/>
              <w:rPr>
                <w:rFonts w:asciiTheme="minorHAnsi" w:hAnsiTheme="minorHAnsi" w:cstheme="minorHAnsi"/>
                <w:sz w:val="22"/>
                <w:szCs w:val="22"/>
              </w:rPr>
            </w:pPr>
            <w:r w:rsidRPr="00E479A5">
              <w:rPr>
                <w:rFonts w:asciiTheme="minorHAnsi" w:hAnsiTheme="minorHAnsi" w:cstheme="minorHAnsi"/>
                <w:sz w:val="22"/>
                <w:szCs w:val="22"/>
              </w:rPr>
              <w:t>Deliverables</w:t>
            </w:r>
          </w:p>
        </w:tc>
        <w:tc>
          <w:tcPr>
            <w:tcW w:w="2842" w:type="dxa"/>
            <w:tcBorders>
              <w:top w:val="single" w:sz="4" w:space="0" w:color="auto"/>
              <w:left w:val="single" w:sz="4" w:space="0" w:color="auto"/>
              <w:bottom w:val="single" w:sz="4" w:space="0" w:color="auto"/>
              <w:right w:val="single" w:sz="4" w:space="0" w:color="auto"/>
            </w:tcBorders>
            <w:hideMark/>
          </w:tcPr>
          <w:p w:rsidR="009A53FA" w:rsidRPr="00E479A5" w:rsidRDefault="009A53FA" w:rsidP="00581B60">
            <w:pPr>
              <w:pStyle w:val="BodyText"/>
              <w:tabs>
                <w:tab w:val="left" w:pos="0"/>
              </w:tabs>
              <w:spacing w:before="120"/>
              <w:ind w:left="-90"/>
              <w:jc w:val="center"/>
              <w:rPr>
                <w:rFonts w:asciiTheme="minorHAnsi" w:hAnsiTheme="minorHAnsi"/>
                <w:sz w:val="22"/>
                <w:szCs w:val="22"/>
              </w:rPr>
            </w:pPr>
            <w:r w:rsidRPr="00E479A5">
              <w:rPr>
                <w:rFonts w:asciiTheme="minorHAnsi" w:hAnsiTheme="minorHAnsi"/>
                <w:sz w:val="22"/>
                <w:szCs w:val="22"/>
              </w:rPr>
              <w:t>Due dates</w:t>
            </w:r>
          </w:p>
        </w:tc>
      </w:tr>
      <w:tr w:rsidR="009A53FA" w:rsidRPr="0083567F" w:rsidTr="00581B60">
        <w:trPr>
          <w:trHeight w:val="1178"/>
        </w:trPr>
        <w:tc>
          <w:tcPr>
            <w:tcW w:w="6877" w:type="dxa"/>
            <w:tcBorders>
              <w:top w:val="single" w:sz="4" w:space="0" w:color="auto"/>
              <w:left w:val="single" w:sz="4" w:space="0" w:color="auto"/>
              <w:bottom w:val="single" w:sz="4" w:space="0" w:color="auto"/>
              <w:right w:val="single" w:sz="4" w:space="0" w:color="auto"/>
            </w:tcBorders>
            <w:hideMark/>
          </w:tcPr>
          <w:p w:rsidR="009A53FA" w:rsidRPr="00E479A5" w:rsidRDefault="009A53FA" w:rsidP="00E479A5">
            <w:pPr>
              <w:pStyle w:val="BodyText"/>
              <w:tabs>
                <w:tab w:val="left" w:pos="0"/>
              </w:tabs>
              <w:spacing w:before="120"/>
              <w:ind w:left="-90"/>
              <w:rPr>
                <w:rFonts w:asciiTheme="minorHAnsi" w:hAnsiTheme="minorHAnsi" w:cstheme="minorHAnsi"/>
                <w:sz w:val="22"/>
                <w:szCs w:val="22"/>
              </w:rPr>
            </w:pPr>
            <w:r w:rsidRPr="00E479A5">
              <w:rPr>
                <w:rFonts w:asciiTheme="minorHAnsi" w:hAnsiTheme="minorHAnsi" w:cstheme="minorHAnsi"/>
                <w:sz w:val="22"/>
                <w:szCs w:val="22"/>
              </w:rPr>
              <w:t>Deliverable 1:</w:t>
            </w:r>
            <w:r w:rsidR="00E479A5" w:rsidRPr="00BD31E7">
              <w:rPr>
                <w:rFonts w:asciiTheme="minorHAnsi" w:eastAsia="Calibri" w:hAnsiTheme="minorHAnsi" w:cstheme="minorHAnsi"/>
                <w:sz w:val="22"/>
                <w:szCs w:val="22"/>
              </w:rPr>
              <w:t xml:space="preserve">Verification of </w:t>
            </w:r>
            <w:r w:rsidR="00581B60">
              <w:rPr>
                <w:rFonts w:asciiTheme="minorHAnsi" w:eastAsia="Calibri" w:hAnsiTheme="minorHAnsi" w:cstheme="minorHAnsi"/>
                <w:sz w:val="22"/>
                <w:szCs w:val="22"/>
              </w:rPr>
              <w:t xml:space="preserve">the </w:t>
            </w:r>
            <w:r w:rsidR="00E479A5" w:rsidRPr="00BD31E7">
              <w:rPr>
                <w:rFonts w:asciiTheme="minorHAnsi" w:eastAsia="Calibri" w:hAnsiTheme="minorHAnsi" w:cstheme="minorHAnsi"/>
                <w:sz w:val="22"/>
                <w:szCs w:val="22"/>
              </w:rPr>
              <w:t>DLR 1.1</w:t>
            </w:r>
            <w:r w:rsidR="00BD31E7">
              <w:rPr>
                <w:rFonts w:asciiTheme="minorHAnsi" w:eastAsia="Calibri" w:hAnsiTheme="minorHAnsi" w:cstheme="minorHAnsi"/>
                <w:sz w:val="22"/>
                <w:szCs w:val="22"/>
              </w:rPr>
              <w:t xml:space="preserve"> in line with Verification protocol </w:t>
            </w:r>
            <w:r w:rsidR="00E479A5" w:rsidRPr="00BD31E7">
              <w:rPr>
                <w:rFonts w:asciiTheme="minorHAnsi" w:eastAsia="Calibri" w:hAnsiTheme="minorHAnsi" w:cstheme="minorHAnsi"/>
                <w:sz w:val="22"/>
                <w:szCs w:val="22"/>
              </w:rPr>
              <w:t>:</w:t>
            </w:r>
          </w:p>
        </w:tc>
        <w:tc>
          <w:tcPr>
            <w:tcW w:w="2842" w:type="dxa"/>
            <w:tcBorders>
              <w:top w:val="single" w:sz="4" w:space="0" w:color="auto"/>
              <w:left w:val="single" w:sz="4" w:space="0" w:color="auto"/>
              <w:bottom w:val="single" w:sz="4" w:space="0" w:color="auto"/>
              <w:right w:val="single" w:sz="4" w:space="0" w:color="auto"/>
            </w:tcBorders>
            <w:hideMark/>
          </w:tcPr>
          <w:p w:rsidR="009A53FA" w:rsidRPr="00E479A5" w:rsidRDefault="00E479A5" w:rsidP="00581B60">
            <w:pPr>
              <w:tabs>
                <w:tab w:val="left" w:pos="0"/>
              </w:tabs>
              <w:spacing w:before="120"/>
              <w:ind w:left="-90"/>
              <w:jc w:val="both"/>
              <w:rPr>
                <w:rFonts w:asciiTheme="minorHAnsi" w:hAnsiTheme="minorHAnsi"/>
                <w:sz w:val="22"/>
                <w:szCs w:val="22"/>
              </w:rPr>
            </w:pPr>
            <w:r w:rsidRPr="00967563">
              <w:rPr>
                <w:rFonts w:asciiTheme="minorHAnsi" w:hAnsiTheme="minorHAnsi"/>
                <w:sz w:val="22"/>
                <w:szCs w:val="22"/>
              </w:rPr>
              <w:t>30 days upon submission of complete set of documents from MOF OCU.</w:t>
            </w:r>
            <w:r w:rsidRPr="006A2344">
              <w:t xml:space="preserve"> </w:t>
            </w:r>
          </w:p>
        </w:tc>
      </w:tr>
      <w:tr w:rsidR="009A53FA" w:rsidRPr="0083567F" w:rsidTr="00581B60">
        <w:trPr>
          <w:trHeight w:val="575"/>
        </w:trPr>
        <w:tc>
          <w:tcPr>
            <w:tcW w:w="6877" w:type="dxa"/>
            <w:tcBorders>
              <w:top w:val="single" w:sz="4" w:space="0" w:color="auto"/>
              <w:left w:val="single" w:sz="4" w:space="0" w:color="auto"/>
              <w:bottom w:val="single" w:sz="4" w:space="0" w:color="auto"/>
              <w:right w:val="single" w:sz="4" w:space="0" w:color="auto"/>
            </w:tcBorders>
            <w:hideMark/>
          </w:tcPr>
          <w:p w:rsidR="009A53FA" w:rsidRPr="00E479A5" w:rsidRDefault="009A53FA" w:rsidP="009A53FA">
            <w:pPr>
              <w:pStyle w:val="BodyText"/>
              <w:tabs>
                <w:tab w:val="left" w:pos="0"/>
              </w:tabs>
              <w:spacing w:before="120"/>
              <w:ind w:left="-90"/>
              <w:rPr>
                <w:rFonts w:asciiTheme="minorHAnsi" w:hAnsiTheme="minorHAnsi" w:cstheme="minorHAnsi"/>
                <w:sz w:val="22"/>
                <w:szCs w:val="22"/>
              </w:rPr>
            </w:pPr>
            <w:r w:rsidRPr="00E479A5">
              <w:rPr>
                <w:rFonts w:asciiTheme="minorHAnsi" w:hAnsiTheme="minorHAnsi" w:cstheme="minorHAnsi"/>
                <w:sz w:val="22"/>
                <w:szCs w:val="22"/>
              </w:rPr>
              <w:t xml:space="preserve">Deliverable 2: </w:t>
            </w:r>
          </w:p>
          <w:p w:rsidR="009A53FA" w:rsidRPr="00E479A5" w:rsidRDefault="00E479A5" w:rsidP="009A53FA">
            <w:pPr>
              <w:pStyle w:val="BodyText"/>
              <w:tabs>
                <w:tab w:val="left" w:pos="0"/>
              </w:tabs>
              <w:spacing w:before="120"/>
              <w:ind w:left="-90"/>
              <w:rPr>
                <w:rFonts w:asciiTheme="minorHAnsi" w:hAnsiTheme="minorHAnsi" w:cstheme="minorHAnsi"/>
                <w:sz w:val="22"/>
                <w:szCs w:val="22"/>
              </w:rPr>
            </w:pPr>
            <w:r w:rsidRPr="00BD31E7">
              <w:rPr>
                <w:rFonts w:asciiTheme="minorHAnsi" w:eastAsia="Calibri" w:hAnsiTheme="minorHAnsi" w:cstheme="minorHAnsi"/>
                <w:sz w:val="22"/>
                <w:szCs w:val="22"/>
              </w:rPr>
              <w:t xml:space="preserve">Verification of </w:t>
            </w:r>
            <w:r w:rsidR="00581B60">
              <w:rPr>
                <w:rFonts w:asciiTheme="minorHAnsi" w:eastAsia="Calibri" w:hAnsiTheme="minorHAnsi" w:cstheme="minorHAnsi"/>
                <w:sz w:val="22"/>
                <w:szCs w:val="22"/>
              </w:rPr>
              <w:t>the DLR 1.2</w:t>
            </w:r>
            <w:r w:rsidR="00BD31E7">
              <w:rPr>
                <w:rFonts w:asciiTheme="minorHAnsi" w:eastAsia="Calibri" w:hAnsiTheme="minorHAnsi" w:cstheme="minorHAnsi"/>
                <w:sz w:val="22"/>
                <w:szCs w:val="22"/>
              </w:rPr>
              <w:t xml:space="preserve"> in line with Verification protocol </w:t>
            </w:r>
          </w:p>
        </w:tc>
        <w:tc>
          <w:tcPr>
            <w:tcW w:w="2842" w:type="dxa"/>
            <w:tcBorders>
              <w:top w:val="single" w:sz="4" w:space="0" w:color="auto"/>
              <w:left w:val="single" w:sz="4" w:space="0" w:color="auto"/>
              <w:bottom w:val="single" w:sz="4" w:space="0" w:color="auto"/>
              <w:right w:val="single" w:sz="4" w:space="0" w:color="auto"/>
            </w:tcBorders>
            <w:hideMark/>
          </w:tcPr>
          <w:p w:rsidR="009A53FA" w:rsidRPr="00E479A5" w:rsidRDefault="00E479A5" w:rsidP="00581B60">
            <w:pPr>
              <w:tabs>
                <w:tab w:val="left" w:pos="0"/>
              </w:tabs>
              <w:spacing w:before="120"/>
              <w:ind w:left="-90"/>
              <w:jc w:val="both"/>
              <w:rPr>
                <w:rFonts w:asciiTheme="minorHAnsi" w:hAnsiTheme="minorHAnsi"/>
                <w:sz w:val="22"/>
                <w:szCs w:val="22"/>
              </w:rPr>
            </w:pPr>
            <w:r w:rsidRPr="00967563">
              <w:rPr>
                <w:rFonts w:asciiTheme="minorHAnsi" w:hAnsiTheme="minorHAnsi"/>
                <w:sz w:val="22"/>
                <w:szCs w:val="22"/>
              </w:rPr>
              <w:t>30 days upon submission of complete set of documents from MOF OCU.</w:t>
            </w:r>
            <w:r w:rsidRPr="006A2344">
              <w:t xml:space="preserve"> </w:t>
            </w:r>
          </w:p>
        </w:tc>
      </w:tr>
    </w:tbl>
    <w:p w:rsidR="009A53FA" w:rsidRPr="00E479A5" w:rsidRDefault="009A53FA" w:rsidP="009A53FA">
      <w:pPr>
        <w:pStyle w:val="BodyText"/>
        <w:tabs>
          <w:tab w:val="left" w:pos="0"/>
        </w:tabs>
        <w:spacing w:before="120" w:line="240" w:lineRule="auto"/>
        <w:ind w:left="-90"/>
        <w:jc w:val="both"/>
        <w:rPr>
          <w:rFonts w:asciiTheme="minorHAnsi" w:hAnsiTheme="minorHAnsi"/>
          <w:sz w:val="22"/>
          <w:szCs w:val="22"/>
        </w:rPr>
      </w:pPr>
      <w:r w:rsidRPr="00E479A5">
        <w:rPr>
          <w:rFonts w:asciiTheme="minorHAnsi" w:hAnsiTheme="minorHAnsi"/>
          <w:sz w:val="22"/>
          <w:szCs w:val="22"/>
        </w:rPr>
        <w:t>The selected Consultant shall be paid the lump sum contract amount linked to the deliverables.</w:t>
      </w:r>
    </w:p>
    <w:p w:rsidR="009A53FA" w:rsidRDefault="009A53FA" w:rsidP="00967563">
      <w:pPr>
        <w:pStyle w:val="BodyText"/>
        <w:tabs>
          <w:tab w:val="left" w:pos="0"/>
        </w:tabs>
        <w:spacing w:before="120" w:line="240" w:lineRule="auto"/>
        <w:ind w:left="-90"/>
        <w:jc w:val="both"/>
        <w:rPr>
          <w:rFonts w:asciiTheme="minorHAnsi" w:hAnsiTheme="minorHAnsi"/>
          <w:b/>
          <w:sz w:val="22"/>
          <w:szCs w:val="22"/>
          <w:u w:val="single"/>
        </w:rPr>
      </w:pPr>
    </w:p>
    <w:p w:rsidR="008A7733" w:rsidRPr="00967563" w:rsidRDefault="008A7733" w:rsidP="00967563">
      <w:pPr>
        <w:pStyle w:val="BodyText"/>
        <w:tabs>
          <w:tab w:val="left" w:pos="0"/>
        </w:tabs>
        <w:spacing w:before="120" w:line="240" w:lineRule="auto"/>
        <w:ind w:left="-90"/>
        <w:jc w:val="both"/>
        <w:rPr>
          <w:rFonts w:asciiTheme="minorHAnsi" w:hAnsiTheme="minorHAnsi"/>
          <w:b/>
          <w:sz w:val="22"/>
          <w:szCs w:val="22"/>
          <w:u w:val="single"/>
        </w:rPr>
      </w:pPr>
      <w:r w:rsidRPr="00967563">
        <w:rPr>
          <w:rFonts w:asciiTheme="minorHAnsi" w:hAnsiTheme="minorHAnsi"/>
          <w:b/>
          <w:sz w:val="22"/>
          <w:szCs w:val="22"/>
          <w:u w:val="single"/>
        </w:rPr>
        <w:t xml:space="preserve">Reporting </w:t>
      </w:r>
      <w:r w:rsidR="00967563" w:rsidRPr="00967563">
        <w:rPr>
          <w:rFonts w:asciiTheme="minorHAnsi" w:hAnsiTheme="minorHAnsi"/>
          <w:b/>
          <w:sz w:val="22"/>
          <w:szCs w:val="22"/>
          <w:u w:val="single"/>
        </w:rPr>
        <w:t>arrangements</w:t>
      </w:r>
    </w:p>
    <w:p w:rsidR="00E14071" w:rsidRDefault="008A7733" w:rsidP="00967563">
      <w:pPr>
        <w:tabs>
          <w:tab w:val="left" w:pos="0"/>
        </w:tabs>
        <w:spacing w:before="120"/>
        <w:ind w:left="-90"/>
        <w:jc w:val="both"/>
      </w:pPr>
      <w:r w:rsidRPr="00967563">
        <w:rPr>
          <w:rFonts w:asciiTheme="minorHAnsi" w:hAnsiTheme="minorHAnsi"/>
          <w:sz w:val="22"/>
          <w:szCs w:val="22"/>
        </w:rPr>
        <w:t xml:space="preserve">The Consultant will </w:t>
      </w:r>
      <w:r w:rsidR="00C65CDC">
        <w:rPr>
          <w:rFonts w:asciiTheme="minorHAnsi" w:hAnsiTheme="minorHAnsi"/>
          <w:sz w:val="22"/>
          <w:szCs w:val="22"/>
        </w:rPr>
        <w:t>communicate verification findings</w:t>
      </w:r>
      <w:r w:rsidR="00C65CDC" w:rsidRPr="00967563">
        <w:rPr>
          <w:rFonts w:asciiTheme="minorHAnsi" w:hAnsiTheme="minorHAnsi"/>
          <w:sz w:val="22"/>
          <w:szCs w:val="22"/>
        </w:rPr>
        <w:t xml:space="preserve"> </w:t>
      </w:r>
      <w:r w:rsidRPr="00967563">
        <w:rPr>
          <w:rFonts w:asciiTheme="minorHAnsi" w:hAnsiTheme="minorHAnsi"/>
          <w:sz w:val="22"/>
          <w:szCs w:val="22"/>
        </w:rPr>
        <w:t>to t</w:t>
      </w:r>
      <w:r w:rsidR="00EA5798" w:rsidRPr="00967563">
        <w:rPr>
          <w:rFonts w:asciiTheme="minorHAnsi" w:hAnsiTheme="minorHAnsi"/>
          <w:sz w:val="22"/>
          <w:szCs w:val="22"/>
        </w:rPr>
        <w:t xml:space="preserve">he Assistant </w:t>
      </w:r>
      <w:r w:rsidR="00300DDD" w:rsidRPr="00967563">
        <w:rPr>
          <w:rFonts w:asciiTheme="minorHAnsi" w:hAnsiTheme="minorHAnsi"/>
          <w:sz w:val="22"/>
          <w:szCs w:val="22"/>
        </w:rPr>
        <w:t xml:space="preserve">Minister </w:t>
      </w:r>
      <w:r w:rsidR="00EA5798" w:rsidRPr="00967563">
        <w:rPr>
          <w:rFonts w:asciiTheme="minorHAnsi" w:hAnsiTheme="minorHAnsi"/>
          <w:sz w:val="22"/>
          <w:szCs w:val="22"/>
        </w:rPr>
        <w:t>in charge</w:t>
      </w:r>
      <w:r w:rsidR="00AC0200" w:rsidRPr="00967563">
        <w:rPr>
          <w:rFonts w:asciiTheme="minorHAnsi" w:hAnsiTheme="minorHAnsi"/>
          <w:sz w:val="22"/>
          <w:szCs w:val="22"/>
        </w:rPr>
        <w:t xml:space="preserve"> of the International Co</w:t>
      </w:r>
      <w:r w:rsidR="005D6876">
        <w:rPr>
          <w:rFonts w:asciiTheme="minorHAnsi" w:hAnsiTheme="minorHAnsi"/>
          <w:sz w:val="22"/>
          <w:szCs w:val="22"/>
        </w:rPr>
        <w:t>o</w:t>
      </w:r>
      <w:r w:rsidR="00AC0200" w:rsidRPr="00967563">
        <w:rPr>
          <w:rFonts w:asciiTheme="minorHAnsi" w:hAnsiTheme="minorHAnsi"/>
          <w:sz w:val="22"/>
          <w:szCs w:val="22"/>
        </w:rPr>
        <w:t>peration and European Integration under the MOF, who is as well a Head of the OCU</w:t>
      </w:r>
      <w:r w:rsidR="00AB174F" w:rsidRPr="00967563">
        <w:rPr>
          <w:rFonts w:asciiTheme="minorHAnsi" w:hAnsiTheme="minorHAnsi"/>
          <w:sz w:val="22"/>
          <w:szCs w:val="22"/>
        </w:rPr>
        <w:t xml:space="preserve">. </w:t>
      </w:r>
      <w:r w:rsidRPr="00967563">
        <w:rPr>
          <w:rFonts w:asciiTheme="minorHAnsi" w:hAnsiTheme="minorHAnsi"/>
          <w:sz w:val="22"/>
          <w:szCs w:val="22"/>
        </w:rPr>
        <w:t xml:space="preserve">In addition, the Consultant shall inform the Assistant </w:t>
      </w:r>
      <w:r w:rsidR="00300DDD" w:rsidRPr="00967563">
        <w:rPr>
          <w:rFonts w:asciiTheme="minorHAnsi" w:hAnsiTheme="minorHAnsi"/>
          <w:sz w:val="22"/>
          <w:szCs w:val="22"/>
        </w:rPr>
        <w:t>M</w:t>
      </w:r>
      <w:r w:rsidRPr="00967563">
        <w:rPr>
          <w:rFonts w:asciiTheme="minorHAnsi" w:hAnsiTheme="minorHAnsi"/>
          <w:sz w:val="22"/>
          <w:szCs w:val="22"/>
        </w:rPr>
        <w:t>inister</w:t>
      </w:r>
      <w:r w:rsidR="00581B60">
        <w:rPr>
          <w:rFonts w:asciiTheme="minorHAnsi" w:hAnsiTheme="minorHAnsi"/>
          <w:sz w:val="22"/>
          <w:szCs w:val="22"/>
        </w:rPr>
        <w:t xml:space="preserve"> during engagement </w:t>
      </w:r>
      <w:r w:rsidRPr="00967563">
        <w:rPr>
          <w:rFonts w:asciiTheme="minorHAnsi" w:hAnsiTheme="minorHAnsi"/>
          <w:sz w:val="22"/>
          <w:szCs w:val="22"/>
        </w:rPr>
        <w:t>on the progress of the verification of DL</w:t>
      </w:r>
      <w:r w:rsidR="004D0EBC">
        <w:rPr>
          <w:rFonts w:asciiTheme="minorHAnsi" w:hAnsiTheme="minorHAnsi"/>
          <w:sz w:val="22"/>
          <w:szCs w:val="22"/>
        </w:rPr>
        <w:t>I</w:t>
      </w:r>
      <w:r w:rsidR="004D3124" w:rsidRPr="00967563">
        <w:rPr>
          <w:rFonts w:asciiTheme="minorHAnsi" w:hAnsiTheme="minorHAnsi"/>
          <w:sz w:val="22"/>
          <w:szCs w:val="22"/>
        </w:rPr>
        <w:t>1</w:t>
      </w:r>
      <w:r w:rsidRPr="00967563">
        <w:rPr>
          <w:rFonts w:asciiTheme="minorHAnsi" w:hAnsiTheme="minorHAnsi"/>
          <w:sz w:val="22"/>
          <w:szCs w:val="22"/>
        </w:rPr>
        <w:t xml:space="preserve"> achievement and assist in the preparation of the progress reports for reporting to the World Bank.</w:t>
      </w:r>
      <w:r w:rsidR="00A45585" w:rsidRPr="00967563">
        <w:rPr>
          <w:sz w:val="22"/>
          <w:szCs w:val="22"/>
        </w:rPr>
        <w:t xml:space="preserve"> </w:t>
      </w:r>
      <w:r w:rsidR="00A45585" w:rsidRPr="00967563">
        <w:rPr>
          <w:rFonts w:asciiTheme="minorHAnsi" w:hAnsiTheme="minorHAnsi"/>
          <w:sz w:val="22"/>
          <w:szCs w:val="22"/>
        </w:rPr>
        <w:t>Verification needs to be completed within 30 days upon submission of complete set of documents from MOF OCU</w:t>
      </w:r>
      <w:r w:rsidR="00213DE1" w:rsidRPr="00967563">
        <w:rPr>
          <w:rFonts w:asciiTheme="minorHAnsi" w:hAnsiTheme="minorHAnsi"/>
          <w:sz w:val="22"/>
          <w:szCs w:val="22"/>
        </w:rPr>
        <w:t>.</w:t>
      </w:r>
      <w:r w:rsidR="006A2344" w:rsidRPr="006A2344">
        <w:t xml:space="preserve"> </w:t>
      </w:r>
    </w:p>
    <w:p w:rsidR="006A2344" w:rsidRDefault="006A2344" w:rsidP="00967563">
      <w:pPr>
        <w:tabs>
          <w:tab w:val="left" w:pos="0"/>
        </w:tabs>
        <w:spacing w:before="120"/>
        <w:ind w:left="-90"/>
        <w:jc w:val="both"/>
        <w:rPr>
          <w:rFonts w:asciiTheme="minorHAnsi" w:hAnsiTheme="minorHAnsi"/>
          <w:sz w:val="22"/>
          <w:szCs w:val="22"/>
        </w:rPr>
      </w:pPr>
      <w:r w:rsidRPr="00FD1B99">
        <w:rPr>
          <w:rFonts w:asciiTheme="minorHAnsi" w:hAnsiTheme="minorHAnsi"/>
          <w:sz w:val="22"/>
          <w:szCs w:val="22"/>
        </w:rPr>
        <w:t xml:space="preserve">The Consultant will provide </w:t>
      </w:r>
      <w:r w:rsidR="00BD31E7">
        <w:rPr>
          <w:rFonts w:asciiTheme="minorHAnsi" w:hAnsiTheme="minorHAnsi"/>
          <w:sz w:val="22"/>
          <w:szCs w:val="22"/>
        </w:rPr>
        <w:t>two</w:t>
      </w:r>
      <w:r w:rsidR="00BE31A3">
        <w:rPr>
          <w:rFonts w:asciiTheme="minorHAnsi" w:hAnsiTheme="minorHAnsi"/>
          <w:sz w:val="22"/>
          <w:szCs w:val="22"/>
        </w:rPr>
        <w:t xml:space="preserve"> </w:t>
      </w:r>
      <w:r w:rsidRPr="00FD1B99">
        <w:rPr>
          <w:rFonts w:asciiTheme="minorHAnsi" w:hAnsiTheme="minorHAnsi"/>
          <w:sz w:val="22"/>
          <w:szCs w:val="22"/>
        </w:rPr>
        <w:t>hard and electronic copies of any documents and technical materials developed during the Project in their original electronic format</w:t>
      </w:r>
      <w:r w:rsidR="007C3179">
        <w:rPr>
          <w:rFonts w:asciiTheme="minorHAnsi" w:hAnsiTheme="minorHAnsi"/>
          <w:sz w:val="22"/>
          <w:szCs w:val="22"/>
        </w:rPr>
        <w:t xml:space="preserve"> in line with the Verification Protocol for the DLI 1 (Annex 1)</w:t>
      </w:r>
      <w:r w:rsidRPr="00FD1B99">
        <w:rPr>
          <w:rFonts w:asciiTheme="minorHAnsi" w:hAnsiTheme="minorHAnsi"/>
          <w:sz w:val="22"/>
          <w:szCs w:val="22"/>
        </w:rPr>
        <w:t>. The reports will be provided in English/Serbian language</w:t>
      </w:r>
      <w:r w:rsidR="00A71010">
        <w:rPr>
          <w:rFonts w:asciiTheme="minorHAnsi" w:hAnsiTheme="minorHAnsi"/>
          <w:sz w:val="22"/>
          <w:szCs w:val="22"/>
        </w:rPr>
        <w:t>.</w:t>
      </w:r>
    </w:p>
    <w:p w:rsidR="002979F8" w:rsidRPr="00967563" w:rsidRDefault="002979F8" w:rsidP="002979F8">
      <w:pPr>
        <w:pStyle w:val="BodyText"/>
        <w:tabs>
          <w:tab w:val="left" w:pos="0"/>
        </w:tabs>
        <w:spacing w:before="120" w:line="240" w:lineRule="auto"/>
        <w:ind w:left="-90"/>
        <w:jc w:val="both"/>
        <w:rPr>
          <w:rFonts w:asciiTheme="minorHAnsi" w:hAnsiTheme="minorHAnsi"/>
          <w:b/>
          <w:sz w:val="22"/>
          <w:szCs w:val="22"/>
          <w:u w:val="single"/>
        </w:rPr>
      </w:pPr>
      <w:r w:rsidRPr="00967563">
        <w:rPr>
          <w:rFonts w:asciiTheme="minorHAnsi" w:hAnsiTheme="minorHAnsi"/>
          <w:b/>
          <w:sz w:val="22"/>
          <w:szCs w:val="22"/>
          <w:u w:val="single"/>
        </w:rPr>
        <w:t>Length of assignment</w:t>
      </w:r>
    </w:p>
    <w:p w:rsidR="002979F8" w:rsidRPr="00967563" w:rsidRDefault="00295874" w:rsidP="002979F8">
      <w:pPr>
        <w:pStyle w:val="BodyText"/>
        <w:tabs>
          <w:tab w:val="left" w:pos="0"/>
        </w:tabs>
        <w:spacing w:before="120" w:line="240" w:lineRule="auto"/>
        <w:ind w:left="-90"/>
        <w:jc w:val="both"/>
        <w:rPr>
          <w:rFonts w:asciiTheme="minorHAnsi" w:hAnsiTheme="minorHAnsi"/>
          <w:sz w:val="22"/>
          <w:szCs w:val="22"/>
        </w:rPr>
      </w:pPr>
      <w:r w:rsidRPr="00295874">
        <w:rPr>
          <w:rFonts w:asciiTheme="minorHAnsi" w:hAnsiTheme="minorHAnsi"/>
          <w:sz w:val="22"/>
          <w:szCs w:val="22"/>
        </w:rPr>
        <w:t xml:space="preserve">The Consultant shall provide part-time service up to </w:t>
      </w:r>
      <w:r w:rsidR="00AB19FE">
        <w:rPr>
          <w:rFonts w:asciiTheme="minorHAnsi" w:hAnsiTheme="minorHAnsi"/>
          <w:sz w:val="22"/>
          <w:szCs w:val="22"/>
        </w:rPr>
        <w:t>20</w:t>
      </w:r>
      <w:r w:rsidR="00AB19FE">
        <w:rPr>
          <w:rFonts w:asciiTheme="minorHAnsi" w:hAnsiTheme="minorHAnsi"/>
          <w:sz w:val="22"/>
          <w:szCs w:val="22"/>
        </w:rPr>
        <w:t xml:space="preserve"> </w:t>
      </w:r>
      <w:r w:rsidR="00B67962">
        <w:rPr>
          <w:rFonts w:asciiTheme="minorHAnsi" w:hAnsiTheme="minorHAnsi"/>
          <w:sz w:val="22"/>
          <w:szCs w:val="22"/>
        </w:rPr>
        <w:t xml:space="preserve">working </w:t>
      </w:r>
      <w:r w:rsidRPr="00295874">
        <w:rPr>
          <w:rFonts w:asciiTheme="minorHAnsi" w:hAnsiTheme="minorHAnsi"/>
          <w:sz w:val="22"/>
          <w:szCs w:val="22"/>
        </w:rPr>
        <w:t xml:space="preserve">days </w:t>
      </w:r>
      <w:r w:rsidR="00A476BA">
        <w:rPr>
          <w:rFonts w:asciiTheme="minorHAnsi" w:hAnsiTheme="minorHAnsi"/>
          <w:sz w:val="22"/>
          <w:szCs w:val="22"/>
        </w:rPr>
        <w:t>(</w:t>
      </w:r>
      <w:r w:rsidR="00AB19FE">
        <w:rPr>
          <w:rFonts w:asciiTheme="minorHAnsi" w:hAnsiTheme="minorHAnsi"/>
          <w:sz w:val="22"/>
          <w:szCs w:val="22"/>
        </w:rPr>
        <w:t>5</w:t>
      </w:r>
      <w:r w:rsidR="00AB19FE">
        <w:rPr>
          <w:rFonts w:asciiTheme="minorHAnsi" w:hAnsiTheme="minorHAnsi"/>
          <w:sz w:val="22"/>
          <w:szCs w:val="22"/>
        </w:rPr>
        <w:t xml:space="preserve"> </w:t>
      </w:r>
      <w:r w:rsidR="00A476BA">
        <w:rPr>
          <w:rFonts w:asciiTheme="minorHAnsi" w:hAnsiTheme="minorHAnsi"/>
          <w:sz w:val="22"/>
          <w:szCs w:val="22"/>
        </w:rPr>
        <w:t xml:space="preserve">WD for </w:t>
      </w:r>
      <w:r w:rsidR="000F2C22">
        <w:rPr>
          <w:rFonts w:asciiTheme="minorHAnsi" w:hAnsiTheme="minorHAnsi"/>
          <w:sz w:val="22"/>
          <w:szCs w:val="22"/>
        </w:rPr>
        <w:t xml:space="preserve">DLR 1.1 </w:t>
      </w:r>
      <w:r w:rsidR="00A476BA">
        <w:rPr>
          <w:rFonts w:asciiTheme="minorHAnsi" w:hAnsiTheme="minorHAnsi"/>
          <w:sz w:val="22"/>
          <w:szCs w:val="22"/>
        </w:rPr>
        <w:t xml:space="preserve">verification and </w:t>
      </w:r>
      <w:r w:rsidR="00AB19FE">
        <w:rPr>
          <w:rFonts w:asciiTheme="minorHAnsi" w:hAnsiTheme="minorHAnsi"/>
          <w:sz w:val="22"/>
          <w:szCs w:val="22"/>
        </w:rPr>
        <w:t>1</w:t>
      </w:r>
      <w:r w:rsidR="00A476BA">
        <w:rPr>
          <w:rFonts w:asciiTheme="minorHAnsi" w:hAnsiTheme="minorHAnsi"/>
          <w:sz w:val="22"/>
          <w:szCs w:val="22"/>
        </w:rPr>
        <w:t xml:space="preserve">5 WD for </w:t>
      </w:r>
      <w:r w:rsidR="000F2C22">
        <w:rPr>
          <w:rFonts w:asciiTheme="minorHAnsi" w:hAnsiTheme="minorHAnsi"/>
          <w:sz w:val="22"/>
          <w:szCs w:val="22"/>
        </w:rPr>
        <w:t>DLR 1.2 verification</w:t>
      </w:r>
      <w:r w:rsidR="00A476BA">
        <w:rPr>
          <w:rFonts w:asciiTheme="minorHAnsi" w:hAnsiTheme="minorHAnsi"/>
          <w:sz w:val="22"/>
          <w:szCs w:val="22"/>
        </w:rPr>
        <w:t>)</w:t>
      </w:r>
      <w:r w:rsidR="004D71BE">
        <w:rPr>
          <w:rFonts w:asciiTheme="minorHAnsi" w:hAnsiTheme="minorHAnsi"/>
          <w:sz w:val="22"/>
          <w:szCs w:val="22"/>
        </w:rPr>
        <w:t xml:space="preserve"> </w:t>
      </w:r>
      <w:r w:rsidR="002979F8" w:rsidRPr="00967563">
        <w:rPr>
          <w:rFonts w:asciiTheme="minorHAnsi" w:hAnsiTheme="minorHAnsi"/>
          <w:sz w:val="22"/>
          <w:szCs w:val="22"/>
        </w:rPr>
        <w:t xml:space="preserve">for a period ending with </w:t>
      </w:r>
      <w:r w:rsidR="003E60A6">
        <w:rPr>
          <w:rFonts w:asciiTheme="minorHAnsi" w:hAnsiTheme="minorHAnsi"/>
          <w:sz w:val="22"/>
          <w:szCs w:val="22"/>
        </w:rPr>
        <w:t xml:space="preserve">March </w:t>
      </w:r>
      <w:r w:rsidR="002979F8" w:rsidRPr="00967563">
        <w:rPr>
          <w:rFonts w:asciiTheme="minorHAnsi" w:hAnsiTheme="minorHAnsi"/>
          <w:sz w:val="22"/>
          <w:szCs w:val="22"/>
        </w:rPr>
        <w:t>202</w:t>
      </w:r>
      <w:r w:rsidR="003E60A6">
        <w:rPr>
          <w:rFonts w:asciiTheme="minorHAnsi" w:hAnsiTheme="minorHAnsi"/>
          <w:sz w:val="22"/>
          <w:szCs w:val="22"/>
        </w:rPr>
        <w:t>6</w:t>
      </w:r>
      <w:r w:rsidR="003347C3">
        <w:rPr>
          <w:rFonts w:asciiTheme="minorHAnsi" w:hAnsiTheme="minorHAnsi"/>
          <w:sz w:val="22"/>
          <w:szCs w:val="22"/>
        </w:rPr>
        <w:t>,</w:t>
      </w:r>
      <w:r w:rsidR="002979F8" w:rsidRPr="00967563">
        <w:rPr>
          <w:rFonts w:asciiTheme="minorHAnsi" w:hAnsiTheme="minorHAnsi"/>
          <w:sz w:val="22"/>
          <w:szCs w:val="22"/>
        </w:rPr>
        <w:t xml:space="preserve"> conclusively and subject to extension based on satisfactory performance verified by the Assistant Minister. </w:t>
      </w:r>
    </w:p>
    <w:p w:rsidR="004D0EBC" w:rsidRPr="004D0EBC" w:rsidRDefault="00793341" w:rsidP="004D0EBC">
      <w:pPr>
        <w:tabs>
          <w:tab w:val="left" w:pos="0"/>
        </w:tabs>
        <w:spacing w:before="120"/>
        <w:ind w:left="-90"/>
        <w:jc w:val="both"/>
        <w:rPr>
          <w:rFonts w:ascii="Calibri" w:hAnsi="Calibri" w:cs="Calibri"/>
          <w:b/>
          <w:color w:val="000000"/>
          <w:sz w:val="22"/>
          <w:szCs w:val="22"/>
          <w:u w:val="single"/>
        </w:rPr>
      </w:pPr>
      <w:r w:rsidRPr="00967563">
        <w:rPr>
          <w:rFonts w:ascii="Calibri" w:hAnsi="Calibri" w:cs="Calibri"/>
          <w:b/>
          <w:color w:val="000000"/>
          <w:sz w:val="22"/>
          <w:szCs w:val="22"/>
          <w:u w:val="single"/>
        </w:rPr>
        <w:t>Qualification Requirements</w:t>
      </w:r>
      <w:bookmarkStart w:id="0" w:name="_GoBack"/>
      <w:bookmarkEnd w:id="0"/>
    </w:p>
    <w:p w:rsidR="00793341" w:rsidRPr="00967563" w:rsidRDefault="00793341" w:rsidP="00967563">
      <w:pPr>
        <w:tabs>
          <w:tab w:val="left" w:pos="0"/>
        </w:tabs>
        <w:spacing w:before="120"/>
        <w:ind w:left="-90"/>
        <w:jc w:val="both"/>
        <w:rPr>
          <w:rFonts w:asciiTheme="minorHAnsi" w:hAnsiTheme="minorHAnsi"/>
          <w:sz w:val="22"/>
          <w:szCs w:val="22"/>
        </w:rPr>
      </w:pPr>
      <w:r w:rsidRPr="00967563">
        <w:rPr>
          <w:rFonts w:ascii="Calibri" w:hAnsi="Calibri" w:cs="Calibri"/>
          <w:color w:val="000000"/>
          <w:sz w:val="22"/>
          <w:szCs w:val="22"/>
        </w:rPr>
        <w:t>The Consultant shall</w:t>
      </w:r>
      <w:r w:rsidRPr="00967563">
        <w:rPr>
          <w:rFonts w:ascii="Calibri" w:eastAsia="Calibri" w:hAnsi="Calibri" w:cs="Calibri"/>
          <w:color w:val="000000"/>
          <w:sz w:val="22"/>
          <w:szCs w:val="22"/>
        </w:rPr>
        <w:t xml:space="preserve"> possess the following </w:t>
      </w:r>
      <w:r w:rsidRPr="00967563">
        <w:rPr>
          <w:rFonts w:ascii="Calibri" w:hAnsi="Calibri" w:cs="Calibri"/>
          <w:bCs/>
          <w:color w:val="000000"/>
          <w:sz w:val="22"/>
          <w:szCs w:val="22"/>
        </w:rPr>
        <w:t>qualifications</w:t>
      </w:r>
      <w:r w:rsidRPr="00967563">
        <w:rPr>
          <w:rFonts w:ascii="Calibri" w:hAnsi="Calibri" w:cs="Calibri"/>
          <w:b/>
          <w:bCs/>
          <w:iCs/>
          <w:color w:val="000000"/>
          <w:sz w:val="22"/>
          <w:szCs w:val="22"/>
        </w:rPr>
        <w:t xml:space="preserve">: </w:t>
      </w:r>
    </w:p>
    <w:p w:rsidR="008A7733" w:rsidRPr="00967563" w:rsidRDefault="008A7733" w:rsidP="00967563">
      <w:pPr>
        <w:pStyle w:val="ListParagraph"/>
        <w:widowControl/>
        <w:numPr>
          <w:ilvl w:val="0"/>
          <w:numId w:val="7"/>
        </w:numPr>
        <w:tabs>
          <w:tab w:val="left" w:pos="0"/>
        </w:tabs>
        <w:autoSpaceDE/>
        <w:autoSpaceDN/>
        <w:adjustRightInd/>
        <w:spacing w:before="120"/>
        <w:contextualSpacing w:val="0"/>
        <w:jc w:val="both"/>
        <w:rPr>
          <w:rFonts w:asciiTheme="minorHAnsi" w:hAnsiTheme="minorHAnsi" w:cs="Times New Roman"/>
          <w:sz w:val="22"/>
          <w:szCs w:val="22"/>
        </w:rPr>
      </w:pPr>
      <w:r w:rsidRPr="00967563">
        <w:rPr>
          <w:rFonts w:asciiTheme="minorHAnsi" w:hAnsiTheme="minorHAnsi" w:cs="Times New Roman"/>
          <w:sz w:val="22"/>
          <w:szCs w:val="22"/>
        </w:rPr>
        <w:t xml:space="preserve">University degree in economics; master’s degree or higher will be considered as a distinct advantage; </w:t>
      </w:r>
    </w:p>
    <w:p w:rsidR="008A7733" w:rsidRPr="00967563" w:rsidRDefault="00C11E7A" w:rsidP="00967563">
      <w:pPr>
        <w:pStyle w:val="ListParagraph"/>
        <w:widowControl/>
        <w:numPr>
          <w:ilvl w:val="0"/>
          <w:numId w:val="7"/>
        </w:numPr>
        <w:tabs>
          <w:tab w:val="left" w:pos="0"/>
        </w:tabs>
        <w:autoSpaceDE/>
        <w:autoSpaceDN/>
        <w:adjustRightInd/>
        <w:spacing w:before="120"/>
        <w:contextualSpacing w:val="0"/>
        <w:jc w:val="both"/>
        <w:rPr>
          <w:rFonts w:asciiTheme="minorHAnsi" w:hAnsiTheme="minorHAnsi" w:cs="Times New Roman"/>
          <w:sz w:val="22"/>
          <w:szCs w:val="22"/>
        </w:rPr>
      </w:pPr>
      <w:r w:rsidRPr="00967563">
        <w:rPr>
          <w:rFonts w:asciiTheme="minorHAnsi" w:hAnsiTheme="minorHAnsi" w:cs="Times New Roman"/>
          <w:sz w:val="22"/>
          <w:szCs w:val="22"/>
        </w:rPr>
        <w:lastRenderedPageBreak/>
        <w:t>Minimum 10</w:t>
      </w:r>
      <w:r w:rsidR="008A7733" w:rsidRPr="00967563">
        <w:rPr>
          <w:rFonts w:asciiTheme="minorHAnsi" w:hAnsiTheme="minorHAnsi" w:cs="Times New Roman"/>
          <w:sz w:val="22"/>
          <w:szCs w:val="22"/>
        </w:rPr>
        <w:t xml:space="preserve"> years of relevant work experience in </w:t>
      </w:r>
      <w:r w:rsidRPr="00967563">
        <w:rPr>
          <w:rFonts w:asciiTheme="minorHAnsi" w:hAnsiTheme="minorHAnsi" w:cs="Times New Roman"/>
          <w:sz w:val="22"/>
          <w:szCs w:val="22"/>
        </w:rPr>
        <w:t>finance, business consulting, financial reporting and audit</w:t>
      </w:r>
      <w:r w:rsidR="00300DDD" w:rsidRPr="00967563">
        <w:rPr>
          <w:rFonts w:asciiTheme="minorHAnsi" w:hAnsiTheme="minorHAnsi" w:cs="Times New Roman"/>
          <w:sz w:val="22"/>
          <w:szCs w:val="22"/>
        </w:rPr>
        <w:t>;</w:t>
      </w:r>
    </w:p>
    <w:p w:rsidR="008A7733" w:rsidRPr="00967563" w:rsidRDefault="00C11E7A" w:rsidP="00967563">
      <w:pPr>
        <w:pStyle w:val="ListParagraph"/>
        <w:widowControl/>
        <w:numPr>
          <w:ilvl w:val="0"/>
          <w:numId w:val="7"/>
        </w:numPr>
        <w:tabs>
          <w:tab w:val="left" w:pos="0"/>
        </w:tabs>
        <w:autoSpaceDE/>
        <w:autoSpaceDN/>
        <w:adjustRightInd/>
        <w:spacing w:before="120"/>
        <w:contextualSpacing w:val="0"/>
        <w:jc w:val="both"/>
        <w:rPr>
          <w:rFonts w:asciiTheme="minorHAnsi" w:hAnsiTheme="minorHAnsi" w:cs="Times New Roman"/>
          <w:sz w:val="22"/>
          <w:szCs w:val="22"/>
        </w:rPr>
      </w:pPr>
      <w:r w:rsidRPr="00967563">
        <w:rPr>
          <w:rFonts w:asciiTheme="minorHAnsi" w:hAnsiTheme="minorHAnsi" w:cs="Times New Roman"/>
          <w:sz w:val="22"/>
          <w:szCs w:val="22"/>
        </w:rPr>
        <w:t>E</w:t>
      </w:r>
      <w:r w:rsidR="008A7733" w:rsidRPr="00967563">
        <w:rPr>
          <w:rFonts w:asciiTheme="minorHAnsi" w:hAnsiTheme="minorHAnsi" w:cs="Times New Roman"/>
          <w:sz w:val="22"/>
          <w:szCs w:val="22"/>
        </w:rPr>
        <w:t>xperience of project/s or contract work with international financial organizations</w:t>
      </w:r>
      <w:r w:rsidRPr="00967563">
        <w:rPr>
          <w:rFonts w:asciiTheme="minorHAnsi" w:hAnsiTheme="minorHAnsi" w:cs="Times New Roman"/>
          <w:sz w:val="22"/>
          <w:szCs w:val="22"/>
        </w:rPr>
        <w:t xml:space="preserve"> will be considered as a distinct advantage</w:t>
      </w:r>
      <w:r w:rsidR="008A7733" w:rsidRPr="00967563">
        <w:rPr>
          <w:rFonts w:asciiTheme="minorHAnsi" w:hAnsiTheme="minorHAnsi" w:cs="Times New Roman"/>
          <w:sz w:val="22"/>
          <w:szCs w:val="22"/>
        </w:rPr>
        <w:t>;</w:t>
      </w:r>
    </w:p>
    <w:p w:rsidR="008A7733" w:rsidRPr="00967563" w:rsidRDefault="008A7733" w:rsidP="00967563">
      <w:pPr>
        <w:pStyle w:val="ListParagraph"/>
        <w:widowControl/>
        <w:numPr>
          <w:ilvl w:val="0"/>
          <w:numId w:val="7"/>
        </w:numPr>
        <w:tabs>
          <w:tab w:val="left" w:pos="0"/>
        </w:tabs>
        <w:autoSpaceDE/>
        <w:autoSpaceDN/>
        <w:adjustRightInd/>
        <w:spacing w:before="120"/>
        <w:contextualSpacing w:val="0"/>
        <w:jc w:val="both"/>
        <w:rPr>
          <w:rFonts w:asciiTheme="minorHAnsi" w:hAnsiTheme="minorHAnsi" w:cs="Times New Roman"/>
          <w:sz w:val="22"/>
          <w:szCs w:val="22"/>
        </w:rPr>
      </w:pPr>
      <w:r w:rsidRPr="00967563">
        <w:rPr>
          <w:rFonts w:asciiTheme="minorHAnsi" w:hAnsiTheme="minorHAnsi" w:cs="Times New Roman"/>
          <w:sz w:val="22"/>
          <w:szCs w:val="22"/>
        </w:rPr>
        <w:t>Advanced user of MS Office (especially Excel);</w:t>
      </w:r>
    </w:p>
    <w:p w:rsidR="008A7733" w:rsidRPr="00967563" w:rsidRDefault="008A7733" w:rsidP="00967563">
      <w:pPr>
        <w:pStyle w:val="ListParagraph"/>
        <w:widowControl/>
        <w:numPr>
          <w:ilvl w:val="0"/>
          <w:numId w:val="7"/>
        </w:numPr>
        <w:tabs>
          <w:tab w:val="left" w:pos="0"/>
        </w:tabs>
        <w:autoSpaceDE/>
        <w:autoSpaceDN/>
        <w:adjustRightInd/>
        <w:spacing w:before="120"/>
        <w:contextualSpacing w:val="0"/>
        <w:jc w:val="both"/>
        <w:rPr>
          <w:rFonts w:asciiTheme="minorHAnsi" w:hAnsiTheme="minorHAnsi" w:cs="Times New Roman"/>
          <w:sz w:val="22"/>
          <w:szCs w:val="22"/>
        </w:rPr>
      </w:pPr>
      <w:r w:rsidRPr="00967563">
        <w:rPr>
          <w:rFonts w:asciiTheme="minorHAnsi" w:hAnsiTheme="minorHAnsi" w:cs="Times New Roman"/>
          <w:sz w:val="22"/>
          <w:szCs w:val="22"/>
        </w:rPr>
        <w:t>Strong communication skills and excellent knowledge of written and spoken English;</w:t>
      </w:r>
    </w:p>
    <w:p w:rsidR="008A7733" w:rsidRPr="00967563" w:rsidRDefault="008A7733" w:rsidP="00967563">
      <w:pPr>
        <w:pStyle w:val="ListParagraph"/>
        <w:widowControl/>
        <w:numPr>
          <w:ilvl w:val="0"/>
          <w:numId w:val="7"/>
        </w:numPr>
        <w:tabs>
          <w:tab w:val="left" w:pos="0"/>
        </w:tabs>
        <w:autoSpaceDE/>
        <w:autoSpaceDN/>
        <w:adjustRightInd/>
        <w:spacing w:before="120"/>
        <w:contextualSpacing w:val="0"/>
        <w:jc w:val="both"/>
        <w:rPr>
          <w:rFonts w:asciiTheme="minorHAnsi" w:hAnsiTheme="minorHAnsi" w:cs="Times New Roman"/>
          <w:sz w:val="22"/>
          <w:szCs w:val="22"/>
        </w:rPr>
      </w:pPr>
      <w:r w:rsidRPr="00967563">
        <w:rPr>
          <w:rFonts w:asciiTheme="minorHAnsi" w:hAnsiTheme="minorHAnsi" w:cs="Times New Roman"/>
          <w:sz w:val="22"/>
          <w:szCs w:val="22"/>
        </w:rPr>
        <w:t>Proven teamwork skills;</w:t>
      </w:r>
    </w:p>
    <w:p w:rsidR="008A7733" w:rsidRPr="00967563" w:rsidRDefault="008A7733" w:rsidP="00967563">
      <w:pPr>
        <w:pStyle w:val="ListParagraph"/>
        <w:widowControl/>
        <w:numPr>
          <w:ilvl w:val="0"/>
          <w:numId w:val="7"/>
        </w:numPr>
        <w:tabs>
          <w:tab w:val="left" w:pos="0"/>
        </w:tabs>
        <w:autoSpaceDE/>
        <w:autoSpaceDN/>
        <w:adjustRightInd/>
        <w:spacing w:before="120"/>
        <w:contextualSpacing w:val="0"/>
        <w:jc w:val="both"/>
        <w:rPr>
          <w:rFonts w:asciiTheme="minorHAnsi" w:hAnsiTheme="minorHAnsi" w:cs="Times New Roman"/>
          <w:sz w:val="22"/>
          <w:szCs w:val="22"/>
        </w:rPr>
      </w:pPr>
      <w:r w:rsidRPr="00967563">
        <w:rPr>
          <w:rFonts w:asciiTheme="minorHAnsi" w:hAnsiTheme="minorHAnsi" w:cs="Times New Roman"/>
          <w:sz w:val="22"/>
          <w:szCs w:val="22"/>
        </w:rPr>
        <w:t>Ability to work under pressure and meet deadline</w:t>
      </w:r>
      <w:r w:rsidR="00300DDD" w:rsidRPr="00967563">
        <w:rPr>
          <w:rFonts w:asciiTheme="minorHAnsi" w:hAnsiTheme="minorHAnsi" w:cs="Times New Roman"/>
          <w:sz w:val="22"/>
          <w:szCs w:val="22"/>
        </w:rPr>
        <w:t>s</w:t>
      </w:r>
      <w:r w:rsidRPr="00967563">
        <w:rPr>
          <w:rFonts w:asciiTheme="minorHAnsi" w:hAnsiTheme="minorHAnsi" w:cs="Times New Roman"/>
          <w:sz w:val="22"/>
          <w:szCs w:val="22"/>
        </w:rPr>
        <w:t>.</w:t>
      </w:r>
    </w:p>
    <w:p w:rsidR="008A7733" w:rsidRPr="00967563" w:rsidRDefault="008A7733" w:rsidP="00967563">
      <w:pPr>
        <w:pStyle w:val="BodyText"/>
        <w:tabs>
          <w:tab w:val="left" w:pos="0"/>
        </w:tabs>
        <w:spacing w:before="120" w:line="240" w:lineRule="auto"/>
        <w:ind w:left="-90"/>
        <w:jc w:val="both"/>
        <w:rPr>
          <w:rFonts w:asciiTheme="minorHAnsi" w:hAnsiTheme="minorHAnsi"/>
          <w:b/>
          <w:sz w:val="22"/>
          <w:szCs w:val="22"/>
          <w:u w:val="single"/>
        </w:rPr>
      </w:pPr>
      <w:r w:rsidRPr="00967563">
        <w:rPr>
          <w:rFonts w:asciiTheme="minorHAnsi" w:hAnsiTheme="minorHAnsi"/>
          <w:b/>
          <w:sz w:val="22"/>
          <w:szCs w:val="22"/>
          <w:u w:val="single"/>
        </w:rPr>
        <w:t xml:space="preserve">Confidentiality </w:t>
      </w:r>
    </w:p>
    <w:p w:rsidR="008A7733" w:rsidRPr="00967563" w:rsidRDefault="008A7733" w:rsidP="00967563">
      <w:pPr>
        <w:pStyle w:val="BodyText"/>
        <w:tabs>
          <w:tab w:val="left" w:pos="0"/>
        </w:tabs>
        <w:spacing w:before="120" w:line="240" w:lineRule="auto"/>
        <w:ind w:left="-90"/>
        <w:jc w:val="both"/>
        <w:rPr>
          <w:rFonts w:asciiTheme="minorHAnsi" w:hAnsiTheme="minorHAnsi"/>
          <w:sz w:val="22"/>
          <w:szCs w:val="22"/>
        </w:rPr>
      </w:pPr>
      <w:r w:rsidRPr="00967563">
        <w:rPr>
          <w:rFonts w:asciiTheme="minorHAnsi" w:hAnsiTheme="minorHAnsi"/>
          <w:sz w:val="22"/>
          <w:szCs w:val="22"/>
        </w:rPr>
        <w:t>The Consultant undertakes to maintain confidentiality on all information that is not in the public domain and shall not be involved in another assignment that represents a conflict of interest to the prevailing assignment.</w:t>
      </w:r>
    </w:p>
    <w:p w:rsidR="003E1087" w:rsidRPr="00967563" w:rsidRDefault="003E1087" w:rsidP="00967563">
      <w:pPr>
        <w:pStyle w:val="BodyText"/>
        <w:spacing w:before="120" w:line="240" w:lineRule="auto"/>
        <w:ind w:left="-630" w:firstLine="540"/>
        <w:rPr>
          <w:rFonts w:asciiTheme="minorHAnsi" w:hAnsiTheme="minorHAnsi"/>
          <w:b/>
          <w:sz w:val="22"/>
          <w:szCs w:val="22"/>
          <w:u w:val="single"/>
        </w:rPr>
      </w:pPr>
      <w:r w:rsidRPr="00967563">
        <w:rPr>
          <w:rFonts w:asciiTheme="minorHAnsi" w:hAnsiTheme="minorHAnsi"/>
          <w:b/>
          <w:sz w:val="22"/>
          <w:szCs w:val="22"/>
          <w:u w:val="single"/>
        </w:rPr>
        <w:t xml:space="preserve">Selection of Consultant </w:t>
      </w:r>
    </w:p>
    <w:p w:rsidR="00F92970" w:rsidRPr="008139E2" w:rsidRDefault="00F92970" w:rsidP="00F92970">
      <w:pPr>
        <w:suppressAutoHyphens/>
        <w:spacing w:before="120"/>
        <w:jc w:val="both"/>
        <w:rPr>
          <w:rFonts w:asciiTheme="minorHAnsi" w:hAnsiTheme="minorHAnsi" w:cstheme="minorHAnsi"/>
          <w:spacing w:val="-2"/>
          <w:sz w:val="22"/>
          <w:szCs w:val="22"/>
        </w:rPr>
      </w:pPr>
      <w:r w:rsidRPr="008139E2">
        <w:rPr>
          <w:rFonts w:asciiTheme="minorHAnsi" w:hAnsiTheme="minorHAnsi" w:cstheme="minorHAnsi"/>
          <w:spacing w:val="-2"/>
          <w:sz w:val="22"/>
          <w:szCs w:val="22"/>
        </w:rPr>
        <w:t>A Consultant will be selected in accordance with the Open</w:t>
      </w:r>
      <w:r w:rsidRPr="008139E2">
        <w:rPr>
          <w:rFonts w:asciiTheme="minorHAnsi" w:hAnsiTheme="minorHAnsi" w:cstheme="minorHAnsi"/>
          <w:i/>
          <w:spacing w:val="-2"/>
          <w:sz w:val="22"/>
          <w:szCs w:val="22"/>
        </w:rPr>
        <w:t xml:space="preserve"> Competitive Selection of Individual Consultants</w:t>
      </w:r>
      <w:r w:rsidRPr="008139E2">
        <w:rPr>
          <w:rFonts w:asciiTheme="minorHAnsi" w:hAnsiTheme="minorHAnsi" w:cstheme="minorHAnsi"/>
          <w:spacing w:val="-2"/>
          <w:sz w:val="22"/>
          <w:szCs w:val="22"/>
        </w:rPr>
        <w:t xml:space="preserve"> as set out in the </w:t>
      </w:r>
      <w:r w:rsidR="00CA5F97" w:rsidRPr="00CA5F97">
        <w:rPr>
          <w:rFonts w:asciiTheme="minorHAnsi" w:hAnsiTheme="minorHAnsi" w:cstheme="minorHAnsi"/>
          <w:spacing w:val="-2"/>
          <w:sz w:val="22"/>
          <w:szCs w:val="22"/>
        </w:rPr>
        <w:t>World Bank’s Procurement Regulations for IPF Borrowers: Procurement in Investment Project Financing – Goods, Works, Non-Consulting and Consulting Services (November 2020) and the World Bank's ‘Guidelines on Preventing and Combating Fraud and Corruption in Program-for-Results Financing’, dated February 1, 2012, and revised July 10, 2015.</w:t>
      </w:r>
    </w:p>
    <w:p w:rsidR="00A45585" w:rsidRPr="00967563" w:rsidRDefault="00A45585" w:rsidP="00967563">
      <w:pPr>
        <w:pStyle w:val="BodyText"/>
        <w:spacing w:before="120" w:line="240" w:lineRule="auto"/>
        <w:ind w:left="-630" w:firstLine="540"/>
        <w:rPr>
          <w:rFonts w:asciiTheme="minorHAnsi" w:hAnsiTheme="minorHAnsi"/>
          <w:sz w:val="22"/>
          <w:szCs w:val="22"/>
        </w:rPr>
      </w:pPr>
      <w:r w:rsidRPr="00967563">
        <w:rPr>
          <w:rFonts w:asciiTheme="minorHAnsi" w:hAnsiTheme="minorHAnsi"/>
          <w:sz w:val="22"/>
          <w:szCs w:val="22"/>
        </w:rPr>
        <w:t xml:space="preserve">The candidates will be evaluated applying the following evaluation criteria: </w:t>
      </w:r>
    </w:p>
    <w:p w:rsidR="00A45585" w:rsidRPr="00967563" w:rsidRDefault="00A45585" w:rsidP="00967563">
      <w:pPr>
        <w:spacing w:before="120"/>
        <w:rPr>
          <w:rFonts w:asciiTheme="minorHAnsi" w:hAnsiTheme="minorHAnsi"/>
          <w:sz w:val="22"/>
          <w:szCs w:val="22"/>
        </w:rPr>
      </w:pPr>
      <w:r w:rsidRPr="00967563">
        <w:rPr>
          <w:rFonts w:asciiTheme="minorHAnsi" w:hAnsiTheme="minorHAnsi"/>
          <w:sz w:val="22"/>
          <w:szCs w:val="22"/>
        </w:rPr>
        <w:t>•</w:t>
      </w:r>
      <w:r w:rsidRPr="00967563">
        <w:rPr>
          <w:rFonts w:asciiTheme="minorHAnsi" w:hAnsiTheme="minorHAnsi"/>
          <w:sz w:val="22"/>
          <w:szCs w:val="22"/>
        </w:rPr>
        <w:tab/>
        <w:t>General experience</w:t>
      </w:r>
      <w:r w:rsidRPr="00967563">
        <w:rPr>
          <w:rFonts w:asciiTheme="minorHAnsi" w:hAnsiTheme="minorHAnsi"/>
          <w:sz w:val="22"/>
          <w:szCs w:val="22"/>
        </w:rPr>
        <w:tab/>
      </w:r>
      <w:r w:rsidRPr="00967563">
        <w:rPr>
          <w:rFonts w:asciiTheme="minorHAnsi" w:hAnsiTheme="minorHAnsi"/>
          <w:sz w:val="22"/>
          <w:szCs w:val="22"/>
        </w:rPr>
        <w:tab/>
      </w:r>
      <w:r w:rsidRPr="00967563">
        <w:rPr>
          <w:rFonts w:asciiTheme="minorHAnsi" w:hAnsiTheme="minorHAnsi"/>
          <w:sz w:val="22"/>
          <w:szCs w:val="22"/>
        </w:rPr>
        <w:tab/>
      </w:r>
      <w:r w:rsidRPr="00967563">
        <w:rPr>
          <w:rFonts w:asciiTheme="minorHAnsi" w:hAnsiTheme="minorHAnsi"/>
          <w:sz w:val="22"/>
          <w:szCs w:val="22"/>
        </w:rPr>
        <w:tab/>
        <w:t xml:space="preserve">      </w:t>
      </w:r>
      <w:r w:rsidR="00300DDD" w:rsidRPr="00967563">
        <w:rPr>
          <w:rFonts w:asciiTheme="minorHAnsi" w:hAnsiTheme="minorHAnsi"/>
          <w:sz w:val="22"/>
          <w:szCs w:val="22"/>
        </w:rPr>
        <w:t xml:space="preserve">   </w:t>
      </w:r>
      <w:proofErr w:type="gramStart"/>
      <w:r w:rsidR="00300DDD" w:rsidRPr="00967563">
        <w:rPr>
          <w:rFonts w:asciiTheme="minorHAnsi" w:hAnsiTheme="minorHAnsi"/>
          <w:sz w:val="22"/>
          <w:szCs w:val="22"/>
        </w:rPr>
        <w:t xml:space="preserve">   </w:t>
      </w:r>
      <w:r w:rsidRPr="00967563">
        <w:rPr>
          <w:rFonts w:asciiTheme="minorHAnsi" w:hAnsiTheme="minorHAnsi"/>
          <w:sz w:val="22"/>
          <w:szCs w:val="22"/>
        </w:rPr>
        <w:t>(</w:t>
      </w:r>
      <w:proofErr w:type="gramEnd"/>
      <w:r w:rsidRPr="00967563">
        <w:rPr>
          <w:rFonts w:asciiTheme="minorHAnsi" w:hAnsiTheme="minorHAnsi"/>
          <w:sz w:val="22"/>
          <w:szCs w:val="22"/>
        </w:rPr>
        <w:t xml:space="preserve"> 40 Points)</w:t>
      </w:r>
    </w:p>
    <w:p w:rsidR="0004075B" w:rsidRDefault="00A45585" w:rsidP="00967563">
      <w:pPr>
        <w:spacing w:before="120"/>
        <w:rPr>
          <w:rFonts w:asciiTheme="minorHAnsi" w:hAnsiTheme="minorHAnsi"/>
          <w:sz w:val="22"/>
          <w:szCs w:val="22"/>
        </w:rPr>
      </w:pPr>
      <w:r w:rsidRPr="00967563">
        <w:rPr>
          <w:rFonts w:asciiTheme="minorHAnsi" w:hAnsiTheme="minorHAnsi"/>
          <w:sz w:val="22"/>
          <w:szCs w:val="22"/>
        </w:rPr>
        <w:t>•</w:t>
      </w:r>
      <w:r w:rsidRPr="00967563">
        <w:rPr>
          <w:rFonts w:asciiTheme="minorHAnsi" w:hAnsiTheme="minorHAnsi"/>
          <w:sz w:val="22"/>
          <w:szCs w:val="22"/>
        </w:rPr>
        <w:tab/>
        <w:t xml:space="preserve">Specific Experience relevant to the Assignment      </w:t>
      </w:r>
      <w:proofErr w:type="gramStart"/>
      <w:r w:rsidRPr="00967563">
        <w:rPr>
          <w:rFonts w:asciiTheme="minorHAnsi" w:hAnsiTheme="minorHAnsi"/>
          <w:sz w:val="22"/>
          <w:szCs w:val="22"/>
        </w:rPr>
        <w:t xml:space="preserve">   (</w:t>
      </w:r>
      <w:proofErr w:type="gramEnd"/>
      <w:r w:rsidRPr="00967563">
        <w:rPr>
          <w:rFonts w:asciiTheme="minorHAnsi" w:hAnsiTheme="minorHAnsi"/>
          <w:sz w:val="22"/>
          <w:szCs w:val="22"/>
        </w:rPr>
        <w:t xml:space="preserve"> 60 Points)  </w:t>
      </w:r>
    </w:p>
    <w:p w:rsidR="00C9655F" w:rsidRDefault="00C9655F" w:rsidP="00967563">
      <w:pPr>
        <w:spacing w:before="120"/>
        <w:rPr>
          <w:rFonts w:asciiTheme="minorHAnsi" w:hAnsiTheme="minorHAnsi"/>
          <w:sz w:val="22"/>
          <w:szCs w:val="22"/>
        </w:rPr>
      </w:pPr>
    </w:p>
    <w:p w:rsidR="0083567F" w:rsidRDefault="0083567F">
      <w:pPr>
        <w:rPr>
          <w:rFonts w:ascii="Calibri" w:hAnsi="Calibri" w:cs="Calibri"/>
          <w:color w:val="2E74B5"/>
          <w:szCs w:val="24"/>
        </w:rPr>
      </w:pPr>
      <w:bookmarkStart w:id="1" w:name="_Toc142564347"/>
      <w:r>
        <w:rPr>
          <w:rFonts w:ascii="Calibri" w:hAnsi="Calibri" w:cs="Calibri"/>
          <w:color w:val="2E74B5"/>
          <w:szCs w:val="24"/>
        </w:rPr>
        <w:br w:type="page"/>
      </w:r>
    </w:p>
    <w:p w:rsidR="00C9655F" w:rsidRPr="00C9655F" w:rsidRDefault="00C9655F" w:rsidP="00C9655F">
      <w:pPr>
        <w:keepNext/>
        <w:keepLines/>
        <w:spacing w:before="240" w:line="259" w:lineRule="auto"/>
        <w:outlineLvl w:val="0"/>
        <w:rPr>
          <w:rFonts w:ascii="Calibri" w:hAnsi="Calibri" w:cs="Calibri"/>
          <w:color w:val="2E74B5"/>
          <w:szCs w:val="24"/>
        </w:rPr>
      </w:pPr>
      <w:r w:rsidRPr="00C9655F">
        <w:rPr>
          <w:rFonts w:ascii="Calibri" w:hAnsi="Calibri" w:cs="Calibri"/>
          <w:color w:val="2E74B5"/>
          <w:szCs w:val="24"/>
        </w:rPr>
        <w:lastRenderedPageBreak/>
        <w:t>Annex 1: Verification Protocol Table</w:t>
      </w:r>
      <w:bookmarkEnd w:id="1"/>
      <w:r>
        <w:rPr>
          <w:rFonts w:ascii="Calibri" w:hAnsi="Calibri" w:cs="Calibri"/>
          <w:color w:val="2E74B5"/>
          <w:szCs w:val="24"/>
        </w:rPr>
        <w:t xml:space="preserve"> for DLI 1</w:t>
      </w:r>
    </w:p>
    <w:tbl>
      <w:tblPr>
        <w:tblStyle w:val="TableGrid222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0"/>
      </w:tblGrid>
      <w:tr w:rsidR="00C9655F" w:rsidRPr="00C9655F" w:rsidTr="007C3179">
        <w:trPr>
          <w:trHeight w:val="432"/>
        </w:trPr>
        <w:tc>
          <w:tcPr>
            <w:tcW w:w="5000" w:type="pct"/>
            <w:tcBorders>
              <w:top w:val="single" w:sz="4" w:space="0" w:color="D9D9D9"/>
              <w:left w:val="single" w:sz="4" w:space="0" w:color="D9D9D9"/>
              <w:bottom w:val="single" w:sz="4" w:space="0" w:color="D9D9D9"/>
              <w:right w:val="single" w:sz="4" w:space="0" w:color="D9D9D9"/>
            </w:tcBorders>
            <w:shd w:val="clear" w:color="auto" w:fill="DEEAF6"/>
            <w:vAlign w:val="center"/>
            <w:hideMark/>
          </w:tcPr>
          <w:p w:rsidR="00C9655F" w:rsidRPr="00C9655F" w:rsidRDefault="00C9655F" w:rsidP="00C9655F">
            <w:pPr>
              <w:keepNext/>
              <w:widowControl w:val="0"/>
              <w:autoSpaceDE w:val="0"/>
              <w:autoSpaceDN w:val="0"/>
              <w:adjustRightInd w:val="0"/>
              <w:ind w:right="-418"/>
              <w:jc w:val="center"/>
              <w:rPr>
                <w:rFonts w:ascii="Arial" w:eastAsia="Times New Roman" w:hAnsi="Arial" w:cs="Arial"/>
                <w:b/>
                <w:bCs/>
                <w:color w:val="172D5F"/>
                <w:sz w:val="22"/>
              </w:rPr>
            </w:pPr>
            <w:r w:rsidRPr="00C9655F">
              <w:rPr>
                <w:b/>
                <w:color w:val="002060"/>
                <w:sz w:val="22"/>
              </w:rPr>
              <w:t>Verification Protocol Table: Disbursement Linked Indicators</w:t>
            </w:r>
          </w:p>
        </w:tc>
      </w:tr>
    </w:tbl>
    <w:p w:rsidR="00C9655F" w:rsidRPr="00C9655F" w:rsidRDefault="00C9655F" w:rsidP="00C9655F">
      <w:pPr>
        <w:widowControl w:val="0"/>
        <w:shd w:val="clear" w:color="auto" w:fill="F7F7F7"/>
        <w:autoSpaceDE w:val="0"/>
        <w:autoSpaceDN w:val="0"/>
        <w:adjustRightInd w:val="0"/>
        <w:spacing w:line="14" w:lineRule="exact"/>
        <w:ind w:left="-547" w:right="-562"/>
        <w:rPr>
          <w:rFonts w:ascii="Calibri" w:hAnsi="Calibri" w:cs="Arial"/>
          <w:b/>
          <w:bCs/>
          <w:sz w:val="22"/>
          <w:szCs w:val="22"/>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7F7F7"/>
        <w:tblLayout w:type="fixed"/>
        <w:tblCellMar>
          <w:left w:w="115" w:type="dxa"/>
          <w:right w:w="115" w:type="dxa"/>
        </w:tblCellMar>
        <w:tblLook w:val="04A0" w:firstRow="1" w:lastRow="0" w:firstColumn="1" w:lastColumn="0" w:noHBand="0" w:noVBand="1"/>
      </w:tblPr>
      <w:tblGrid>
        <w:gridCol w:w="1848"/>
        <w:gridCol w:w="7512"/>
      </w:tblGrid>
      <w:tr w:rsidR="00C9655F" w:rsidRPr="00C9655F" w:rsidTr="007C3179">
        <w:trPr>
          <w:trHeight w:val="20"/>
        </w:trPr>
        <w:tc>
          <w:tcPr>
            <w:tcW w:w="987" w:type="pct"/>
            <w:tcBorders>
              <w:top w:val="nil"/>
              <w:left w:val="nil"/>
              <w:bottom w:val="single" w:sz="4" w:space="0" w:color="D9D9D9"/>
              <w:right w:val="nil"/>
            </w:tcBorders>
            <w:shd w:val="clear" w:color="auto" w:fill="DEEAF6"/>
            <w:vAlign w:val="center"/>
            <w:hideMark/>
          </w:tcPr>
          <w:p w:rsidR="00C9655F" w:rsidRPr="00C9655F" w:rsidRDefault="00C9655F" w:rsidP="00C9655F">
            <w:pPr>
              <w:keepNext/>
              <w:widowControl w:val="0"/>
              <w:autoSpaceDE w:val="0"/>
              <w:autoSpaceDN w:val="0"/>
              <w:adjustRightInd w:val="0"/>
              <w:spacing w:line="14" w:lineRule="exact"/>
              <w:ind w:left="90"/>
              <w:rPr>
                <w:rFonts w:ascii="Calibri" w:hAnsi="Calibri" w:cs="Arial"/>
                <w:b/>
                <w:bCs/>
                <w:color w:val="404040"/>
                <w:sz w:val="20"/>
              </w:rPr>
            </w:pPr>
            <w:r w:rsidRPr="00C9655F">
              <w:rPr>
                <w:rFonts w:ascii="Calibri" w:hAnsi="Calibri" w:cs="Arial"/>
                <w:b/>
                <w:bCs/>
                <w:color w:val="DEEAF7"/>
                <w:sz w:val="20"/>
              </w:rPr>
              <w:t>DLI_TBL_VERIFICATION</w:t>
            </w:r>
          </w:p>
        </w:tc>
        <w:tc>
          <w:tcPr>
            <w:tcW w:w="4013" w:type="pct"/>
            <w:tcBorders>
              <w:top w:val="nil"/>
              <w:left w:val="nil"/>
              <w:bottom w:val="single" w:sz="4" w:space="0" w:color="D9D9D9"/>
              <w:right w:val="nil"/>
            </w:tcBorders>
            <w:shd w:val="clear" w:color="auto" w:fill="DEEAF6"/>
            <w:vAlign w:val="center"/>
          </w:tcPr>
          <w:p w:rsidR="00C9655F" w:rsidRPr="00C9655F" w:rsidRDefault="00C9655F" w:rsidP="00C9655F">
            <w:pPr>
              <w:keepNext/>
              <w:widowControl w:val="0"/>
              <w:autoSpaceDE w:val="0"/>
              <w:autoSpaceDN w:val="0"/>
              <w:adjustRightInd w:val="0"/>
              <w:spacing w:line="14" w:lineRule="exact"/>
              <w:ind w:left="78" w:right="85"/>
              <w:rPr>
                <w:rFonts w:ascii="Calibri" w:hAnsi="Calibri" w:cs="Arial"/>
                <w:color w:val="000000"/>
                <w:sz w:val="20"/>
              </w:rPr>
            </w:pPr>
          </w:p>
        </w:tc>
      </w:tr>
      <w:tr w:rsidR="00C9655F" w:rsidRPr="00C9655F" w:rsidTr="007C3179">
        <w:trPr>
          <w:trHeight w:val="432"/>
        </w:trPr>
        <w:tc>
          <w:tcPr>
            <w:tcW w:w="987" w:type="pct"/>
            <w:tcBorders>
              <w:top w:val="single" w:sz="4" w:space="0" w:color="D9D9D9"/>
              <w:left w:val="single" w:sz="4" w:space="0" w:color="D9D9D9"/>
              <w:bottom w:val="single" w:sz="4" w:space="0" w:color="D9D9D9"/>
              <w:right w:val="single" w:sz="4" w:space="0" w:color="D9D9D9"/>
            </w:tcBorders>
            <w:shd w:val="clear" w:color="auto" w:fill="DEEAF6"/>
            <w:vAlign w:val="center"/>
            <w:hideMark/>
          </w:tcPr>
          <w:p w:rsidR="00C9655F" w:rsidRPr="00C9655F" w:rsidRDefault="00C9655F" w:rsidP="00C9655F">
            <w:pPr>
              <w:keepNext/>
              <w:widowControl w:val="0"/>
              <w:autoSpaceDE w:val="0"/>
              <w:autoSpaceDN w:val="0"/>
              <w:adjustRightInd w:val="0"/>
              <w:spacing w:line="256" w:lineRule="auto"/>
              <w:ind w:left="90"/>
              <w:rPr>
                <w:rFonts w:ascii="Calibri" w:hAnsi="Calibri" w:cs="Arial"/>
                <w:b/>
                <w:bCs/>
                <w:color w:val="404040"/>
                <w:sz w:val="20"/>
              </w:rPr>
            </w:pPr>
            <w:r w:rsidRPr="00C9655F">
              <w:rPr>
                <w:rFonts w:ascii="Calibri" w:hAnsi="Calibri" w:cs="Arial"/>
                <w:b/>
                <w:bCs/>
                <w:color w:val="404040"/>
                <w:sz w:val="20"/>
              </w:rPr>
              <w:t xml:space="preserve">DLI </w:t>
            </w:r>
            <w:r w:rsidRPr="00C9655F">
              <w:rPr>
                <w:rFonts w:ascii="Calibri" w:hAnsi="Calibri" w:cs="Arial"/>
                <w:b/>
                <w:bCs/>
                <w:noProof/>
                <w:color w:val="404040"/>
                <w:sz w:val="20"/>
              </w:rPr>
              <w:t>1</w:t>
            </w:r>
          </w:p>
        </w:tc>
        <w:tc>
          <w:tcPr>
            <w:tcW w:w="4013" w:type="pct"/>
            <w:tcBorders>
              <w:top w:val="single" w:sz="4" w:space="0" w:color="D9D9D9"/>
              <w:left w:val="single" w:sz="4" w:space="0" w:color="D9D9D9"/>
              <w:bottom w:val="single" w:sz="4" w:space="0" w:color="D9D9D9"/>
              <w:right w:val="single" w:sz="4" w:space="0" w:color="D9D9D9"/>
            </w:tcBorders>
            <w:shd w:val="clear" w:color="auto" w:fill="DEEAF6"/>
            <w:vAlign w:val="center"/>
            <w:hideMark/>
          </w:tcPr>
          <w:p w:rsidR="00C9655F" w:rsidRPr="00C9655F" w:rsidRDefault="00C9655F" w:rsidP="00C9655F">
            <w:pPr>
              <w:keepNext/>
              <w:widowControl w:val="0"/>
              <w:autoSpaceDE w:val="0"/>
              <w:autoSpaceDN w:val="0"/>
              <w:adjustRightInd w:val="0"/>
              <w:spacing w:line="256" w:lineRule="auto"/>
              <w:ind w:right="85"/>
              <w:rPr>
                <w:rFonts w:ascii="Arial" w:hAnsi="Arial" w:cs="Arial"/>
                <w:b/>
                <w:color w:val="000000"/>
                <w:sz w:val="20"/>
              </w:rPr>
            </w:pPr>
            <w:r w:rsidRPr="00C9655F">
              <w:rPr>
                <w:rFonts w:ascii="Calibri" w:eastAsia="Calibri" w:hAnsi="Calibri"/>
                <w:b/>
                <w:sz w:val="20"/>
              </w:rPr>
              <w:t>Green and climate aspects are integrated into PPDs and the links between PPDs and budgets are strengthened</w:t>
            </w:r>
          </w:p>
        </w:tc>
      </w:tr>
      <w:tr w:rsidR="00C9655F" w:rsidRPr="00C9655F" w:rsidTr="007C3179">
        <w:trPr>
          <w:trHeight w:val="432"/>
        </w:trPr>
        <w:tc>
          <w:tcPr>
            <w:tcW w:w="98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line="256" w:lineRule="auto"/>
              <w:ind w:left="90"/>
              <w:rPr>
                <w:rFonts w:ascii="Calibri" w:hAnsi="Calibri" w:cs="Arial"/>
                <w:b/>
                <w:bCs/>
                <w:color w:val="404040"/>
                <w:sz w:val="20"/>
              </w:rPr>
            </w:pPr>
            <w:r w:rsidRPr="00C9655F">
              <w:rPr>
                <w:rFonts w:ascii="Calibri" w:hAnsi="Calibri" w:cs="Arial"/>
                <w:b/>
                <w:bCs/>
                <w:color w:val="404040"/>
                <w:sz w:val="20"/>
              </w:rPr>
              <w:t>Description</w:t>
            </w:r>
          </w:p>
        </w:tc>
        <w:tc>
          <w:tcPr>
            <w:tcW w:w="4013"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line="254" w:lineRule="auto"/>
              <w:rPr>
                <w:rFonts w:ascii="Arial" w:eastAsia="Calibri" w:hAnsi="Arial" w:cs="Arial"/>
                <w:color w:val="000000"/>
                <w:sz w:val="20"/>
              </w:rPr>
            </w:pPr>
            <w:r w:rsidRPr="00C9655F">
              <w:rPr>
                <w:rFonts w:ascii="Calibri" w:eastAsia="Calibri" w:hAnsi="Calibri"/>
                <w:sz w:val="20"/>
              </w:rPr>
              <w:t>PPS advises on PPDs and monitors their quality, including cost information and performance indicators and ensuring that cross-cutting policy priorities such as environment and climate change are included. This is an important basis for subsequent steps in the expenditure cycle and prioritizing expenditures in annual budgets.</w:t>
            </w:r>
          </w:p>
        </w:tc>
      </w:tr>
      <w:tr w:rsidR="00C9655F" w:rsidRPr="00C9655F" w:rsidTr="007C3179">
        <w:trPr>
          <w:trHeight w:val="432"/>
        </w:trPr>
        <w:tc>
          <w:tcPr>
            <w:tcW w:w="98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line="256" w:lineRule="auto"/>
              <w:ind w:left="90"/>
              <w:rPr>
                <w:rFonts w:ascii="Calibri" w:hAnsi="Calibri" w:cs="Arial"/>
                <w:b/>
                <w:bCs/>
                <w:color w:val="404040"/>
                <w:sz w:val="20"/>
              </w:rPr>
            </w:pPr>
            <w:r w:rsidRPr="00C9655F">
              <w:rPr>
                <w:rFonts w:ascii="Calibri" w:hAnsi="Calibri" w:cs="Arial"/>
                <w:b/>
                <w:bCs/>
                <w:color w:val="404040"/>
                <w:sz w:val="20"/>
              </w:rPr>
              <w:t>Data source/ Agency</w:t>
            </w:r>
          </w:p>
        </w:tc>
        <w:tc>
          <w:tcPr>
            <w:tcW w:w="4013"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line="254" w:lineRule="auto"/>
              <w:rPr>
                <w:rFonts w:ascii="Arial" w:eastAsia="Calibri" w:hAnsi="Arial" w:cs="Arial"/>
                <w:b/>
                <w:color w:val="000000"/>
                <w:sz w:val="20"/>
              </w:rPr>
            </w:pPr>
            <w:r w:rsidRPr="00C9655F">
              <w:rPr>
                <w:rFonts w:ascii="Calibri" w:hAnsi="Calibri" w:cs="Arial"/>
                <w:noProof/>
                <w:color w:val="000000"/>
                <w:sz w:val="20"/>
              </w:rPr>
              <w:t>PPS</w:t>
            </w:r>
          </w:p>
        </w:tc>
      </w:tr>
      <w:tr w:rsidR="00C9655F" w:rsidRPr="00C9655F" w:rsidTr="007C3179">
        <w:trPr>
          <w:trHeight w:val="432"/>
        </w:trPr>
        <w:tc>
          <w:tcPr>
            <w:tcW w:w="987" w:type="pct"/>
            <w:tcBorders>
              <w:top w:val="single" w:sz="4" w:space="0" w:color="D9D9D9"/>
              <w:left w:val="single" w:sz="4" w:space="0" w:color="D9D9D9"/>
              <w:bottom w:val="single" w:sz="4" w:space="0" w:color="D9D9D9"/>
              <w:right w:val="single" w:sz="4" w:space="0" w:color="D9D9D9"/>
            </w:tcBorders>
            <w:shd w:val="clear" w:color="auto" w:fill="F2F2F2"/>
            <w:vAlign w:val="center"/>
          </w:tcPr>
          <w:p w:rsidR="00C9655F" w:rsidRPr="00C9655F" w:rsidRDefault="00C9655F" w:rsidP="00C9655F">
            <w:pPr>
              <w:widowControl w:val="0"/>
              <w:autoSpaceDE w:val="0"/>
              <w:autoSpaceDN w:val="0"/>
              <w:adjustRightInd w:val="0"/>
              <w:spacing w:line="256" w:lineRule="auto"/>
              <w:ind w:left="90"/>
              <w:rPr>
                <w:rFonts w:ascii="Calibri" w:hAnsi="Calibri" w:cs="Arial"/>
                <w:b/>
                <w:bCs/>
                <w:color w:val="404040"/>
                <w:sz w:val="20"/>
              </w:rPr>
            </w:pPr>
            <w:r w:rsidRPr="00C9655F">
              <w:rPr>
                <w:rFonts w:ascii="Calibri" w:hAnsi="Calibri" w:cs="Arial"/>
                <w:b/>
                <w:bCs/>
                <w:color w:val="404040"/>
                <w:sz w:val="20"/>
              </w:rPr>
              <w:t>Name of focal point:</w:t>
            </w:r>
          </w:p>
        </w:tc>
        <w:tc>
          <w:tcPr>
            <w:tcW w:w="4013" w:type="pct"/>
            <w:tcBorders>
              <w:top w:val="single" w:sz="4" w:space="0" w:color="D9D9D9"/>
              <w:left w:val="single" w:sz="4" w:space="0" w:color="D9D9D9"/>
              <w:bottom w:val="single" w:sz="4" w:space="0" w:color="D9D9D9"/>
              <w:right w:val="single" w:sz="4" w:space="0" w:color="D9D9D9"/>
            </w:tcBorders>
            <w:shd w:val="clear" w:color="auto" w:fill="F2F2F2"/>
            <w:vAlign w:val="center"/>
          </w:tcPr>
          <w:p w:rsidR="00C9655F" w:rsidRPr="00C9655F" w:rsidRDefault="00C9655F" w:rsidP="00C9655F">
            <w:pPr>
              <w:widowControl w:val="0"/>
              <w:autoSpaceDE w:val="0"/>
              <w:autoSpaceDN w:val="0"/>
              <w:adjustRightInd w:val="0"/>
              <w:spacing w:line="254" w:lineRule="auto"/>
              <w:rPr>
                <w:rFonts w:ascii="Calibri" w:hAnsi="Calibri" w:cs="Arial"/>
                <w:noProof/>
                <w:color w:val="000000"/>
                <w:sz w:val="20"/>
                <w:lang w:val="sr-Latn-RS"/>
              </w:rPr>
            </w:pPr>
            <w:r w:rsidRPr="00C9655F">
              <w:rPr>
                <w:rFonts w:ascii="Calibri" w:hAnsi="Calibri" w:cs="Arial"/>
                <w:noProof/>
                <w:color w:val="000000"/>
                <w:sz w:val="20"/>
              </w:rPr>
              <w:t>Darinka Radojevi</w:t>
            </w:r>
            <w:r w:rsidRPr="00C9655F">
              <w:rPr>
                <w:rFonts w:ascii="Calibri" w:hAnsi="Calibri" w:cs="Arial"/>
                <w:noProof/>
                <w:color w:val="000000"/>
                <w:sz w:val="20"/>
                <w:lang w:val="sr-Latn-RS"/>
              </w:rPr>
              <w:t>ć</w:t>
            </w:r>
          </w:p>
        </w:tc>
      </w:tr>
      <w:tr w:rsidR="00C9655F" w:rsidRPr="00C9655F" w:rsidTr="007C3179">
        <w:trPr>
          <w:trHeight w:val="432"/>
        </w:trPr>
        <w:tc>
          <w:tcPr>
            <w:tcW w:w="98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line="256" w:lineRule="auto"/>
              <w:ind w:left="90"/>
              <w:rPr>
                <w:rFonts w:ascii="Calibri" w:hAnsi="Calibri" w:cs="Arial"/>
                <w:b/>
                <w:bCs/>
                <w:color w:val="404040"/>
                <w:sz w:val="20"/>
              </w:rPr>
            </w:pPr>
            <w:r w:rsidRPr="00C9655F">
              <w:rPr>
                <w:rFonts w:ascii="Calibri" w:hAnsi="Calibri" w:cs="Arial"/>
                <w:b/>
                <w:bCs/>
                <w:color w:val="404040"/>
                <w:sz w:val="20"/>
              </w:rPr>
              <w:t>Verification Entity</w:t>
            </w:r>
          </w:p>
        </w:tc>
        <w:tc>
          <w:tcPr>
            <w:tcW w:w="4013"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line="254" w:lineRule="auto"/>
              <w:rPr>
                <w:rFonts w:ascii="Arial" w:eastAsia="Calibri" w:hAnsi="Arial" w:cs="Arial"/>
                <w:color w:val="000000"/>
                <w:sz w:val="20"/>
              </w:rPr>
            </w:pPr>
            <w:r w:rsidRPr="00C9655F">
              <w:rPr>
                <w:rFonts w:ascii="Calibri" w:eastAsia="Calibri" w:hAnsi="Calibri"/>
                <w:noProof/>
                <w:color w:val="000000"/>
                <w:sz w:val="20"/>
              </w:rPr>
              <w:t xml:space="preserve">IVA to be contracted, </w:t>
            </w:r>
            <w:r w:rsidRPr="00C9655F">
              <w:rPr>
                <w:rFonts w:ascii="Calibri" w:hAnsi="Calibri" w:cs="Arial"/>
                <w:bCs/>
                <w:color w:val="404040"/>
                <w:sz w:val="20"/>
              </w:rPr>
              <w:t>Verification to be completed</w:t>
            </w:r>
            <w:r w:rsidRPr="00C9655F">
              <w:rPr>
                <w:rFonts w:ascii="Calibri" w:hAnsi="Calibri" w:cs="Arial"/>
                <w:b/>
                <w:bCs/>
                <w:color w:val="404040"/>
                <w:sz w:val="20"/>
              </w:rPr>
              <w:t xml:space="preserve"> </w:t>
            </w:r>
            <w:r w:rsidRPr="00C9655F">
              <w:rPr>
                <w:rFonts w:ascii="Calibri" w:hAnsi="Calibri" w:cs="Arial"/>
                <w:bCs/>
                <w:color w:val="404040"/>
                <w:sz w:val="20"/>
              </w:rPr>
              <w:t>w</w:t>
            </w:r>
            <w:r w:rsidRPr="00C9655F">
              <w:rPr>
                <w:rFonts w:ascii="Calibri" w:eastAsia="Calibri" w:hAnsi="Calibri"/>
                <w:sz w:val="20"/>
              </w:rPr>
              <w:t>ithin 30 days upon submission of complete set of documents from OCU</w:t>
            </w:r>
          </w:p>
        </w:tc>
      </w:tr>
      <w:tr w:rsidR="00C9655F" w:rsidRPr="00C9655F" w:rsidTr="007C3179">
        <w:trPr>
          <w:trHeight w:val="432"/>
        </w:trPr>
        <w:tc>
          <w:tcPr>
            <w:tcW w:w="98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line="256" w:lineRule="auto"/>
              <w:ind w:left="90"/>
              <w:rPr>
                <w:rFonts w:ascii="Arial" w:hAnsi="Arial" w:cs="Arial"/>
                <w:b/>
                <w:bCs/>
                <w:color w:val="404040"/>
                <w:sz w:val="20"/>
              </w:rPr>
            </w:pPr>
            <w:r w:rsidRPr="00C9655F">
              <w:rPr>
                <w:rFonts w:ascii="Calibri" w:hAnsi="Calibri" w:cs="Arial"/>
                <w:b/>
                <w:bCs/>
                <w:color w:val="404040"/>
                <w:sz w:val="20"/>
              </w:rPr>
              <w:t>Procedure</w:t>
            </w:r>
          </w:p>
        </w:tc>
        <w:tc>
          <w:tcPr>
            <w:tcW w:w="4013"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line="254" w:lineRule="auto"/>
              <w:rPr>
                <w:rFonts w:ascii="Calibri" w:eastAsia="Calibri" w:hAnsi="Calibri"/>
                <w:b/>
                <w:sz w:val="20"/>
              </w:rPr>
            </w:pPr>
            <w:r w:rsidRPr="00C9655F">
              <w:rPr>
                <w:rFonts w:ascii="Calibri" w:eastAsia="Calibri" w:hAnsi="Calibri"/>
                <w:b/>
                <w:sz w:val="20"/>
              </w:rPr>
              <w:t xml:space="preserve">Verification: </w:t>
            </w:r>
          </w:p>
          <w:p w:rsidR="00C9655F" w:rsidRPr="00C9655F" w:rsidRDefault="00C9655F" w:rsidP="00C9655F">
            <w:pPr>
              <w:widowControl w:val="0"/>
              <w:autoSpaceDE w:val="0"/>
              <w:autoSpaceDN w:val="0"/>
              <w:adjustRightInd w:val="0"/>
              <w:spacing w:line="254" w:lineRule="auto"/>
              <w:rPr>
                <w:rFonts w:ascii="Calibri" w:eastAsia="Calibri" w:hAnsi="Calibri"/>
                <w:sz w:val="20"/>
              </w:rPr>
            </w:pPr>
            <w:r w:rsidRPr="00C9655F">
              <w:rPr>
                <w:rFonts w:ascii="Calibri" w:eastAsia="Calibri" w:hAnsi="Calibri"/>
                <w:sz w:val="20"/>
              </w:rPr>
              <w:t xml:space="preserve">For DLR 1.1: Guidelines on inclusion of green aspects into PPDs are prepared and approved by PPS and published on its web site. </w:t>
            </w:r>
          </w:p>
          <w:p w:rsidR="00C9655F" w:rsidRPr="00C9655F" w:rsidRDefault="00C9655F" w:rsidP="00C9655F">
            <w:pPr>
              <w:widowControl w:val="0"/>
              <w:autoSpaceDE w:val="0"/>
              <w:autoSpaceDN w:val="0"/>
              <w:adjustRightInd w:val="0"/>
              <w:spacing w:line="254" w:lineRule="auto"/>
              <w:rPr>
                <w:rFonts w:ascii="Calibri" w:eastAsia="Calibri" w:hAnsi="Calibri"/>
                <w:sz w:val="20"/>
              </w:rPr>
            </w:pPr>
            <w:r w:rsidRPr="00C9655F">
              <w:rPr>
                <w:rFonts w:ascii="Calibri" w:eastAsia="Calibri" w:hAnsi="Calibri"/>
                <w:sz w:val="20"/>
              </w:rPr>
              <w:t xml:space="preserve">The adoption of those Guidelines has been conditioned by the amendments to the “Regulation on the Methodology of Public Policies Management, Analysis of the Effects of Public Policies and Regulations, and the Content of Individual Public Policy Documents”, and in line with the Law on Strategic Environmental Impact Assessment. </w:t>
            </w:r>
          </w:p>
          <w:p w:rsidR="00C9655F" w:rsidRPr="00C9655F" w:rsidRDefault="00C9655F" w:rsidP="00C9655F">
            <w:pPr>
              <w:widowControl w:val="0"/>
              <w:autoSpaceDE w:val="0"/>
              <w:autoSpaceDN w:val="0"/>
              <w:adjustRightInd w:val="0"/>
              <w:spacing w:line="254" w:lineRule="auto"/>
              <w:rPr>
                <w:rFonts w:ascii="Calibri" w:eastAsia="Calibri" w:hAnsi="Calibri"/>
                <w:sz w:val="20"/>
              </w:rPr>
            </w:pPr>
            <w:r w:rsidRPr="00C9655F">
              <w:rPr>
                <w:rFonts w:ascii="Calibri" w:eastAsia="Calibri" w:hAnsi="Calibri"/>
                <w:sz w:val="20"/>
              </w:rPr>
              <w:t xml:space="preserve">For DLR 1.2: Confirmation of the number of PPDs adopted during the course of 2025 that were adopted pursuant to the PPS’s Guidelines and the planning system cost calculation methodology. Calculation of the percentage of newly adopted PPDs meeting both requirements. Assessment of the indicator will be completed by the contracted IVA. </w:t>
            </w:r>
          </w:p>
          <w:p w:rsidR="00C9655F" w:rsidRPr="00C9655F" w:rsidRDefault="00C9655F" w:rsidP="00C9655F">
            <w:pPr>
              <w:widowControl w:val="0"/>
              <w:autoSpaceDE w:val="0"/>
              <w:autoSpaceDN w:val="0"/>
              <w:adjustRightInd w:val="0"/>
              <w:spacing w:line="254" w:lineRule="auto"/>
              <w:rPr>
                <w:rFonts w:ascii="Calibri" w:eastAsia="Calibri" w:hAnsi="Calibri"/>
                <w:sz w:val="20"/>
              </w:rPr>
            </w:pPr>
            <w:r w:rsidRPr="00C9655F">
              <w:rPr>
                <w:rFonts w:ascii="Calibri" w:eastAsia="Calibri" w:hAnsi="Calibri" w:cs="Calibri"/>
                <w:color w:val="000000"/>
                <w:sz w:val="20"/>
              </w:rPr>
              <w:t>Further details be set out in the OIM as needed.</w:t>
            </w:r>
          </w:p>
          <w:p w:rsidR="00C9655F" w:rsidRPr="00C9655F" w:rsidRDefault="00C9655F" w:rsidP="00C9655F">
            <w:pPr>
              <w:widowControl w:val="0"/>
              <w:autoSpaceDE w:val="0"/>
              <w:autoSpaceDN w:val="0"/>
              <w:adjustRightInd w:val="0"/>
              <w:spacing w:line="254" w:lineRule="auto"/>
              <w:rPr>
                <w:rFonts w:ascii="Calibri" w:eastAsia="Calibri" w:hAnsi="Calibri"/>
                <w:b/>
                <w:sz w:val="20"/>
              </w:rPr>
            </w:pPr>
            <w:r w:rsidRPr="00C9655F">
              <w:rPr>
                <w:rFonts w:ascii="Calibri" w:eastAsia="Calibri" w:hAnsi="Calibri"/>
                <w:b/>
                <w:sz w:val="20"/>
              </w:rPr>
              <w:t xml:space="preserve">Disbursement: </w:t>
            </w:r>
          </w:p>
          <w:p w:rsidR="00C9655F" w:rsidRPr="00C9655F" w:rsidRDefault="00C9655F" w:rsidP="00C9655F">
            <w:pPr>
              <w:widowControl w:val="0"/>
              <w:autoSpaceDE w:val="0"/>
              <w:autoSpaceDN w:val="0"/>
              <w:adjustRightInd w:val="0"/>
              <w:spacing w:line="254" w:lineRule="auto"/>
              <w:rPr>
                <w:rFonts w:ascii="Calibri" w:eastAsia="Calibri" w:hAnsi="Calibri"/>
                <w:sz w:val="20"/>
              </w:rPr>
            </w:pPr>
            <w:r w:rsidRPr="00C9655F">
              <w:rPr>
                <w:rFonts w:ascii="Calibri" w:eastAsia="Calibri" w:hAnsi="Calibri"/>
                <w:sz w:val="20"/>
              </w:rPr>
              <w:t xml:space="preserve">For DLR 1.1: Upon verification of the publication of Guidelines on the PPS’s web-site. </w:t>
            </w:r>
          </w:p>
          <w:p w:rsidR="00C9655F" w:rsidRPr="00C9655F" w:rsidRDefault="00C9655F" w:rsidP="00C9655F">
            <w:pPr>
              <w:widowControl w:val="0"/>
              <w:autoSpaceDE w:val="0"/>
              <w:autoSpaceDN w:val="0"/>
              <w:adjustRightInd w:val="0"/>
              <w:spacing w:line="254" w:lineRule="auto"/>
              <w:rPr>
                <w:rFonts w:ascii="Calibri" w:eastAsia="Calibri" w:hAnsi="Calibri"/>
                <w:sz w:val="20"/>
              </w:rPr>
            </w:pPr>
            <w:r w:rsidRPr="00C9655F">
              <w:rPr>
                <w:rFonts w:ascii="Calibri" w:eastAsia="Calibri" w:hAnsi="Calibri"/>
                <w:sz w:val="20"/>
              </w:rPr>
              <w:t xml:space="preserve">For DLR 1.2: Upon verification of report providing evidence of the share of PPDs that used the Guidelines developed in year 1 and the planning system cost calculation methodology. </w:t>
            </w:r>
          </w:p>
          <w:p w:rsidR="00C9655F" w:rsidRPr="00C9655F" w:rsidRDefault="00C9655F" w:rsidP="00C9655F">
            <w:pPr>
              <w:widowControl w:val="0"/>
              <w:autoSpaceDE w:val="0"/>
              <w:autoSpaceDN w:val="0"/>
              <w:adjustRightInd w:val="0"/>
              <w:spacing w:line="254" w:lineRule="auto"/>
              <w:rPr>
                <w:rFonts w:ascii="Arial" w:eastAsia="Calibri" w:hAnsi="Arial" w:cs="Arial"/>
                <w:b/>
                <w:color w:val="000000"/>
                <w:sz w:val="20"/>
              </w:rPr>
            </w:pPr>
            <w:r w:rsidRPr="00C9655F">
              <w:rPr>
                <w:rFonts w:ascii="Calibri" w:eastAsia="Calibri" w:hAnsi="Calibri"/>
                <w:sz w:val="20"/>
              </w:rPr>
              <w:t xml:space="preserve">The target is 50 percent. Disbursements to follow a scaling approach (EUR500,000 for every 10 percent points of PPDs meeting the criteria - up to EUR2.5 million for 50 percent compliance or higher). </w:t>
            </w:r>
          </w:p>
        </w:tc>
      </w:tr>
      <w:tr w:rsidR="00C9655F" w:rsidRPr="00C9655F" w:rsidTr="007C3179">
        <w:trPr>
          <w:trHeight w:val="432"/>
        </w:trPr>
        <w:tc>
          <w:tcPr>
            <w:tcW w:w="987"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line="256" w:lineRule="auto"/>
              <w:ind w:left="90"/>
              <w:rPr>
                <w:rFonts w:ascii="Calibri" w:hAnsi="Calibri" w:cs="Arial"/>
                <w:b/>
                <w:bCs/>
                <w:color w:val="404040"/>
                <w:sz w:val="20"/>
              </w:rPr>
            </w:pPr>
            <w:r w:rsidRPr="00C9655F">
              <w:rPr>
                <w:rFonts w:ascii="Calibri" w:hAnsi="Calibri" w:cs="Arial"/>
                <w:b/>
                <w:bCs/>
                <w:color w:val="404040"/>
                <w:sz w:val="20"/>
              </w:rPr>
              <w:t>Verification documents</w:t>
            </w:r>
          </w:p>
        </w:tc>
        <w:tc>
          <w:tcPr>
            <w:tcW w:w="4013" w:type="pct"/>
            <w:tcBorders>
              <w:top w:val="single" w:sz="4" w:space="0" w:color="D9D9D9"/>
              <w:left w:val="single" w:sz="4" w:space="0" w:color="D9D9D9"/>
              <w:bottom w:val="single" w:sz="4" w:space="0" w:color="D9D9D9"/>
              <w:right w:val="single" w:sz="4" w:space="0" w:color="D9D9D9"/>
            </w:tcBorders>
            <w:shd w:val="clear" w:color="auto" w:fill="F2F2F2"/>
            <w:vAlign w:val="center"/>
            <w:hideMark/>
          </w:tcPr>
          <w:p w:rsidR="00C9655F" w:rsidRPr="00C9655F" w:rsidRDefault="00C9655F" w:rsidP="00C9655F">
            <w:pPr>
              <w:widowControl w:val="0"/>
              <w:autoSpaceDE w:val="0"/>
              <w:autoSpaceDN w:val="0"/>
              <w:adjustRightInd w:val="0"/>
              <w:spacing w:after="120" w:line="254" w:lineRule="auto"/>
              <w:rPr>
                <w:rFonts w:ascii="Calibri" w:eastAsia="Calibri" w:hAnsi="Calibri"/>
                <w:sz w:val="20"/>
              </w:rPr>
            </w:pPr>
            <w:r w:rsidRPr="00C9655F">
              <w:rPr>
                <w:rFonts w:ascii="Calibri" w:eastAsia="Calibri" w:hAnsi="Calibri"/>
                <w:sz w:val="20"/>
              </w:rPr>
              <w:t xml:space="preserve">For DLR 1.1: 1. Letter from the </w:t>
            </w:r>
            <w:proofErr w:type="spellStart"/>
            <w:r w:rsidRPr="00C9655F">
              <w:rPr>
                <w:rFonts w:ascii="Calibri" w:eastAsia="Calibri" w:hAnsi="Calibri"/>
                <w:sz w:val="20"/>
              </w:rPr>
              <w:t>MoF’s</w:t>
            </w:r>
            <w:proofErr w:type="spellEnd"/>
            <w:r w:rsidRPr="00C9655F">
              <w:rPr>
                <w:rFonts w:ascii="Calibri" w:eastAsia="Calibri" w:hAnsi="Calibri"/>
                <w:sz w:val="20"/>
              </w:rPr>
              <w:t xml:space="preserve"> OCU with the institution’s report on achieving DLR and accompanying documentation; 2. Guidelines on inclusion of Green Aspects into PPDs; 3. Link to the PPS website where this document is located.</w:t>
            </w:r>
          </w:p>
          <w:p w:rsidR="00C9655F" w:rsidRPr="00C9655F" w:rsidRDefault="00C9655F" w:rsidP="00C9655F">
            <w:pPr>
              <w:widowControl w:val="0"/>
              <w:autoSpaceDE w:val="0"/>
              <w:autoSpaceDN w:val="0"/>
              <w:adjustRightInd w:val="0"/>
              <w:spacing w:after="120" w:line="254" w:lineRule="auto"/>
              <w:rPr>
                <w:rFonts w:ascii="Calibri" w:eastAsia="Calibri" w:hAnsi="Calibri"/>
                <w:sz w:val="20"/>
              </w:rPr>
            </w:pPr>
            <w:r w:rsidRPr="00C9655F">
              <w:rPr>
                <w:rFonts w:ascii="Calibri" w:eastAsia="Calibri" w:hAnsi="Calibri"/>
                <w:sz w:val="20"/>
              </w:rPr>
              <w:t xml:space="preserve">For DLR 1.2: 1. Letter from the </w:t>
            </w:r>
            <w:proofErr w:type="spellStart"/>
            <w:r w:rsidRPr="00C9655F">
              <w:rPr>
                <w:rFonts w:ascii="Calibri" w:eastAsia="Calibri" w:hAnsi="Calibri"/>
                <w:sz w:val="20"/>
              </w:rPr>
              <w:t>MoF’s</w:t>
            </w:r>
            <w:proofErr w:type="spellEnd"/>
            <w:r w:rsidRPr="00C9655F">
              <w:rPr>
                <w:rFonts w:ascii="Calibri" w:eastAsia="Calibri" w:hAnsi="Calibri"/>
                <w:sz w:val="20"/>
              </w:rPr>
              <w:t xml:space="preserve"> OCU with the institution’s report on achieving DLR and accompanying documentation; 2 List of PPDs adopted in 2025; 3. </w:t>
            </w:r>
            <w:r w:rsidRPr="00C9655F">
              <w:rPr>
                <w:rFonts w:ascii="Calibri" w:eastAsia="Calibri" w:hAnsi="Calibri"/>
                <w:sz w:val="20"/>
                <w:lang w:val="en"/>
              </w:rPr>
              <w:t>List of adopted PPDs in 2025 that have been prepared in accordance with the Guidelines and the planning system cost calculation methodology.</w:t>
            </w:r>
          </w:p>
        </w:tc>
      </w:tr>
    </w:tbl>
    <w:p w:rsidR="00C9655F" w:rsidRPr="00967563" w:rsidRDefault="00C9655F" w:rsidP="00967563">
      <w:pPr>
        <w:spacing w:before="120"/>
        <w:rPr>
          <w:rFonts w:asciiTheme="minorHAnsi" w:hAnsiTheme="minorHAnsi"/>
          <w:sz w:val="22"/>
          <w:szCs w:val="22"/>
        </w:rPr>
      </w:pPr>
    </w:p>
    <w:sectPr w:rsidR="00C9655F" w:rsidRPr="00967563" w:rsidSect="00213DE1">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D3" w:rsidRDefault="006442D3">
      <w:r>
        <w:separator/>
      </w:r>
    </w:p>
  </w:endnote>
  <w:endnote w:type="continuationSeparator" w:id="0">
    <w:p w:rsidR="006442D3" w:rsidRDefault="0064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Arial Narrow"/>
    <w:charset w:val="00"/>
    <w:family w:val="swiss"/>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52" w:rsidRDefault="000E1152">
    <w:pPr>
      <w:pStyle w:val="Footer"/>
      <w:jc w:val="center"/>
      <w:rPr>
        <w:b/>
        <w:bCs/>
        <w:sz w:val="22"/>
      </w:rPr>
    </w:pPr>
    <w:r>
      <w:rPr>
        <w:rStyle w:val="PageNumber"/>
        <w:b/>
        <w:bCs/>
        <w:sz w:val="22"/>
      </w:rPr>
      <w:fldChar w:fldCharType="begin"/>
    </w:r>
    <w:r>
      <w:rPr>
        <w:rStyle w:val="PageNumber"/>
        <w:b/>
        <w:bCs/>
        <w:sz w:val="22"/>
      </w:rPr>
      <w:instrText xml:space="preserve"> PAGE </w:instrText>
    </w:r>
    <w:r>
      <w:rPr>
        <w:rStyle w:val="PageNumber"/>
        <w:b/>
        <w:bCs/>
        <w:sz w:val="22"/>
      </w:rPr>
      <w:fldChar w:fldCharType="separate"/>
    </w:r>
    <w:r w:rsidR="004D0473">
      <w:rPr>
        <w:rStyle w:val="PageNumber"/>
        <w:b/>
        <w:bCs/>
        <w:noProof/>
        <w:sz w:val="22"/>
      </w:rPr>
      <w:t>4</w:t>
    </w:r>
    <w:r>
      <w:rPr>
        <w:rStyle w:val="PageNumbe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D3" w:rsidRDefault="006442D3">
      <w:r>
        <w:separator/>
      </w:r>
    </w:p>
  </w:footnote>
  <w:footnote w:type="continuationSeparator" w:id="0">
    <w:p w:rsidR="006442D3" w:rsidRDefault="006442D3">
      <w:r>
        <w:continuationSeparator/>
      </w:r>
    </w:p>
  </w:footnote>
  <w:footnote w:type="continuationNotice" w:id="1">
    <w:p w:rsidR="006442D3" w:rsidRDefault="006442D3">
      <w:r>
        <w:t>Footnotes continued on the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3C6" w:rsidRDefault="008503C6" w:rsidP="00AB174F">
    <w:pPr>
      <w:pStyle w:val="Heading1"/>
      <w:shd w:val="clear" w:color="auto" w:fill="FAFAFA"/>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C28"/>
    <w:multiLevelType w:val="hybridMultilevel"/>
    <w:tmpl w:val="0C3253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DA474C4"/>
    <w:multiLevelType w:val="hybridMultilevel"/>
    <w:tmpl w:val="C3BCBBD2"/>
    <w:lvl w:ilvl="0" w:tplc="1B16949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457657"/>
    <w:multiLevelType w:val="hybridMultilevel"/>
    <w:tmpl w:val="7C123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28075F7"/>
    <w:multiLevelType w:val="hybridMultilevel"/>
    <w:tmpl w:val="6352D548"/>
    <w:lvl w:ilvl="0" w:tplc="F7E6DC34">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3"/>
  </w:num>
  <w:num w:numId="4">
    <w:abstractNumId w:val="3"/>
  </w:num>
  <w:num w:numId="5">
    <w:abstractNumId w:val="7"/>
  </w:num>
  <w:num w:numId="6">
    <w:abstractNumId w:val="2"/>
  </w:num>
  <w:num w:numId="7">
    <w:abstractNumId w:val="5"/>
  </w:num>
  <w:num w:numId="8">
    <w:abstractNumId w:val="0"/>
  </w:num>
  <w:num w:numId="9">
    <w:abstractNumId w:val="4"/>
  </w:num>
  <w:num w:numId="10">
    <w:abstractNumId w:val="6"/>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76"/>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B0"/>
    <w:rsid w:val="00010B2E"/>
    <w:rsid w:val="000156E7"/>
    <w:rsid w:val="00033A70"/>
    <w:rsid w:val="00034C04"/>
    <w:rsid w:val="0004075B"/>
    <w:rsid w:val="000726A4"/>
    <w:rsid w:val="00077C19"/>
    <w:rsid w:val="000806B9"/>
    <w:rsid w:val="000870D1"/>
    <w:rsid w:val="00092197"/>
    <w:rsid w:val="000B0ABE"/>
    <w:rsid w:val="000B3394"/>
    <w:rsid w:val="000D085F"/>
    <w:rsid w:val="000D4D0C"/>
    <w:rsid w:val="000D5323"/>
    <w:rsid w:val="000E1152"/>
    <w:rsid w:val="000F2C22"/>
    <w:rsid w:val="000F73A5"/>
    <w:rsid w:val="00113852"/>
    <w:rsid w:val="00116977"/>
    <w:rsid w:val="0012461A"/>
    <w:rsid w:val="0012546C"/>
    <w:rsid w:val="00130FAD"/>
    <w:rsid w:val="00142BBE"/>
    <w:rsid w:val="0015248A"/>
    <w:rsid w:val="001539A4"/>
    <w:rsid w:val="0015466B"/>
    <w:rsid w:val="001578D3"/>
    <w:rsid w:val="00166531"/>
    <w:rsid w:val="0017437C"/>
    <w:rsid w:val="00192B40"/>
    <w:rsid w:val="001A7DDB"/>
    <w:rsid w:val="001B2298"/>
    <w:rsid w:val="001C0019"/>
    <w:rsid w:val="001C0515"/>
    <w:rsid w:val="001C3E4A"/>
    <w:rsid w:val="001C7491"/>
    <w:rsid w:val="001D6411"/>
    <w:rsid w:val="001F11A3"/>
    <w:rsid w:val="001F497A"/>
    <w:rsid w:val="001F6DA0"/>
    <w:rsid w:val="00204AA7"/>
    <w:rsid w:val="002053B4"/>
    <w:rsid w:val="0020562E"/>
    <w:rsid w:val="00213DE1"/>
    <w:rsid w:val="00216C18"/>
    <w:rsid w:val="002220EC"/>
    <w:rsid w:val="00231214"/>
    <w:rsid w:val="0023440A"/>
    <w:rsid w:val="00245A33"/>
    <w:rsid w:val="002855E8"/>
    <w:rsid w:val="00294705"/>
    <w:rsid w:val="00295874"/>
    <w:rsid w:val="002979F8"/>
    <w:rsid w:val="002B5943"/>
    <w:rsid w:val="002E18D3"/>
    <w:rsid w:val="00300DDD"/>
    <w:rsid w:val="00301318"/>
    <w:rsid w:val="00301A1F"/>
    <w:rsid w:val="00304571"/>
    <w:rsid w:val="00304A7A"/>
    <w:rsid w:val="00317C2E"/>
    <w:rsid w:val="003233F8"/>
    <w:rsid w:val="00325E44"/>
    <w:rsid w:val="003347C3"/>
    <w:rsid w:val="00344883"/>
    <w:rsid w:val="00346B69"/>
    <w:rsid w:val="00352E3D"/>
    <w:rsid w:val="0035423B"/>
    <w:rsid w:val="0035667A"/>
    <w:rsid w:val="003632CC"/>
    <w:rsid w:val="003773FC"/>
    <w:rsid w:val="003875BE"/>
    <w:rsid w:val="0039070D"/>
    <w:rsid w:val="003B13D7"/>
    <w:rsid w:val="003B41B0"/>
    <w:rsid w:val="003B53C9"/>
    <w:rsid w:val="003B5608"/>
    <w:rsid w:val="003C2425"/>
    <w:rsid w:val="003C346D"/>
    <w:rsid w:val="003C79BB"/>
    <w:rsid w:val="003D15CC"/>
    <w:rsid w:val="003E01A0"/>
    <w:rsid w:val="003E1087"/>
    <w:rsid w:val="003E60A6"/>
    <w:rsid w:val="003F1727"/>
    <w:rsid w:val="00403AD6"/>
    <w:rsid w:val="00412729"/>
    <w:rsid w:val="004304CA"/>
    <w:rsid w:val="00471C20"/>
    <w:rsid w:val="00486148"/>
    <w:rsid w:val="00495806"/>
    <w:rsid w:val="004A78D2"/>
    <w:rsid w:val="004A7D80"/>
    <w:rsid w:val="004B0C0E"/>
    <w:rsid w:val="004D0473"/>
    <w:rsid w:val="004D0EBC"/>
    <w:rsid w:val="004D3124"/>
    <w:rsid w:val="004D71BE"/>
    <w:rsid w:val="004E0D8A"/>
    <w:rsid w:val="004E3D41"/>
    <w:rsid w:val="004E7E53"/>
    <w:rsid w:val="004F0526"/>
    <w:rsid w:val="004F4E01"/>
    <w:rsid w:val="00506339"/>
    <w:rsid w:val="0053106C"/>
    <w:rsid w:val="00531613"/>
    <w:rsid w:val="00541CCA"/>
    <w:rsid w:val="005426B3"/>
    <w:rsid w:val="00545989"/>
    <w:rsid w:val="005465F6"/>
    <w:rsid w:val="005664BE"/>
    <w:rsid w:val="0057567A"/>
    <w:rsid w:val="00581B60"/>
    <w:rsid w:val="0058795F"/>
    <w:rsid w:val="005A0942"/>
    <w:rsid w:val="005A63CD"/>
    <w:rsid w:val="005B67E3"/>
    <w:rsid w:val="005C3F51"/>
    <w:rsid w:val="005D4701"/>
    <w:rsid w:val="005D6876"/>
    <w:rsid w:val="00611308"/>
    <w:rsid w:val="00613742"/>
    <w:rsid w:val="00624425"/>
    <w:rsid w:val="00635879"/>
    <w:rsid w:val="0064108D"/>
    <w:rsid w:val="006442D3"/>
    <w:rsid w:val="0065229E"/>
    <w:rsid w:val="00673A41"/>
    <w:rsid w:val="0067583B"/>
    <w:rsid w:val="00681E20"/>
    <w:rsid w:val="00681F8D"/>
    <w:rsid w:val="00690E94"/>
    <w:rsid w:val="006A1166"/>
    <w:rsid w:val="006A1A33"/>
    <w:rsid w:val="006A2344"/>
    <w:rsid w:val="006A71FA"/>
    <w:rsid w:val="006B3F69"/>
    <w:rsid w:val="006B4059"/>
    <w:rsid w:val="006B57EA"/>
    <w:rsid w:val="006D0FEE"/>
    <w:rsid w:val="006E5874"/>
    <w:rsid w:val="006F3722"/>
    <w:rsid w:val="006F6ACC"/>
    <w:rsid w:val="007025DD"/>
    <w:rsid w:val="00702A95"/>
    <w:rsid w:val="00704DD8"/>
    <w:rsid w:val="00740DF1"/>
    <w:rsid w:val="00751D7F"/>
    <w:rsid w:val="0075349A"/>
    <w:rsid w:val="00765247"/>
    <w:rsid w:val="00770EAE"/>
    <w:rsid w:val="007770F0"/>
    <w:rsid w:val="0078357D"/>
    <w:rsid w:val="00786A44"/>
    <w:rsid w:val="00790B30"/>
    <w:rsid w:val="00793341"/>
    <w:rsid w:val="007954E3"/>
    <w:rsid w:val="0079735E"/>
    <w:rsid w:val="007C15CA"/>
    <w:rsid w:val="007C17E8"/>
    <w:rsid w:val="007C3179"/>
    <w:rsid w:val="007C50E2"/>
    <w:rsid w:val="007D2EE1"/>
    <w:rsid w:val="007D59E5"/>
    <w:rsid w:val="007E0615"/>
    <w:rsid w:val="007E76B2"/>
    <w:rsid w:val="007F3173"/>
    <w:rsid w:val="00800CB3"/>
    <w:rsid w:val="008029A2"/>
    <w:rsid w:val="00807FE7"/>
    <w:rsid w:val="00812AE0"/>
    <w:rsid w:val="0083567F"/>
    <w:rsid w:val="00845B91"/>
    <w:rsid w:val="008503C6"/>
    <w:rsid w:val="0085191A"/>
    <w:rsid w:val="00856C74"/>
    <w:rsid w:val="00866520"/>
    <w:rsid w:val="00886166"/>
    <w:rsid w:val="008913FD"/>
    <w:rsid w:val="008A09C9"/>
    <w:rsid w:val="008A7733"/>
    <w:rsid w:val="008E0524"/>
    <w:rsid w:val="008E19B9"/>
    <w:rsid w:val="008F7F47"/>
    <w:rsid w:val="00900ED1"/>
    <w:rsid w:val="00911726"/>
    <w:rsid w:val="00913107"/>
    <w:rsid w:val="00914D2E"/>
    <w:rsid w:val="00920309"/>
    <w:rsid w:val="00932039"/>
    <w:rsid w:val="00954BE8"/>
    <w:rsid w:val="00962F6F"/>
    <w:rsid w:val="00967563"/>
    <w:rsid w:val="00973130"/>
    <w:rsid w:val="00984A78"/>
    <w:rsid w:val="009946C8"/>
    <w:rsid w:val="00994769"/>
    <w:rsid w:val="009A53FA"/>
    <w:rsid w:val="009C6BBD"/>
    <w:rsid w:val="009E6309"/>
    <w:rsid w:val="00A130D1"/>
    <w:rsid w:val="00A14A2B"/>
    <w:rsid w:val="00A16AD2"/>
    <w:rsid w:val="00A20874"/>
    <w:rsid w:val="00A231C5"/>
    <w:rsid w:val="00A45585"/>
    <w:rsid w:val="00A476BA"/>
    <w:rsid w:val="00A5281A"/>
    <w:rsid w:val="00A536F1"/>
    <w:rsid w:val="00A71010"/>
    <w:rsid w:val="00A7432A"/>
    <w:rsid w:val="00A76E97"/>
    <w:rsid w:val="00A834AC"/>
    <w:rsid w:val="00A85F1F"/>
    <w:rsid w:val="00A93A5D"/>
    <w:rsid w:val="00A95BFD"/>
    <w:rsid w:val="00AA01B5"/>
    <w:rsid w:val="00AA2F1F"/>
    <w:rsid w:val="00AB0F9F"/>
    <w:rsid w:val="00AB174F"/>
    <w:rsid w:val="00AB19FE"/>
    <w:rsid w:val="00AC0200"/>
    <w:rsid w:val="00AC5675"/>
    <w:rsid w:val="00AD544A"/>
    <w:rsid w:val="00B06EBB"/>
    <w:rsid w:val="00B11027"/>
    <w:rsid w:val="00B228C3"/>
    <w:rsid w:val="00B41B68"/>
    <w:rsid w:val="00B6314C"/>
    <w:rsid w:val="00B6370C"/>
    <w:rsid w:val="00B67962"/>
    <w:rsid w:val="00B70823"/>
    <w:rsid w:val="00B77DFB"/>
    <w:rsid w:val="00BA37A0"/>
    <w:rsid w:val="00BC5A47"/>
    <w:rsid w:val="00BD31E7"/>
    <w:rsid w:val="00BE0F46"/>
    <w:rsid w:val="00BE31A3"/>
    <w:rsid w:val="00BE323A"/>
    <w:rsid w:val="00BE40CF"/>
    <w:rsid w:val="00C00EF2"/>
    <w:rsid w:val="00C054FE"/>
    <w:rsid w:val="00C05F0D"/>
    <w:rsid w:val="00C07C77"/>
    <w:rsid w:val="00C11E7A"/>
    <w:rsid w:val="00C12ED7"/>
    <w:rsid w:val="00C34795"/>
    <w:rsid w:val="00C355E3"/>
    <w:rsid w:val="00C65CDC"/>
    <w:rsid w:val="00C7080E"/>
    <w:rsid w:val="00C71708"/>
    <w:rsid w:val="00C8316E"/>
    <w:rsid w:val="00C83B3F"/>
    <w:rsid w:val="00C95737"/>
    <w:rsid w:val="00C9655F"/>
    <w:rsid w:val="00CA5F97"/>
    <w:rsid w:val="00CA7C48"/>
    <w:rsid w:val="00CC24C8"/>
    <w:rsid w:val="00CD08ED"/>
    <w:rsid w:val="00CD56AC"/>
    <w:rsid w:val="00CD775A"/>
    <w:rsid w:val="00CE45C1"/>
    <w:rsid w:val="00CF6C5F"/>
    <w:rsid w:val="00D31246"/>
    <w:rsid w:val="00D45836"/>
    <w:rsid w:val="00D517AD"/>
    <w:rsid w:val="00D53DA4"/>
    <w:rsid w:val="00D5724C"/>
    <w:rsid w:val="00D614F6"/>
    <w:rsid w:val="00D6464C"/>
    <w:rsid w:val="00D70552"/>
    <w:rsid w:val="00D75EEB"/>
    <w:rsid w:val="00D75F6C"/>
    <w:rsid w:val="00D872BC"/>
    <w:rsid w:val="00D87B72"/>
    <w:rsid w:val="00D91215"/>
    <w:rsid w:val="00DA15B2"/>
    <w:rsid w:val="00DA2B22"/>
    <w:rsid w:val="00DA7466"/>
    <w:rsid w:val="00DC2A79"/>
    <w:rsid w:val="00DD1E68"/>
    <w:rsid w:val="00DE6BEA"/>
    <w:rsid w:val="00E06567"/>
    <w:rsid w:val="00E14071"/>
    <w:rsid w:val="00E1421B"/>
    <w:rsid w:val="00E26B9E"/>
    <w:rsid w:val="00E32334"/>
    <w:rsid w:val="00E32864"/>
    <w:rsid w:val="00E33536"/>
    <w:rsid w:val="00E33DB3"/>
    <w:rsid w:val="00E37EDE"/>
    <w:rsid w:val="00E43E74"/>
    <w:rsid w:val="00E479A5"/>
    <w:rsid w:val="00E624ED"/>
    <w:rsid w:val="00E63C22"/>
    <w:rsid w:val="00E87F21"/>
    <w:rsid w:val="00E90369"/>
    <w:rsid w:val="00E957DF"/>
    <w:rsid w:val="00EA3417"/>
    <w:rsid w:val="00EA5798"/>
    <w:rsid w:val="00EA7E4B"/>
    <w:rsid w:val="00EB1547"/>
    <w:rsid w:val="00EB6EB5"/>
    <w:rsid w:val="00EC02B8"/>
    <w:rsid w:val="00EC6C73"/>
    <w:rsid w:val="00ED52AA"/>
    <w:rsid w:val="00EE08CF"/>
    <w:rsid w:val="00EE3542"/>
    <w:rsid w:val="00EF243A"/>
    <w:rsid w:val="00F1472B"/>
    <w:rsid w:val="00F16C1E"/>
    <w:rsid w:val="00F273CA"/>
    <w:rsid w:val="00F31E34"/>
    <w:rsid w:val="00F36D96"/>
    <w:rsid w:val="00F418E4"/>
    <w:rsid w:val="00F43C21"/>
    <w:rsid w:val="00F62DA9"/>
    <w:rsid w:val="00F709EB"/>
    <w:rsid w:val="00F73E56"/>
    <w:rsid w:val="00F7656D"/>
    <w:rsid w:val="00F76654"/>
    <w:rsid w:val="00F92970"/>
    <w:rsid w:val="00FC5740"/>
    <w:rsid w:val="00FC6DB5"/>
    <w:rsid w:val="00FD1B99"/>
    <w:rsid w:val="00FE116B"/>
    <w:rsid w:val="00FE430C"/>
    <w:rsid w:val="00FE534D"/>
    <w:rsid w:val="00FE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7B103"/>
  <w15:docId w15:val="{3DB3071C-AC31-4A35-ADBA-F1FF4ED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3A"/>
    <w:rPr>
      <w:sz w:val="24"/>
    </w:rPr>
  </w:style>
  <w:style w:type="paragraph" w:styleId="Heading1">
    <w:name w:val="heading 1"/>
    <w:basedOn w:val="Normal"/>
    <w:next w:val="Normal"/>
    <w:qFormat/>
    <w:rsid w:val="00BE323A"/>
    <w:pPr>
      <w:keepNext/>
      <w:spacing w:line="240" w:lineRule="atLeast"/>
      <w:jc w:val="center"/>
      <w:outlineLvl w:val="0"/>
    </w:pPr>
    <w:rPr>
      <w:b/>
      <w:bCs/>
      <w:snapToGrid w:val="0"/>
      <w:color w:val="000000"/>
    </w:rPr>
  </w:style>
  <w:style w:type="paragraph" w:styleId="Heading2">
    <w:name w:val="heading 2"/>
    <w:basedOn w:val="Normal"/>
    <w:next w:val="Normal"/>
    <w:qFormat/>
    <w:rsid w:val="00BE323A"/>
    <w:pPr>
      <w:keepNext/>
      <w:widowControl w:val="0"/>
      <w:jc w:val="center"/>
      <w:outlineLvl w:val="1"/>
    </w:pPr>
    <w:rPr>
      <w:rFonts w:ascii="!Times" w:hAnsi="!Times"/>
      <w:b/>
    </w:rPr>
  </w:style>
  <w:style w:type="paragraph" w:styleId="Heading3">
    <w:name w:val="heading 3"/>
    <w:basedOn w:val="Normal"/>
    <w:next w:val="Normal"/>
    <w:qFormat/>
    <w:rsid w:val="00BE323A"/>
    <w:pPr>
      <w:keepNext/>
      <w:tabs>
        <w:tab w:val="left" w:pos="-720"/>
        <w:tab w:val="left" w:pos="0"/>
        <w:tab w:val="left" w:pos="630"/>
        <w:tab w:val="left" w:pos="1008"/>
        <w:tab w:val="left" w:pos="1386"/>
        <w:tab w:val="left" w:pos="1764"/>
        <w:tab w:val="left" w:pos="2142"/>
      </w:tabs>
      <w:suppressAutoHyphens/>
      <w:ind w:left="630" w:hanging="630"/>
      <w:jc w:val="both"/>
      <w:outlineLvl w:val="2"/>
    </w:pPr>
    <w:rPr>
      <w:rFonts w:ascii="CG Times" w:hAnsi="CG Times"/>
      <w:b/>
      <w:i/>
      <w:spacing w:val="-3"/>
      <w:kern w:val="1"/>
      <w:u w:val="single"/>
    </w:rPr>
  </w:style>
  <w:style w:type="paragraph" w:styleId="Heading4">
    <w:name w:val="heading 4"/>
    <w:basedOn w:val="Normal"/>
    <w:next w:val="Normal"/>
    <w:qFormat/>
    <w:rsid w:val="00BE323A"/>
    <w:pPr>
      <w:keepNext/>
      <w:spacing w:line="240" w:lineRule="atLeast"/>
      <w:jc w:val="center"/>
      <w:outlineLvl w:val="3"/>
    </w:pPr>
    <w:rPr>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BE323A"/>
    <w:pPr>
      <w:spacing w:before="240"/>
    </w:pPr>
    <w:rPr>
      <w:kern w:val="28"/>
    </w:rPr>
  </w:style>
  <w:style w:type="paragraph" w:customStyle="1" w:styleId="Outline1">
    <w:name w:val="Outline1"/>
    <w:basedOn w:val="Outline"/>
    <w:next w:val="Outline2"/>
    <w:rsid w:val="00BE323A"/>
    <w:pPr>
      <w:keepNext/>
      <w:numPr>
        <w:numId w:val="1"/>
      </w:numPr>
      <w:tabs>
        <w:tab w:val="clear" w:pos="432"/>
        <w:tab w:val="num" w:pos="360"/>
      </w:tabs>
      <w:ind w:left="360" w:hanging="360"/>
    </w:pPr>
  </w:style>
  <w:style w:type="paragraph" w:customStyle="1" w:styleId="Outline2">
    <w:name w:val="Outline2"/>
    <w:basedOn w:val="Normal"/>
    <w:rsid w:val="00BE323A"/>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BE323A"/>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BE323A"/>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BE323A"/>
    <w:pPr>
      <w:numPr>
        <w:numId w:val="5"/>
      </w:numPr>
      <w:tabs>
        <w:tab w:val="clear" w:pos="360"/>
        <w:tab w:val="left" w:pos="1440"/>
      </w:tabs>
      <w:spacing w:before="120"/>
      <w:ind w:left="1440" w:hanging="450"/>
    </w:pPr>
  </w:style>
  <w:style w:type="paragraph" w:styleId="BodyText">
    <w:name w:val="Body Text"/>
    <w:aliases w:val="Body Text bullets"/>
    <w:basedOn w:val="Normal"/>
    <w:rsid w:val="00BE323A"/>
    <w:pPr>
      <w:spacing w:line="240" w:lineRule="atLeast"/>
    </w:pPr>
    <w:rPr>
      <w:snapToGrid w:val="0"/>
      <w:color w:val="000000"/>
    </w:rPr>
  </w:style>
  <w:style w:type="paragraph" w:styleId="BodyText2">
    <w:name w:val="Body Text 2"/>
    <w:basedOn w:val="Normal"/>
    <w:rsid w:val="00BE323A"/>
    <w:pPr>
      <w:jc w:val="both"/>
    </w:pPr>
    <w:rPr>
      <w:sz w:val="22"/>
    </w:rPr>
  </w:style>
  <w:style w:type="paragraph" w:styleId="BodyText3">
    <w:name w:val="Body Text 3"/>
    <w:basedOn w:val="Normal"/>
    <w:rsid w:val="00BE323A"/>
    <w:pPr>
      <w:spacing w:before="120" w:line="240" w:lineRule="atLeast"/>
      <w:jc w:val="both"/>
    </w:pPr>
    <w:rPr>
      <w:snapToGrid w:val="0"/>
      <w:color w:val="000000"/>
    </w:rPr>
  </w:style>
  <w:style w:type="paragraph" w:styleId="Header">
    <w:name w:val="header"/>
    <w:basedOn w:val="Normal"/>
    <w:link w:val="HeaderChar"/>
    <w:rsid w:val="00BE323A"/>
    <w:pPr>
      <w:tabs>
        <w:tab w:val="center" w:pos="4320"/>
        <w:tab w:val="right" w:pos="8640"/>
      </w:tabs>
    </w:pPr>
  </w:style>
  <w:style w:type="paragraph" w:styleId="Footer">
    <w:name w:val="footer"/>
    <w:basedOn w:val="Normal"/>
    <w:rsid w:val="00BE323A"/>
    <w:pPr>
      <w:tabs>
        <w:tab w:val="center" w:pos="4320"/>
        <w:tab w:val="right" w:pos="8640"/>
      </w:tabs>
    </w:pPr>
  </w:style>
  <w:style w:type="character" w:styleId="PageNumber">
    <w:name w:val="page number"/>
    <w:basedOn w:val="DefaultParagraphFont"/>
    <w:rsid w:val="00BE323A"/>
  </w:style>
  <w:style w:type="paragraph" w:styleId="Title">
    <w:name w:val="Title"/>
    <w:basedOn w:val="Normal"/>
    <w:qFormat/>
    <w:rsid w:val="00BE323A"/>
    <w:pPr>
      <w:spacing w:line="240" w:lineRule="atLeast"/>
      <w:jc w:val="center"/>
    </w:pPr>
    <w:rPr>
      <w:b/>
      <w:bCs/>
      <w:snapToGrid w:val="0"/>
      <w:color w:val="000000"/>
    </w:rPr>
  </w:style>
  <w:style w:type="paragraph" w:styleId="FootnoteText">
    <w:name w:val="footnote text"/>
    <w:basedOn w:val="Normal"/>
    <w:link w:val="FootnoteTextChar"/>
    <w:rsid w:val="00BE323A"/>
    <w:rPr>
      <w:sz w:val="20"/>
    </w:rPr>
  </w:style>
  <w:style w:type="character" w:styleId="FootnoteReference">
    <w:name w:val="footnote reference"/>
    <w:rsid w:val="00BE323A"/>
    <w:rPr>
      <w:vertAlign w:val="superscript"/>
    </w:rPr>
  </w:style>
  <w:style w:type="paragraph" w:styleId="BalloonText">
    <w:name w:val="Balloon Text"/>
    <w:basedOn w:val="Normal"/>
    <w:semiHidden/>
    <w:rsid w:val="00A85F1F"/>
    <w:rPr>
      <w:rFonts w:ascii="Tahoma" w:hAnsi="Tahoma" w:cs="Tahoma"/>
      <w:sz w:val="16"/>
      <w:szCs w:val="16"/>
    </w:rPr>
  </w:style>
  <w:style w:type="character" w:styleId="Hyperlink">
    <w:name w:val="Hyperlink"/>
    <w:rsid w:val="00690E94"/>
    <w:rPr>
      <w:color w:val="0000FF"/>
      <w:u w:val="single"/>
    </w:rPr>
  </w:style>
  <w:style w:type="character" w:customStyle="1" w:styleId="FootnoteTextChar">
    <w:name w:val="Footnote Text Char"/>
    <w:basedOn w:val="DefaultParagraphFont"/>
    <w:link w:val="FootnoteText"/>
    <w:rsid w:val="00E90369"/>
  </w:style>
  <w:style w:type="character" w:styleId="FollowedHyperlink">
    <w:name w:val="FollowedHyperlink"/>
    <w:rsid w:val="00E90369"/>
    <w:rPr>
      <w:color w:val="800080"/>
      <w:u w:val="single"/>
    </w:rPr>
  </w:style>
  <w:style w:type="paragraph" w:customStyle="1" w:styleId="Default">
    <w:name w:val="Default"/>
    <w:rsid w:val="001C0019"/>
    <w:pPr>
      <w:autoSpaceDE w:val="0"/>
      <w:autoSpaceDN w:val="0"/>
      <w:adjustRightInd w:val="0"/>
    </w:pPr>
    <w:rPr>
      <w:color w:val="000000"/>
      <w:sz w:val="24"/>
      <w:szCs w:val="24"/>
    </w:rPr>
  </w:style>
  <w:style w:type="paragraph" w:styleId="Revision">
    <w:name w:val="Revision"/>
    <w:hidden/>
    <w:uiPriority w:val="99"/>
    <w:semiHidden/>
    <w:rsid w:val="009946C8"/>
    <w:rPr>
      <w:sz w:val="24"/>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962F6F"/>
    <w:pPr>
      <w:widowControl w:val="0"/>
      <w:autoSpaceDE w:val="0"/>
      <w:autoSpaceDN w:val="0"/>
      <w:adjustRightInd w:val="0"/>
      <w:ind w:left="720"/>
      <w:contextualSpacing/>
    </w:pPr>
    <w:rPr>
      <w:rFonts w:ascii="Arial" w:eastAsiaTheme="minorEastAsia" w:hAnsi="Arial" w:cs="Arial"/>
      <w:color w:val="000000"/>
      <w:szCs w:val="24"/>
    </w:rPr>
  </w:style>
  <w:style w:type="character" w:customStyle="1" w:styleId="HeaderChar">
    <w:name w:val="Header Char"/>
    <w:basedOn w:val="DefaultParagraphFont"/>
    <w:link w:val="Header"/>
    <w:rsid w:val="008503C6"/>
    <w:rPr>
      <w:sz w:val="24"/>
    </w:rPr>
  </w:style>
  <w:style w:type="paragraph" w:styleId="NoSpacing">
    <w:name w:val="No Spacing"/>
    <w:uiPriority w:val="1"/>
    <w:qFormat/>
    <w:rsid w:val="008503C6"/>
    <w:rPr>
      <w:rFonts w:asciiTheme="minorHAnsi" w:hAnsiTheme="minorHAnsi" w:cstheme="minorBidi"/>
      <w:sz w:val="22"/>
      <w:szCs w:val="22"/>
    </w:rPr>
  </w:style>
  <w:style w:type="paragraph" w:customStyle="1" w:styleId="Default1">
    <w:name w:val="Default_1"/>
    <w:uiPriority w:val="99"/>
    <w:rsid w:val="00D6464C"/>
    <w:pPr>
      <w:autoSpaceDE w:val="0"/>
      <w:autoSpaceDN w:val="0"/>
      <w:adjustRightInd w:val="0"/>
    </w:pPr>
    <w:rPr>
      <w:rFonts w:eastAsiaTheme="minorHAnsi"/>
      <w:color w:val="000000"/>
      <w:sz w:val="24"/>
      <w:szCs w:val="24"/>
    </w:r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qFormat/>
    <w:locked/>
    <w:rsid w:val="008A7733"/>
    <w:rPr>
      <w:rFonts w:ascii="Arial" w:eastAsiaTheme="minorEastAsia" w:hAnsi="Arial" w:cs="Arial"/>
      <w:color w:val="000000"/>
      <w:sz w:val="24"/>
      <w:szCs w:val="24"/>
    </w:rPr>
  </w:style>
  <w:style w:type="character" w:styleId="CommentReference">
    <w:name w:val="annotation reference"/>
    <w:basedOn w:val="DefaultParagraphFont"/>
    <w:semiHidden/>
    <w:unhideWhenUsed/>
    <w:rsid w:val="004D3124"/>
    <w:rPr>
      <w:sz w:val="16"/>
      <w:szCs w:val="16"/>
    </w:rPr>
  </w:style>
  <w:style w:type="paragraph" w:styleId="CommentText">
    <w:name w:val="annotation text"/>
    <w:basedOn w:val="Normal"/>
    <w:link w:val="CommentTextChar"/>
    <w:semiHidden/>
    <w:unhideWhenUsed/>
    <w:rsid w:val="004D3124"/>
    <w:rPr>
      <w:sz w:val="20"/>
    </w:rPr>
  </w:style>
  <w:style w:type="character" w:customStyle="1" w:styleId="CommentTextChar">
    <w:name w:val="Comment Text Char"/>
    <w:basedOn w:val="DefaultParagraphFont"/>
    <w:link w:val="CommentText"/>
    <w:semiHidden/>
    <w:rsid w:val="004D3124"/>
  </w:style>
  <w:style w:type="paragraph" w:styleId="CommentSubject">
    <w:name w:val="annotation subject"/>
    <w:basedOn w:val="CommentText"/>
    <w:next w:val="CommentText"/>
    <w:link w:val="CommentSubjectChar"/>
    <w:semiHidden/>
    <w:unhideWhenUsed/>
    <w:rsid w:val="004D3124"/>
    <w:rPr>
      <w:b/>
      <w:bCs/>
    </w:rPr>
  </w:style>
  <w:style w:type="character" w:customStyle="1" w:styleId="CommentSubjectChar">
    <w:name w:val="Comment Subject Char"/>
    <w:basedOn w:val="CommentTextChar"/>
    <w:link w:val="CommentSubject"/>
    <w:semiHidden/>
    <w:rsid w:val="004D3124"/>
    <w:rPr>
      <w:b/>
      <w:bCs/>
    </w:rPr>
  </w:style>
  <w:style w:type="paragraph" w:styleId="HTMLPreformatted">
    <w:name w:val="HTML Preformatted"/>
    <w:basedOn w:val="Normal"/>
    <w:link w:val="HTMLPreformattedChar"/>
    <w:uiPriority w:val="99"/>
    <w:semiHidden/>
    <w:unhideWhenUsed/>
    <w:rsid w:val="0015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r-Cyrl-RS" w:eastAsia="sr-Cyrl-RS"/>
    </w:rPr>
  </w:style>
  <w:style w:type="character" w:customStyle="1" w:styleId="HTMLPreformattedChar">
    <w:name w:val="HTML Preformatted Char"/>
    <w:basedOn w:val="DefaultParagraphFont"/>
    <w:link w:val="HTMLPreformatted"/>
    <w:uiPriority w:val="99"/>
    <w:semiHidden/>
    <w:rsid w:val="0015248A"/>
    <w:rPr>
      <w:rFonts w:ascii="Courier New" w:hAnsi="Courier New" w:cs="Courier New"/>
      <w:lang w:val="sr-Cyrl-RS" w:eastAsia="sr-Cyrl-RS"/>
    </w:rPr>
  </w:style>
  <w:style w:type="character" w:customStyle="1" w:styleId="y2iqfc">
    <w:name w:val="y2iqfc"/>
    <w:basedOn w:val="DefaultParagraphFont"/>
    <w:rsid w:val="0015248A"/>
  </w:style>
  <w:style w:type="table" w:customStyle="1" w:styleId="TableGrid2229">
    <w:name w:val="Table Grid22_29"/>
    <w:basedOn w:val="TableNormal"/>
    <w:uiPriority w:val="39"/>
    <w:rsid w:val="00C965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2122">
      <w:bodyDiv w:val="1"/>
      <w:marLeft w:val="0"/>
      <w:marRight w:val="0"/>
      <w:marTop w:val="0"/>
      <w:marBottom w:val="0"/>
      <w:divBdr>
        <w:top w:val="none" w:sz="0" w:space="0" w:color="auto"/>
        <w:left w:val="none" w:sz="0" w:space="0" w:color="auto"/>
        <w:bottom w:val="none" w:sz="0" w:space="0" w:color="auto"/>
        <w:right w:val="none" w:sz="0" w:space="0" w:color="auto"/>
      </w:divBdr>
    </w:div>
    <w:div w:id="947009893">
      <w:bodyDiv w:val="1"/>
      <w:marLeft w:val="0"/>
      <w:marRight w:val="0"/>
      <w:marTop w:val="0"/>
      <w:marBottom w:val="0"/>
      <w:divBdr>
        <w:top w:val="none" w:sz="0" w:space="0" w:color="auto"/>
        <w:left w:val="none" w:sz="0" w:space="0" w:color="auto"/>
        <w:bottom w:val="none" w:sz="0" w:space="0" w:color="auto"/>
        <w:right w:val="none" w:sz="0" w:space="0" w:color="auto"/>
      </w:divBdr>
    </w:div>
    <w:div w:id="987588673">
      <w:bodyDiv w:val="1"/>
      <w:marLeft w:val="0"/>
      <w:marRight w:val="0"/>
      <w:marTop w:val="0"/>
      <w:marBottom w:val="0"/>
      <w:divBdr>
        <w:top w:val="none" w:sz="0" w:space="0" w:color="auto"/>
        <w:left w:val="none" w:sz="0" w:space="0" w:color="auto"/>
        <w:bottom w:val="none" w:sz="0" w:space="0" w:color="auto"/>
        <w:right w:val="none" w:sz="0" w:space="0" w:color="auto"/>
      </w:divBdr>
    </w:div>
    <w:div w:id="1109013663">
      <w:bodyDiv w:val="1"/>
      <w:marLeft w:val="0"/>
      <w:marRight w:val="0"/>
      <w:marTop w:val="0"/>
      <w:marBottom w:val="0"/>
      <w:divBdr>
        <w:top w:val="none" w:sz="0" w:space="0" w:color="auto"/>
        <w:left w:val="none" w:sz="0" w:space="0" w:color="auto"/>
        <w:bottom w:val="none" w:sz="0" w:space="0" w:color="auto"/>
        <w:right w:val="none" w:sz="0" w:space="0" w:color="auto"/>
      </w:divBdr>
    </w:div>
    <w:div w:id="1932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42EE7-241F-47AD-B038-5762DC5F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9383</CharactersWithSpaces>
  <SharedDoc>false</SharedDoc>
  <HLinks>
    <vt:vector size="96" baseType="variant">
      <vt:variant>
        <vt:i4>5374030</vt:i4>
      </vt:variant>
      <vt:variant>
        <vt:i4>36</vt:i4>
      </vt:variant>
      <vt:variant>
        <vt:i4>0</vt:i4>
      </vt:variant>
      <vt:variant>
        <vt:i4>5</vt:i4>
      </vt:variant>
      <vt:variant>
        <vt:lpwstr>http://web.worldbank.org/WBSITE/EXTERNAL/PROJECTS/PROCUREMENT/0,,contentMDK:20060656~menuPK:93977~pagePK:84269~piPK:60001558~theSitePK:84266~isCURL:Y,00.html</vt:lpwstr>
      </vt:variant>
      <vt:variant>
        <vt:lpwstr/>
      </vt:variant>
      <vt:variant>
        <vt:i4>7471159</vt:i4>
      </vt:variant>
      <vt:variant>
        <vt:i4>33</vt:i4>
      </vt:variant>
      <vt:variant>
        <vt:i4>0</vt:i4>
      </vt:variant>
      <vt:variant>
        <vt:i4>5</vt:i4>
      </vt:variant>
      <vt:variant>
        <vt:lpwstr>http://web.worldbank.org/WBSITE/EXTERNAL/PROJECTS/PROCUREMENT/0,,contentMDK:20060840~pagePK:84269~piPK:60001558~theSitePK:84266,00.html</vt:lpwstr>
      </vt:variant>
      <vt:variant>
        <vt:lpwstr/>
      </vt:variant>
      <vt:variant>
        <vt:i4>2162757</vt:i4>
      </vt:variant>
      <vt:variant>
        <vt:i4>30</vt:i4>
      </vt:variant>
      <vt:variant>
        <vt:i4>0</vt:i4>
      </vt:variant>
      <vt:variant>
        <vt:i4>5</vt:i4>
      </vt:variant>
      <vt:variant>
        <vt:lpwstr>https://clientconnection.worldbank.org/servlet/secmainssl?Columns=TITLE&amp;ContentType=IT_MiscContent&amp;Lang=all&amp;Rows=100&amp;SType=External&amp;Status=Live&amp;theSitePK=257204&amp;piPK=63000616&amp;pagePK=63000604&amp;menuPK=256574&amp;highlightIndex=5&amp;Context=Disbursements</vt:lpwstr>
      </vt:variant>
      <vt:variant>
        <vt:lpwstr/>
      </vt:variant>
      <vt:variant>
        <vt:i4>2162757</vt:i4>
      </vt:variant>
      <vt:variant>
        <vt:i4>27</vt:i4>
      </vt:variant>
      <vt:variant>
        <vt:i4>0</vt:i4>
      </vt:variant>
      <vt:variant>
        <vt:i4>5</vt:i4>
      </vt:variant>
      <vt:variant>
        <vt:lpwstr>https://clientconnection.worldbank.org/servlet/secmainssl?Columns=TITLE&amp;ContentType=IT_MiscContent&amp;Lang=all&amp;Rows=100&amp;SType=External&amp;Status=Live&amp;theSitePK=257204&amp;piPK=63000616&amp;pagePK=63000604&amp;menuPK=256574&amp;highlightIndex=5&amp;Context=Disbursements</vt:lpwstr>
      </vt:variant>
      <vt:variant>
        <vt:lpwstr/>
      </vt:variant>
      <vt:variant>
        <vt:i4>7471159</vt:i4>
      </vt:variant>
      <vt:variant>
        <vt:i4>24</vt:i4>
      </vt:variant>
      <vt:variant>
        <vt:i4>0</vt:i4>
      </vt:variant>
      <vt:variant>
        <vt:i4>5</vt:i4>
      </vt:variant>
      <vt:variant>
        <vt:lpwstr>http://web.worldbank.org/WBSITE/EXTERNAL/PROJECTS/PROCUREMENT/0,,contentMDK:20060840~pagePK:84269~piPK:60001558~theSitePK:84266,00.html</vt:lpwstr>
      </vt:variant>
      <vt:variant>
        <vt:lpwstr/>
      </vt:variant>
      <vt:variant>
        <vt:i4>5046373</vt:i4>
      </vt:variant>
      <vt:variant>
        <vt:i4>21</vt:i4>
      </vt:variant>
      <vt:variant>
        <vt:i4>0</vt:i4>
      </vt:variant>
      <vt:variant>
        <vt:i4>5</vt:i4>
      </vt:variant>
      <vt:variant>
        <vt:lpwstr>http://web.ifac.org/download/2009_Auditing_Handbook_A032_ISA_580.pdf</vt:lpwstr>
      </vt:variant>
      <vt:variant>
        <vt:lpwstr/>
      </vt:variant>
      <vt:variant>
        <vt:i4>4980844</vt:i4>
      </vt:variant>
      <vt:variant>
        <vt:i4>18</vt:i4>
      </vt:variant>
      <vt:variant>
        <vt:i4>0</vt:i4>
      </vt:variant>
      <vt:variant>
        <vt:i4>5</vt:i4>
      </vt:variant>
      <vt:variant>
        <vt:lpwstr>http://web.ifac.org/download/2009_Auditing_Handbook_A020_ISA_402.pdf</vt:lpwstr>
      </vt:variant>
      <vt:variant>
        <vt:lpwstr/>
      </vt:variant>
      <vt:variant>
        <vt:i4>4194412</vt:i4>
      </vt:variant>
      <vt:variant>
        <vt:i4>15</vt:i4>
      </vt:variant>
      <vt:variant>
        <vt:i4>0</vt:i4>
      </vt:variant>
      <vt:variant>
        <vt:i4>5</vt:i4>
      </vt:variant>
      <vt:variant>
        <vt:lpwstr>http://web.ifac.org/download/2009_Auditing_Handbook_A019_ISA_330.pdf</vt:lpwstr>
      </vt:variant>
      <vt:variant>
        <vt:lpwstr/>
      </vt:variant>
      <vt:variant>
        <vt:i4>4718697</vt:i4>
      </vt:variant>
      <vt:variant>
        <vt:i4>12</vt:i4>
      </vt:variant>
      <vt:variant>
        <vt:i4>0</vt:i4>
      </vt:variant>
      <vt:variant>
        <vt:i4>5</vt:i4>
      </vt:variant>
      <vt:variant>
        <vt:lpwstr>http://web.ifac.org/download/2009_Auditing_Handbook_A015_ISA_265.pdf</vt:lpwstr>
      </vt:variant>
      <vt:variant>
        <vt:lpwstr/>
      </vt:variant>
      <vt:variant>
        <vt:i4>4915306</vt:i4>
      </vt:variant>
      <vt:variant>
        <vt:i4>9</vt:i4>
      </vt:variant>
      <vt:variant>
        <vt:i4>0</vt:i4>
      </vt:variant>
      <vt:variant>
        <vt:i4>5</vt:i4>
      </vt:variant>
      <vt:variant>
        <vt:lpwstr>http://web.ifac.org/download/2009_Auditing_Handbook_A013_ISA_250.pdf</vt:lpwstr>
      </vt:variant>
      <vt:variant>
        <vt:lpwstr/>
      </vt:variant>
      <vt:variant>
        <vt:i4>4915306</vt:i4>
      </vt:variant>
      <vt:variant>
        <vt:i4>6</vt:i4>
      </vt:variant>
      <vt:variant>
        <vt:i4>0</vt:i4>
      </vt:variant>
      <vt:variant>
        <vt:i4>5</vt:i4>
      </vt:variant>
      <vt:variant>
        <vt:lpwstr>http://web.ifac.org/download/2009_Auditing_Handbook_A013_ISA_250.pdf</vt:lpwstr>
      </vt:variant>
      <vt:variant>
        <vt:lpwstr/>
      </vt:variant>
      <vt:variant>
        <vt:i4>4849771</vt:i4>
      </vt:variant>
      <vt:variant>
        <vt:i4>3</vt:i4>
      </vt:variant>
      <vt:variant>
        <vt:i4>0</vt:i4>
      </vt:variant>
      <vt:variant>
        <vt:i4>5</vt:i4>
      </vt:variant>
      <vt:variant>
        <vt:lpwstr>http://web.ifac.org/download/2009_Auditing_Handbook_A012_ISA_240.pdf</vt:lpwstr>
      </vt:variant>
      <vt:variant>
        <vt:lpwstr/>
      </vt:variant>
      <vt:variant>
        <vt:i4>6684789</vt:i4>
      </vt:variant>
      <vt:variant>
        <vt:i4>0</vt:i4>
      </vt:variant>
      <vt:variant>
        <vt:i4>0</vt:i4>
      </vt:variant>
      <vt:variant>
        <vt:i4>5</vt:i4>
      </vt:variant>
      <vt:variant>
        <vt:lpwstr>http://www.ifac.org/Members/DownLoads/2009-handbook-of-internatio-1.pdf</vt:lpwstr>
      </vt:variant>
      <vt:variant>
        <vt:lpwstr/>
      </vt:variant>
      <vt:variant>
        <vt:i4>983120</vt:i4>
      </vt:variant>
      <vt:variant>
        <vt:i4>6</vt:i4>
      </vt:variant>
      <vt:variant>
        <vt:i4>0</vt:i4>
      </vt:variant>
      <vt:variant>
        <vt:i4>5</vt:i4>
      </vt:variant>
      <vt:variant>
        <vt:lpwstr>http://web.worldbank.org/WBSITE/EXTERNAL/PROJECTS/PROCUREMENT/0,,contentMDK:20060656~menuPK:93977~pagePK:84269~piPK:60001558~theSitePK:84266,00.html?</vt:lpwstr>
      </vt:variant>
      <vt:variant>
        <vt:lpwstr/>
      </vt:variant>
      <vt:variant>
        <vt:i4>7471159</vt:i4>
      </vt:variant>
      <vt:variant>
        <vt:i4>3</vt:i4>
      </vt:variant>
      <vt:variant>
        <vt:i4>0</vt:i4>
      </vt:variant>
      <vt:variant>
        <vt:i4>5</vt:i4>
      </vt:variant>
      <vt:variant>
        <vt:lpwstr>http://web.worldbank.org/WBSITE/EXTERNAL/PROJECTS/PROCUREMENT/0,,contentMDK:20060840~pagePK:84269~piPK:60001558~theSitePK:84266,00.html</vt:lpwstr>
      </vt:variant>
      <vt:variant>
        <vt:lpwstr/>
      </vt:variant>
      <vt:variant>
        <vt:i4>4784239</vt:i4>
      </vt:variant>
      <vt:variant>
        <vt:i4>0</vt:i4>
      </vt:variant>
      <vt:variant>
        <vt:i4>0</vt:i4>
      </vt:variant>
      <vt:variant>
        <vt:i4>5</vt:i4>
      </vt:variant>
      <vt:variant>
        <vt:lpwstr>http://web.ifac.org/download/2009_Auditing_Handbook_A035_ISA_620.pdf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Milos Djordjevic</dc:creator>
  <cp:keywords/>
  <cp:lastModifiedBy>Verica Ignjatović</cp:lastModifiedBy>
  <cp:revision>3</cp:revision>
  <cp:lastPrinted>2010-09-13T09:00:00Z</cp:lastPrinted>
  <dcterms:created xsi:type="dcterms:W3CDTF">2023-12-13T07:53:00Z</dcterms:created>
  <dcterms:modified xsi:type="dcterms:W3CDTF">2023-12-13T07:55:00Z</dcterms:modified>
</cp:coreProperties>
</file>