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FB" w:rsidRPr="00827818" w:rsidRDefault="00891060" w:rsidP="006369D8">
      <w:pPr>
        <w:pStyle w:val="Bullet1"/>
        <w:spacing w:before="0" w:after="0" w:line="240" w:lineRule="auto"/>
        <w:ind w:left="0" w:firstLine="720"/>
        <w:jc w:val="both"/>
        <w:rPr>
          <w:rFonts w:ascii="Times New Roman" w:hAnsi="Times New Roman" w:cs="Times New Roman"/>
          <w:sz w:val="24"/>
          <w:szCs w:val="24"/>
          <w:lang w:val="sr-Cyrl-CS"/>
        </w:rPr>
      </w:pPr>
      <w:bookmarkStart w:id="0" w:name="_Hlk88648878"/>
      <w:r w:rsidRPr="00827818">
        <w:rPr>
          <w:rFonts w:ascii="Times New Roman" w:hAnsi="Times New Roman" w:cs="Times New Roman"/>
          <w:sz w:val="24"/>
          <w:szCs w:val="24"/>
          <w:lang w:val="sr-Cyrl-CS"/>
        </w:rPr>
        <w:t>На основу члана 38. став 1. Закона о планском систему Републике Србије („Службени гласник РС</w:t>
      </w:r>
      <w:r w:rsidR="00824E47" w:rsidRPr="00827818">
        <w:rPr>
          <w:rFonts w:ascii="Times New Roman" w:hAnsi="Times New Roman" w:cs="Times New Roman"/>
          <w:sz w:val="24"/>
          <w:szCs w:val="24"/>
          <w:lang w:val="sr-Cyrl-CS"/>
        </w:rPr>
        <w:t>”</w:t>
      </w:r>
      <w:r w:rsidRPr="00827818">
        <w:rPr>
          <w:rFonts w:ascii="Times New Roman" w:hAnsi="Times New Roman" w:cs="Times New Roman"/>
          <w:sz w:val="24"/>
          <w:szCs w:val="24"/>
          <w:lang w:val="sr-Cyrl-CS"/>
        </w:rPr>
        <w:t>, број 30/18)</w:t>
      </w:r>
      <w:r w:rsidR="00D35A68" w:rsidRPr="00827818">
        <w:rPr>
          <w:rFonts w:ascii="Times New Roman" w:hAnsi="Times New Roman" w:cs="Times New Roman"/>
          <w:sz w:val="24"/>
          <w:szCs w:val="24"/>
          <w:lang w:val="sr-Cyrl-CS"/>
        </w:rPr>
        <w:t xml:space="preserve"> </w:t>
      </w:r>
      <w:r w:rsidR="006369D8" w:rsidRPr="00827818">
        <w:rPr>
          <w:rFonts w:ascii="Times New Roman" w:hAnsi="Times New Roman" w:cs="Times New Roman"/>
          <w:sz w:val="24"/>
          <w:szCs w:val="24"/>
          <w:lang w:val="sr-Cyrl-CS"/>
        </w:rPr>
        <w:t>и чланa</w:t>
      </w:r>
      <w:r w:rsidR="00D35A68" w:rsidRPr="00827818">
        <w:rPr>
          <w:rFonts w:ascii="Times New Roman" w:hAnsi="Times New Roman" w:cs="Times New Roman"/>
          <w:sz w:val="24"/>
          <w:szCs w:val="24"/>
          <w:lang w:val="sr-Cyrl-CS"/>
        </w:rPr>
        <w:t xml:space="preserve"> </w:t>
      </w:r>
      <w:r w:rsidR="00F64EEE" w:rsidRPr="00827818">
        <w:rPr>
          <w:rFonts w:ascii="Times New Roman" w:hAnsi="Times New Roman" w:cs="Times New Roman"/>
          <w:sz w:val="24"/>
          <w:szCs w:val="24"/>
          <w:lang w:val="sr-Cyrl-CS"/>
        </w:rPr>
        <w:t>17</w:t>
      </w:r>
      <w:r w:rsidR="006369D8" w:rsidRPr="00827818">
        <w:rPr>
          <w:rFonts w:ascii="Times New Roman" w:hAnsi="Times New Roman" w:cs="Times New Roman"/>
          <w:sz w:val="24"/>
          <w:szCs w:val="24"/>
          <w:lang w:val="sr-Cyrl-CS"/>
        </w:rPr>
        <w:t>. став 1.</w:t>
      </w:r>
      <w:r w:rsidR="00F64EEE" w:rsidRPr="00827818">
        <w:rPr>
          <w:rFonts w:ascii="Times New Roman" w:hAnsi="Times New Roman" w:cs="Times New Roman"/>
          <w:sz w:val="24"/>
          <w:szCs w:val="24"/>
          <w:lang w:val="sr-Cyrl-CS"/>
        </w:rPr>
        <w:t xml:space="preserve"> и </w:t>
      </w:r>
      <w:r w:rsidR="006369D8" w:rsidRPr="00827818">
        <w:rPr>
          <w:rFonts w:ascii="Times New Roman" w:hAnsi="Times New Roman" w:cs="Times New Roman"/>
          <w:sz w:val="24"/>
          <w:szCs w:val="24"/>
          <w:lang w:val="sr-Cyrl-CS"/>
        </w:rPr>
        <w:t xml:space="preserve">члана </w:t>
      </w:r>
      <w:r w:rsidR="00C451CC" w:rsidRPr="00827818">
        <w:rPr>
          <w:rFonts w:ascii="Times New Roman" w:hAnsi="Times New Roman" w:cs="Times New Roman"/>
          <w:sz w:val="24"/>
          <w:szCs w:val="24"/>
          <w:lang w:val="sr-Cyrl-CS"/>
        </w:rPr>
        <w:t>43</w:t>
      </w:r>
      <w:r w:rsidR="006369D8" w:rsidRPr="00827818">
        <w:rPr>
          <w:rFonts w:ascii="Times New Roman" w:hAnsi="Times New Roman" w:cs="Times New Roman"/>
          <w:sz w:val="24"/>
          <w:szCs w:val="24"/>
          <w:lang w:val="sr-Cyrl-CS"/>
        </w:rPr>
        <w:t>.</w:t>
      </w:r>
      <w:r w:rsidR="00D35A68" w:rsidRPr="00827818">
        <w:rPr>
          <w:rFonts w:ascii="Times New Roman" w:hAnsi="Times New Roman" w:cs="Times New Roman"/>
          <w:sz w:val="24"/>
          <w:szCs w:val="24"/>
          <w:lang w:val="sr-Cyrl-CS"/>
        </w:rPr>
        <w:t xml:space="preserve"> став 1. Закона о Влади („Службени </w:t>
      </w:r>
      <w:r w:rsidR="006369D8" w:rsidRPr="00827818">
        <w:rPr>
          <w:rFonts w:ascii="Times New Roman" w:hAnsi="Times New Roman" w:cs="Times New Roman"/>
          <w:sz w:val="24"/>
          <w:szCs w:val="24"/>
          <w:lang w:val="sr-Cyrl-CS"/>
        </w:rPr>
        <w:t>гласник РС”, бр. 55/05, 71/05-</w:t>
      </w:r>
      <w:r w:rsidR="00D35A68" w:rsidRPr="00827818">
        <w:rPr>
          <w:rFonts w:ascii="Times New Roman" w:hAnsi="Times New Roman" w:cs="Times New Roman"/>
          <w:sz w:val="24"/>
          <w:szCs w:val="24"/>
          <w:lang w:val="sr-Cyrl-CS"/>
        </w:rPr>
        <w:t>исправка</w:t>
      </w:r>
      <w:r w:rsidR="006369D8" w:rsidRPr="00827818">
        <w:rPr>
          <w:rFonts w:ascii="Times New Roman" w:hAnsi="Times New Roman" w:cs="Times New Roman"/>
          <w:sz w:val="24"/>
          <w:szCs w:val="24"/>
          <w:lang w:val="sr-Cyrl-CS"/>
        </w:rPr>
        <w:t>, 101/07, 65/08, 16/11, 68/12-УС, 72/12, 7/14-УС, 44/14 и 30/18-</w:t>
      </w:r>
      <w:r w:rsidR="00D35A68" w:rsidRPr="00827818">
        <w:rPr>
          <w:rFonts w:ascii="Times New Roman" w:hAnsi="Times New Roman" w:cs="Times New Roman"/>
          <w:sz w:val="24"/>
          <w:szCs w:val="24"/>
          <w:lang w:val="sr-Cyrl-CS"/>
        </w:rPr>
        <w:t>др. закон),</w:t>
      </w:r>
    </w:p>
    <w:p w:rsidR="00891060" w:rsidRPr="00827818" w:rsidRDefault="002651BF" w:rsidP="0001141D">
      <w:pPr>
        <w:pStyle w:val="Bullet1"/>
        <w:spacing w:before="0" w:after="0" w:line="240" w:lineRule="auto"/>
        <w:ind w:left="0" w:firstLine="720"/>
        <w:rPr>
          <w:rFonts w:ascii="Times New Roman" w:hAnsi="Times New Roman" w:cs="Times New Roman"/>
          <w:sz w:val="24"/>
          <w:szCs w:val="24"/>
          <w:lang w:val="sr-Cyrl-CS"/>
        </w:rPr>
      </w:pPr>
      <w:r w:rsidRPr="00827818">
        <w:rPr>
          <w:rFonts w:ascii="Times New Roman" w:hAnsi="Times New Roman" w:cs="Times New Roman"/>
          <w:sz w:val="24"/>
          <w:szCs w:val="24"/>
          <w:lang w:val="sr-Cyrl-CS"/>
        </w:rPr>
        <w:t>Влада доноси</w:t>
      </w:r>
    </w:p>
    <w:p w:rsidR="006369D8" w:rsidRPr="00827818" w:rsidRDefault="006369D8" w:rsidP="0001141D">
      <w:pPr>
        <w:pStyle w:val="Bullet1"/>
        <w:spacing w:before="0" w:after="0" w:line="240" w:lineRule="auto"/>
        <w:ind w:left="0" w:firstLine="720"/>
        <w:rPr>
          <w:rFonts w:ascii="Times New Roman" w:hAnsi="Times New Roman" w:cs="Times New Roman"/>
          <w:sz w:val="24"/>
          <w:szCs w:val="24"/>
          <w:lang w:val="sr-Cyrl-CS"/>
        </w:rPr>
      </w:pPr>
    </w:p>
    <w:p w:rsidR="00891060" w:rsidRPr="00827818" w:rsidRDefault="00891060" w:rsidP="0001141D">
      <w:pPr>
        <w:pStyle w:val="Bullet1"/>
        <w:spacing w:before="0" w:after="0" w:line="240" w:lineRule="auto"/>
        <w:ind w:left="0" w:firstLine="1440"/>
        <w:rPr>
          <w:rFonts w:ascii="Times New Roman" w:hAnsi="Times New Roman" w:cs="Times New Roman"/>
          <w:sz w:val="24"/>
          <w:szCs w:val="24"/>
          <w:lang w:val="sr-Cyrl-CS"/>
        </w:rPr>
      </w:pPr>
    </w:p>
    <w:p w:rsidR="00891060" w:rsidRPr="00827818" w:rsidRDefault="00727B0C" w:rsidP="00727B0C">
      <w:pPr>
        <w:spacing w:after="0" w:line="240" w:lineRule="auto"/>
        <w:jc w:val="center"/>
        <w:rPr>
          <w:rFonts w:ascii="Times New Roman" w:hAnsi="Times New Roman" w:cs="Times New Roman"/>
          <w:sz w:val="24"/>
          <w:szCs w:val="24"/>
          <w:lang w:val="sr-Cyrl-CS"/>
        </w:rPr>
      </w:pPr>
      <w:r w:rsidRPr="00827818">
        <w:rPr>
          <w:rFonts w:ascii="Times New Roman" w:hAnsi="Times New Roman" w:cs="Times New Roman"/>
          <w:sz w:val="24"/>
          <w:szCs w:val="24"/>
          <w:lang w:val="sr-Cyrl-CS"/>
        </w:rPr>
        <w:t>О</w:t>
      </w:r>
      <w:r w:rsidR="00674DB5"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Д</w:t>
      </w:r>
      <w:r w:rsidR="00674DB5"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Л</w:t>
      </w:r>
      <w:r w:rsidR="00674DB5"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У</w:t>
      </w:r>
      <w:r w:rsidR="00674DB5"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К</w:t>
      </w:r>
      <w:r w:rsidR="00674DB5"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У</w:t>
      </w:r>
    </w:p>
    <w:p w:rsidR="00D71B74" w:rsidRPr="00827818" w:rsidRDefault="00727B0C" w:rsidP="00D71B74">
      <w:pPr>
        <w:spacing w:line="240" w:lineRule="auto"/>
        <w:jc w:val="center"/>
        <w:rPr>
          <w:rFonts w:ascii="Times New Roman" w:hAnsi="Times New Roman" w:cs="Times New Roman"/>
          <w:bCs/>
          <w:sz w:val="24"/>
          <w:szCs w:val="24"/>
          <w:lang w:val="sr-Cyrl-CS"/>
        </w:rPr>
      </w:pPr>
      <w:r w:rsidRPr="00827818">
        <w:rPr>
          <w:rFonts w:ascii="Times New Roman" w:hAnsi="Times New Roman" w:cs="Times New Roman"/>
          <w:bCs/>
          <w:sz w:val="24"/>
          <w:szCs w:val="24"/>
          <w:lang w:val="sr-Cyrl-CS"/>
        </w:rPr>
        <w:t xml:space="preserve">О </w:t>
      </w:r>
      <w:r w:rsidR="003F2C15" w:rsidRPr="00827818">
        <w:rPr>
          <w:rFonts w:ascii="Times New Roman" w:hAnsi="Times New Roman" w:cs="Times New Roman"/>
          <w:bCs/>
          <w:sz w:val="24"/>
          <w:szCs w:val="24"/>
          <w:lang w:val="sr-Cyrl-CS"/>
        </w:rPr>
        <w:t>ИЗМЕН</w:t>
      </w:r>
      <w:r w:rsidRPr="00827818">
        <w:rPr>
          <w:rFonts w:ascii="Times New Roman" w:hAnsi="Times New Roman" w:cs="Times New Roman"/>
          <w:bCs/>
          <w:sz w:val="24"/>
          <w:szCs w:val="24"/>
          <w:lang w:val="sr-Cyrl-CS"/>
        </w:rPr>
        <w:t>АМА</w:t>
      </w:r>
      <w:r w:rsidR="003F2C15" w:rsidRPr="00827818">
        <w:rPr>
          <w:rFonts w:ascii="Times New Roman" w:hAnsi="Times New Roman" w:cs="Times New Roman"/>
          <w:bCs/>
          <w:sz w:val="24"/>
          <w:szCs w:val="24"/>
          <w:lang w:val="sr-Cyrl-CS"/>
        </w:rPr>
        <w:t xml:space="preserve"> И ДОПУН</w:t>
      </w:r>
      <w:r w:rsidRPr="00827818">
        <w:rPr>
          <w:rFonts w:ascii="Times New Roman" w:hAnsi="Times New Roman" w:cs="Times New Roman"/>
          <w:bCs/>
          <w:sz w:val="24"/>
          <w:szCs w:val="24"/>
          <w:lang w:val="sr-Cyrl-CS"/>
        </w:rPr>
        <w:t>АМА</w:t>
      </w:r>
      <w:r w:rsidR="00891060" w:rsidRPr="00827818">
        <w:rPr>
          <w:rFonts w:ascii="Times New Roman" w:hAnsi="Times New Roman" w:cs="Times New Roman"/>
          <w:bCs/>
          <w:sz w:val="24"/>
          <w:szCs w:val="24"/>
          <w:lang w:val="sr-Cyrl-CS"/>
        </w:rPr>
        <w:t xml:space="preserve"> </w:t>
      </w:r>
      <w:bookmarkStart w:id="1" w:name="_Toc66194786"/>
      <w:bookmarkStart w:id="2" w:name="_Toc72488780"/>
      <w:bookmarkEnd w:id="0"/>
      <w:r w:rsidR="00D71B74" w:rsidRPr="00827818">
        <w:rPr>
          <w:rFonts w:ascii="Times New Roman" w:hAnsi="Times New Roman" w:cs="Times New Roman"/>
          <w:bCs/>
          <w:sz w:val="24"/>
          <w:szCs w:val="24"/>
          <w:lang w:val="sr-Cyrl-CS"/>
        </w:rPr>
        <w:t xml:space="preserve">ПРОГРАМА РЕФОРМЕ УПРАВЉАЊА ЈАВНИМ             ФИНАНСИЈАМА </w:t>
      </w:r>
      <w:r w:rsidR="009B4EFB" w:rsidRPr="00827818">
        <w:rPr>
          <w:rFonts w:ascii="Times New Roman" w:hAnsi="Times New Roman" w:cs="Times New Roman"/>
          <w:bCs/>
          <w:sz w:val="24"/>
          <w:szCs w:val="24"/>
          <w:lang w:val="sr-Cyrl-CS"/>
        </w:rPr>
        <w:t xml:space="preserve">ЗА ПЕРИОД </w:t>
      </w:r>
      <w:r w:rsidR="00D71B74" w:rsidRPr="00827818">
        <w:rPr>
          <w:rFonts w:ascii="Times New Roman" w:hAnsi="Times New Roman" w:cs="Times New Roman"/>
          <w:bCs/>
          <w:sz w:val="24"/>
          <w:szCs w:val="24"/>
          <w:lang w:val="sr-Cyrl-CS"/>
        </w:rPr>
        <w:t>2021</w:t>
      </w:r>
      <w:r w:rsidR="006369D8" w:rsidRPr="00827818">
        <w:rPr>
          <w:rFonts w:ascii="Times New Roman" w:hAnsi="Times New Roman" w:cs="Times New Roman"/>
          <w:bCs/>
          <w:sz w:val="24"/>
          <w:szCs w:val="24"/>
          <w:lang w:val="sr-Cyrl-CS"/>
        </w:rPr>
        <w:t xml:space="preserve"> -</w:t>
      </w:r>
      <w:r w:rsidR="00F2290C" w:rsidRPr="00827818">
        <w:rPr>
          <w:rFonts w:ascii="Times New Roman" w:hAnsi="Times New Roman" w:cs="Times New Roman"/>
          <w:bCs/>
          <w:sz w:val="24"/>
          <w:szCs w:val="24"/>
          <w:lang w:val="sr-Cyrl-CS"/>
        </w:rPr>
        <w:t xml:space="preserve"> </w:t>
      </w:r>
      <w:r w:rsidR="00D71B74" w:rsidRPr="00827818">
        <w:rPr>
          <w:rFonts w:ascii="Times New Roman" w:hAnsi="Times New Roman" w:cs="Times New Roman"/>
          <w:bCs/>
          <w:sz w:val="24"/>
          <w:szCs w:val="24"/>
          <w:lang w:val="sr-Cyrl-CS"/>
        </w:rPr>
        <w:t>2025</w:t>
      </w:r>
      <w:bookmarkEnd w:id="1"/>
      <w:bookmarkEnd w:id="2"/>
      <w:r w:rsidR="009B4EFB" w:rsidRPr="00827818">
        <w:rPr>
          <w:rFonts w:ascii="Times New Roman" w:hAnsi="Times New Roman" w:cs="Times New Roman"/>
          <w:bCs/>
          <w:sz w:val="24"/>
          <w:szCs w:val="24"/>
          <w:lang w:val="sr-Cyrl-CS"/>
        </w:rPr>
        <w:t>. ГОД</w:t>
      </w:r>
      <w:r w:rsidR="00E103AD" w:rsidRPr="00827818">
        <w:rPr>
          <w:rFonts w:ascii="Times New Roman" w:hAnsi="Times New Roman" w:cs="Times New Roman"/>
          <w:bCs/>
          <w:sz w:val="24"/>
          <w:szCs w:val="24"/>
          <w:lang w:val="sr-Cyrl-CS"/>
        </w:rPr>
        <w:t>И</w:t>
      </w:r>
      <w:r w:rsidR="009B4EFB" w:rsidRPr="00827818">
        <w:rPr>
          <w:rFonts w:ascii="Times New Roman" w:hAnsi="Times New Roman" w:cs="Times New Roman"/>
          <w:bCs/>
          <w:sz w:val="24"/>
          <w:szCs w:val="24"/>
          <w:lang w:val="sr-Cyrl-CS"/>
        </w:rPr>
        <w:t>НЕ</w:t>
      </w:r>
      <w:r w:rsidR="006656EA" w:rsidRPr="00827818">
        <w:rPr>
          <w:rFonts w:ascii="Times New Roman" w:hAnsi="Times New Roman" w:cs="Times New Roman"/>
          <w:bCs/>
          <w:sz w:val="24"/>
          <w:szCs w:val="24"/>
          <w:lang w:val="sr-Cyrl-CS"/>
        </w:rPr>
        <w:t xml:space="preserve"> </w:t>
      </w:r>
    </w:p>
    <w:p w:rsidR="007C3D82" w:rsidRPr="00827818" w:rsidRDefault="007C3D82" w:rsidP="006E5599">
      <w:pPr>
        <w:spacing w:after="0" w:line="240" w:lineRule="auto"/>
        <w:jc w:val="both"/>
        <w:rPr>
          <w:rFonts w:ascii="Times New Roman" w:hAnsi="Times New Roman" w:cs="Times New Roman"/>
          <w:sz w:val="24"/>
          <w:szCs w:val="24"/>
          <w:lang w:val="sr-Cyrl-CS" w:eastAsia="en-GB"/>
        </w:rPr>
      </w:pPr>
    </w:p>
    <w:p w:rsidR="003E28E7" w:rsidRPr="00827818" w:rsidRDefault="0014438E" w:rsidP="0014438E">
      <w:pPr>
        <w:pStyle w:val="ListParagraph"/>
        <w:spacing w:after="0"/>
        <w:ind w:left="0"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1. </w:t>
      </w:r>
      <w:r w:rsidR="003E28E7" w:rsidRPr="00827818">
        <w:rPr>
          <w:rFonts w:ascii="Times New Roman" w:hAnsi="Times New Roman" w:cs="Times New Roman"/>
          <w:sz w:val="24"/>
          <w:szCs w:val="24"/>
          <w:lang w:val="sr-Cyrl-CS" w:eastAsia="en-GB"/>
        </w:rPr>
        <w:t>У Програму реформе управљања</w:t>
      </w:r>
      <w:r w:rsidR="006369D8" w:rsidRPr="00827818">
        <w:rPr>
          <w:rFonts w:ascii="Times New Roman" w:hAnsi="Times New Roman" w:cs="Times New Roman"/>
          <w:sz w:val="24"/>
          <w:szCs w:val="24"/>
          <w:lang w:val="sr-Cyrl-CS" w:eastAsia="en-GB"/>
        </w:rPr>
        <w:t xml:space="preserve"> јавним финансијама за период 2021 -</w:t>
      </w:r>
      <w:r w:rsidR="003E28E7" w:rsidRPr="00827818">
        <w:rPr>
          <w:rFonts w:ascii="Times New Roman" w:hAnsi="Times New Roman" w:cs="Times New Roman"/>
          <w:sz w:val="24"/>
          <w:szCs w:val="24"/>
          <w:lang w:val="sr-Cyrl-CS" w:eastAsia="en-GB"/>
        </w:rPr>
        <w:t xml:space="preserve"> 2025. године  („Службени гласник РСˮ, бр</w:t>
      </w:r>
      <w:r w:rsidR="006369D8" w:rsidRPr="00827818">
        <w:rPr>
          <w:rFonts w:ascii="Times New Roman" w:hAnsi="Times New Roman" w:cs="Times New Roman"/>
          <w:sz w:val="24"/>
          <w:szCs w:val="24"/>
          <w:lang w:val="sr-Cyrl-CS" w:eastAsia="en-GB"/>
        </w:rPr>
        <w:t>ој 70/21</w:t>
      </w:r>
      <w:r w:rsidR="003841B8" w:rsidRPr="00827818">
        <w:rPr>
          <w:rFonts w:ascii="Times New Roman" w:hAnsi="Times New Roman" w:cs="Times New Roman"/>
          <w:sz w:val="24"/>
          <w:szCs w:val="24"/>
          <w:lang w:val="sr-Cyrl-CS" w:eastAsia="en-GB"/>
        </w:rPr>
        <w:t>), I Део, у оквиру одељка Веза П</w:t>
      </w:r>
      <w:r w:rsidR="003E28E7" w:rsidRPr="00827818">
        <w:rPr>
          <w:rFonts w:ascii="Times New Roman" w:hAnsi="Times New Roman" w:cs="Times New Roman"/>
          <w:sz w:val="24"/>
          <w:szCs w:val="24"/>
          <w:lang w:val="sr-Cyrl-CS" w:eastAsia="en-GB"/>
        </w:rPr>
        <w:t xml:space="preserve">рограма реформе управљања јавним финансијама са стратешким и законодавним оквиром, међународним стандардима и процесом европских интеграција, </w:t>
      </w:r>
      <w:r w:rsidR="00510522" w:rsidRPr="00827818">
        <w:rPr>
          <w:rFonts w:ascii="Times New Roman" w:hAnsi="Times New Roman" w:cs="Times New Roman"/>
          <w:sz w:val="24"/>
          <w:szCs w:val="24"/>
          <w:lang w:val="sr-Cyrl-CS" w:eastAsia="en-GB"/>
        </w:rPr>
        <w:t>у петом пасусу, прва реченица</w:t>
      </w:r>
      <w:r w:rsidR="003E28E7" w:rsidRPr="00827818">
        <w:rPr>
          <w:rFonts w:ascii="Times New Roman" w:hAnsi="Times New Roman" w:cs="Times New Roman"/>
          <w:sz w:val="24"/>
          <w:szCs w:val="24"/>
          <w:lang w:val="sr-Cyrl-CS" w:eastAsia="en-GB"/>
        </w:rPr>
        <w:t xml:space="preserve"> мења</w:t>
      </w:r>
      <w:r w:rsidR="00510522" w:rsidRPr="00827818">
        <w:rPr>
          <w:rFonts w:ascii="Times New Roman" w:hAnsi="Times New Roman" w:cs="Times New Roman"/>
          <w:sz w:val="24"/>
          <w:szCs w:val="24"/>
          <w:lang w:val="sr-Cyrl-CS" w:eastAsia="en-GB"/>
        </w:rPr>
        <w:t xml:space="preserve"> се</w:t>
      </w:r>
      <w:r w:rsidR="003E28E7" w:rsidRPr="00827818">
        <w:rPr>
          <w:rFonts w:ascii="Times New Roman" w:hAnsi="Times New Roman" w:cs="Times New Roman"/>
          <w:sz w:val="24"/>
          <w:szCs w:val="24"/>
          <w:lang w:val="sr-Cyrl-CS" w:eastAsia="en-GB"/>
        </w:rPr>
        <w:t xml:space="preserve"> и гласи: „За спровођење Стратегије реформе јавне управе Републике Србије, поред ПРУЈФ 2021-2025, израђени су Програм реформе система локалне самоуправе за период од 2021. до 2025. године и Програм унапређења управљања јавним политикама и регулаторне реформе за период од 2021. до 2025. </w:t>
      </w:r>
      <w:r w:rsidR="00510522" w:rsidRPr="00827818">
        <w:rPr>
          <w:rFonts w:ascii="Times New Roman" w:hAnsi="Times New Roman" w:cs="Times New Roman"/>
          <w:sz w:val="24"/>
          <w:szCs w:val="24"/>
          <w:lang w:val="sr-Cyrl-CS" w:eastAsia="en-GB"/>
        </w:rPr>
        <w:t>г</w:t>
      </w:r>
      <w:r w:rsidR="003E28E7" w:rsidRPr="00827818">
        <w:rPr>
          <w:rFonts w:ascii="Times New Roman" w:hAnsi="Times New Roman" w:cs="Times New Roman"/>
          <w:sz w:val="24"/>
          <w:szCs w:val="24"/>
          <w:lang w:val="sr-Cyrl-CS" w:eastAsia="en-GB"/>
        </w:rPr>
        <w:t>одине</w:t>
      </w:r>
      <w:r w:rsidR="00510522" w:rsidRPr="00827818">
        <w:rPr>
          <w:rFonts w:ascii="Times New Roman" w:hAnsi="Times New Roman" w:cs="Times New Roman"/>
          <w:sz w:val="24"/>
          <w:szCs w:val="24"/>
          <w:lang w:val="sr-Cyrl-CS" w:eastAsia="en-GB"/>
        </w:rPr>
        <w:t>.</w:t>
      </w:r>
      <w:r w:rsidR="006369D8" w:rsidRPr="00827818">
        <w:rPr>
          <w:rFonts w:ascii="Times New Roman" w:hAnsi="Times New Roman" w:cs="Times New Roman"/>
          <w:sz w:val="24"/>
          <w:szCs w:val="24"/>
          <w:lang w:val="sr-Cyrl-CS" w:eastAsia="en-GB"/>
        </w:rPr>
        <w:t>”</w:t>
      </w:r>
      <w:r w:rsidR="003E28E7" w:rsidRPr="00827818">
        <w:rPr>
          <w:rFonts w:ascii="Times New Roman" w:hAnsi="Times New Roman" w:cs="Times New Roman"/>
          <w:sz w:val="24"/>
          <w:szCs w:val="24"/>
          <w:lang w:val="sr-Cyrl-CS" w:eastAsia="en-GB"/>
        </w:rPr>
        <w:t>.</w:t>
      </w:r>
    </w:p>
    <w:p w:rsidR="00302461" w:rsidRPr="00827818" w:rsidRDefault="0014438E" w:rsidP="0014438E">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2. </w:t>
      </w:r>
      <w:r w:rsidR="00580E34" w:rsidRPr="00827818">
        <w:rPr>
          <w:rFonts w:ascii="Times New Roman" w:hAnsi="Times New Roman" w:cs="Times New Roman"/>
          <w:sz w:val="24"/>
          <w:szCs w:val="24"/>
          <w:lang w:val="sr-Cyrl-CS" w:eastAsia="en-GB"/>
        </w:rPr>
        <w:t>У</w:t>
      </w:r>
      <w:r w:rsidR="006936A2" w:rsidRPr="00827818">
        <w:rPr>
          <w:rFonts w:ascii="Times New Roman" w:hAnsi="Times New Roman" w:cs="Times New Roman"/>
          <w:sz w:val="24"/>
          <w:szCs w:val="24"/>
          <w:lang w:val="sr-Cyrl-CS" w:eastAsia="en-GB"/>
        </w:rPr>
        <w:t xml:space="preserve"> оквиру одељка Опис постојећег стања: најважнији резултати спроведених реформ</w:t>
      </w:r>
      <w:r w:rsidR="00C74D66" w:rsidRPr="00827818">
        <w:rPr>
          <w:rFonts w:ascii="Times New Roman" w:hAnsi="Times New Roman" w:cs="Times New Roman"/>
          <w:sz w:val="24"/>
          <w:szCs w:val="24"/>
          <w:lang w:val="sr-Cyrl-CS" w:eastAsia="en-GB"/>
        </w:rPr>
        <w:t>ских мера у периоду 2016-2020. г</w:t>
      </w:r>
      <w:r w:rsidR="004A50C6" w:rsidRPr="00827818">
        <w:rPr>
          <w:rFonts w:ascii="Times New Roman" w:hAnsi="Times New Roman" w:cs="Times New Roman"/>
          <w:sz w:val="24"/>
          <w:szCs w:val="24"/>
          <w:lang w:val="sr-Cyrl-CS" w:eastAsia="en-GB"/>
        </w:rPr>
        <w:t>одине, у 10.</w:t>
      </w:r>
      <w:r w:rsidR="006369D8" w:rsidRPr="00827818">
        <w:rPr>
          <w:rFonts w:ascii="Times New Roman" w:hAnsi="Times New Roman" w:cs="Times New Roman"/>
          <w:sz w:val="24"/>
          <w:szCs w:val="24"/>
          <w:lang w:val="sr-Cyrl-CS" w:eastAsia="en-GB"/>
        </w:rPr>
        <w:t xml:space="preserve"> пасусу, друга реченица</w:t>
      </w:r>
      <w:r w:rsidR="006936A2" w:rsidRPr="00827818">
        <w:rPr>
          <w:rFonts w:ascii="Times New Roman" w:hAnsi="Times New Roman" w:cs="Times New Roman"/>
          <w:sz w:val="24"/>
          <w:szCs w:val="24"/>
          <w:lang w:val="sr-Cyrl-CS" w:eastAsia="en-GB"/>
        </w:rPr>
        <w:t xml:space="preserve"> мења </w:t>
      </w:r>
      <w:r w:rsidR="006369D8" w:rsidRPr="00827818">
        <w:rPr>
          <w:rFonts w:ascii="Times New Roman" w:hAnsi="Times New Roman" w:cs="Times New Roman"/>
          <w:sz w:val="24"/>
          <w:szCs w:val="24"/>
          <w:lang w:val="sr-Cyrl-CS" w:eastAsia="en-GB"/>
        </w:rPr>
        <w:t xml:space="preserve">се </w:t>
      </w:r>
      <w:r w:rsidR="006936A2" w:rsidRPr="00827818">
        <w:rPr>
          <w:rFonts w:ascii="Times New Roman" w:hAnsi="Times New Roman" w:cs="Times New Roman"/>
          <w:sz w:val="24"/>
          <w:szCs w:val="24"/>
          <w:lang w:val="sr-Cyrl-CS" w:eastAsia="en-GB"/>
        </w:rPr>
        <w:t>и гласи: „ДРИ, у току рада на повећању транспарентности, на свом сајту објављује велики број информација као што су: Одазивне извештаје субјеката ревизије у складу са обрасцем за Одази</w:t>
      </w:r>
      <w:r w:rsidR="006369D8" w:rsidRPr="00827818">
        <w:rPr>
          <w:rFonts w:ascii="Times New Roman" w:hAnsi="Times New Roman" w:cs="Times New Roman"/>
          <w:sz w:val="24"/>
          <w:szCs w:val="24"/>
          <w:lang w:val="sr-Cyrl-CS" w:eastAsia="en-GB"/>
        </w:rPr>
        <w:t>вни извештај субјеката ревизије</w:t>
      </w:r>
      <w:r w:rsidR="006936A2" w:rsidRPr="00827818">
        <w:rPr>
          <w:rFonts w:ascii="Times New Roman" w:hAnsi="Times New Roman" w:cs="Times New Roman"/>
          <w:sz w:val="24"/>
          <w:szCs w:val="24"/>
          <w:lang w:val="sr-Cyrl-CS" w:eastAsia="en-GB"/>
        </w:rPr>
        <w:t xml:space="preserve">, који садрже утврђене неправилности и предузете мере исправљања од стране субјеката ревизије, односно поступање по препорукама које је дала </w:t>
      </w:r>
      <w:r w:rsidR="00510522" w:rsidRPr="00827818">
        <w:rPr>
          <w:rFonts w:ascii="Times New Roman" w:hAnsi="Times New Roman" w:cs="Times New Roman"/>
          <w:sz w:val="24"/>
          <w:szCs w:val="24"/>
          <w:lang w:val="sr-Cyrl-CS" w:eastAsia="en-GB"/>
        </w:rPr>
        <w:t xml:space="preserve">ДРИ, послеревизионих извештаја </w:t>
      </w:r>
      <w:r w:rsidR="006936A2" w:rsidRPr="00827818">
        <w:rPr>
          <w:rFonts w:ascii="Times New Roman" w:hAnsi="Times New Roman" w:cs="Times New Roman"/>
          <w:sz w:val="24"/>
          <w:szCs w:val="24"/>
          <w:lang w:val="sr-Cyrl-CS" w:eastAsia="en-GB"/>
        </w:rPr>
        <w:t xml:space="preserve">који садрже оцену сваке појединачне мере исправљања, мишљење да ли су мере исправљања задовољавајуће и мишљење да ли субјект ревизије крши обавезу доброг пословања у случају да су мере исправљања незадовољавајуће, а започето је и са новим начином објављивања извештаја о ревизији, где поред сваког извештаја, ДРИ објављује, на интернет страници, и резиме извештаја, ради транспарентнијег, jeднoстaвнијег и рaзумљивијег нaчина презентовања </w:t>
      </w:r>
      <w:r w:rsidR="001F1B81" w:rsidRPr="00827818">
        <w:rPr>
          <w:rFonts w:ascii="Times New Roman" w:hAnsi="Times New Roman" w:cs="Times New Roman"/>
          <w:sz w:val="24"/>
          <w:szCs w:val="24"/>
          <w:lang w:val="sr-Cyrl-CS" w:eastAsia="en-GB"/>
        </w:rPr>
        <w:t>ревизорских препорука јавности</w:t>
      </w:r>
      <w:r w:rsidR="00510522" w:rsidRPr="00827818">
        <w:rPr>
          <w:rFonts w:ascii="Times New Roman" w:hAnsi="Times New Roman" w:cs="Times New Roman"/>
          <w:sz w:val="24"/>
          <w:szCs w:val="24"/>
          <w:lang w:val="sr-Cyrl-CS" w:eastAsia="en-GB"/>
        </w:rPr>
        <w:t>.</w:t>
      </w:r>
      <w:r w:rsidR="006369D8" w:rsidRPr="00827818">
        <w:rPr>
          <w:rFonts w:ascii="Times New Roman" w:hAnsi="Times New Roman" w:cs="Times New Roman"/>
          <w:sz w:val="24"/>
          <w:szCs w:val="24"/>
          <w:lang w:val="sr-Cyrl-CS" w:eastAsia="en-GB"/>
        </w:rPr>
        <w:t>”</w:t>
      </w:r>
      <w:r w:rsidR="006936A2" w:rsidRPr="00827818">
        <w:rPr>
          <w:rFonts w:ascii="Times New Roman" w:hAnsi="Times New Roman" w:cs="Times New Roman"/>
          <w:sz w:val="24"/>
          <w:szCs w:val="24"/>
          <w:lang w:val="sr-Cyrl-CS" w:eastAsia="en-GB"/>
        </w:rPr>
        <w:t>.</w:t>
      </w:r>
      <w:r w:rsidR="006369D8" w:rsidRPr="00827818">
        <w:rPr>
          <w:rFonts w:ascii="Times New Roman" w:hAnsi="Times New Roman" w:cs="Times New Roman"/>
          <w:sz w:val="24"/>
          <w:szCs w:val="24"/>
          <w:lang w:val="sr-Cyrl-CS" w:eastAsia="en-GB"/>
        </w:rPr>
        <w:t xml:space="preserve"> </w:t>
      </w:r>
    </w:p>
    <w:p w:rsidR="006936A2" w:rsidRPr="00827818" w:rsidRDefault="00580E34" w:rsidP="00580E34">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3. </w:t>
      </w:r>
      <w:r w:rsidR="00DF2C8F" w:rsidRPr="00827818">
        <w:rPr>
          <w:rFonts w:ascii="Times New Roman" w:hAnsi="Times New Roman" w:cs="Times New Roman"/>
          <w:sz w:val="24"/>
          <w:szCs w:val="24"/>
          <w:lang w:val="sr-Cyrl-CS" w:eastAsia="en-GB"/>
        </w:rPr>
        <w:t>У II</w:t>
      </w:r>
      <w:r w:rsidR="00123EB7" w:rsidRPr="00827818">
        <w:rPr>
          <w:rFonts w:ascii="Times New Roman" w:hAnsi="Times New Roman" w:cs="Times New Roman"/>
          <w:sz w:val="24"/>
          <w:szCs w:val="24"/>
          <w:lang w:val="sr-Cyrl-CS" w:eastAsia="en-GB"/>
        </w:rPr>
        <w:t xml:space="preserve"> Делу</w:t>
      </w:r>
      <w:r w:rsidR="00DF2C8F" w:rsidRPr="00827818">
        <w:rPr>
          <w:rFonts w:ascii="Times New Roman" w:hAnsi="Times New Roman" w:cs="Times New Roman"/>
          <w:sz w:val="24"/>
          <w:szCs w:val="24"/>
          <w:lang w:val="sr-Cyrl-CS" w:eastAsia="en-GB"/>
        </w:rPr>
        <w:t>,</w:t>
      </w:r>
      <w:r w:rsidR="00DF2C8F" w:rsidRPr="00827818">
        <w:rPr>
          <w:rFonts w:ascii="Times New Roman" w:eastAsiaTheme="minorEastAsia" w:hAnsi="Times New Roman" w:cs="Times New Roman"/>
          <w:sz w:val="24"/>
          <w:szCs w:val="24"/>
          <w:lang w:val="sr-Cyrl-CS"/>
        </w:rPr>
        <w:t xml:space="preserve"> у одељку </w:t>
      </w:r>
      <w:r w:rsidR="00DF2C8F" w:rsidRPr="00827818">
        <w:rPr>
          <w:rFonts w:ascii="Times New Roman" w:hAnsi="Times New Roman" w:cs="Times New Roman"/>
          <w:sz w:val="24"/>
          <w:szCs w:val="24"/>
          <w:lang w:val="sr-Cyrl-CS" w:eastAsia="en-GB"/>
        </w:rPr>
        <w:t xml:space="preserve">Општи и посебни циљеви Програма реформе управљања јавним финансијама 2021-2025, </w:t>
      </w:r>
      <w:r w:rsidR="004A50C6" w:rsidRPr="00827818">
        <w:rPr>
          <w:rFonts w:ascii="Times New Roman" w:hAnsi="Times New Roman" w:cs="Times New Roman"/>
          <w:sz w:val="24"/>
          <w:szCs w:val="24"/>
          <w:lang w:val="sr-Cyrl-CS" w:eastAsia="en-GB"/>
        </w:rPr>
        <w:t xml:space="preserve">у </w:t>
      </w:r>
      <w:r w:rsidRPr="00827818">
        <w:rPr>
          <w:rFonts w:ascii="Times New Roman" w:hAnsi="Times New Roman" w:cs="Times New Roman"/>
          <w:sz w:val="24"/>
          <w:szCs w:val="24"/>
          <w:lang w:val="sr-Cyrl-CS" w:eastAsia="en-GB"/>
        </w:rPr>
        <w:t>првом</w:t>
      </w:r>
      <w:r w:rsidR="00F24A28" w:rsidRPr="00827818">
        <w:rPr>
          <w:rFonts w:ascii="Times New Roman" w:hAnsi="Times New Roman" w:cs="Times New Roman"/>
          <w:sz w:val="24"/>
          <w:szCs w:val="24"/>
          <w:lang w:val="sr-Cyrl-CS" w:eastAsia="en-GB"/>
        </w:rPr>
        <w:t xml:space="preserve"> пасусу</w:t>
      </w:r>
      <w:r w:rsidR="00510522" w:rsidRPr="00827818">
        <w:rPr>
          <w:rFonts w:ascii="Times New Roman" w:hAnsi="Times New Roman" w:cs="Times New Roman"/>
          <w:sz w:val="24"/>
          <w:szCs w:val="24"/>
          <w:lang w:val="sr-Cyrl-CS" w:eastAsia="en-GB"/>
        </w:rPr>
        <w:t>,</w:t>
      </w:r>
      <w:r w:rsidR="00DF2C8F" w:rsidRPr="00827818">
        <w:rPr>
          <w:rFonts w:ascii="Times New Roman" w:hAnsi="Times New Roman" w:cs="Times New Roman"/>
          <w:sz w:val="24"/>
          <w:szCs w:val="24"/>
          <w:lang w:val="sr-Cyrl-CS" w:eastAsia="en-GB"/>
        </w:rPr>
        <w:t xml:space="preserve"> </w:t>
      </w:r>
      <w:r w:rsidR="00F13E43" w:rsidRPr="00827818">
        <w:rPr>
          <w:rFonts w:ascii="Times New Roman" w:hAnsi="Times New Roman" w:cs="Times New Roman"/>
          <w:sz w:val="24"/>
          <w:szCs w:val="24"/>
          <w:lang w:val="sr-Cyrl-CS" w:eastAsia="en-GB"/>
        </w:rPr>
        <w:t xml:space="preserve">друга реченица </w:t>
      </w:r>
      <w:r w:rsidR="00510522" w:rsidRPr="00827818">
        <w:rPr>
          <w:rFonts w:ascii="Times New Roman" w:hAnsi="Times New Roman" w:cs="Times New Roman"/>
          <w:sz w:val="24"/>
          <w:szCs w:val="24"/>
          <w:lang w:val="sr-Cyrl-CS" w:eastAsia="en-GB"/>
        </w:rPr>
        <w:t>мења се и</w:t>
      </w:r>
      <w:r w:rsidR="00DF2C8F" w:rsidRPr="00827818">
        <w:rPr>
          <w:rFonts w:ascii="Times New Roman" w:hAnsi="Times New Roman" w:cs="Times New Roman"/>
          <w:sz w:val="24"/>
          <w:szCs w:val="24"/>
          <w:lang w:val="sr-Cyrl-CS" w:eastAsia="en-GB"/>
        </w:rPr>
        <w:t xml:space="preserve"> гласи: „</w:t>
      </w:r>
      <w:r w:rsidR="00DF2C8F" w:rsidRPr="00827818">
        <w:rPr>
          <w:rFonts w:ascii="Times New Roman" w:eastAsia="Calibri" w:hAnsi="Times New Roman" w:cs="Times New Roman"/>
          <w:sz w:val="24"/>
          <w:szCs w:val="24"/>
          <w:lang w:val="sr-Cyrl-CS"/>
        </w:rPr>
        <w:t>Овај општи циљ повезан је са Стратегијом реформе јавне управе 2021-2030, где ј</w:t>
      </w:r>
      <w:r w:rsidR="00F24A28" w:rsidRPr="00827818">
        <w:rPr>
          <w:rFonts w:ascii="Times New Roman" w:eastAsia="Calibri" w:hAnsi="Times New Roman" w:cs="Times New Roman"/>
          <w:sz w:val="24"/>
          <w:szCs w:val="24"/>
          <w:lang w:val="sr-Cyrl-CS"/>
        </w:rPr>
        <w:t>е представљен као посебан циљ 7.”</w:t>
      </w:r>
      <w:r w:rsidR="00510522" w:rsidRPr="00827818">
        <w:rPr>
          <w:rFonts w:ascii="Times New Roman" w:eastAsia="Calibri" w:hAnsi="Times New Roman" w:cs="Times New Roman"/>
          <w:sz w:val="24"/>
          <w:szCs w:val="24"/>
          <w:lang w:val="sr-Cyrl-CS"/>
        </w:rPr>
        <w:t>, а</w:t>
      </w:r>
      <w:r w:rsidR="00F24A28" w:rsidRPr="00827818">
        <w:rPr>
          <w:rFonts w:ascii="Times New Roman" w:eastAsia="Calibri" w:hAnsi="Times New Roman" w:cs="Times New Roman"/>
          <w:sz w:val="24"/>
          <w:szCs w:val="24"/>
          <w:lang w:val="sr-Cyrl-CS"/>
        </w:rPr>
        <w:t xml:space="preserve"> у </w:t>
      </w:r>
      <w:r w:rsidRPr="00827818">
        <w:rPr>
          <w:rFonts w:ascii="Times New Roman" w:eastAsia="Calibri" w:hAnsi="Times New Roman" w:cs="Times New Roman"/>
          <w:sz w:val="24"/>
          <w:szCs w:val="24"/>
          <w:lang w:val="sr-Cyrl-CS"/>
        </w:rPr>
        <w:t>другом</w:t>
      </w:r>
      <w:r w:rsidR="00302461" w:rsidRPr="00827818">
        <w:rPr>
          <w:rFonts w:ascii="Times New Roman" w:eastAsia="Calibri" w:hAnsi="Times New Roman" w:cs="Times New Roman"/>
          <w:sz w:val="24"/>
          <w:szCs w:val="24"/>
          <w:lang w:val="sr-Cyrl-CS"/>
        </w:rPr>
        <w:t xml:space="preserve"> пасусу</w:t>
      </w:r>
      <w:r w:rsidR="00510522" w:rsidRPr="00827818">
        <w:rPr>
          <w:rFonts w:ascii="Times New Roman" w:eastAsia="Calibri" w:hAnsi="Times New Roman" w:cs="Times New Roman"/>
          <w:sz w:val="24"/>
          <w:szCs w:val="24"/>
          <w:lang w:val="sr-Cyrl-CS"/>
        </w:rPr>
        <w:t xml:space="preserve"> трећа</w:t>
      </w:r>
      <w:r w:rsidR="00DA3C7D" w:rsidRPr="00827818">
        <w:rPr>
          <w:rFonts w:ascii="Times New Roman" w:eastAsia="Calibri" w:hAnsi="Times New Roman" w:cs="Times New Roman"/>
          <w:sz w:val="24"/>
          <w:szCs w:val="24"/>
          <w:lang w:val="sr-Cyrl-CS"/>
        </w:rPr>
        <w:t xml:space="preserve"> алинеја</w:t>
      </w:r>
      <w:r w:rsidR="00510522" w:rsidRPr="00827818">
        <w:rPr>
          <w:rFonts w:ascii="Times New Roman" w:eastAsia="Calibri" w:hAnsi="Times New Roman" w:cs="Times New Roman"/>
          <w:sz w:val="24"/>
          <w:szCs w:val="24"/>
          <w:lang w:val="sr-Cyrl-CS"/>
        </w:rPr>
        <w:t xml:space="preserve"> брише се</w:t>
      </w:r>
      <w:r w:rsidRPr="00827818">
        <w:rPr>
          <w:rFonts w:ascii="Times New Roman" w:eastAsia="Calibri" w:hAnsi="Times New Roman" w:cs="Times New Roman"/>
          <w:sz w:val="24"/>
          <w:szCs w:val="24"/>
          <w:lang w:val="sr-Cyrl-CS"/>
        </w:rPr>
        <w:t>.</w:t>
      </w:r>
      <w:r w:rsidR="00302461" w:rsidRPr="00827818">
        <w:rPr>
          <w:rFonts w:ascii="Times New Roman" w:eastAsia="Calibri" w:hAnsi="Times New Roman" w:cs="Times New Roman"/>
          <w:sz w:val="24"/>
          <w:szCs w:val="24"/>
          <w:lang w:val="sr-Cyrl-CS"/>
        </w:rPr>
        <w:t xml:space="preserve">  </w:t>
      </w:r>
    </w:p>
    <w:p w:rsidR="006936A2" w:rsidRPr="00827818" w:rsidRDefault="00580E34" w:rsidP="00580E34">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4. </w:t>
      </w:r>
      <w:bookmarkStart w:id="3" w:name="_Toc72488795"/>
      <w:r w:rsidRPr="00827818">
        <w:rPr>
          <w:rFonts w:ascii="Times New Roman" w:hAnsi="Times New Roman" w:cs="Times New Roman"/>
          <w:sz w:val="24"/>
          <w:szCs w:val="24"/>
          <w:lang w:val="sr-Cyrl-CS" w:eastAsia="en-GB"/>
        </w:rPr>
        <w:t>У оквиру</w:t>
      </w:r>
      <w:r w:rsidR="001A21FF" w:rsidRPr="00827818">
        <w:rPr>
          <w:rFonts w:ascii="Times New Roman" w:eastAsiaTheme="minorEastAsia" w:hAnsi="Times New Roman" w:cs="Times New Roman"/>
          <w:sz w:val="24"/>
          <w:szCs w:val="24"/>
          <w:lang w:val="sr-Cyrl-CS"/>
        </w:rPr>
        <w:t xml:space="preserve"> </w:t>
      </w:r>
      <w:r w:rsidR="00071822" w:rsidRPr="00827818">
        <w:rPr>
          <w:rFonts w:ascii="Times New Roman" w:hAnsi="Times New Roman" w:cs="Times New Roman"/>
          <w:sz w:val="24"/>
          <w:szCs w:val="24"/>
          <w:lang w:val="sr-Cyrl-CS" w:eastAsia="en-GB"/>
        </w:rPr>
        <w:t>П</w:t>
      </w:r>
      <w:r w:rsidR="001A21FF" w:rsidRPr="00827818">
        <w:rPr>
          <w:rFonts w:ascii="Times New Roman" w:hAnsi="Times New Roman" w:cs="Times New Roman"/>
          <w:sz w:val="24"/>
          <w:szCs w:val="24"/>
          <w:lang w:val="sr-Cyrl-CS" w:eastAsia="en-GB"/>
        </w:rPr>
        <w:t>осебн</w:t>
      </w:r>
      <w:r w:rsidRPr="00827818">
        <w:rPr>
          <w:rFonts w:ascii="Times New Roman" w:hAnsi="Times New Roman" w:cs="Times New Roman"/>
          <w:sz w:val="24"/>
          <w:szCs w:val="24"/>
          <w:lang w:val="sr-Cyrl-CS" w:eastAsia="en-GB"/>
        </w:rPr>
        <w:t>ог</w:t>
      </w:r>
      <w:r w:rsidR="001A21FF" w:rsidRPr="00827818">
        <w:rPr>
          <w:rFonts w:ascii="Times New Roman" w:hAnsi="Times New Roman" w:cs="Times New Roman"/>
          <w:sz w:val="24"/>
          <w:szCs w:val="24"/>
          <w:lang w:val="sr-Cyrl-CS" w:eastAsia="en-GB"/>
        </w:rPr>
        <w:t xml:space="preserve"> циљ</w:t>
      </w:r>
      <w:r w:rsidRPr="00827818">
        <w:rPr>
          <w:rFonts w:ascii="Times New Roman" w:hAnsi="Times New Roman" w:cs="Times New Roman"/>
          <w:sz w:val="24"/>
          <w:szCs w:val="24"/>
          <w:lang w:val="sr-Cyrl-CS" w:eastAsia="en-GB"/>
        </w:rPr>
        <w:t>а</w:t>
      </w:r>
      <w:r w:rsidR="001A21FF" w:rsidRPr="00827818">
        <w:rPr>
          <w:rFonts w:ascii="Times New Roman" w:hAnsi="Times New Roman" w:cs="Times New Roman"/>
          <w:sz w:val="24"/>
          <w:szCs w:val="24"/>
          <w:lang w:val="sr-Cyrl-CS" w:eastAsia="en-GB"/>
        </w:rPr>
        <w:t xml:space="preserve"> II </w:t>
      </w:r>
      <w:r w:rsidR="00071822" w:rsidRPr="00827818">
        <w:rPr>
          <w:rFonts w:ascii="Times New Roman" w:hAnsi="Times New Roman" w:cs="Times New Roman"/>
          <w:sz w:val="24"/>
          <w:szCs w:val="24"/>
          <w:lang w:val="sr-Cyrl-CS" w:eastAsia="en-GB"/>
        </w:rPr>
        <w:t>Е</w:t>
      </w:r>
      <w:r w:rsidR="001A21FF" w:rsidRPr="00827818">
        <w:rPr>
          <w:rFonts w:ascii="Times New Roman" w:hAnsi="Times New Roman" w:cs="Times New Roman"/>
          <w:sz w:val="24"/>
          <w:szCs w:val="24"/>
          <w:lang w:val="sr-Cyrl-CS" w:eastAsia="en-GB"/>
        </w:rPr>
        <w:t>фикасно прикупљање и управљање буџетским средствима</w:t>
      </w:r>
      <w:bookmarkEnd w:id="3"/>
      <w:r w:rsidR="001A21FF" w:rsidRPr="00827818">
        <w:rPr>
          <w:rFonts w:ascii="Times New Roman" w:hAnsi="Times New Roman" w:cs="Times New Roman"/>
          <w:sz w:val="24"/>
          <w:szCs w:val="24"/>
          <w:lang w:val="sr-Cyrl-CS" w:eastAsia="en-GB"/>
        </w:rPr>
        <w:t>,</w:t>
      </w:r>
      <w:r w:rsidR="00750984" w:rsidRPr="00827818">
        <w:rPr>
          <w:rFonts w:ascii="Times New Roman" w:hAnsi="Times New Roman" w:cs="Times New Roman"/>
          <w:sz w:val="24"/>
          <w:szCs w:val="24"/>
          <w:lang w:val="sr-Cyrl-CS" w:eastAsia="en-GB"/>
        </w:rPr>
        <w:t xml:space="preserve"> </w:t>
      </w:r>
      <w:r w:rsidR="00B31A0E" w:rsidRPr="00827818">
        <w:rPr>
          <w:rFonts w:ascii="Times New Roman" w:hAnsi="Times New Roman" w:cs="Times New Roman"/>
          <w:sz w:val="24"/>
          <w:szCs w:val="24"/>
          <w:lang w:val="sr-Cyrl-CS" w:eastAsia="en-GB"/>
        </w:rPr>
        <w:t xml:space="preserve">у оквиру </w:t>
      </w:r>
      <w:r w:rsidR="00E103AD" w:rsidRPr="00827818">
        <w:rPr>
          <w:rFonts w:ascii="Times New Roman" w:hAnsi="Times New Roman" w:cs="Times New Roman"/>
          <w:sz w:val="24"/>
          <w:szCs w:val="24"/>
          <w:lang w:val="sr-Cyrl-CS" w:eastAsia="en-GB"/>
        </w:rPr>
        <w:t>одељка</w:t>
      </w:r>
      <w:r w:rsidR="006806F7" w:rsidRPr="00827818">
        <w:rPr>
          <w:rFonts w:ascii="Times New Roman" w:hAnsi="Times New Roman" w:cs="Times New Roman"/>
          <w:sz w:val="24"/>
          <w:szCs w:val="24"/>
          <w:lang w:val="sr-Cyrl-CS" w:eastAsia="en-GB"/>
        </w:rPr>
        <w:t xml:space="preserve"> </w:t>
      </w:r>
      <w:r w:rsidR="00071822" w:rsidRPr="00827818">
        <w:rPr>
          <w:rFonts w:ascii="Times New Roman" w:hAnsi="Times New Roman" w:cs="Times New Roman"/>
          <w:sz w:val="24"/>
          <w:szCs w:val="24"/>
          <w:lang w:val="sr-Cyrl-CS" w:eastAsia="en-GB"/>
        </w:rPr>
        <w:t>П</w:t>
      </w:r>
      <w:r w:rsidR="00750984" w:rsidRPr="00827818">
        <w:rPr>
          <w:rFonts w:ascii="Times New Roman" w:hAnsi="Times New Roman" w:cs="Times New Roman"/>
          <w:sz w:val="24"/>
          <w:szCs w:val="24"/>
          <w:lang w:val="sr-Cyrl-CS" w:eastAsia="en-GB"/>
        </w:rPr>
        <w:t>ланиран</w:t>
      </w:r>
      <w:r w:rsidR="001E3208" w:rsidRPr="00827818">
        <w:rPr>
          <w:rFonts w:ascii="Times New Roman" w:hAnsi="Times New Roman" w:cs="Times New Roman"/>
          <w:sz w:val="24"/>
          <w:szCs w:val="24"/>
          <w:lang w:val="sr-Cyrl-CS" w:eastAsia="en-GB"/>
        </w:rPr>
        <w:t>е</w:t>
      </w:r>
      <w:r w:rsidR="00750984" w:rsidRPr="00827818">
        <w:rPr>
          <w:rFonts w:ascii="Times New Roman" w:hAnsi="Times New Roman" w:cs="Times New Roman"/>
          <w:sz w:val="24"/>
          <w:szCs w:val="24"/>
          <w:lang w:val="sr-Cyrl-CS" w:eastAsia="en-GB"/>
        </w:rPr>
        <w:t xml:space="preserve"> реформск</w:t>
      </w:r>
      <w:r w:rsidR="001E3208" w:rsidRPr="00827818">
        <w:rPr>
          <w:rFonts w:ascii="Times New Roman" w:hAnsi="Times New Roman" w:cs="Times New Roman"/>
          <w:sz w:val="24"/>
          <w:szCs w:val="24"/>
          <w:lang w:val="sr-Cyrl-CS" w:eastAsia="en-GB"/>
        </w:rPr>
        <w:t>е</w:t>
      </w:r>
      <w:r w:rsidR="00750984" w:rsidRPr="00827818">
        <w:rPr>
          <w:rFonts w:ascii="Times New Roman" w:hAnsi="Times New Roman" w:cs="Times New Roman"/>
          <w:sz w:val="24"/>
          <w:szCs w:val="24"/>
          <w:lang w:val="sr-Cyrl-CS" w:eastAsia="en-GB"/>
        </w:rPr>
        <w:t xml:space="preserve"> мер</w:t>
      </w:r>
      <w:r w:rsidR="001E3208" w:rsidRPr="00827818">
        <w:rPr>
          <w:rFonts w:ascii="Times New Roman" w:hAnsi="Times New Roman" w:cs="Times New Roman"/>
          <w:sz w:val="24"/>
          <w:szCs w:val="24"/>
          <w:lang w:val="sr-Cyrl-CS" w:eastAsia="en-GB"/>
        </w:rPr>
        <w:t>е</w:t>
      </w:r>
      <w:r w:rsidR="00F53920" w:rsidRPr="00827818">
        <w:rPr>
          <w:rFonts w:ascii="Times New Roman" w:hAnsi="Times New Roman" w:cs="Times New Roman"/>
          <w:sz w:val="24"/>
          <w:szCs w:val="24"/>
          <w:lang w:val="sr-Cyrl-CS" w:eastAsia="en-GB"/>
        </w:rPr>
        <w:t xml:space="preserve"> у периоду 2021-2025</w:t>
      </w:r>
      <w:r w:rsidR="00750984" w:rsidRPr="00827818">
        <w:rPr>
          <w:rFonts w:ascii="Times New Roman" w:hAnsi="Times New Roman" w:cs="Times New Roman"/>
          <w:sz w:val="24"/>
          <w:szCs w:val="24"/>
          <w:lang w:val="sr-Cyrl-CS" w:eastAsia="en-GB"/>
        </w:rPr>
        <w:t xml:space="preserve">, </w:t>
      </w:r>
      <w:r w:rsidR="00F53920" w:rsidRPr="00827818">
        <w:rPr>
          <w:rFonts w:ascii="Times New Roman" w:hAnsi="Times New Roman" w:cs="Times New Roman"/>
          <w:sz w:val="24"/>
          <w:szCs w:val="24"/>
          <w:lang w:val="sr-Cyrl-CS" w:eastAsia="en-GB"/>
        </w:rPr>
        <w:t xml:space="preserve">у </w:t>
      </w:r>
      <w:r w:rsidR="00071822" w:rsidRPr="00827818">
        <w:rPr>
          <w:rFonts w:ascii="Times New Roman" w:hAnsi="Times New Roman" w:cs="Times New Roman"/>
          <w:sz w:val="24"/>
          <w:szCs w:val="24"/>
          <w:lang w:val="sr-Cyrl-CS" w:eastAsia="en-GB"/>
        </w:rPr>
        <w:t>М</w:t>
      </w:r>
      <w:r w:rsidR="00750984" w:rsidRPr="00827818">
        <w:rPr>
          <w:rFonts w:ascii="Times New Roman" w:hAnsi="Times New Roman" w:cs="Times New Roman"/>
          <w:sz w:val="24"/>
          <w:szCs w:val="24"/>
          <w:lang w:val="sr-Cyrl-CS" w:eastAsia="en-GB"/>
        </w:rPr>
        <w:t>ер</w:t>
      </w:r>
      <w:r w:rsidR="00F53920" w:rsidRPr="00827818">
        <w:rPr>
          <w:rFonts w:ascii="Times New Roman" w:hAnsi="Times New Roman" w:cs="Times New Roman"/>
          <w:sz w:val="24"/>
          <w:szCs w:val="24"/>
          <w:lang w:val="sr-Cyrl-CS" w:eastAsia="en-GB"/>
        </w:rPr>
        <w:t>и</w:t>
      </w:r>
      <w:r w:rsidR="00750984" w:rsidRPr="00827818">
        <w:rPr>
          <w:rFonts w:ascii="Times New Roman" w:hAnsi="Times New Roman" w:cs="Times New Roman"/>
          <w:sz w:val="24"/>
          <w:szCs w:val="24"/>
          <w:lang w:val="sr-Cyrl-CS" w:eastAsia="en-GB"/>
        </w:rPr>
        <w:t xml:space="preserve"> 2.2</w:t>
      </w:r>
      <w:r w:rsidR="00D0134C" w:rsidRPr="00827818">
        <w:rPr>
          <w:rFonts w:ascii="Times New Roman" w:hAnsi="Times New Roman" w:cs="Times New Roman"/>
          <w:sz w:val="24"/>
          <w:szCs w:val="24"/>
          <w:lang w:val="sr-Cyrl-CS" w:eastAsia="en-GB"/>
        </w:rPr>
        <w:t>:</w:t>
      </w:r>
      <w:r w:rsidR="00750984" w:rsidRPr="00827818">
        <w:rPr>
          <w:rFonts w:ascii="Times New Roman" w:hAnsi="Times New Roman" w:cs="Times New Roman"/>
          <w:sz w:val="24"/>
          <w:szCs w:val="24"/>
          <w:lang w:val="sr-Cyrl-CS" w:eastAsia="en-GB"/>
        </w:rPr>
        <w:t xml:space="preserve"> Модернизација процеса рада Управе за дуван</w:t>
      </w:r>
      <w:r w:rsidR="00F53920" w:rsidRPr="00827818">
        <w:rPr>
          <w:rFonts w:ascii="Times New Roman" w:hAnsi="Times New Roman" w:cs="Times New Roman"/>
          <w:sz w:val="24"/>
          <w:szCs w:val="24"/>
          <w:lang w:val="sr-Cyrl-CS" w:eastAsia="en-GB"/>
        </w:rPr>
        <w:t>,</w:t>
      </w:r>
      <w:r w:rsidR="00750984" w:rsidRPr="00827818">
        <w:rPr>
          <w:rFonts w:ascii="Times New Roman" w:hAnsi="Times New Roman" w:cs="Times New Roman"/>
          <w:sz w:val="24"/>
          <w:szCs w:val="24"/>
          <w:lang w:val="sr-Cyrl-CS" w:eastAsia="en-GB"/>
        </w:rPr>
        <w:t xml:space="preserve"> </w:t>
      </w:r>
      <w:r w:rsidR="004A50C6" w:rsidRPr="00827818">
        <w:rPr>
          <w:rFonts w:ascii="Times New Roman" w:hAnsi="Times New Roman" w:cs="Times New Roman"/>
          <w:sz w:val="24"/>
          <w:szCs w:val="24"/>
          <w:lang w:val="sr-Cyrl-CS" w:eastAsia="en-GB"/>
        </w:rPr>
        <w:t>после 3.</w:t>
      </w:r>
      <w:r w:rsidR="00E103AD" w:rsidRPr="00827818">
        <w:rPr>
          <w:rFonts w:ascii="Times New Roman" w:hAnsi="Times New Roman" w:cs="Times New Roman"/>
          <w:sz w:val="24"/>
          <w:szCs w:val="24"/>
          <w:lang w:val="sr-Cyrl-CS" w:eastAsia="en-GB"/>
        </w:rPr>
        <w:t xml:space="preserve"> пасуса </w:t>
      </w:r>
      <w:r w:rsidR="00750984" w:rsidRPr="00827818">
        <w:rPr>
          <w:rFonts w:ascii="Times New Roman" w:hAnsi="Times New Roman" w:cs="Times New Roman"/>
          <w:sz w:val="24"/>
          <w:szCs w:val="24"/>
          <w:lang w:val="sr-Cyrl-CS" w:eastAsia="en-GB"/>
        </w:rPr>
        <w:t xml:space="preserve">додаје се </w:t>
      </w:r>
      <w:r w:rsidR="004A50C6" w:rsidRPr="00827818">
        <w:rPr>
          <w:rFonts w:ascii="Times New Roman" w:hAnsi="Times New Roman" w:cs="Times New Roman"/>
          <w:sz w:val="24"/>
          <w:szCs w:val="24"/>
          <w:lang w:val="sr-Cyrl-CS" w:eastAsia="en-GB"/>
        </w:rPr>
        <w:t xml:space="preserve">4. </w:t>
      </w:r>
      <w:r w:rsidR="00750984" w:rsidRPr="00827818">
        <w:rPr>
          <w:rFonts w:ascii="Times New Roman" w:hAnsi="Times New Roman" w:cs="Times New Roman"/>
          <w:sz w:val="24"/>
          <w:szCs w:val="24"/>
          <w:lang w:val="sr-Cyrl-CS" w:eastAsia="en-GB"/>
        </w:rPr>
        <w:t>пасус</w:t>
      </w:r>
      <w:r w:rsidR="001C1991" w:rsidRPr="00827818">
        <w:rPr>
          <w:rFonts w:ascii="Times New Roman" w:hAnsi="Times New Roman" w:cs="Times New Roman"/>
          <w:sz w:val="24"/>
          <w:szCs w:val="24"/>
          <w:lang w:val="sr-Cyrl-CS" w:eastAsia="en-GB"/>
        </w:rPr>
        <w:t xml:space="preserve">, </w:t>
      </w:r>
      <w:r w:rsidR="00750984" w:rsidRPr="00827818">
        <w:rPr>
          <w:rFonts w:ascii="Times New Roman" w:hAnsi="Times New Roman" w:cs="Times New Roman"/>
          <w:sz w:val="24"/>
          <w:szCs w:val="24"/>
          <w:lang w:val="sr-Cyrl-CS" w:eastAsia="en-GB"/>
        </w:rPr>
        <w:t xml:space="preserve">који гласи: „Кроз надоградњу Интегрисаног информационог система наставиће се с аутоматизацијом и унапређењем пословних процеса Управе за дуван. Активност обухвата надоградњу постојећих модула у циљу интеграције са системом е-Акциза и увођење нових </w:t>
      </w:r>
      <w:r w:rsidR="00750984" w:rsidRPr="00827818">
        <w:rPr>
          <w:rFonts w:ascii="Times New Roman" w:hAnsi="Times New Roman" w:cs="Times New Roman"/>
          <w:sz w:val="24"/>
          <w:szCs w:val="24"/>
          <w:lang w:val="sr-Cyrl-CS" w:eastAsia="en-GB"/>
        </w:rPr>
        <w:lastRenderedPageBreak/>
        <w:t>функционалности израдом веб портала за подношење извештаја привредних субјеката уписаних у регистре и евиденционе листе код Управе за дуван</w:t>
      </w:r>
      <w:r w:rsidR="001C1991" w:rsidRPr="00827818">
        <w:rPr>
          <w:rFonts w:ascii="Times New Roman" w:hAnsi="Times New Roman" w:cs="Times New Roman"/>
          <w:sz w:val="24"/>
          <w:szCs w:val="24"/>
          <w:lang w:val="sr-Cyrl-CS" w:eastAsia="en-GB"/>
        </w:rPr>
        <w:t>.</w:t>
      </w:r>
      <w:r w:rsidR="00E65243" w:rsidRPr="00827818">
        <w:rPr>
          <w:rFonts w:ascii="Times New Roman" w:hAnsi="Times New Roman" w:cs="Times New Roman"/>
          <w:sz w:val="24"/>
          <w:szCs w:val="24"/>
          <w:lang w:val="sr-Cyrl-CS" w:eastAsia="en-GB"/>
        </w:rPr>
        <w:t>ˮ</w:t>
      </w:r>
      <w:r w:rsidR="00887312" w:rsidRPr="00827818">
        <w:rPr>
          <w:rFonts w:ascii="Times New Roman" w:hAnsi="Times New Roman" w:cs="Times New Roman"/>
          <w:sz w:val="24"/>
          <w:szCs w:val="24"/>
          <w:lang w:val="sr-Cyrl-CS" w:eastAsia="en-GB"/>
        </w:rPr>
        <w:t>.</w:t>
      </w:r>
    </w:p>
    <w:p w:rsidR="001A21FF" w:rsidRPr="00827818" w:rsidRDefault="00D2193D" w:rsidP="00D2193D">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5. </w:t>
      </w:r>
      <w:r w:rsidR="00750984" w:rsidRPr="00827818">
        <w:rPr>
          <w:rFonts w:ascii="Times New Roman" w:hAnsi="Times New Roman" w:cs="Times New Roman"/>
          <w:sz w:val="24"/>
          <w:szCs w:val="24"/>
          <w:lang w:val="sr-Cyrl-CS" w:eastAsia="en-GB"/>
        </w:rPr>
        <w:t>У</w:t>
      </w:r>
      <w:r w:rsidR="00D33050" w:rsidRPr="00827818">
        <w:rPr>
          <w:rFonts w:ascii="Times New Roman" w:hAnsi="Times New Roman" w:cs="Times New Roman"/>
          <w:sz w:val="24"/>
          <w:szCs w:val="24"/>
          <w:lang w:val="sr-Cyrl-CS" w:eastAsia="en-GB"/>
        </w:rPr>
        <w:t xml:space="preserve"> </w:t>
      </w:r>
      <w:r w:rsidR="00071822" w:rsidRPr="00827818">
        <w:rPr>
          <w:rFonts w:ascii="Times New Roman" w:hAnsi="Times New Roman" w:cs="Times New Roman"/>
          <w:sz w:val="24"/>
          <w:szCs w:val="24"/>
          <w:lang w:val="sr-Cyrl-CS" w:eastAsia="en-GB"/>
        </w:rPr>
        <w:t>М</w:t>
      </w:r>
      <w:r w:rsidR="00750984" w:rsidRPr="00827818">
        <w:rPr>
          <w:rFonts w:ascii="Times New Roman" w:hAnsi="Times New Roman" w:cs="Times New Roman"/>
          <w:sz w:val="24"/>
          <w:szCs w:val="24"/>
          <w:lang w:val="sr-Cyrl-CS" w:eastAsia="en-GB"/>
        </w:rPr>
        <w:t>ер</w:t>
      </w:r>
      <w:r w:rsidR="00D33050" w:rsidRPr="00827818">
        <w:rPr>
          <w:rFonts w:ascii="Times New Roman" w:hAnsi="Times New Roman" w:cs="Times New Roman"/>
          <w:sz w:val="24"/>
          <w:szCs w:val="24"/>
          <w:lang w:val="sr-Cyrl-CS" w:eastAsia="en-GB"/>
        </w:rPr>
        <w:t>и</w:t>
      </w:r>
      <w:r w:rsidR="00750984" w:rsidRPr="00827818">
        <w:rPr>
          <w:rFonts w:ascii="Times New Roman" w:hAnsi="Times New Roman" w:cs="Times New Roman"/>
          <w:sz w:val="24"/>
          <w:szCs w:val="24"/>
          <w:lang w:val="sr-Cyrl-CS" w:eastAsia="en-GB"/>
        </w:rPr>
        <w:t xml:space="preserve"> 2.3</w:t>
      </w:r>
      <w:r w:rsidR="00D0134C" w:rsidRPr="00827818">
        <w:rPr>
          <w:rFonts w:ascii="Times New Roman" w:hAnsi="Times New Roman" w:cs="Times New Roman"/>
          <w:sz w:val="24"/>
          <w:szCs w:val="24"/>
          <w:lang w:val="sr-Cyrl-CS" w:eastAsia="en-GB"/>
        </w:rPr>
        <w:t>:</w:t>
      </w:r>
      <w:r w:rsidR="00D57BAA" w:rsidRPr="00827818">
        <w:rPr>
          <w:rFonts w:ascii="Times New Roman" w:hAnsi="Times New Roman" w:cs="Times New Roman"/>
          <w:sz w:val="24"/>
          <w:szCs w:val="24"/>
          <w:lang w:val="sr-Cyrl-CS" w:eastAsia="en-GB"/>
        </w:rPr>
        <w:t xml:space="preserve"> </w:t>
      </w:r>
      <w:r w:rsidR="00750984" w:rsidRPr="00827818">
        <w:rPr>
          <w:rFonts w:ascii="Times New Roman" w:hAnsi="Times New Roman" w:cs="Times New Roman"/>
          <w:sz w:val="24"/>
          <w:szCs w:val="24"/>
          <w:lang w:val="sr-Cyrl-CS" w:eastAsia="en-GB"/>
        </w:rPr>
        <w:t>Јачање административних капацитета Управе царина</w:t>
      </w:r>
      <w:r w:rsidR="00A00807" w:rsidRPr="00827818">
        <w:rPr>
          <w:rFonts w:ascii="Times New Roman" w:hAnsi="Times New Roman" w:cs="Times New Roman"/>
          <w:sz w:val="24"/>
          <w:szCs w:val="24"/>
          <w:lang w:val="sr-Cyrl-CS" w:eastAsia="en-GB"/>
        </w:rPr>
        <w:t>,</w:t>
      </w:r>
      <w:r w:rsidR="00750984" w:rsidRPr="00827818">
        <w:rPr>
          <w:rFonts w:ascii="Times New Roman" w:hAnsi="Times New Roman" w:cs="Times New Roman"/>
          <w:sz w:val="24"/>
          <w:szCs w:val="24"/>
          <w:lang w:val="sr-Cyrl-CS" w:eastAsia="en-GB"/>
        </w:rPr>
        <w:t xml:space="preserve"> </w:t>
      </w:r>
      <w:r w:rsidR="004A50C6" w:rsidRPr="00827818">
        <w:rPr>
          <w:rFonts w:ascii="Times New Roman" w:hAnsi="Times New Roman" w:cs="Times New Roman"/>
          <w:sz w:val="24"/>
          <w:szCs w:val="24"/>
          <w:lang w:val="sr-Cyrl-CS" w:eastAsia="en-GB"/>
        </w:rPr>
        <w:t>у 11. пасусу</w:t>
      </w:r>
      <w:r w:rsidR="00750984" w:rsidRPr="00827818">
        <w:rPr>
          <w:rFonts w:ascii="Times New Roman" w:hAnsi="Times New Roman" w:cs="Times New Roman"/>
          <w:sz w:val="24"/>
          <w:szCs w:val="24"/>
          <w:lang w:val="sr-Cyrl-CS" w:eastAsia="en-GB"/>
        </w:rPr>
        <w:t xml:space="preserve"> </w:t>
      </w:r>
      <w:r w:rsidR="004A50C6" w:rsidRPr="00827818">
        <w:rPr>
          <w:rFonts w:ascii="Times New Roman" w:hAnsi="Times New Roman" w:cs="Times New Roman"/>
          <w:sz w:val="24"/>
          <w:szCs w:val="24"/>
          <w:lang w:val="sr-Cyrl-CS" w:eastAsia="en-GB"/>
        </w:rPr>
        <w:t>прва</w:t>
      </w:r>
      <w:r w:rsidR="00FB023A" w:rsidRPr="00827818">
        <w:rPr>
          <w:rFonts w:ascii="Times New Roman" w:hAnsi="Times New Roman" w:cs="Times New Roman"/>
          <w:sz w:val="24"/>
          <w:szCs w:val="24"/>
          <w:lang w:val="sr-Cyrl-CS" w:eastAsia="en-GB"/>
        </w:rPr>
        <w:t xml:space="preserve"> </w:t>
      </w:r>
      <w:r w:rsidR="004A50C6" w:rsidRPr="00827818">
        <w:rPr>
          <w:rFonts w:ascii="Times New Roman" w:hAnsi="Times New Roman" w:cs="Times New Roman"/>
          <w:sz w:val="24"/>
          <w:szCs w:val="24"/>
          <w:lang w:val="sr-Cyrl-CS" w:eastAsia="en-GB"/>
        </w:rPr>
        <w:t>реченица мења се и</w:t>
      </w:r>
      <w:r w:rsidR="00750984" w:rsidRPr="00827818">
        <w:rPr>
          <w:rFonts w:ascii="Times New Roman" w:hAnsi="Times New Roman" w:cs="Times New Roman"/>
          <w:sz w:val="24"/>
          <w:szCs w:val="24"/>
          <w:lang w:val="sr-Cyrl-CS" w:eastAsia="en-GB"/>
        </w:rPr>
        <w:t xml:space="preserve"> гласи: „</w:t>
      </w:r>
      <w:r w:rsidR="003F2F7D" w:rsidRPr="00827818">
        <w:rPr>
          <w:rFonts w:ascii="Times New Roman" w:hAnsi="Times New Roman" w:cs="Times New Roman"/>
          <w:sz w:val="24"/>
          <w:szCs w:val="24"/>
          <w:lang w:val="sr-Cyrl-CS" w:eastAsia="en-GB"/>
        </w:rPr>
        <w:t>Упоредо са увођењем аутоматизованог система увоза и извоза, Управа царина ће уводити и Интегрисани систем управљања тарифом, у сврху даље хармо</w:t>
      </w:r>
      <w:r w:rsidR="00887312" w:rsidRPr="00827818">
        <w:rPr>
          <w:rFonts w:ascii="Times New Roman" w:hAnsi="Times New Roman" w:cs="Times New Roman"/>
          <w:sz w:val="24"/>
          <w:szCs w:val="24"/>
          <w:lang w:val="sr-Cyrl-CS" w:eastAsia="en-GB"/>
        </w:rPr>
        <w:t>низације тарифног система са ЕУ</w:t>
      </w:r>
      <w:r w:rsidR="001C1991" w:rsidRPr="00827818">
        <w:rPr>
          <w:rFonts w:ascii="Times New Roman" w:hAnsi="Times New Roman" w:cs="Times New Roman"/>
          <w:sz w:val="24"/>
          <w:szCs w:val="24"/>
          <w:lang w:val="sr-Cyrl-CS" w:eastAsia="en-GB"/>
        </w:rPr>
        <w:t>.</w:t>
      </w:r>
      <w:r w:rsidR="00E65243" w:rsidRPr="00827818">
        <w:rPr>
          <w:rFonts w:ascii="Times New Roman" w:hAnsi="Times New Roman" w:cs="Times New Roman"/>
          <w:sz w:val="24"/>
          <w:szCs w:val="24"/>
          <w:lang w:val="sr-Cyrl-CS" w:eastAsia="en-GB"/>
        </w:rPr>
        <w:t>ˮ</w:t>
      </w:r>
      <w:r w:rsidR="004A50C6" w:rsidRPr="00827818">
        <w:rPr>
          <w:rFonts w:ascii="Times New Roman" w:hAnsi="Times New Roman" w:cs="Times New Roman"/>
          <w:sz w:val="24"/>
          <w:szCs w:val="24"/>
          <w:lang w:val="sr-Cyrl-CS" w:eastAsia="en-GB"/>
        </w:rPr>
        <w:t>.</w:t>
      </w:r>
      <w:r w:rsidR="00750984" w:rsidRPr="00827818">
        <w:rPr>
          <w:rFonts w:ascii="Times New Roman" w:hAnsi="Times New Roman" w:cs="Times New Roman"/>
          <w:sz w:val="24"/>
          <w:szCs w:val="24"/>
          <w:lang w:val="sr-Cyrl-CS" w:eastAsia="en-GB"/>
        </w:rPr>
        <w:t xml:space="preserve"> </w:t>
      </w:r>
    </w:p>
    <w:p w:rsidR="0099400F" w:rsidRPr="00827818" w:rsidRDefault="004345D3" w:rsidP="004345D3">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6. </w:t>
      </w:r>
      <w:r w:rsidR="0099400F" w:rsidRPr="00827818">
        <w:rPr>
          <w:rFonts w:ascii="Times New Roman" w:hAnsi="Times New Roman" w:cs="Times New Roman"/>
          <w:sz w:val="24"/>
          <w:szCs w:val="24"/>
          <w:lang w:val="sr-Cyrl-CS" w:eastAsia="en-GB"/>
        </w:rPr>
        <w:t xml:space="preserve">У </w:t>
      </w:r>
      <w:r w:rsidRPr="00827818">
        <w:rPr>
          <w:rFonts w:ascii="Times New Roman" w:hAnsi="Times New Roman" w:cs="Times New Roman"/>
          <w:sz w:val="24"/>
          <w:szCs w:val="24"/>
          <w:lang w:val="sr-Cyrl-CS" w:eastAsia="en-GB"/>
        </w:rPr>
        <w:t>оквиру Посебног</w:t>
      </w:r>
      <w:r w:rsidR="0099400F" w:rsidRPr="00827818">
        <w:rPr>
          <w:rFonts w:ascii="Times New Roman" w:hAnsi="Times New Roman" w:cs="Times New Roman"/>
          <w:sz w:val="24"/>
          <w:szCs w:val="24"/>
          <w:lang w:val="sr-Cyrl-CS" w:eastAsia="en-GB"/>
        </w:rPr>
        <w:t xml:space="preserve"> циљ</w:t>
      </w:r>
      <w:r w:rsidRPr="00827818">
        <w:rPr>
          <w:rFonts w:ascii="Times New Roman" w:hAnsi="Times New Roman" w:cs="Times New Roman"/>
          <w:sz w:val="24"/>
          <w:szCs w:val="24"/>
          <w:lang w:val="sr-Cyrl-CS" w:eastAsia="en-GB"/>
        </w:rPr>
        <w:t>а</w:t>
      </w:r>
      <w:r w:rsidR="0099400F" w:rsidRPr="00827818">
        <w:rPr>
          <w:rFonts w:ascii="Times New Roman" w:hAnsi="Times New Roman" w:cs="Times New Roman"/>
          <w:sz w:val="24"/>
          <w:szCs w:val="24"/>
          <w:lang w:val="sr-Cyrl-CS" w:eastAsia="en-GB"/>
        </w:rPr>
        <w:t xml:space="preserve"> III Унапређење буџетске дисциплине и транспарентније коришћење јавних средстава, у оквиру Планираних реформск</w:t>
      </w:r>
      <w:r w:rsidR="005D0B73" w:rsidRPr="00827818">
        <w:rPr>
          <w:rFonts w:ascii="Times New Roman" w:hAnsi="Times New Roman" w:cs="Times New Roman"/>
          <w:sz w:val="24"/>
          <w:szCs w:val="24"/>
          <w:lang w:val="sr-Cyrl-CS" w:eastAsia="en-GB"/>
        </w:rPr>
        <w:t>их мера у периоду 2021-2025, у М</w:t>
      </w:r>
      <w:r w:rsidR="0099400F" w:rsidRPr="00827818">
        <w:rPr>
          <w:rFonts w:ascii="Times New Roman" w:hAnsi="Times New Roman" w:cs="Times New Roman"/>
          <w:sz w:val="24"/>
          <w:szCs w:val="24"/>
          <w:lang w:val="sr-Cyrl-CS" w:eastAsia="en-GB"/>
        </w:rPr>
        <w:t>ери 3.1: Формирање базе за јачање институционалних и административних капацитета Канцеларије за ревизију система управљања средствима ЕУ који омогућују делотворну ревизи</w:t>
      </w:r>
      <w:r w:rsidR="004A50C6" w:rsidRPr="00827818">
        <w:rPr>
          <w:rFonts w:ascii="Times New Roman" w:hAnsi="Times New Roman" w:cs="Times New Roman"/>
          <w:sz w:val="24"/>
          <w:szCs w:val="24"/>
          <w:lang w:val="sr-Cyrl-CS" w:eastAsia="en-GB"/>
        </w:rPr>
        <w:t>ју система контроле ЕУ, у 2.</w:t>
      </w:r>
      <w:r w:rsidR="0099400F" w:rsidRPr="00827818">
        <w:rPr>
          <w:rFonts w:ascii="Times New Roman" w:hAnsi="Times New Roman" w:cs="Times New Roman"/>
          <w:sz w:val="24"/>
          <w:szCs w:val="24"/>
          <w:lang w:val="sr-Cyrl-CS" w:eastAsia="en-GB"/>
        </w:rPr>
        <w:t xml:space="preserve"> пасусу</w:t>
      </w:r>
      <w:r w:rsidR="001C1991" w:rsidRPr="00827818">
        <w:rPr>
          <w:rFonts w:ascii="Times New Roman" w:hAnsi="Times New Roman" w:cs="Times New Roman"/>
          <w:sz w:val="24"/>
          <w:szCs w:val="24"/>
          <w:lang w:val="sr-Cyrl-CS" w:eastAsia="en-GB"/>
        </w:rPr>
        <w:t>,</w:t>
      </w:r>
      <w:r w:rsidR="0099400F" w:rsidRPr="00827818">
        <w:rPr>
          <w:rFonts w:ascii="Times New Roman" w:hAnsi="Times New Roman" w:cs="Times New Roman"/>
          <w:sz w:val="24"/>
          <w:szCs w:val="24"/>
          <w:lang w:val="sr-Cyrl-CS" w:eastAsia="en-GB"/>
        </w:rPr>
        <w:t xml:space="preserve"> </w:t>
      </w:r>
      <w:r w:rsidR="00FB023A" w:rsidRPr="00827818">
        <w:rPr>
          <w:rFonts w:ascii="Times New Roman" w:hAnsi="Times New Roman" w:cs="Times New Roman"/>
          <w:sz w:val="24"/>
          <w:szCs w:val="24"/>
          <w:lang w:val="sr-Cyrl-CS" w:eastAsia="en-GB"/>
        </w:rPr>
        <w:t>четврта реченица</w:t>
      </w:r>
      <w:r w:rsidR="000E3CAF" w:rsidRPr="00827818">
        <w:rPr>
          <w:rFonts w:ascii="Times New Roman" w:hAnsi="Times New Roman" w:cs="Times New Roman"/>
          <w:sz w:val="24"/>
          <w:szCs w:val="24"/>
          <w:lang w:val="sr-Cyrl-CS" w:eastAsia="en-GB"/>
        </w:rPr>
        <w:t xml:space="preserve"> мења се</w:t>
      </w:r>
      <w:r w:rsidR="00FB023A" w:rsidRPr="00827818">
        <w:rPr>
          <w:rFonts w:ascii="Times New Roman" w:hAnsi="Times New Roman" w:cs="Times New Roman"/>
          <w:sz w:val="24"/>
          <w:szCs w:val="24"/>
          <w:lang w:val="sr-Cyrl-CS" w:eastAsia="en-GB"/>
        </w:rPr>
        <w:t xml:space="preserve"> и </w:t>
      </w:r>
      <w:r w:rsidR="0099400F" w:rsidRPr="00827818">
        <w:rPr>
          <w:rFonts w:ascii="Times New Roman" w:hAnsi="Times New Roman" w:cs="Times New Roman"/>
          <w:sz w:val="24"/>
          <w:szCs w:val="24"/>
          <w:lang w:val="sr-Cyrl-CS" w:eastAsia="en-GB"/>
        </w:rPr>
        <w:t>гласи: „Поред запошљавања нових кадрова и њиховог континуираног обучавања, предвиђено je и унапређење организационе ст</w:t>
      </w:r>
      <w:r w:rsidR="00AC2BA7" w:rsidRPr="00827818">
        <w:rPr>
          <w:rFonts w:ascii="Times New Roman" w:hAnsi="Times New Roman" w:cs="Times New Roman"/>
          <w:sz w:val="24"/>
          <w:szCs w:val="24"/>
          <w:lang w:val="sr-Cyrl-CS" w:eastAsia="en-GB"/>
        </w:rPr>
        <w:t>р</w:t>
      </w:r>
      <w:r w:rsidR="005A4A14" w:rsidRPr="00827818">
        <w:rPr>
          <w:rFonts w:ascii="Times New Roman" w:hAnsi="Times New Roman" w:cs="Times New Roman"/>
          <w:sz w:val="24"/>
          <w:szCs w:val="24"/>
          <w:lang w:val="sr-Cyrl-CS" w:eastAsia="en-GB"/>
        </w:rPr>
        <w:t xml:space="preserve">уктуре </w:t>
      </w:r>
      <w:r w:rsidR="0099400F" w:rsidRPr="00827818">
        <w:rPr>
          <w:rFonts w:ascii="Times New Roman" w:hAnsi="Times New Roman" w:cs="Times New Roman"/>
          <w:sz w:val="24"/>
          <w:szCs w:val="24"/>
          <w:lang w:val="sr-Cyrl-CS" w:eastAsia="en-GB"/>
        </w:rPr>
        <w:t>Канцеларије формирањем</w:t>
      </w:r>
      <w:r w:rsidR="00415C06" w:rsidRPr="00827818">
        <w:rPr>
          <w:rFonts w:ascii="Times New Roman" w:hAnsi="Times New Roman" w:cs="Times New Roman"/>
          <w:sz w:val="24"/>
          <w:szCs w:val="24"/>
          <w:lang w:val="sr-Cyrl-CS" w:eastAsia="en-GB"/>
        </w:rPr>
        <w:t xml:space="preserve"> </w:t>
      </w:r>
      <w:r w:rsidR="0099400F" w:rsidRPr="00827818">
        <w:rPr>
          <w:rFonts w:ascii="Times New Roman" w:hAnsi="Times New Roman" w:cs="Times New Roman"/>
          <w:sz w:val="24"/>
          <w:szCs w:val="24"/>
          <w:lang w:val="sr-Cyrl-CS" w:eastAsia="en-GB"/>
        </w:rPr>
        <w:t xml:space="preserve"> Групе за интерну ревизију, са циљем успостављања интерне ревизије код Генералног секретаријата и служби Владе, на начин предвиђен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сектору (</w:t>
      </w:r>
      <w:r w:rsidR="00827818">
        <w:rPr>
          <w:rFonts w:ascii="Times New Roman" w:hAnsi="Times New Roman" w:cs="Times New Roman"/>
          <w:sz w:val="24"/>
          <w:szCs w:val="24"/>
          <w:lang w:val="sr-Cyrl-CS" w:eastAsia="en-GB"/>
        </w:rPr>
        <w:t>„</w:t>
      </w:r>
      <w:r w:rsidR="0099400F" w:rsidRPr="00827818">
        <w:rPr>
          <w:rFonts w:ascii="Times New Roman" w:hAnsi="Times New Roman" w:cs="Times New Roman"/>
          <w:sz w:val="24"/>
          <w:szCs w:val="24"/>
          <w:lang w:val="sr-Cyrl-CS" w:eastAsia="en-GB"/>
        </w:rPr>
        <w:t>Сл</w:t>
      </w:r>
      <w:r w:rsidR="00827818">
        <w:rPr>
          <w:rFonts w:ascii="Times New Roman" w:hAnsi="Times New Roman" w:cs="Times New Roman"/>
          <w:sz w:val="24"/>
          <w:szCs w:val="24"/>
          <w:lang w:val="sr-Cyrl-CS" w:eastAsia="en-GB"/>
        </w:rPr>
        <w:t>ужбени</w:t>
      </w:r>
      <w:r w:rsidR="0099400F" w:rsidRPr="00827818">
        <w:rPr>
          <w:rFonts w:ascii="Times New Roman" w:hAnsi="Times New Roman" w:cs="Times New Roman"/>
          <w:sz w:val="24"/>
          <w:szCs w:val="24"/>
          <w:lang w:val="sr-Cyrl-CS" w:eastAsia="en-GB"/>
        </w:rPr>
        <w:t xml:space="preserve"> гласни</w:t>
      </w:r>
      <w:r w:rsidR="003841B8" w:rsidRPr="00827818">
        <w:rPr>
          <w:rFonts w:ascii="Times New Roman" w:hAnsi="Times New Roman" w:cs="Times New Roman"/>
          <w:sz w:val="24"/>
          <w:szCs w:val="24"/>
          <w:lang w:val="sr-Cyrl-CS" w:eastAsia="en-GB"/>
        </w:rPr>
        <w:t>к РС</w:t>
      </w:r>
      <w:r w:rsidR="00827818">
        <w:rPr>
          <w:rFonts w:ascii="Times New Roman" w:hAnsi="Times New Roman" w:cs="Times New Roman"/>
          <w:sz w:val="24"/>
          <w:szCs w:val="24"/>
          <w:lang w:val="sr-Cyrl-CS" w:eastAsia="en-GB"/>
        </w:rPr>
        <w:t>”,</w:t>
      </w:r>
      <w:r w:rsidR="003841B8" w:rsidRPr="00827818">
        <w:rPr>
          <w:rFonts w:ascii="Times New Roman" w:hAnsi="Times New Roman" w:cs="Times New Roman"/>
          <w:sz w:val="24"/>
          <w:szCs w:val="24"/>
          <w:lang w:val="sr-Cyrl-CS" w:eastAsia="en-GB"/>
        </w:rPr>
        <w:t xml:space="preserve"> бр. 99/11, 106/13 и 84/23)</w:t>
      </w:r>
      <w:r w:rsidR="001C1991" w:rsidRPr="00827818">
        <w:rPr>
          <w:rFonts w:ascii="Times New Roman" w:hAnsi="Times New Roman" w:cs="Times New Roman"/>
          <w:sz w:val="24"/>
          <w:szCs w:val="24"/>
          <w:lang w:val="sr-Cyrl-CS" w:eastAsia="en-GB"/>
        </w:rPr>
        <w:t>.</w:t>
      </w:r>
      <w:r w:rsidR="000E3CAF" w:rsidRPr="00827818">
        <w:rPr>
          <w:rFonts w:ascii="Times New Roman" w:hAnsi="Times New Roman" w:cs="Times New Roman"/>
          <w:sz w:val="24"/>
          <w:szCs w:val="24"/>
          <w:lang w:val="sr-Cyrl-CS" w:eastAsia="en-GB"/>
        </w:rPr>
        <w:t>” и</w:t>
      </w:r>
      <w:r w:rsidR="0099400F" w:rsidRPr="00827818">
        <w:rPr>
          <w:rFonts w:ascii="Times New Roman" w:hAnsi="Times New Roman" w:cs="Times New Roman"/>
          <w:sz w:val="24"/>
          <w:szCs w:val="24"/>
          <w:lang w:val="sr-Cyrl-CS" w:eastAsia="en-GB"/>
        </w:rPr>
        <w:t xml:space="preserve"> </w:t>
      </w:r>
      <w:r w:rsidR="000E3CAF" w:rsidRPr="00827818">
        <w:rPr>
          <w:rFonts w:ascii="Times New Roman" w:hAnsi="Times New Roman" w:cs="Times New Roman"/>
          <w:sz w:val="24"/>
          <w:szCs w:val="24"/>
          <w:lang w:val="sr-Cyrl-CS" w:eastAsia="en-GB"/>
        </w:rPr>
        <w:t>додаје се пета реченица, која гласи: „</w:t>
      </w:r>
      <w:r w:rsidR="0099400F" w:rsidRPr="00827818">
        <w:rPr>
          <w:rFonts w:ascii="Times New Roman" w:hAnsi="Times New Roman" w:cs="Times New Roman"/>
          <w:sz w:val="24"/>
          <w:szCs w:val="24"/>
          <w:lang w:val="sr-Cyrl-CS" w:eastAsia="en-GB"/>
        </w:rPr>
        <w:t>Наведене промене допринеће ефикаснијем управљању кохезионом политико</w:t>
      </w:r>
      <w:r w:rsidR="00FB023A" w:rsidRPr="00827818">
        <w:rPr>
          <w:rFonts w:ascii="Times New Roman" w:hAnsi="Times New Roman" w:cs="Times New Roman"/>
          <w:sz w:val="24"/>
          <w:szCs w:val="24"/>
          <w:lang w:val="sr-Cyrl-CS" w:eastAsia="en-GB"/>
        </w:rPr>
        <w:t>м и испуњењу обавеза које произ</w:t>
      </w:r>
      <w:r w:rsidR="000E3CAF" w:rsidRPr="00827818">
        <w:rPr>
          <w:rFonts w:ascii="Times New Roman" w:hAnsi="Times New Roman" w:cs="Times New Roman"/>
          <w:sz w:val="24"/>
          <w:szCs w:val="24"/>
          <w:lang w:val="sr-Cyrl-CS" w:eastAsia="en-GB"/>
        </w:rPr>
        <w:t>лазе из захтева за поглавље 22</w:t>
      </w:r>
      <w:r w:rsidR="001C1991" w:rsidRPr="00827818">
        <w:rPr>
          <w:rFonts w:ascii="Times New Roman" w:hAnsi="Times New Roman" w:cs="Times New Roman"/>
          <w:sz w:val="24"/>
          <w:szCs w:val="24"/>
          <w:lang w:val="sr-Cyrl-CS" w:eastAsia="en-GB"/>
        </w:rPr>
        <w:t>.</w:t>
      </w:r>
      <w:r w:rsidR="000E3CAF" w:rsidRPr="00827818">
        <w:rPr>
          <w:rFonts w:ascii="Times New Roman" w:hAnsi="Times New Roman" w:cs="Times New Roman"/>
          <w:sz w:val="24"/>
          <w:szCs w:val="24"/>
          <w:lang w:val="sr-Cyrl-CS" w:eastAsia="en-GB"/>
        </w:rPr>
        <w:t>”</w:t>
      </w:r>
      <w:r w:rsidR="0099400F" w:rsidRPr="00827818">
        <w:rPr>
          <w:rFonts w:ascii="Times New Roman" w:hAnsi="Times New Roman" w:cs="Times New Roman"/>
          <w:sz w:val="24"/>
          <w:szCs w:val="24"/>
          <w:lang w:val="sr-Cyrl-CS" w:eastAsia="en-GB"/>
        </w:rPr>
        <w:t>.</w:t>
      </w:r>
    </w:p>
    <w:p w:rsidR="000E5BA1" w:rsidRPr="00827818" w:rsidRDefault="00EB4A35" w:rsidP="00EB4A35">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7. </w:t>
      </w:r>
      <w:r w:rsidR="001A21FF" w:rsidRPr="00827818">
        <w:rPr>
          <w:rFonts w:ascii="Times New Roman" w:hAnsi="Times New Roman" w:cs="Times New Roman"/>
          <w:sz w:val="24"/>
          <w:szCs w:val="24"/>
          <w:lang w:val="sr-Cyrl-CS" w:eastAsia="en-GB"/>
        </w:rPr>
        <w:t xml:space="preserve">У </w:t>
      </w:r>
      <w:r w:rsidR="000E3CAF" w:rsidRPr="00827818">
        <w:rPr>
          <w:rFonts w:ascii="Times New Roman" w:hAnsi="Times New Roman" w:cs="Times New Roman"/>
          <w:sz w:val="24"/>
          <w:szCs w:val="24"/>
          <w:lang w:val="sr-Cyrl-CS" w:eastAsia="en-GB"/>
        </w:rPr>
        <w:t>M</w:t>
      </w:r>
      <w:r w:rsidR="007C3D82" w:rsidRPr="00827818">
        <w:rPr>
          <w:rFonts w:ascii="Times New Roman" w:hAnsi="Times New Roman" w:cs="Times New Roman"/>
          <w:sz w:val="24"/>
          <w:szCs w:val="24"/>
          <w:lang w:val="sr-Cyrl-CS" w:eastAsia="en-GB"/>
        </w:rPr>
        <w:t>ер</w:t>
      </w:r>
      <w:r w:rsidR="00232358" w:rsidRPr="00827818">
        <w:rPr>
          <w:rFonts w:ascii="Times New Roman" w:hAnsi="Times New Roman" w:cs="Times New Roman"/>
          <w:sz w:val="24"/>
          <w:szCs w:val="24"/>
          <w:lang w:val="sr-Cyrl-CS" w:eastAsia="en-GB"/>
        </w:rPr>
        <w:t>и</w:t>
      </w:r>
      <w:r w:rsidR="00D0134C" w:rsidRPr="00827818">
        <w:rPr>
          <w:rFonts w:ascii="Times New Roman" w:hAnsi="Times New Roman" w:cs="Times New Roman"/>
          <w:sz w:val="24"/>
          <w:szCs w:val="24"/>
          <w:lang w:val="sr-Cyrl-CS" w:eastAsia="en-GB"/>
        </w:rPr>
        <w:t xml:space="preserve"> 3.3: </w:t>
      </w:r>
      <w:r w:rsidR="007C3D82" w:rsidRPr="00827818">
        <w:rPr>
          <w:rFonts w:ascii="Times New Roman" w:hAnsi="Times New Roman" w:cs="Times New Roman"/>
          <w:sz w:val="24"/>
          <w:szCs w:val="24"/>
          <w:lang w:val="sr-Cyrl-CS" w:eastAsia="en-GB"/>
        </w:rPr>
        <w:t>Повећање ефикасности и делотворности инспекцијске контроле,</w:t>
      </w:r>
      <w:r w:rsidR="00055436" w:rsidRPr="00827818">
        <w:rPr>
          <w:rFonts w:ascii="Times New Roman" w:hAnsi="Times New Roman" w:cs="Times New Roman"/>
          <w:sz w:val="24"/>
          <w:szCs w:val="24"/>
          <w:lang w:val="sr-Cyrl-CS" w:eastAsia="en-GB"/>
        </w:rPr>
        <w:t xml:space="preserve"> у</w:t>
      </w:r>
      <w:r w:rsidR="002B75A0" w:rsidRPr="00827818">
        <w:rPr>
          <w:rFonts w:ascii="Times New Roman" w:hAnsi="Times New Roman" w:cs="Times New Roman"/>
          <w:sz w:val="24"/>
          <w:szCs w:val="24"/>
          <w:lang w:val="sr-Cyrl-CS" w:eastAsia="en-GB"/>
        </w:rPr>
        <w:t xml:space="preserve"> 1. </w:t>
      </w:r>
      <w:r w:rsidR="00055436" w:rsidRPr="00827818">
        <w:rPr>
          <w:rFonts w:ascii="Times New Roman" w:hAnsi="Times New Roman" w:cs="Times New Roman"/>
          <w:sz w:val="24"/>
          <w:szCs w:val="24"/>
          <w:lang w:val="sr-Cyrl-CS" w:eastAsia="en-GB"/>
        </w:rPr>
        <w:t>пасусу</w:t>
      </w:r>
      <w:r w:rsidR="001C1991" w:rsidRPr="00827818">
        <w:rPr>
          <w:rFonts w:ascii="Times New Roman" w:hAnsi="Times New Roman" w:cs="Times New Roman"/>
          <w:sz w:val="24"/>
          <w:szCs w:val="24"/>
          <w:lang w:val="sr-Cyrl-CS" w:eastAsia="en-GB"/>
        </w:rPr>
        <w:t>,</w:t>
      </w:r>
      <w:r w:rsidR="007C3D82" w:rsidRPr="00827818">
        <w:rPr>
          <w:rFonts w:ascii="Times New Roman" w:hAnsi="Times New Roman" w:cs="Times New Roman"/>
          <w:sz w:val="24"/>
          <w:szCs w:val="24"/>
          <w:lang w:val="sr-Cyrl-CS" w:eastAsia="en-GB"/>
        </w:rPr>
        <w:t xml:space="preserve"> </w:t>
      </w:r>
      <w:r w:rsidR="00384FBC" w:rsidRPr="00827818">
        <w:rPr>
          <w:rFonts w:ascii="Times New Roman" w:hAnsi="Times New Roman" w:cs="Times New Roman"/>
          <w:sz w:val="24"/>
          <w:szCs w:val="24"/>
          <w:lang w:val="sr-Cyrl-CS" w:eastAsia="en-GB"/>
        </w:rPr>
        <w:t xml:space="preserve">у </w:t>
      </w:r>
      <w:r w:rsidR="00A10ABB" w:rsidRPr="00827818">
        <w:rPr>
          <w:rFonts w:ascii="Times New Roman" w:hAnsi="Times New Roman" w:cs="Times New Roman"/>
          <w:sz w:val="24"/>
          <w:szCs w:val="24"/>
          <w:lang w:val="sr-Cyrl-CS" w:eastAsia="en-GB"/>
        </w:rPr>
        <w:t xml:space="preserve">другој реченици </w:t>
      </w:r>
      <w:r w:rsidR="00036AB6" w:rsidRPr="00827818">
        <w:rPr>
          <w:rFonts w:ascii="Times New Roman" w:hAnsi="Times New Roman" w:cs="Times New Roman"/>
          <w:sz w:val="24"/>
          <w:szCs w:val="24"/>
          <w:lang w:val="sr-Cyrl-CS" w:eastAsia="en-GB"/>
        </w:rPr>
        <w:t>број</w:t>
      </w:r>
      <w:r w:rsidR="00E10641" w:rsidRPr="00827818">
        <w:rPr>
          <w:rFonts w:ascii="Times New Roman" w:hAnsi="Times New Roman" w:cs="Times New Roman"/>
          <w:sz w:val="24"/>
          <w:szCs w:val="24"/>
          <w:lang w:val="sr-Cyrl-CS" w:eastAsia="en-GB"/>
        </w:rPr>
        <w:t xml:space="preserve"> инспектора</w:t>
      </w:r>
      <w:r w:rsidR="00036AB6" w:rsidRPr="00827818">
        <w:rPr>
          <w:rFonts w:ascii="Times New Roman" w:hAnsi="Times New Roman" w:cs="Times New Roman"/>
          <w:sz w:val="24"/>
          <w:szCs w:val="24"/>
          <w:lang w:val="sr-Cyrl-CS" w:eastAsia="en-GB"/>
        </w:rPr>
        <w:t>: „38</w:t>
      </w:r>
      <w:r w:rsidR="00E65243" w:rsidRPr="00827818">
        <w:rPr>
          <w:rFonts w:ascii="Times New Roman" w:hAnsi="Times New Roman" w:cs="Times New Roman"/>
          <w:sz w:val="24"/>
          <w:szCs w:val="24"/>
          <w:lang w:val="sr-Cyrl-CS" w:eastAsia="en-GB"/>
        </w:rPr>
        <w:t>ˮ</w:t>
      </w:r>
      <w:r w:rsidR="00036AB6" w:rsidRPr="00827818">
        <w:rPr>
          <w:rFonts w:ascii="Times New Roman" w:hAnsi="Times New Roman" w:cs="Times New Roman"/>
          <w:sz w:val="24"/>
          <w:szCs w:val="24"/>
          <w:lang w:val="sr-Cyrl-CS" w:eastAsia="en-GB"/>
        </w:rPr>
        <w:t xml:space="preserve"> замењује се бројем</w:t>
      </w:r>
      <w:r w:rsidR="00E10641" w:rsidRPr="00827818">
        <w:rPr>
          <w:rFonts w:ascii="Times New Roman" w:hAnsi="Times New Roman" w:cs="Times New Roman"/>
          <w:sz w:val="24"/>
          <w:szCs w:val="24"/>
          <w:lang w:val="sr-Cyrl-CS" w:eastAsia="en-GB"/>
        </w:rPr>
        <w:t xml:space="preserve"> инспектора</w:t>
      </w:r>
      <w:r w:rsidR="00036AB6" w:rsidRPr="00827818">
        <w:rPr>
          <w:rFonts w:ascii="Times New Roman" w:hAnsi="Times New Roman" w:cs="Times New Roman"/>
          <w:sz w:val="24"/>
          <w:szCs w:val="24"/>
          <w:lang w:val="sr-Cyrl-CS" w:eastAsia="en-GB"/>
        </w:rPr>
        <w:t>: „50</w:t>
      </w:r>
      <w:r w:rsidR="00E65243" w:rsidRPr="00827818">
        <w:rPr>
          <w:rFonts w:ascii="Times New Roman" w:hAnsi="Times New Roman" w:cs="Times New Roman"/>
          <w:sz w:val="24"/>
          <w:szCs w:val="24"/>
          <w:lang w:val="sr-Cyrl-CS" w:eastAsia="en-GB"/>
        </w:rPr>
        <w:t>ˮ</w:t>
      </w:r>
      <w:r w:rsidR="00036AB6" w:rsidRPr="00827818">
        <w:rPr>
          <w:rFonts w:ascii="Times New Roman" w:hAnsi="Times New Roman" w:cs="Times New Roman"/>
          <w:sz w:val="24"/>
          <w:szCs w:val="24"/>
          <w:lang w:val="sr-Cyrl-CS" w:eastAsia="en-GB"/>
        </w:rPr>
        <w:t>.</w:t>
      </w:r>
    </w:p>
    <w:p w:rsidR="000E5BA1" w:rsidRPr="00827818" w:rsidRDefault="0035751E" w:rsidP="0035751E">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8. </w:t>
      </w:r>
      <w:r w:rsidR="000E5BA1" w:rsidRPr="00827818">
        <w:rPr>
          <w:rFonts w:ascii="Times New Roman" w:hAnsi="Times New Roman" w:cs="Times New Roman"/>
          <w:sz w:val="24"/>
          <w:szCs w:val="24"/>
          <w:lang w:val="sr-Cyrl-CS" w:eastAsia="en-GB"/>
        </w:rPr>
        <w:t xml:space="preserve">У </w:t>
      </w:r>
      <w:r w:rsidRPr="00827818">
        <w:rPr>
          <w:rFonts w:ascii="Times New Roman" w:hAnsi="Times New Roman" w:cs="Times New Roman"/>
          <w:sz w:val="24"/>
          <w:szCs w:val="24"/>
          <w:lang w:val="sr-Cyrl-CS" w:eastAsia="en-GB"/>
        </w:rPr>
        <w:t>оквиру</w:t>
      </w:r>
      <w:r w:rsidR="006F104E" w:rsidRPr="00827818">
        <w:rPr>
          <w:rFonts w:ascii="Times New Roman" w:hAnsi="Times New Roman" w:cs="Times New Roman"/>
          <w:sz w:val="24"/>
          <w:szCs w:val="24"/>
          <w:lang w:val="sr-Cyrl-CS" w:eastAsia="en-GB"/>
        </w:rPr>
        <w:t xml:space="preserve"> </w:t>
      </w:r>
      <w:r w:rsidR="00751C51" w:rsidRPr="00827818">
        <w:rPr>
          <w:rFonts w:ascii="Times New Roman" w:hAnsi="Times New Roman" w:cs="Times New Roman"/>
          <w:sz w:val="24"/>
          <w:szCs w:val="24"/>
          <w:lang w:val="sr-Cyrl-CS" w:eastAsia="en-GB"/>
        </w:rPr>
        <w:t>Посеб</w:t>
      </w:r>
      <w:r w:rsidR="000E5BA1" w:rsidRPr="00827818">
        <w:rPr>
          <w:rFonts w:ascii="Times New Roman" w:hAnsi="Times New Roman" w:cs="Times New Roman"/>
          <w:sz w:val="24"/>
          <w:szCs w:val="24"/>
          <w:lang w:val="sr-Cyrl-CS" w:eastAsia="en-GB"/>
        </w:rPr>
        <w:t>н</w:t>
      </w:r>
      <w:r w:rsidRPr="00827818">
        <w:rPr>
          <w:rFonts w:ascii="Times New Roman" w:hAnsi="Times New Roman" w:cs="Times New Roman"/>
          <w:sz w:val="24"/>
          <w:szCs w:val="24"/>
          <w:lang w:val="sr-Cyrl-CS" w:eastAsia="en-GB"/>
        </w:rPr>
        <w:t>ог</w:t>
      </w:r>
      <w:r w:rsidR="000E5BA1" w:rsidRPr="00827818">
        <w:rPr>
          <w:rFonts w:ascii="Times New Roman" w:hAnsi="Times New Roman" w:cs="Times New Roman"/>
          <w:sz w:val="24"/>
          <w:szCs w:val="24"/>
          <w:lang w:val="sr-Cyrl-CS" w:eastAsia="en-GB"/>
        </w:rPr>
        <w:t xml:space="preserve"> циљ</w:t>
      </w:r>
      <w:r w:rsidRPr="00827818">
        <w:rPr>
          <w:rFonts w:ascii="Times New Roman" w:hAnsi="Times New Roman" w:cs="Times New Roman"/>
          <w:sz w:val="24"/>
          <w:szCs w:val="24"/>
          <w:lang w:val="sr-Cyrl-CS" w:eastAsia="en-GB"/>
        </w:rPr>
        <w:t>а</w:t>
      </w:r>
      <w:r w:rsidR="000E5BA1" w:rsidRPr="00827818">
        <w:rPr>
          <w:rFonts w:ascii="Times New Roman" w:hAnsi="Times New Roman" w:cs="Times New Roman"/>
          <w:sz w:val="24"/>
          <w:szCs w:val="24"/>
          <w:lang w:val="sr-Cyrl-CS" w:eastAsia="en-GB"/>
        </w:rPr>
        <w:t xml:space="preserve"> </w:t>
      </w:r>
      <w:r w:rsidR="006F104E" w:rsidRPr="00827818">
        <w:rPr>
          <w:rFonts w:ascii="Times New Roman" w:hAnsi="Times New Roman" w:cs="Times New Roman"/>
          <w:sz w:val="24"/>
          <w:szCs w:val="24"/>
          <w:lang w:val="sr-Cyrl-CS" w:eastAsia="en-GB"/>
        </w:rPr>
        <w:t>IV</w:t>
      </w:r>
      <w:r w:rsidR="000E5BA1" w:rsidRPr="00827818">
        <w:rPr>
          <w:rFonts w:ascii="Times New Roman" w:hAnsi="Times New Roman" w:cs="Times New Roman"/>
          <w:sz w:val="24"/>
          <w:szCs w:val="24"/>
          <w:lang w:val="sr-Cyrl-CS" w:eastAsia="en-GB"/>
        </w:rPr>
        <w:t xml:space="preserve"> Унапређење примене система интерне финансијске контроле у јавном сектору, </w:t>
      </w:r>
      <w:r w:rsidR="00415C06" w:rsidRPr="00827818">
        <w:rPr>
          <w:rFonts w:ascii="Times New Roman" w:hAnsi="Times New Roman" w:cs="Times New Roman"/>
          <w:sz w:val="24"/>
          <w:szCs w:val="24"/>
          <w:lang w:val="sr-Cyrl-CS" w:eastAsia="en-GB"/>
        </w:rPr>
        <w:t xml:space="preserve">у оквиру Планираних реформских мера у периоду 2021-2025, </w:t>
      </w:r>
      <w:r w:rsidR="000E5BA1" w:rsidRPr="00827818">
        <w:rPr>
          <w:rFonts w:ascii="Times New Roman" w:hAnsi="Times New Roman" w:cs="Times New Roman"/>
          <w:sz w:val="24"/>
          <w:szCs w:val="24"/>
          <w:lang w:val="sr-Cyrl-CS" w:eastAsia="en-GB"/>
        </w:rPr>
        <w:t xml:space="preserve">у оквиру </w:t>
      </w:r>
      <w:r w:rsidR="00CF4B36" w:rsidRPr="00827818">
        <w:rPr>
          <w:rFonts w:ascii="Times New Roman" w:hAnsi="Times New Roman" w:cs="Times New Roman"/>
          <w:sz w:val="24"/>
          <w:szCs w:val="24"/>
          <w:lang w:val="sr-Cyrl-CS" w:eastAsia="en-GB"/>
        </w:rPr>
        <w:t>под</w:t>
      </w:r>
      <w:r w:rsidR="00751C51" w:rsidRPr="00827818">
        <w:rPr>
          <w:rFonts w:ascii="Times New Roman" w:hAnsi="Times New Roman" w:cs="Times New Roman"/>
          <w:sz w:val="24"/>
          <w:szCs w:val="24"/>
          <w:lang w:val="sr-Cyrl-CS" w:eastAsia="en-GB"/>
        </w:rPr>
        <w:t>-</w:t>
      </w:r>
      <w:r w:rsidR="00CF4B36" w:rsidRPr="00827818">
        <w:rPr>
          <w:rFonts w:ascii="Times New Roman" w:hAnsi="Times New Roman" w:cs="Times New Roman"/>
          <w:sz w:val="24"/>
          <w:szCs w:val="24"/>
          <w:lang w:val="sr-Cyrl-CS" w:eastAsia="en-GB"/>
        </w:rPr>
        <w:t xml:space="preserve">одељка </w:t>
      </w:r>
      <w:r w:rsidR="002B75A0" w:rsidRPr="00827818">
        <w:rPr>
          <w:rFonts w:ascii="Times New Roman" w:hAnsi="Times New Roman" w:cs="Times New Roman"/>
          <w:sz w:val="24"/>
          <w:szCs w:val="24"/>
          <w:lang w:val="sr-Cyrl-CS" w:eastAsia="en-GB"/>
        </w:rPr>
        <w:t>Контролно окружење</w:t>
      </w:r>
      <w:r w:rsidR="000E5BA1" w:rsidRPr="00827818">
        <w:rPr>
          <w:rFonts w:ascii="Times New Roman" w:hAnsi="Times New Roman" w:cs="Times New Roman"/>
          <w:sz w:val="24"/>
          <w:szCs w:val="24"/>
          <w:lang w:val="sr-Cyrl-CS" w:eastAsia="en-GB"/>
        </w:rPr>
        <w:t xml:space="preserve">, </w:t>
      </w:r>
      <w:r w:rsidR="001E4F4D" w:rsidRPr="00827818">
        <w:rPr>
          <w:rFonts w:ascii="Times New Roman" w:hAnsi="Times New Roman" w:cs="Times New Roman"/>
          <w:sz w:val="24"/>
          <w:szCs w:val="24"/>
          <w:lang w:val="sr-Cyrl-CS" w:eastAsia="en-GB"/>
        </w:rPr>
        <w:t>у</w:t>
      </w:r>
      <w:r w:rsidR="002B75A0" w:rsidRPr="00827818">
        <w:rPr>
          <w:rFonts w:ascii="Times New Roman" w:hAnsi="Times New Roman" w:cs="Times New Roman"/>
          <w:sz w:val="24"/>
          <w:szCs w:val="24"/>
          <w:lang w:val="sr-Cyrl-CS" w:eastAsia="en-GB"/>
        </w:rPr>
        <w:t xml:space="preserve"> 4.</w:t>
      </w:r>
      <w:r w:rsidR="00055436" w:rsidRPr="00827818">
        <w:rPr>
          <w:rFonts w:ascii="Times New Roman" w:hAnsi="Times New Roman" w:cs="Times New Roman"/>
          <w:sz w:val="24"/>
          <w:szCs w:val="24"/>
          <w:lang w:val="sr-Cyrl-CS" w:eastAsia="en-GB"/>
        </w:rPr>
        <w:t xml:space="preserve"> пасусу</w:t>
      </w:r>
      <w:r w:rsidR="001C1991" w:rsidRPr="00827818">
        <w:rPr>
          <w:rFonts w:ascii="Times New Roman" w:hAnsi="Times New Roman" w:cs="Times New Roman"/>
          <w:sz w:val="24"/>
          <w:szCs w:val="24"/>
          <w:lang w:val="sr-Cyrl-CS" w:eastAsia="en-GB"/>
        </w:rPr>
        <w:t>,</w:t>
      </w:r>
      <w:r w:rsidR="00055436" w:rsidRPr="00827818">
        <w:rPr>
          <w:rFonts w:ascii="Times New Roman" w:hAnsi="Times New Roman" w:cs="Times New Roman"/>
          <w:sz w:val="24"/>
          <w:szCs w:val="24"/>
          <w:lang w:val="sr-Cyrl-CS" w:eastAsia="en-GB"/>
        </w:rPr>
        <w:t xml:space="preserve"> у првој реченици</w:t>
      </w:r>
      <w:r w:rsidR="00B823FD" w:rsidRPr="00827818">
        <w:rPr>
          <w:rFonts w:ascii="Times New Roman" w:hAnsi="Times New Roman" w:cs="Times New Roman"/>
          <w:sz w:val="24"/>
          <w:szCs w:val="24"/>
          <w:lang w:val="sr-Cyrl-CS" w:eastAsia="en-GB"/>
        </w:rPr>
        <w:t xml:space="preserve"> </w:t>
      </w:r>
      <w:r w:rsidR="001E4F4D" w:rsidRPr="00827818">
        <w:rPr>
          <w:rFonts w:ascii="Times New Roman" w:hAnsi="Times New Roman" w:cs="Times New Roman"/>
          <w:sz w:val="24"/>
          <w:szCs w:val="24"/>
          <w:lang w:val="sr-Cyrl-CS" w:eastAsia="en-GB"/>
        </w:rPr>
        <w:t xml:space="preserve">речи: </w:t>
      </w:r>
      <w:r w:rsidR="000E5BA1" w:rsidRPr="00827818">
        <w:rPr>
          <w:rFonts w:ascii="Times New Roman" w:hAnsi="Times New Roman" w:cs="Times New Roman"/>
          <w:sz w:val="24"/>
          <w:szCs w:val="24"/>
          <w:lang w:val="sr-Cyrl-CS" w:eastAsia="en-GB"/>
        </w:rPr>
        <w:t>„која ће се огледати у процесу пребацивања организације обука из области ИФКЈ на НАЈУ, која захтева спровођење претходних активности у виду анализа и идентификацију препрека за спровођење које постоје у прав</w:t>
      </w:r>
      <w:r w:rsidR="00751C51" w:rsidRPr="00827818">
        <w:rPr>
          <w:rFonts w:ascii="Times New Roman" w:hAnsi="Times New Roman" w:cs="Times New Roman"/>
          <w:sz w:val="24"/>
          <w:szCs w:val="24"/>
          <w:lang w:val="sr-Cyrl-CS" w:eastAsia="en-GB"/>
        </w:rPr>
        <w:t>ном оквиру, али и израђивањем им</w:t>
      </w:r>
      <w:r w:rsidR="000E5BA1" w:rsidRPr="00827818">
        <w:rPr>
          <w:rFonts w:ascii="Times New Roman" w:hAnsi="Times New Roman" w:cs="Times New Roman"/>
          <w:sz w:val="24"/>
          <w:szCs w:val="24"/>
          <w:lang w:val="sr-Cyrl-CS" w:eastAsia="en-GB"/>
        </w:rPr>
        <w:t>плементационог плана који може укључивати препоруке за измену прописа, измену и/или израду релевантних материјала и процедура која ће тај процес, у којем заједно учествују ЦЈХ и НАЈУ, подржати</w:t>
      </w:r>
      <w:r w:rsidR="00E65243" w:rsidRPr="00827818">
        <w:rPr>
          <w:rFonts w:ascii="Times New Roman" w:hAnsi="Times New Roman" w:cs="Times New Roman"/>
          <w:sz w:val="24"/>
          <w:szCs w:val="24"/>
          <w:lang w:val="sr-Cyrl-CS" w:eastAsia="en-GB"/>
        </w:rPr>
        <w:t>ˮ</w:t>
      </w:r>
      <w:r w:rsidR="00055436" w:rsidRPr="00827818">
        <w:rPr>
          <w:rFonts w:ascii="Times New Roman" w:hAnsi="Times New Roman" w:cs="Times New Roman"/>
          <w:sz w:val="24"/>
          <w:szCs w:val="24"/>
          <w:lang w:val="sr-Cyrl-CS" w:eastAsia="en-GB"/>
        </w:rPr>
        <w:t xml:space="preserve"> бришу се</w:t>
      </w:r>
      <w:r w:rsidR="00887312" w:rsidRPr="00827818">
        <w:rPr>
          <w:rFonts w:ascii="Times New Roman" w:hAnsi="Times New Roman" w:cs="Times New Roman"/>
          <w:sz w:val="24"/>
          <w:szCs w:val="24"/>
          <w:lang w:val="sr-Cyrl-CS" w:eastAsia="en-GB"/>
        </w:rPr>
        <w:t>.</w:t>
      </w:r>
    </w:p>
    <w:p w:rsidR="003F3BE1" w:rsidRPr="00827818" w:rsidRDefault="008F0BDD" w:rsidP="005719B6">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bCs/>
          <w:sz w:val="24"/>
          <w:szCs w:val="24"/>
          <w:lang w:val="sr-Cyrl-CS" w:eastAsia="en-GB"/>
        </w:rPr>
        <w:t xml:space="preserve">9. </w:t>
      </w:r>
      <w:r w:rsidR="00A72E7F" w:rsidRPr="00827818">
        <w:rPr>
          <w:rFonts w:ascii="Times New Roman" w:hAnsi="Times New Roman" w:cs="Times New Roman"/>
          <w:bCs/>
          <w:sz w:val="24"/>
          <w:szCs w:val="24"/>
          <w:lang w:val="sr-Cyrl-CS" w:eastAsia="en-GB"/>
        </w:rPr>
        <w:t xml:space="preserve">У </w:t>
      </w:r>
      <w:r w:rsidRPr="00827818">
        <w:rPr>
          <w:rFonts w:ascii="Times New Roman" w:hAnsi="Times New Roman" w:cs="Times New Roman"/>
          <w:bCs/>
          <w:sz w:val="24"/>
          <w:szCs w:val="24"/>
          <w:lang w:val="sr-Cyrl-CS" w:eastAsia="en-GB"/>
        </w:rPr>
        <w:t>оквиру Посебног</w:t>
      </w:r>
      <w:r w:rsidR="00A72E7F" w:rsidRPr="00827818">
        <w:rPr>
          <w:rFonts w:ascii="Times New Roman" w:hAnsi="Times New Roman" w:cs="Times New Roman"/>
          <w:bCs/>
          <w:sz w:val="24"/>
          <w:szCs w:val="24"/>
          <w:lang w:val="sr-Cyrl-CS" w:eastAsia="en-GB"/>
        </w:rPr>
        <w:t xml:space="preserve"> циљ</w:t>
      </w:r>
      <w:r w:rsidRPr="00827818">
        <w:rPr>
          <w:rFonts w:ascii="Times New Roman" w:hAnsi="Times New Roman" w:cs="Times New Roman"/>
          <w:bCs/>
          <w:sz w:val="24"/>
          <w:szCs w:val="24"/>
          <w:lang w:val="sr-Cyrl-CS" w:eastAsia="en-GB"/>
        </w:rPr>
        <w:t>а</w:t>
      </w:r>
      <w:r w:rsidR="00A72E7F" w:rsidRPr="00827818">
        <w:rPr>
          <w:rFonts w:ascii="Times New Roman" w:hAnsi="Times New Roman" w:cs="Times New Roman"/>
          <w:bCs/>
          <w:sz w:val="24"/>
          <w:szCs w:val="24"/>
          <w:lang w:val="sr-Cyrl-CS" w:eastAsia="en-GB"/>
        </w:rPr>
        <w:t xml:space="preserve"> V Унапређено рачуноводство у јавном сектору применом међународних рачуноводствених стандарда за јавни сектор, у оквиру</w:t>
      </w:r>
      <w:r w:rsidR="00A72E7F" w:rsidRPr="00827818">
        <w:rPr>
          <w:rFonts w:ascii="Times New Roman" w:hAnsi="Times New Roman" w:cs="Times New Roman"/>
          <w:sz w:val="24"/>
          <w:szCs w:val="24"/>
          <w:lang w:val="sr-Cyrl-CS"/>
        </w:rPr>
        <w:t xml:space="preserve"> </w:t>
      </w:r>
      <w:r w:rsidR="00A72E7F" w:rsidRPr="00827818">
        <w:rPr>
          <w:rFonts w:ascii="Times New Roman" w:hAnsi="Times New Roman" w:cs="Times New Roman"/>
          <w:bCs/>
          <w:sz w:val="24"/>
          <w:szCs w:val="24"/>
          <w:lang w:val="sr-Cyrl-CS" w:eastAsia="en-GB"/>
        </w:rPr>
        <w:t>Планираних реформских мера у периоду 2021-2025, у Мери 5.3: Унапређење обухвата рачуноводствених података кроз примену међународних рачуноводствених стандарда за јавни сектор,</w:t>
      </w:r>
      <w:r w:rsidR="00055436" w:rsidRPr="00827818">
        <w:rPr>
          <w:rFonts w:ascii="Times New Roman" w:hAnsi="Times New Roman" w:cs="Times New Roman"/>
          <w:bCs/>
          <w:sz w:val="24"/>
          <w:szCs w:val="24"/>
          <w:lang w:val="sr-Cyrl-CS" w:eastAsia="en-GB"/>
        </w:rPr>
        <w:t xml:space="preserve"> </w:t>
      </w:r>
      <w:r w:rsidR="002B75A0" w:rsidRPr="00827818">
        <w:rPr>
          <w:rFonts w:ascii="Times New Roman" w:hAnsi="Times New Roman" w:cs="Times New Roman"/>
          <w:bCs/>
          <w:sz w:val="24"/>
          <w:szCs w:val="24"/>
          <w:lang w:val="sr-Cyrl-CS" w:eastAsia="en-GB"/>
        </w:rPr>
        <w:t>у 3.</w:t>
      </w:r>
      <w:r w:rsidR="00055436" w:rsidRPr="00827818">
        <w:rPr>
          <w:rFonts w:ascii="Times New Roman" w:hAnsi="Times New Roman" w:cs="Times New Roman"/>
          <w:bCs/>
          <w:sz w:val="24"/>
          <w:szCs w:val="24"/>
          <w:lang w:val="sr-Cyrl-CS" w:eastAsia="en-GB"/>
        </w:rPr>
        <w:t xml:space="preserve"> пасус</w:t>
      </w:r>
      <w:r w:rsidR="001C1991" w:rsidRPr="00827818">
        <w:rPr>
          <w:rFonts w:ascii="Times New Roman" w:hAnsi="Times New Roman" w:cs="Times New Roman"/>
          <w:bCs/>
          <w:sz w:val="24"/>
          <w:szCs w:val="24"/>
          <w:lang w:val="sr-Cyrl-CS" w:eastAsia="en-GB"/>
        </w:rPr>
        <w:t>,</w:t>
      </w:r>
      <w:r w:rsidR="00A72E7F" w:rsidRPr="00827818">
        <w:rPr>
          <w:rFonts w:ascii="Times New Roman" w:hAnsi="Times New Roman" w:cs="Times New Roman"/>
          <w:bCs/>
          <w:sz w:val="24"/>
          <w:szCs w:val="24"/>
          <w:lang w:val="sr-Cyrl-CS" w:eastAsia="en-GB"/>
        </w:rPr>
        <w:t xml:space="preserve"> </w:t>
      </w:r>
      <w:r w:rsidR="00055436" w:rsidRPr="00827818">
        <w:rPr>
          <w:rFonts w:ascii="Times New Roman" w:hAnsi="Times New Roman" w:cs="Times New Roman"/>
          <w:bCs/>
          <w:sz w:val="24"/>
          <w:szCs w:val="24"/>
          <w:lang w:val="sr-Cyrl-CS" w:eastAsia="en-GB"/>
        </w:rPr>
        <w:t>у другој реченици</w:t>
      </w:r>
      <w:r w:rsidR="00A72E7F" w:rsidRPr="00827818">
        <w:rPr>
          <w:rFonts w:ascii="Times New Roman" w:hAnsi="Times New Roman" w:cs="Times New Roman"/>
          <w:bCs/>
          <w:sz w:val="24"/>
          <w:szCs w:val="24"/>
          <w:lang w:val="sr-Cyrl-CS" w:eastAsia="en-GB"/>
        </w:rPr>
        <w:t xml:space="preserve"> годинa: „2022ˮ замењује се годином: „2024ˮ.</w:t>
      </w:r>
    </w:p>
    <w:p w:rsidR="003F3BE1" w:rsidRPr="00827818" w:rsidRDefault="009171FF" w:rsidP="005719B6">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10. </w:t>
      </w:r>
      <w:r w:rsidR="003F3BE1" w:rsidRPr="00827818">
        <w:rPr>
          <w:rFonts w:ascii="Times New Roman" w:hAnsi="Times New Roman" w:cs="Times New Roman"/>
          <w:sz w:val="24"/>
          <w:szCs w:val="24"/>
          <w:lang w:val="sr-Cyrl-CS" w:eastAsia="en-GB"/>
        </w:rPr>
        <w:t xml:space="preserve">У </w:t>
      </w:r>
      <w:r w:rsidRPr="00827818">
        <w:rPr>
          <w:rFonts w:ascii="Times New Roman" w:hAnsi="Times New Roman" w:cs="Times New Roman"/>
          <w:bCs/>
          <w:sz w:val="24"/>
          <w:szCs w:val="24"/>
          <w:lang w:val="sr-Cyrl-CS" w:eastAsia="en-GB"/>
        </w:rPr>
        <w:t xml:space="preserve">оквиру Посебног циља </w:t>
      </w:r>
      <w:r w:rsidR="003F3BE1" w:rsidRPr="00827818">
        <w:rPr>
          <w:rFonts w:ascii="Times New Roman" w:hAnsi="Times New Roman" w:cs="Times New Roman"/>
          <w:sz w:val="24"/>
          <w:szCs w:val="24"/>
          <w:lang w:val="sr-Cyrl-CS" w:eastAsia="en-GB"/>
        </w:rPr>
        <w:t xml:space="preserve">VI Jачање спољног надзора над јавним финансијама, у оквиру одељка Постигнуто у претходном ПРУЈФ, </w:t>
      </w:r>
      <w:r w:rsidR="002B75A0" w:rsidRPr="00827818">
        <w:rPr>
          <w:rFonts w:ascii="Times New Roman" w:hAnsi="Times New Roman" w:cs="Times New Roman"/>
          <w:sz w:val="24"/>
          <w:szCs w:val="24"/>
          <w:lang w:val="sr-Cyrl-CS" w:eastAsia="en-GB"/>
        </w:rPr>
        <w:t xml:space="preserve">у 6. </w:t>
      </w:r>
      <w:r w:rsidR="00055436" w:rsidRPr="00827818">
        <w:rPr>
          <w:rFonts w:ascii="Times New Roman" w:hAnsi="Times New Roman" w:cs="Times New Roman"/>
          <w:sz w:val="24"/>
          <w:szCs w:val="24"/>
          <w:lang w:val="sr-Cyrl-CS" w:eastAsia="en-GB"/>
        </w:rPr>
        <w:t>пасусу</w:t>
      </w:r>
      <w:r w:rsidR="001C1991" w:rsidRPr="00827818">
        <w:rPr>
          <w:rFonts w:ascii="Times New Roman" w:hAnsi="Times New Roman" w:cs="Times New Roman"/>
          <w:sz w:val="24"/>
          <w:szCs w:val="24"/>
          <w:lang w:val="sr-Cyrl-CS" w:eastAsia="en-GB"/>
        </w:rPr>
        <w:t>,</w:t>
      </w:r>
      <w:r w:rsidR="00055436" w:rsidRPr="00827818">
        <w:rPr>
          <w:rFonts w:ascii="Times New Roman" w:hAnsi="Times New Roman" w:cs="Times New Roman"/>
          <w:sz w:val="24"/>
          <w:szCs w:val="24"/>
          <w:lang w:val="sr-Cyrl-CS" w:eastAsia="en-GB"/>
        </w:rPr>
        <w:t xml:space="preserve"> прва реченица</w:t>
      </w:r>
      <w:r w:rsidR="003F3BE1" w:rsidRPr="00827818">
        <w:rPr>
          <w:rFonts w:ascii="Times New Roman" w:hAnsi="Times New Roman" w:cs="Times New Roman"/>
          <w:sz w:val="24"/>
          <w:szCs w:val="24"/>
          <w:lang w:val="sr-Cyrl-CS" w:eastAsia="en-GB"/>
        </w:rPr>
        <w:t xml:space="preserve"> мења</w:t>
      </w:r>
      <w:r w:rsidR="00055436" w:rsidRPr="00827818">
        <w:rPr>
          <w:rFonts w:ascii="Times New Roman" w:hAnsi="Times New Roman" w:cs="Times New Roman"/>
          <w:sz w:val="24"/>
          <w:szCs w:val="24"/>
          <w:lang w:val="sr-Cyrl-CS" w:eastAsia="en-GB"/>
        </w:rPr>
        <w:t xml:space="preserve"> се</w:t>
      </w:r>
      <w:r w:rsidR="003F3BE1" w:rsidRPr="00827818">
        <w:rPr>
          <w:rFonts w:ascii="Times New Roman" w:hAnsi="Times New Roman" w:cs="Times New Roman"/>
          <w:sz w:val="24"/>
          <w:szCs w:val="24"/>
          <w:lang w:val="sr-Cyrl-CS" w:eastAsia="en-GB"/>
        </w:rPr>
        <w:t xml:space="preserve"> и гласи: „Истовремено, ДРИ је, у току рада на повећању транспарентности, на свом сајту објавила образац за Одазивни извештај субјека</w:t>
      </w:r>
      <w:r w:rsidR="004F67D8" w:rsidRPr="00827818">
        <w:rPr>
          <w:rFonts w:ascii="Times New Roman" w:hAnsi="Times New Roman" w:cs="Times New Roman"/>
          <w:sz w:val="24"/>
          <w:szCs w:val="24"/>
          <w:lang w:val="sr-Cyrl-CS" w:eastAsia="en-GB"/>
        </w:rPr>
        <w:t>та ревизије и Одазивне извештаје</w:t>
      </w:r>
      <w:r w:rsidR="003F3BE1" w:rsidRPr="00827818">
        <w:rPr>
          <w:rFonts w:ascii="Times New Roman" w:hAnsi="Times New Roman" w:cs="Times New Roman"/>
          <w:sz w:val="24"/>
          <w:szCs w:val="24"/>
          <w:lang w:val="sr-Cyrl-CS" w:eastAsia="en-GB"/>
        </w:rPr>
        <w:t xml:space="preserve"> субјеката ревизије, састављене у</w:t>
      </w:r>
      <w:r w:rsidR="004F67D8" w:rsidRPr="00827818">
        <w:rPr>
          <w:rFonts w:ascii="Times New Roman" w:hAnsi="Times New Roman" w:cs="Times New Roman"/>
          <w:sz w:val="24"/>
          <w:szCs w:val="24"/>
          <w:lang w:val="sr-Cyrl-CS" w:eastAsia="en-GB"/>
        </w:rPr>
        <w:t xml:space="preserve"> складу са обрасцем, који садржи</w:t>
      </w:r>
      <w:r w:rsidR="003F3BE1" w:rsidRPr="00827818">
        <w:rPr>
          <w:rFonts w:ascii="Times New Roman" w:hAnsi="Times New Roman" w:cs="Times New Roman"/>
          <w:sz w:val="24"/>
          <w:szCs w:val="24"/>
          <w:lang w:val="sr-Cyrl-CS" w:eastAsia="en-GB"/>
        </w:rPr>
        <w:t xml:space="preserve"> утврђене неправилности и предузете мере исправљања од стране субјеката ревизије, односно поступање по препорукама које је дала ДРИ</w:t>
      </w:r>
      <w:r w:rsidR="001C1991" w:rsidRPr="00827818">
        <w:rPr>
          <w:rFonts w:ascii="Times New Roman" w:hAnsi="Times New Roman" w:cs="Times New Roman"/>
          <w:sz w:val="24"/>
          <w:szCs w:val="24"/>
          <w:lang w:val="sr-Cyrl-CS" w:eastAsia="en-GB"/>
        </w:rPr>
        <w:t>.</w:t>
      </w:r>
      <w:r w:rsidR="00055436" w:rsidRPr="00827818">
        <w:rPr>
          <w:rFonts w:ascii="Times New Roman" w:hAnsi="Times New Roman" w:cs="Times New Roman"/>
          <w:sz w:val="24"/>
          <w:szCs w:val="24"/>
          <w:lang w:val="sr-Cyrl-CS" w:eastAsia="en-GB"/>
        </w:rPr>
        <w:t>”</w:t>
      </w:r>
      <w:r w:rsidR="003F3BE1" w:rsidRPr="00827818">
        <w:rPr>
          <w:rFonts w:ascii="Times New Roman" w:hAnsi="Times New Roman" w:cs="Times New Roman"/>
          <w:sz w:val="24"/>
          <w:szCs w:val="24"/>
          <w:lang w:val="sr-Cyrl-CS" w:eastAsia="en-GB"/>
        </w:rPr>
        <w:t>.</w:t>
      </w:r>
    </w:p>
    <w:p w:rsidR="0024128F" w:rsidRPr="00827818" w:rsidRDefault="00DC5A7C" w:rsidP="00DC5A7C">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lastRenderedPageBreak/>
        <w:t xml:space="preserve">11. </w:t>
      </w:r>
      <w:r w:rsidR="003F3BE1" w:rsidRPr="00827818">
        <w:rPr>
          <w:rFonts w:ascii="Times New Roman" w:hAnsi="Times New Roman" w:cs="Times New Roman"/>
          <w:sz w:val="24"/>
          <w:szCs w:val="24"/>
          <w:lang w:val="sr-Cyrl-CS" w:eastAsia="en-GB"/>
        </w:rPr>
        <w:t xml:space="preserve">У </w:t>
      </w:r>
      <w:r w:rsidRPr="00827818">
        <w:rPr>
          <w:rFonts w:ascii="Times New Roman" w:hAnsi="Times New Roman" w:cs="Times New Roman"/>
          <w:bCs/>
          <w:sz w:val="24"/>
          <w:szCs w:val="24"/>
          <w:lang w:val="sr-Cyrl-CS" w:eastAsia="en-GB"/>
        </w:rPr>
        <w:t xml:space="preserve">оквиру Посебног циља </w:t>
      </w:r>
      <w:r w:rsidR="003F3BE1" w:rsidRPr="00827818">
        <w:rPr>
          <w:rFonts w:ascii="Times New Roman" w:hAnsi="Times New Roman" w:cs="Times New Roman"/>
          <w:sz w:val="24"/>
          <w:szCs w:val="24"/>
          <w:lang w:val="sr-Cyrl-CS" w:eastAsia="en-GB"/>
        </w:rPr>
        <w:t>VI Jачање спољног надзора над јавним финансијама, у оквиру одељка Планиране реформске мере у периоду 2021-2025</w:t>
      </w:r>
      <w:r w:rsidR="00055436" w:rsidRPr="00827818">
        <w:rPr>
          <w:rFonts w:ascii="Times New Roman" w:hAnsi="Times New Roman" w:cs="Times New Roman"/>
          <w:sz w:val="24"/>
          <w:szCs w:val="24"/>
          <w:lang w:val="sr-Cyrl-CS" w:eastAsia="en-GB"/>
        </w:rPr>
        <w:t xml:space="preserve">, </w:t>
      </w:r>
      <w:r w:rsidR="002B75A0" w:rsidRPr="00827818">
        <w:rPr>
          <w:rFonts w:ascii="Times New Roman" w:hAnsi="Times New Roman" w:cs="Times New Roman"/>
          <w:sz w:val="24"/>
          <w:szCs w:val="24"/>
          <w:lang w:val="sr-Cyrl-CS" w:eastAsia="en-GB"/>
        </w:rPr>
        <w:t xml:space="preserve">у </w:t>
      </w:r>
      <w:r w:rsidRPr="00827818">
        <w:rPr>
          <w:rFonts w:ascii="Times New Roman" w:hAnsi="Times New Roman" w:cs="Times New Roman"/>
          <w:sz w:val="24"/>
          <w:szCs w:val="24"/>
          <w:lang w:val="sr-Cyrl-CS" w:eastAsia="en-GB"/>
        </w:rPr>
        <w:t>другом</w:t>
      </w:r>
      <w:r w:rsidR="00055436" w:rsidRPr="00827818">
        <w:rPr>
          <w:rFonts w:ascii="Times New Roman" w:hAnsi="Times New Roman" w:cs="Times New Roman"/>
          <w:sz w:val="24"/>
          <w:szCs w:val="24"/>
          <w:lang w:val="sr-Cyrl-CS" w:eastAsia="en-GB"/>
        </w:rPr>
        <w:t xml:space="preserve"> пасусу</w:t>
      </w:r>
      <w:r w:rsidR="001C1991" w:rsidRPr="00827818">
        <w:rPr>
          <w:rFonts w:ascii="Times New Roman" w:hAnsi="Times New Roman" w:cs="Times New Roman"/>
          <w:sz w:val="24"/>
          <w:szCs w:val="24"/>
          <w:lang w:val="sr-Cyrl-CS" w:eastAsia="en-GB"/>
        </w:rPr>
        <w:t>,</w:t>
      </w:r>
      <w:r w:rsidR="00055436" w:rsidRPr="00827818">
        <w:rPr>
          <w:rFonts w:ascii="Times New Roman" w:hAnsi="Times New Roman" w:cs="Times New Roman"/>
          <w:sz w:val="24"/>
          <w:szCs w:val="24"/>
          <w:lang w:val="sr-Cyrl-CS" w:eastAsia="en-GB"/>
        </w:rPr>
        <w:t xml:space="preserve"> </w:t>
      </w:r>
      <w:r w:rsidR="009E6084" w:rsidRPr="00827818">
        <w:rPr>
          <w:rFonts w:ascii="Times New Roman" w:hAnsi="Times New Roman" w:cs="Times New Roman"/>
          <w:sz w:val="24"/>
          <w:szCs w:val="24"/>
          <w:lang w:val="sr-Cyrl-CS" w:eastAsia="en-GB"/>
        </w:rPr>
        <w:t xml:space="preserve">друга реченица </w:t>
      </w:r>
      <w:r w:rsidR="003F3BE1" w:rsidRPr="00827818">
        <w:rPr>
          <w:rFonts w:ascii="Times New Roman" w:hAnsi="Times New Roman" w:cs="Times New Roman"/>
          <w:sz w:val="24"/>
          <w:szCs w:val="24"/>
          <w:lang w:val="sr-Cyrl-CS" w:eastAsia="en-GB"/>
        </w:rPr>
        <w:t xml:space="preserve">мења </w:t>
      </w:r>
      <w:r w:rsidR="00055436" w:rsidRPr="00827818">
        <w:rPr>
          <w:rFonts w:ascii="Times New Roman" w:hAnsi="Times New Roman" w:cs="Times New Roman"/>
          <w:sz w:val="24"/>
          <w:szCs w:val="24"/>
          <w:lang w:val="sr-Cyrl-CS" w:eastAsia="en-GB"/>
        </w:rPr>
        <w:t xml:space="preserve">се </w:t>
      </w:r>
      <w:r w:rsidR="003F3BE1" w:rsidRPr="00827818">
        <w:rPr>
          <w:rFonts w:ascii="Times New Roman" w:hAnsi="Times New Roman" w:cs="Times New Roman"/>
          <w:sz w:val="24"/>
          <w:szCs w:val="24"/>
          <w:lang w:val="sr-Cyrl-CS" w:eastAsia="en-GB"/>
        </w:rPr>
        <w:t xml:space="preserve">и гласи: „Овај значајан напредак у сарадњи између две институције, значајно је допринео повећању поступања по препорукама које субјектима ревизије даје ДРИ, будући да су на овим седницама Народне скупштине усвојени конкретни закључци који извршној власти налажу да спроведу </w:t>
      </w:r>
      <w:r w:rsidR="00D208AD" w:rsidRPr="00827818">
        <w:rPr>
          <w:rFonts w:ascii="Times New Roman" w:hAnsi="Times New Roman" w:cs="Times New Roman"/>
          <w:sz w:val="24"/>
          <w:szCs w:val="24"/>
          <w:lang w:val="sr-Cyrl-CS" w:eastAsia="en-GB"/>
        </w:rPr>
        <w:t>препоруке које су добили од ДРИ</w:t>
      </w:r>
      <w:r w:rsidR="001C1991" w:rsidRPr="00827818">
        <w:rPr>
          <w:rFonts w:ascii="Times New Roman" w:hAnsi="Times New Roman" w:cs="Times New Roman"/>
          <w:sz w:val="24"/>
          <w:szCs w:val="24"/>
          <w:lang w:val="sr-Cyrl-CS" w:eastAsia="en-GB"/>
        </w:rPr>
        <w:t>.</w:t>
      </w:r>
      <w:r w:rsidR="004C28DE" w:rsidRPr="00827818">
        <w:rPr>
          <w:rFonts w:ascii="Times New Roman" w:hAnsi="Times New Roman" w:cs="Times New Roman"/>
          <w:sz w:val="24"/>
          <w:szCs w:val="24"/>
          <w:lang w:val="sr-Cyrl-CS" w:eastAsia="en-GB"/>
        </w:rPr>
        <w:t xml:space="preserve">” и </w:t>
      </w:r>
      <w:r w:rsidR="005C0AE5" w:rsidRPr="00827818">
        <w:rPr>
          <w:rFonts w:ascii="Times New Roman" w:hAnsi="Times New Roman" w:cs="Times New Roman"/>
          <w:sz w:val="24"/>
          <w:szCs w:val="24"/>
          <w:lang w:val="sr-Cyrl-CS" w:eastAsia="en-GB"/>
        </w:rPr>
        <w:t xml:space="preserve">последња реченица </w:t>
      </w:r>
      <w:r w:rsidR="003F3BE1" w:rsidRPr="00827818">
        <w:rPr>
          <w:rFonts w:ascii="Times New Roman" w:hAnsi="Times New Roman" w:cs="Times New Roman"/>
          <w:sz w:val="24"/>
          <w:szCs w:val="24"/>
          <w:lang w:val="sr-Cyrl-CS" w:eastAsia="en-GB"/>
        </w:rPr>
        <w:t xml:space="preserve">мења </w:t>
      </w:r>
      <w:r w:rsidR="00055436" w:rsidRPr="00827818">
        <w:rPr>
          <w:rFonts w:ascii="Times New Roman" w:hAnsi="Times New Roman" w:cs="Times New Roman"/>
          <w:sz w:val="24"/>
          <w:szCs w:val="24"/>
          <w:lang w:val="sr-Cyrl-CS" w:eastAsia="en-GB"/>
        </w:rPr>
        <w:t xml:space="preserve">се </w:t>
      </w:r>
      <w:r w:rsidR="003F3BE1" w:rsidRPr="00827818">
        <w:rPr>
          <w:rFonts w:ascii="Times New Roman" w:hAnsi="Times New Roman" w:cs="Times New Roman"/>
          <w:sz w:val="24"/>
          <w:szCs w:val="24"/>
          <w:lang w:val="sr-Cyrl-CS" w:eastAsia="en-GB"/>
        </w:rPr>
        <w:t>и гласи: „Овај позитиван тренд поступања по препорукама и повећања утицаја екстерне ревизије биће велики допринос транспарентности и стабилности целокупног система јавних финансија, будући да ће законодавна власт учврстити своју улогу у надзору извршне власти када је реч о ефикасном и ефек</w:t>
      </w:r>
      <w:r w:rsidR="00D208AD" w:rsidRPr="00827818">
        <w:rPr>
          <w:rFonts w:ascii="Times New Roman" w:hAnsi="Times New Roman" w:cs="Times New Roman"/>
          <w:sz w:val="24"/>
          <w:szCs w:val="24"/>
          <w:lang w:val="sr-Cyrl-CS" w:eastAsia="en-GB"/>
        </w:rPr>
        <w:t>тивном трошењу јавних средстава</w:t>
      </w:r>
      <w:r w:rsidR="00326797" w:rsidRPr="00827818">
        <w:rPr>
          <w:rFonts w:ascii="Times New Roman" w:hAnsi="Times New Roman" w:cs="Times New Roman"/>
          <w:sz w:val="24"/>
          <w:szCs w:val="24"/>
          <w:lang w:val="sr-Cyrl-CS" w:eastAsia="en-GB"/>
        </w:rPr>
        <w:t>.</w:t>
      </w:r>
      <w:r w:rsidR="00D208AD" w:rsidRPr="00827818">
        <w:rPr>
          <w:rFonts w:ascii="Times New Roman" w:hAnsi="Times New Roman" w:cs="Times New Roman"/>
          <w:sz w:val="24"/>
          <w:szCs w:val="24"/>
          <w:lang w:val="sr-Cyrl-CS" w:eastAsia="en-GB"/>
        </w:rPr>
        <w:t>”</w:t>
      </w:r>
      <w:r w:rsidR="0024128F" w:rsidRPr="00827818">
        <w:rPr>
          <w:rFonts w:ascii="Times New Roman" w:hAnsi="Times New Roman" w:cs="Times New Roman"/>
          <w:sz w:val="24"/>
          <w:szCs w:val="24"/>
          <w:lang w:val="sr-Cyrl-CS" w:eastAsia="en-GB"/>
        </w:rPr>
        <w:t>.</w:t>
      </w:r>
    </w:p>
    <w:p w:rsidR="0024128F" w:rsidRPr="00827818" w:rsidRDefault="00586855" w:rsidP="00586855">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12. </w:t>
      </w:r>
      <w:r w:rsidR="0024128F" w:rsidRPr="00827818">
        <w:rPr>
          <w:rFonts w:ascii="Times New Roman" w:hAnsi="Times New Roman" w:cs="Times New Roman"/>
          <w:sz w:val="24"/>
          <w:szCs w:val="24"/>
          <w:lang w:val="sr-Cyrl-CS" w:eastAsia="en-GB"/>
        </w:rPr>
        <w:t xml:space="preserve">У оквиру Процене неопходних финансијских средстава за спровођење Програма реформе управљања јавним финансијама 2021-2025, графички приказ неопходних финансијских средстава за реализацију </w:t>
      </w:r>
      <w:r w:rsidR="00326797" w:rsidRPr="00827818">
        <w:rPr>
          <w:rFonts w:ascii="Times New Roman" w:hAnsi="Times New Roman" w:cs="Times New Roman"/>
          <w:sz w:val="24"/>
          <w:szCs w:val="24"/>
          <w:lang w:val="sr-Cyrl-CS" w:eastAsia="en-GB"/>
        </w:rPr>
        <w:t>мења се</w:t>
      </w:r>
      <w:r w:rsidR="00030726" w:rsidRPr="00827818">
        <w:rPr>
          <w:rFonts w:ascii="Times New Roman" w:hAnsi="Times New Roman" w:cs="Times New Roman"/>
          <w:sz w:val="24"/>
          <w:szCs w:val="24"/>
          <w:lang w:val="sr-Cyrl-CS" w:eastAsia="en-GB"/>
        </w:rPr>
        <w:t xml:space="preserve"> </w:t>
      </w:r>
      <w:r w:rsidR="0024128F" w:rsidRPr="00827818">
        <w:rPr>
          <w:rFonts w:ascii="Times New Roman" w:hAnsi="Times New Roman" w:cs="Times New Roman"/>
          <w:sz w:val="24"/>
          <w:szCs w:val="24"/>
          <w:lang w:val="sr-Cyrl-CS" w:eastAsia="en-GB"/>
        </w:rPr>
        <w:t>као шт</w:t>
      </w:r>
      <w:r w:rsidR="003841B8" w:rsidRPr="00827818">
        <w:rPr>
          <w:rFonts w:ascii="Times New Roman" w:hAnsi="Times New Roman" w:cs="Times New Roman"/>
          <w:sz w:val="24"/>
          <w:szCs w:val="24"/>
          <w:lang w:val="sr-Cyrl-CS" w:eastAsia="en-GB"/>
        </w:rPr>
        <w:t>о је приказано у оквиру тачке 72</w:t>
      </w:r>
      <w:r w:rsidR="00650A2F" w:rsidRPr="00827818">
        <w:rPr>
          <w:rFonts w:ascii="Times New Roman" w:hAnsi="Times New Roman" w:cs="Times New Roman"/>
          <w:sz w:val="24"/>
          <w:szCs w:val="24"/>
          <w:lang w:val="sr-Cyrl-CS" w:eastAsia="en-GB"/>
        </w:rPr>
        <w:t>.</w:t>
      </w:r>
      <w:r w:rsidR="00C40251" w:rsidRPr="00827818">
        <w:rPr>
          <w:rFonts w:ascii="Times New Roman" w:hAnsi="Times New Roman" w:cs="Times New Roman"/>
          <w:sz w:val="24"/>
          <w:szCs w:val="24"/>
          <w:lang w:val="sr-Cyrl-CS" w:eastAsia="en-GB"/>
        </w:rPr>
        <w:t xml:space="preserve"> ове о</w:t>
      </w:r>
      <w:r w:rsidR="0024128F" w:rsidRPr="00827818">
        <w:rPr>
          <w:rFonts w:ascii="Times New Roman" w:hAnsi="Times New Roman" w:cs="Times New Roman"/>
          <w:sz w:val="24"/>
          <w:szCs w:val="24"/>
          <w:lang w:val="sr-Cyrl-CS" w:eastAsia="en-GB"/>
        </w:rPr>
        <w:t>длуке.</w:t>
      </w:r>
    </w:p>
    <w:p w:rsidR="001922B1" w:rsidRPr="00827818" w:rsidRDefault="001C4D2E" w:rsidP="005719B6">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13. </w:t>
      </w:r>
      <w:r w:rsidR="002C4655" w:rsidRPr="00827818">
        <w:rPr>
          <w:rFonts w:ascii="Times New Roman" w:hAnsi="Times New Roman" w:cs="Times New Roman"/>
          <w:sz w:val="24"/>
          <w:szCs w:val="24"/>
          <w:lang w:val="sr-Cyrl-CS" w:eastAsia="en-GB"/>
        </w:rPr>
        <w:t xml:space="preserve">У </w:t>
      </w:r>
      <w:bookmarkStart w:id="4" w:name="_Toc72831323"/>
      <w:r w:rsidR="002C4655" w:rsidRPr="00827818">
        <w:rPr>
          <w:rFonts w:ascii="Times New Roman" w:hAnsi="Times New Roman" w:cs="Times New Roman"/>
          <w:sz w:val="24"/>
          <w:szCs w:val="24"/>
          <w:lang w:val="sr-Cyrl-CS" w:eastAsia="en-GB"/>
        </w:rPr>
        <w:t>оквиру Праћења реализације, евалуација и процес Извештавања о спровођењу Програма реформе управљања јавним финансијама 2021-2025</w:t>
      </w:r>
      <w:bookmarkEnd w:id="4"/>
      <w:r w:rsidR="002C4655" w:rsidRPr="00827818">
        <w:rPr>
          <w:rFonts w:ascii="Times New Roman" w:hAnsi="Times New Roman" w:cs="Times New Roman"/>
          <w:sz w:val="24"/>
          <w:szCs w:val="24"/>
          <w:lang w:val="sr-Cyrl-CS" w:eastAsia="en-GB"/>
        </w:rPr>
        <w:t xml:space="preserve">, у </w:t>
      </w:r>
      <w:r w:rsidRPr="00827818">
        <w:rPr>
          <w:rFonts w:ascii="Times New Roman" w:hAnsi="Times New Roman" w:cs="Times New Roman"/>
          <w:sz w:val="24"/>
          <w:szCs w:val="24"/>
          <w:lang w:val="sr-Cyrl-CS" w:eastAsia="en-GB"/>
        </w:rPr>
        <w:t>петом</w:t>
      </w:r>
      <w:r w:rsidR="00326797" w:rsidRPr="00827818">
        <w:rPr>
          <w:rFonts w:ascii="Times New Roman" w:hAnsi="Times New Roman" w:cs="Times New Roman"/>
          <w:sz w:val="24"/>
          <w:szCs w:val="24"/>
          <w:lang w:val="sr-Cyrl-CS" w:eastAsia="en-GB"/>
        </w:rPr>
        <w:t xml:space="preserve"> пасусу</w:t>
      </w:r>
      <w:r w:rsidR="002C4655" w:rsidRPr="00827818">
        <w:rPr>
          <w:rFonts w:ascii="Times New Roman" w:hAnsi="Times New Roman" w:cs="Times New Roman"/>
          <w:sz w:val="24"/>
          <w:szCs w:val="24"/>
          <w:lang w:val="sr-Cyrl-CS" w:eastAsia="en-GB"/>
        </w:rPr>
        <w:t xml:space="preserve"> речи</w:t>
      </w:r>
      <w:r w:rsidR="00326797" w:rsidRPr="00827818">
        <w:rPr>
          <w:rFonts w:ascii="Times New Roman" w:hAnsi="Times New Roman" w:cs="Times New Roman"/>
          <w:sz w:val="24"/>
          <w:szCs w:val="24"/>
          <w:lang w:val="sr-Cyrl-CS" w:eastAsia="en-GB"/>
        </w:rPr>
        <w:t>:</w:t>
      </w:r>
      <w:r w:rsidR="002C4655" w:rsidRPr="00827818">
        <w:rPr>
          <w:rFonts w:ascii="Times New Roman" w:hAnsi="Times New Roman" w:cs="Times New Roman"/>
          <w:sz w:val="24"/>
          <w:szCs w:val="24"/>
          <w:lang w:val="sr-Cyrl-CS" w:eastAsia="en-GB"/>
        </w:rPr>
        <w:t xml:space="preserve"> </w:t>
      </w:r>
      <w:r w:rsidR="00326797" w:rsidRPr="00827818">
        <w:rPr>
          <w:rFonts w:ascii="Times New Roman" w:hAnsi="Times New Roman" w:cs="Times New Roman"/>
          <w:sz w:val="24"/>
          <w:szCs w:val="24"/>
          <w:lang w:val="sr-Cyrl-CS" w:eastAsia="en-GB"/>
        </w:rPr>
        <w:t>„Државна ревизорска институција”</w:t>
      </w:r>
      <w:r w:rsidR="002C4655" w:rsidRPr="00827818">
        <w:rPr>
          <w:rFonts w:ascii="Times New Roman" w:hAnsi="Times New Roman" w:cs="Times New Roman"/>
          <w:sz w:val="24"/>
          <w:szCs w:val="24"/>
          <w:lang w:val="sr-Cyrl-CS" w:eastAsia="en-GB"/>
        </w:rPr>
        <w:t xml:space="preserve"> бришу се.</w:t>
      </w:r>
    </w:p>
    <w:p w:rsidR="00223ED1" w:rsidRPr="00827818" w:rsidRDefault="00B27B05" w:rsidP="005719B6">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14. </w:t>
      </w:r>
      <w:r w:rsidR="00223ED1" w:rsidRPr="00827818">
        <w:rPr>
          <w:rFonts w:ascii="Times New Roman" w:hAnsi="Times New Roman" w:cs="Times New Roman"/>
          <w:sz w:val="24"/>
          <w:szCs w:val="24"/>
          <w:lang w:val="sr-Cyrl-CS" w:eastAsia="en-GB"/>
        </w:rPr>
        <w:t>У Акционом плану за спровођење Програма реформе управљања</w:t>
      </w:r>
      <w:r w:rsidR="00EA299D" w:rsidRPr="00827818">
        <w:rPr>
          <w:rFonts w:ascii="Times New Roman" w:hAnsi="Times New Roman" w:cs="Times New Roman"/>
          <w:sz w:val="24"/>
          <w:szCs w:val="24"/>
          <w:lang w:val="sr-Cyrl-CS" w:eastAsia="en-GB"/>
        </w:rPr>
        <w:t xml:space="preserve"> јавним финансијама за период 2021 -</w:t>
      </w:r>
      <w:r w:rsidR="00223ED1" w:rsidRPr="00827818">
        <w:rPr>
          <w:rFonts w:ascii="Times New Roman" w:hAnsi="Times New Roman" w:cs="Times New Roman"/>
          <w:sz w:val="24"/>
          <w:szCs w:val="24"/>
          <w:lang w:val="sr-Cyrl-CS" w:eastAsia="en-GB"/>
        </w:rPr>
        <w:t xml:space="preserve"> 2025. године, </w:t>
      </w:r>
      <w:r w:rsidR="00EA299D" w:rsidRPr="00827818">
        <w:rPr>
          <w:rFonts w:ascii="Times New Roman" w:hAnsi="Times New Roman" w:cs="Times New Roman"/>
          <w:sz w:val="24"/>
          <w:szCs w:val="24"/>
          <w:lang w:val="sr-Cyrl-CS" w:eastAsia="en-GB"/>
        </w:rPr>
        <w:t xml:space="preserve">који је одштампан уз Програм реформе управљања јавним финансијама за период 2021 - 2025. године и чини његов саставни део, </w:t>
      </w:r>
      <w:r w:rsidR="00223ED1" w:rsidRPr="00827818">
        <w:rPr>
          <w:rFonts w:ascii="Times New Roman" w:hAnsi="Times New Roman" w:cs="Times New Roman"/>
          <w:sz w:val="24"/>
          <w:szCs w:val="24"/>
          <w:lang w:val="sr-Cyrl-CS" w:eastAsia="en-GB"/>
        </w:rPr>
        <w:t xml:space="preserve">у оквиру општег циља: Остваривање одрживог буџета са стабилним јавним дугом у односу на БДП уз помоћ бољег финансијског управљања и контроле, процеса ревизије и повезивања буџетског планирања са политикама Владе, у показатељу: </w:t>
      </w:r>
      <w:r w:rsidR="00727C46" w:rsidRPr="00827818">
        <w:rPr>
          <w:rFonts w:ascii="Times New Roman" w:hAnsi="Times New Roman" w:cs="Times New Roman"/>
          <w:sz w:val="24"/>
          <w:szCs w:val="24"/>
          <w:lang w:val="sr-Cyrl-CS" w:eastAsia="en-GB"/>
        </w:rPr>
        <w:t>„</w:t>
      </w:r>
      <w:r w:rsidR="00223ED1" w:rsidRPr="00827818">
        <w:rPr>
          <w:rFonts w:ascii="Times New Roman" w:hAnsi="Times New Roman" w:cs="Times New Roman"/>
          <w:sz w:val="24"/>
          <w:szCs w:val="24"/>
          <w:lang w:val="sr-Cyrl-CS" w:eastAsia="en-GB"/>
        </w:rPr>
        <w:t>Реални раст БДП</w:t>
      </w:r>
      <w:r w:rsidR="00727C46" w:rsidRPr="00827818">
        <w:rPr>
          <w:rFonts w:ascii="Times New Roman" w:hAnsi="Times New Roman" w:cs="Times New Roman"/>
          <w:sz w:val="24"/>
          <w:szCs w:val="24"/>
          <w:lang w:val="sr-Cyrl-CS" w:eastAsia="en-GB"/>
        </w:rPr>
        <w:t>”</w:t>
      </w:r>
      <w:r w:rsidR="00223ED1" w:rsidRPr="00827818">
        <w:rPr>
          <w:rFonts w:ascii="Times New Roman" w:hAnsi="Times New Roman" w:cs="Times New Roman"/>
          <w:sz w:val="24"/>
          <w:szCs w:val="24"/>
          <w:lang w:val="sr-Cyrl-CS" w:eastAsia="en-GB"/>
        </w:rPr>
        <w:t>, у колони циљана вредности за 2023:  „4%ˮ замењује се циљаном вредношћу за 2023: „2.5%ˮ; у колони циљана вредност за 2024: „-ˮ додаје се циљана вредност за 2024</w:t>
      </w:r>
      <w:r w:rsidR="00DE10F6" w:rsidRPr="00827818">
        <w:rPr>
          <w:rFonts w:ascii="Times New Roman" w:hAnsi="Times New Roman" w:cs="Times New Roman"/>
          <w:sz w:val="24"/>
          <w:szCs w:val="24"/>
          <w:lang w:val="sr-Cyrl-CS" w:eastAsia="en-GB"/>
        </w:rPr>
        <w:t>:</w:t>
      </w:r>
      <w:r w:rsidR="00223ED1" w:rsidRPr="00827818">
        <w:rPr>
          <w:rFonts w:ascii="Times New Roman" w:hAnsi="Times New Roman" w:cs="Times New Roman"/>
          <w:sz w:val="24"/>
          <w:szCs w:val="24"/>
          <w:lang w:val="sr-Cyrl-CS" w:eastAsia="en-GB"/>
        </w:rPr>
        <w:t xml:space="preserve"> „3.5%ˮ </w:t>
      </w:r>
      <w:r w:rsidR="00326797" w:rsidRPr="00827818">
        <w:rPr>
          <w:rFonts w:ascii="Times New Roman" w:hAnsi="Times New Roman" w:cs="Times New Roman"/>
          <w:sz w:val="24"/>
          <w:szCs w:val="24"/>
          <w:lang w:val="sr-Cyrl-CS" w:eastAsia="en-GB"/>
        </w:rPr>
        <w:t xml:space="preserve">и </w:t>
      </w:r>
      <w:r w:rsidR="00223ED1" w:rsidRPr="00827818">
        <w:rPr>
          <w:rFonts w:ascii="Times New Roman" w:hAnsi="Times New Roman" w:cs="Times New Roman"/>
          <w:sz w:val="24"/>
          <w:szCs w:val="24"/>
          <w:lang w:val="sr-Cyrl-CS" w:eastAsia="en-GB"/>
        </w:rPr>
        <w:t>у колони циљана вредност за 2025: „-ˮ додаје се циљана вредност за 2025</w:t>
      </w:r>
      <w:r w:rsidR="00DE10F6" w:rsidRPr="00827818">
        <w:rPr>
          <w:rFonts w:ascii="Times New Roman" w:hAnsi="Times New Roman" w:cs="Times New Roman"/>
          <w:sz w:val="24"/>
          <w:szCs w:val="24"/>
          <w:lang w:val="sr-Cyrl-CS" w:eastAsia="en-GB"/>
        </w:rPr>
        <w:t>:</w:t>
      </w:r>
      <w:r w:rsidR="00223ED1" w:rsidRPr="00827818">
        <w:rPr>
          <w:rFonts w:ascii="Times New Roman" w:hAnsi="Times New Roman" w:cs="Times New Roman"/>
          <w:sz w:val="24"/>
          <w:szCs w:val="24"/>
          <w:lang w:val="sr-Cyrl-CS" w:eastAsia="en-GB"/>
        </w:rPr>
        <w:t xml:space="preserve"> „4%ˮ. </w:t>
      </w:r>
    </w:p>
    <w:p w:rsidR="004C28DE" w:rsidRPr="00827818" w:rsidRDefault="006C0647" w:rsidP="006C0647">
      <w:pPr>
        <w:spacing w:after="0"/>
        <w:ind w:firstLine="720"/>
        <w:jc w:val="both"/>
        <w:rPr>
          <w:rFonts w:ascii="Times New Roman" w:hAnsi="Times New Roman" w:cs="Times New Roman"/>
          <w:sz w:val="24"/>
          <w:szCs w:val="24"/>
          <w:lang w:val="sr-Cyrl-CS" w:eastAsia="en-GB"/>
        </w:rPr>
      </w:pPr>
      <w:r w:rsidRPr="00827818">
        <w:rPr>
          <w:rFonts w:ascii="Times New Roman" w:hAnsi="Times New Roman" w:cs="Times New Roman"/>
          <w:sz w:val="24"/>
          <w:szCs w:val="24"/>
          <w:lang w:val="sr-Cyrl-CS" w:eastAsia="en-GB"/>
        </w:rPr>
        <w:t xml:space="preserve">15. </w:t>
      </w:r>
      <w:r w:rsidR="00223ED1" w:rsidRPr="00827818">
        <w:rPr>
          <w:rFonts w:ascii="Times New Roman" w:hAnsi="Times New Roman" w:cs="Times New Roman"/>
          <w:sz w:val="24"/>
          <w:szCs w:val="24"/>
          <w:lang w:val="sr-Cyrl-CS" w:eastAsia="en-GB"/>
        </w:rPr>
        <w:t>У показатељу: „Ниво дуга опште државе у БДП-у</w:t>
      </w:r>
      <w:r w:rsidR="00727C46" w:rsidRPr="00827818">
        <w:rPr>
          <w:rFonts w:ascii="Times New Roman" w:hAnsi="Times New Roman" w:cs="Times New Roman"/>
          <w:sz w:val="24"/>
          <w:szCs w:val="24"/>
          <w:lang w:val="sr-Cyrl-CS" w:eastAsia="en-GB"/>
        </w:rPr>
        <w:t>”</w:t>
      </w:r>
      <w:r w:rsidR="00223ED1" w:rsidRPr="00827818">
        <w:rPr>
          <w:rFonts w:ascii="Times New Roman" w:hAnsi="Times New Roman" w:cs="Times New Roman"/>
          <w:sz w:val="24"/>
          <w:szCs w:val="24"/>
          <w:lang w:val="sr-Cyrl-CS" w:eastAsia="en-GB"/>
        </w:rPr>
        <w:t xml:space="preserve">, у колони циљана вредности за 2023:  „56%ˮ замењује се циљаном вредношћу за 2023: „53,3%ˮ; у колони циљана вредност за 2024: „-ˮ </w:t>
      </w:r>
      <w:r w:rsidR="009442B4" w:rsidRPr="00827818">
        <w:rPr>
          <w:rFonts w:ascii="Times New Roman" w:hAnsi="Times New Roman" w:cs="Times New Roman"/>
          <w:sz w:val="24"/>
          <w:szCs w:val="24"/>
          <w:lang w:val="sr-Cyrl-CS" w:eastAsia="en-GB"/>
        </w:rPr>
        <w:t>замењује се</w:t>
      </w:r>
      <w:r w:rsidR="00223ED1" w:rsidRPr="00827818">
        <w:rPr>
          <w:rFonts w:ascii="Times New Roman" w:hAnsi="Times New Roman" w:cs="Times New Roman"/>
          <w:sz w:val="24"/>
          <w:szCs w:val="24"/>
          <w:lang w:val="sr-Cyrl-CS" w:eastAsia="en-GB"/>
        </w:rPr>
        <w:t xml:space="preserve"> </w:t>
      </w:r>
      <w:r w:rsidR="009442B4" w:rsidRPr="00827818">
        <w:rPr>
          <w:rFonts w:ascii="Times New Roman" w:hAnsi="Times New Roman" w:cs="Times New Roman"/>
          <w:sz w:val="24"/>
          <w:szCs w:val="24"/>
          <w:lang w:val="sr-Cyrl-CS" w:eastAsia="en-GB"/>
        </w:rPr>
        <w:t>циљаном</w:t>
      </w:r>
      <w:r w:rsidR="00223ED1" w:rsidRPr="00827818">
        <w:rPr>
          <w:rFonts w:ascii="Times New Roman" w:hAnsi="Times New Roman" w:cs="Times New Roman"/>
          <w:sz w:val="24"/>
          <w:szCs w:val="24"/>
          <w:lang w:val="sr-Cyrl-CS" w:eastAsia="en-GB"/>
        </w:rPr>
        <w:t xml:space="preserve"> </w:t>
      </w:r>
      <w:r w:rsidR="009442B4" w:rsidRPr="00827818">
        <w:rPr>
          <w:rFonts w:ascii="Times New Roman" w:hAnsi="Times New Roman" w:cs="Times New Roman"/>
          <w:sz w:val="24"/>
          <w:szCs w:val="24"/>
          <w:lang w:val="sr-Cyrl-CS" w:eastAsia="en-GB"/>
        </w:rPr>
        <w:t>вредношћу</w:t>
      </w:r>
      <w:r w:rsidR="00223ED1" w:rsidRPr="00827818">
        <w:rPr>
          <w:rFonts w:ascii="Times New Roman" w:hAnsi="Times New Roman" w:cs="Times New Roman"/>
          <w:sz w:val="24"/>
          <w:szCs w:val="24"/>
          <w:lang w:val="sr-Cyrl-CS" w:eastAsia="en-GB"/>
        </w:rPr>
        <w:t xml:space="preserve"> за 2024</w:t>
      </w:r>
      <w:r w:rsidR="009442B4" w:rsidRPr="00827818">
        <w:rPr>
          <w:rFonts w:ascii="Times New Roman" w:hAnsi="Times New Roman" w:cs="Times New Roman"/>
          <w:sz w:val="24"/>
          <w:szCs w:val="24"/>
          <w:lang w:val="sr-Cyrl-CS" w:eastAsia="en-GB"/>
        </w:rPr>
        <w:t xml:space="preserve">: </w:t>
      </w:r>
      <w:r w:rsidR="00223ED1" w:rsidRPr="00827818">
        <w:rPr>
          <w:rFonts w:ascii="Times New Roman" w:hAnsi="Times New Roman" w:cs="Times New Roman"/>
          <w:sz w:val="24"/>
          <w:szCs w:val="24"/>
          <w:lang w:val="sr-Cyrl-CS" w:eastAsia="en-GB"/>
        </w:rPr>
        <w:t xml:space="preserve">„51,7%ˮ </w:t>
      </w:r>
      <w:r w:rsidR="00326797" w:rsidRPr="00827818">
        <w:rPr>
          <w:rFonts w:ascii="Times New Roman" w:hAnsi="Times New Roman" w:cs="Times New Roman"/>
          <w:sz w:val="24"/>
          <w:szCs w:val="24"/>
          <w:lang w:val="sr-Cyrl-CS" w:eastAsia="en-GB"/>
        </w:rPr>
        <w:t xml:space="preserve">и </w:t>
      </w:r>
      <w:r w:rsidR="00223ED1" w:rsidRPr="00827818">
        <w:rPr>
          <w:rFonts w:ascii="Times New Roman" w:hAnsi="Times New Roman" w:cs="Times New Roman"/>
          <w:sz w:val="24"/>
          <w:szCs w:val="24"/>
          <w:lang w:val="sr-Cyrl-CS" w:eastAsia="en-GB"/>
        </w:rPr>
        <w:t xml:space="preserve">у колони циљана вредност за 2025: „-ˮ </w:t>
      </w:r>
      <w:r w:rsidR="009442B4" w:rsidRPr="00827818">
        <w:rPr>
          <w:rFonts w:ascii="Times New Roman" w:hAnsi="Times New Roman" w:cs="Times New Roman"/>
          <w:sz w:val="24"/>
          <w:szCs w:val="24"/>
          <w:lang w:val="sr-Cyrl-CS" w:eastAsia="en-GB"/>
        </w:rPr>
        <w:t xml:space="preserve">замењује се циљаном вредношћу </w:t>
      </w:r>
      <w:r w:rsidR="00223ED1" w:rsidRPr="00827818">
        <w:rPr>
          <w:rFonts w:ascii="Times New Roman" w:hAnsi="Times New Roman" w:cs="Times New Roman"/>
          <w:sz w:val="24"/>
          <w:szCs w:val="24"/>
          <w:lang w:val="sr-Cyrl-CS" w:eastAsia="en-GB"/>
        </w:rPr>
        <w:t>за 2025</w:t>
      </w:r>
      <w:r w:rsidR="009442B4" w:rsidRPr="00827818">
        <w:rPr>
          <w:rFonts w:ascii="Times New Roman" w:hAnsi="Times New Roman" w:cs="Times New Roman"/>
          <w:sz w:val="24"/>
          <w:szCs w:val="24"/>
          <w:lang w:val="sr-Cyrl-CS" w:eastAsia="en-GB"/>
        </w:rPr>
        <w:t xml:space="preserve">: </w:t>
      </w:r>
      <w:r w:rsidR="004C28DE" w:rsidRPr="00827818">
        <w:rPr>
          <w:rFonts w:ascii="Times New Roman" w:hAnsi="Times New Roman" w:cs="Times New Roman"/>
          <w:sz w:val="24"/>
          <w:szCs w:val="24"/>
          <w:lang w:val="sr-Cyrl-CS" w:eastAsia="en-GB"/>
        </w:rPr>
        <w:t xml:space="preserve">„50.7%ˮ. </w:t>
      </w:r>
    </w:p>
    <w:p w:rsidR="004C28DE" w:rsidRPr="00827818" w:rsidRDefault="00F45DD1" w:rsidP="00F45DD1">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16. </w:t>
      </w:r>
      <w:r w:rsidR="00807F76" w:rsidRPr="00827818">
        <w:rPr>
          <w:rFonts w:ascii="Times New Roman" w:hAnsi="Times New Roman" w:cs="Times New Roman"/>
          <w:sz w:val="24"/>
          <w:szCs w:val="24"/>
          <w:lang w:val="sr-Cyrl-CS"/>
        </w:rPr>
        <w:t xml:space="preserve">У </w:t>
      </w:r>
      <w:bookmarkStart w:id="5" w:name="_Toc62403533"/>
      <w:bookmarkStart w:id="6" w:name="_Toc62404252"/>
      <w:bookmarkStart w:id="7" w:name="_Toc62408751"/>
      <w:bookmarkStart w:id="8" w:name="_Toc64555378"/>
      <w:bookmarkStart w:id="9" w:name="_Toc69740354"/>
      <w:r w:rsidR="00EC1DB9" w:rsidRPr="00827818">
        <w:rPr>
          <w:rFonts w:ascii="Times New Roman" w:hAnsi="Times New Roman" w:cs="Times New Roman"/>
          <w:sz w:val="24"/>
          <w:szCs w:val="24"/>
          <w:lang w:val="sr-Cyrl-CS"/>
        </w:rPr>
        <w:t xml:space="preserve">оквиру </w:t>
      </w:r>
      <w:r w:rsidR="002D107C" w:rsidRPr="00827818">
        <w:rPr>
          <w:rFonts w:ascii="Times New Roman" w:eastAsia="Times New Roman" w:hAnsi="Times New Roman" w:cs="Times New Roman"/>
          <w:bCs/>
          <w:sz w:val="24"/>
          <w:szCs w:val="24"/>
          <w:lang w:val="sr-Cyrl-CS" w:eastAsia="en-GB"/>
        </w:rPr>
        <w:t>Посебн</w:t>
      </w:r>
      <w:r w:rsidR="00EC1DB9" w:rsidRPr="00827818">
        <w:rPr>
          <w:rFonts w:ascii="Times New Roman" w:eastAsia="Times New Roman" w:hAnsi="Times New Roman" w:cs="Times New Roman"/>
          <w:bCs/>
          <w:sz w:val="24"/>
          <w:szCs w:val="24"/>
          <w:lang w:val="sr-Cyrl-CS" w:eastAsia="en-GB"/>
        </w:rPr>
        <w:t>ог</w:t>
      </w:r>
      <w:r w:rsidR="002D107C" w:rsidRPr="00827818">
        <w:rPr>
          <w:rFonts w:ascii="Times New Roman" w:eastAsia="Times New Roman" w:hAnsi="Times New Roman" w:cs="Times New Roman"/>
          <w:bCs/>
          <w:sz w:val="24"/>
          <w:szCs w:val="24"/>
          <w:lang w:val="sr-Cyrl-CS" w:eastAsia="en-GB"/>
        </w:rPr>
        <w:t xml:space="preserve"> циљ</w:t>
      </w:r>
      <w:r w:rsidR="00EC1DB9" w:rsidRPr="00827818">
        <w:rPr>
          <w:rFonts w:ascii="Times New Roman" w:eastAsia="Times New Roman" w:hAnsi="Times New Roman" w:cs="Times New Roman"/>
          <w:bCs/>
          <w:sz w:val="24"/>
          <w:szCs w:val="24"/>
          <w:lang w:val="sr-Cyrl-CS" w:eastAsia="en-GB"/>
        </w:rPr>
        <w:t>а</w:t>
      </w:r>
      <w:r w:rsidR="00C456B2" w:rsidRPr="00827818">
        <w:rPr>
          <w:rFonts w:ascii="Times New Roman" w:eastAsia="Times New Roman" w:hAnsi="Times New Roman" w:cs="Times New Roman"/>
          <w:bCs/>
          <w:sz w:val="24"/>
          <w:szCs w:val="24"/>
          <w:lang w:val="sr-Cyrl-CS" w:eastAsia="en-GB"/>
        </w:rPr>
        <w:t xml:space="preserve"> I</w:t>
      </w:r>
      <w:r w:rsidR="00807F76" w:rsidRPr="00827818">
        <w:rPr>
          <w:rFonts w:ascii="Times New Roman" w:eastAsia="Times New Roman" w:hAnsi="Times New Roman" w:cs="Times New Roman"/>
          <w:bCs/>
          <w:sz w:val="24"/>
          <w:szCs w:val="24"/>
          <w:lang w:val="sr-Cyrl-CS" w:eastAsia="en-GB"/>
        </w:rPr>
        <w:t xml:space="preserve">: </w:t>
      </w:r>
      <w:bookmarkEnd w:id="5"/>
      <w:bookmarkEnd w:id="6"/>
      <w:bookmarkEnd w:id="7"/>
      <w:bookmarkEnd w:id="8"/>
      <w:bookmarkEnd w:id="9"/>
      <w:r w:rsidR="002D107C" w:rsidRPr="00827818">
        <w:rPr>
          <w:rFonts w:ascii="Times New Roman" w:eastAsia="Times New Roman" w:hAnsi="Times New Roman" w:cs="Times New Roman"/>
          <w:bCs/>
          <w:sz w:val="24"/>
          <w:szCs w:val="24"/>
          <w:lang w:val="sr-Cyrl-CS" w:eastAsia="en-GB"/>
        </w:rPr>
        <w:t>Унапређени капацитети за буџетско планирање и управљање јавним инвестицијама</w:t>
      </w:r>
      <w:r w:rsidR="0047613B" w:rsidRPr="00827818">
        <w:rPr>
          <w:rFonts w:ascii="Times New Roman" w:eastAsia="Times New Roman" w:hAnsi="Times New Roman" w:cs="Times New Roman"/>
          <w:bCs/>
          <w:sz w:val="24"/>
          <w:szCs w:val="24"/>
          <w:lang w:val="sr-Cyrl-CS" w:eastAsia="en-GB"/>
        </w:rPr>
        <w:t xml:space="preserve">, </w:t>
      </w:r>
      <w:r w:rsidR="00EC1DB9" w:rsidRPr="00827818">
        <w:rPr>
          <w:rFonts w:ascii="Times New Roman" w:eastAsia="Times New Roman" w:hAnsi="Times New Roman" w:cs="Times New Roman"/>
          <w:bCs/>
          <w:sz w:val="24"/>
          <w:szCs w:val="24"/>
          <w:lang w:val="sr-Cyrl-CS" w:eastAsia="en-GB"/>
        </w:rPr>
        <w:t xml:space="preserve">у </w:t>
      </w:r>
      <w:r w:rsidR="002D107C" w:rsidRPr="00827818">
        <w:rPr>
          <w:rFonts w:ascii="Times New Roman" w:eastAsia="Times New Roman" w:hAnsi="Times New Roman" w:cs="Times New Roman"/>
          <w:bCs/>
          <w:sz w:val="24"/>
          <w:szCs w:val="24"/>
          <w:lang w:val="sr-Cyrl-CS" w:eastAsia="en-GB"/>
        </w:rPr>
        <w:t>Meр</w:t>
      </w:r>
      <w:r w:rsidR="00EC1DB9" w:rsidRPr="00827818">
        <w:rPr>
          <w:rFonts w:ascii="Times New Roman" w:eastAsia="Times New Roman" w:hAnsi="Times New Roman" w:cs="Times New Roman"/>
          <w:bCs/>
          <w:sz w:val="24"/>
          <w:szCs w:val="24"/>
          <w:lang w:val="sr-Cyrl-CS" w:eastAsia="en-GB"/>
        </w:rPr>
        <w:t>и</w:t>
      </w:r>
      <w:r w:rsidR="002D107C" w:rsidRPr="00827818">
        <w:rPr>
          <w:rFonts w:ascii="Times New Roman" w:eastAsia="Times New Roman" w:hAnsi="Times New Roman" w:cs="Times New Roman"/>
          <w:bCs/>
          <w:sz w:val="24"/>
          <w:szCs w:val="24"/>
          <w:lang w:val="sr-Cyrl-CS" w:eastAsia="en-GB"/>
        </w:rPr>
        <w:t xml:space="preserve"> 1</w:t>
      </w:r>
      <w:r w:rsidR="0047613B" w:rsidRPr="00827818">
        <w:rPr>
          <w:rFonts w:ascii="Times New Roman" w:eastAsia="Times New Roman" w:hAnsi="Times New Roman" w:cs="Times New Roman"/>
          <w:bCs/>
          <w:sz w:val="24"/>
          <w:szCs w:val="24"/>
          <w:lang w:val="sr-Cyrl-CS" w:eastAsia="en-GB"/>
        </w:rPr>
        <w:t>.3:</w:t>
      </w:r>
      <w:r w:rsidR="00CD51CF" w:rsidRPr="00827818">
        <w:rPr>
          <w:rFonts w:ascii="Times New Roman" w:eastAsia="Times New Roman" w:hAnsi="Times New Roman" w:cs="Times New Roman"/>
          <w:bCs/>
          <w:sz w:val="24"/>
          <w:szCs w:val="24"/>
          <w:lang w:val="sr-Cyrl-CS" w:eastAsia="en-GB"/>
        </w:rPr>
        <w:t xml:space="preserve"> </w:t>
      </w:r>
      <w:r w:rsidR="002D107C" w:rsidRPr="00827818">
        <w:rPr>
          <w:rFonts w:ascii="Times New Roman" w:eastAsia="Times New Roman" w:hAnsi="Times New Roman" w:cs="Times New Roman"/>
          <w:bCs/>
          <w:sz w:val="24"/>
          <w:szCs w:val="24"/>
          <w:lang w:val="sr-Cyrl-CS" w:eastAsia="en-GB"/>
        </w:rPr>
        <w:t>Унапређење средњорочног планирања</w:t>
      </w:r>
      <w:r w:rsidR="00807F76" w:rsidRPr="00827818">
        <w:rPr>
          <w:rFonts w:ascii="Times New Roman" w:eastAsia="Times New Roman" w:hAnsi="Times New Roman" w:cs="Times New Roman"/>
          <w:bCs/>
          <w:sz w:val="24"/>
          <w:szCs w:val="24"/>
          <w:lang w:val="sr-Cyrl-CS" w:eastAsia="en-GB"/>
        </w:rPr>
        <w:t xml:space="preserve">, </w:t>
      </w:r>
      <w:r w:rsidR="0047613B" w:rsidRPr="00827818">
        <w:rPr>
          <w:rFonts w:ascii="Times New Roman" w:eastAsia="Times New Roman" w:hAnsi="Times New Roman" w:cs="Times New Roman"/>
          <w:bCs/>
          <w:sz w:val="24"/>
          <w:szCs w:val="24"/>
          <w:lang w:val="sr-Cyrl-CS" w:eastAsia="en-GB"/>
        </w:rPr>
        <w:t xml:space="preserve">мењају се циљане вредности у оквиру </w:t>
      </w:r>
      <w:r w:rsidR="003D1768" w:rsidRPr="00827818">
        <w:rPr>
          <w:rFonts w:ascii="Times New Roman" w:eastAsia="Times New Roman" w:hAnsi="Times New Roman" w:cs="Times New Roman"/>
          <w:bCs/>
          <w:sz w:val="24"/>
          <w:szCs w:val="24"/>
          <w:lang w:val="sr-Cyrl-CS" w:eastAsia="en-GB"/>
        </w:rPr>
        <w:t>показатеља учинка</w:t>
      </w:r>
      <w:r w:rsidR="00272B94" w:rsidRPr="00827818">
        <w:rPr>
          <w:rFonts w:ascii="Times New Roman" w:eastAsia="Times New Roman" w:hAnsi="Times New Roman" w:cs="Times New Roman"/>
          <w:bCs/>
          <w:sz w:val="24"/>
          <w:szCs w:val="24"/>
          <w:lang w:val="sr-Cyrl-CS" w:eastAsia="en-GB"/>
        </w:rPr>
        <w:t xml:space="preserve"> „Број усвојених и средњорочних планова обвезника средњорочног планирања на републичком нивоу</w:t>
      </w:r>
      <w:r w:rsidR="002E2F7F" w:rsidRPr="00827818">
        <w:rPr>
          <w:rFonts w:ascii="Times New Roman" w:eastAsia="Times New Roman" w:hAnsi="Times New Roman" w:cs="Times New Roman"/>
          <w:bCs/>
          <w:sz w:val="24"/>
          <w:szCs w:val="24"/>
          <w:lang w:val="sr-Cyrl-CS" w:eastAsia="en-GB"/>
        </w:rPr>
        <w:t>ˮ</w:t>
      </w:r>
      <w:r w:rsidR="002B26DA" w:rsidRPr="00827818">
        <w:rPr>
          <w:rFonts w:ascii="Times New Roman" w:eastAsia="Times New Roman" w:hAnsi="Times New Roman" w:cs="Times New Roman"/>
          <w:bCs/>
          <w:sz w:val="24"/>
          <w:szCs w:val="24"/>
          <w:lang w:val="sr-Cyrl-CS" w:eastAsia="en-GB"/>
        </w:rPr>
        <w:t xml:space="preserve"> </w:t>
      </w:r>
      <w:r w:rsidR="00272B94" w:rsidRPr="00827818">
        <w:rPr>
          <w:rFonts w:ascii="Times New Roman" w:eastAsia="Times New Roman" w:hAnsi="Times New Roman" w:cs="Times New Roman"/>
          <w:bCs/>
          <w:sz w:val="24"/>
          <w:szCs w:val="24"/>
          <w:lang w:val="sr-Cyrl-CS" w:eastAsia="en-GB"/>
        </w:rPr>
        <w:t>тако да</w:t>
      </w:r>
      <w:r w:rsidR="0047613B" w:rsidRPr="00827818">
        <w:rPr>
          <w:rFonts w:ascii="Times New Roman" w:eastAsia="Times New Roman" w:hAnsi="Times New Roman" w:cs="Times New Roman"/>
          <w:bCs/>
          <w:sz w:val="24"/>
          <w:szCs w:val="24"/>
          <w:lang w:val="sr-Cyrl-CS" w:eastAsia="en-GB"/>
        </w:rPr>
        <w:t xml:space="preserve"> </w:t>
      </w:r>
      <w:r w:rsidR="002E2F7F" w:rsidRPr="00827818">
        <w:rPr>
          <w:rFonts w:ascii="Times New Roman" w:eastAsia="Times New Roman" w:hAnsi="Times New Roman" w:cs="Times New Roman"/>
          <w:bCs/>
          <w:sz w:val="24"/>
          <w:szCs w:val="24"/>
          <w:lang w:val="sr-Cyrl-CS" w:eastAsia="en-GB"/>
        </w:rPr>
        <w:t xml:space="preserve">се, у </w:t>
      </w:r>
      <w:r w:rsidR="00A56A86" w:rsidRPr="00827818">
        <w:rPr>
          <w:rFonts w:ascii="Times New Roman" w:eastAsia="Times New Roman" w:hAnsi="Times New Roman" w:cs="Times New Roman"/>
          <w:bCs/>
          <w:sz w:val="24"/>
          <w:szCs w:val="24"/>
          <w:lang w:val="sr-Cyrl-CS" w:eastAsia="en-GB"/>
        </w:rPr>
        <w:t>колони</w:t>
      </w:r>
      <w:r w:rsidR="002E2F7F" w:rsidRPr="00827818">
        <w:rPr>
          <w:rFonts w:ascii="Times New Roman" w:eastAsia="Times New Roman" w:hAnsi="Times New Roman" w:cs="Times New Roman"/>
          <w:bCs/>
          <w:sz w:val="24"/>
          <w:szCs w:val="24"/>
          <w:lang w:val="sr-Cyrl-CS" w:eastAsia="en-GB"/>
        </w:rPr>
        <w:t xml:space="preserve"> за </w:t>
      </w:r>
      <w:r w:rsidR="003B2DAC" w:rsidRPr="00827818">
        <w:rPr>
          <w:rFonts w:ascii="Times New Roman" w:eastAsia="Times New Roman" w:hAnsi="Times New Roman" w:cs="Times New Roman"/>
          <w:bCs/>
          <w:sz w:val="24"/>
          <w:szCs w:val="24"/>
          <w:lang w:val="sr-Cyrl-CS" w:eastAsia="en-GB"/>
        </w:rPr>
        <w:t xml:space="preserve">циљану вредност у </w:t>
      </w:r>
      <w:r w:rsidR="002E2F7F" w:rsidRPr="00827818">
        <w:rPr>
          <w:rFonts w:ascii="Times New Roman" w:eastAsia="Times New Roman" w:hAnsi="Times New Roman" w:cs="Times New Roman"/>
          <w:bCs/>
          <w:sz w:val="24"/>
          <w:szCs w:val="24"/>
          <w:lang w:val="sr-Cyrl-CS" w:eastAsia="en-GB"/>
        </w:rPr>
        <w:t>2023</w:t>
      </w:r>
      <w:r w:rsidR="00727C46" w:rsidRPr="00827818">
        <w:rPr>
          <w:rFonts w:ascii="Times New Roman" w:eastAsia="Times New Roman" w:hAnsi="Times New Roman" w:cs="Times New Roman"/>
          <w:bCs/>
          <w:sz w:val="24"/>
          <w:szCs w:val="24"/>
          <w:lang w:val="sr-Cyrl-CS" w:eastAsia="en-GB"/>
        </w:rPr>
        <w:t>. години</w:t>
      </w:r>
      <w:r w:rsidR="00A56A86" w:rsidRPr="00827818">
        <w:rPr>
          <w:rFonts w:ascii="Times New Roman" w:eastAsia="Times New Roman" w:hAnsi="Times New Roman" w:cs="Times New Roman"/>
          <w:bCs/>
          <w:sz w:val="24"/>
          <w:szCs w:val="24"/>
          <w:lang w:val="sr-Cyrl-CS" w:eastAsia="en-GB"/>
        </w:rPr>
        <w:t xml:space="preserve"> број</w:t>
      </w:r>
      <w:r w:rsidR="00727C46" w:rsidRPr="00827818">
        <w:rPr>
          <w:rFonts w:ascii="Times New Roman" w:hAnsi="Times New Roman" w:cs="Times New Roman"/>
          <w:sz w:val="24"/>
          <w:szCs w:val="24"/>
          <w:lang w:val="sr-Cyrl-CS"/>
        </w:rPr>
        <w:t>:</w:t>
      </w:r>
      <w:r w:rsidR="002E2F7F" w:rsidRPr="00827818">
        <w:rPr>
          <w:rFonts w:ascii="Times New Roman" w:eastAsia="Times New Roman" w:hAnsi="Times New Roman" w:cs="Times New Roman"/>
          <w:bCs/>
          <w:sz w:val="24"/>
          <w:szCs w:val="24"/>
          <w:lang w:val="sr-Cyrl-CS" w:eastAsia="en-GB"/>
        </w:rPr>
        <w:t xml:space="preserve"> „40ˮ </w:t>
      </w:r>
      <w:r w:rsidR="00C274BA" w:rsidRPr="00827818">
        <w:rPr>
          <w:rFonts w:ascii="Times New Roman" w:eastAsia="Times New Roman" w:hAnsi="Times New Roman" w:cs="Times New Roman"/>
          <w:bCs/>
          <w:sz w:val="24"/>
          <w:szCs w:val="24"/>
          <w:lang w:val="sr-Cyrl-CS" w:eastAsia="en-GB"/>
        </w:rPr>
        <w:t xml:space="preserve">замењује </w:t>
      </w:r>
      <w:r w:rsidR="002E2F7F" w:rsidRPr="00827818">
        <w:rPr>
          <w:rFonts w:ascii="Times New Roman" w:eastAsia="Times New Roman" w:hAnsi="Times New Roman" w:cs="Times New Roman"/>
          <w:bCs/>
          <w:sz w:val="24"/>
          <w:szCs w:val="24"/>
          <w:lang w:val="sr-Cyrl-CS" w:eastAsia="en-GB"/>
        </w:rPr>
        <w:t>број</w:t>
      </w:r>
      <w:r w:rsidR="00A56A86" w:rsidRPr="00827818">
        <w:rPr>
          <w:rFonts w:ascii="Times New Roman" w:eastAsia="Times New Roman" w:hAnsi="Times New Roman" w:cs="Times New Roman"/>
          <w:bCs/>
          <w:sz w:val="24"/>
          <w:szCs w:val="24"/>
          <w:lang w:val="sr-Cyrl-CS" w:eastAsia="en-GB"/>
        </w:rPr>
        <w:t>ем</w:t>
      </w:r>
      <w:r w:rsidR="00727C46" w:rsidRPr="00827818">
        <w:rPr>
          <w:rFonts w:ascii="Times New Roman" w:hAnsi="Times New Roman" w:cs="Times New Roman"/>
          <w:sz w:val="24"/>
          <w:szCs w:val="24"/>
          <w:lang w:val="sr-Cyrl-CS"/>
        </w:rPr>
        <w:t>:</w:t>
      </w:r>
      <w:r w:rsidR="002E2F7F" w:rsidRPr="00827818">
        <w:rPr>
          <w:rFonts w:ascii="Times New Roman" w:eastAsia="Times New Roman" w:hAnsi="Times New Roman" w:cs="Times New Roman"/>
          <w:bCs/>
          <w:sz w:val="24"/>
          <w:szCs w:val="24"/>
          <w:lang w:val="sr-Cyrl-CS" w:eastAsia="en-GB"/>
        </w:rPr>
        <w:t xml:space="preserve"> „</w:t>
      </w:r>
      <w:r w:rsidR="007215AA" w:rsidRPr="00827818">
        <w:rPr>
          <w:rFonts w:ascii="Times New Roman" w:eastAsia="Times New Roman" w:hAnsi="Times New Roman" w:cs="Times New Roman"/>
          <w:bCs/>
          <w:sz w:val="24"/>
          <w:szCs w:val="24"/>
          <w:lang w:val="sr-Cyrl-CS" w:eastAsia="en-GB"/>
        </w:rPr>
        <w:t>26</w:t>
      </w:r>
      <w:r w:rsidR="00A56A86" w:rsidRPr="00827818">
        <w:rPr>
          <w:rFonts w:ascii="Times New Roman" w:eastAsia="Times New Roman" w:hAnsi="Times New Roman" w:cs="Times New Roman"/>
          <w:bCs/>
          <w:sz w:val="24"/>
          <w:szCs w:val="24"/>
          <w:lang w:val="sr-Cyrl-CS" w:eastAsia="en-GB"/>
        </w:rPr>
        <w:t>ˮ, у колони</w:t>
      </w:r>
      <w:r w:rsidR="002E2F7F" w:rsidRPr="00827818">
        <w:rPr>
          <w:rFonts w:ascii="Times New Roman" w:eastAsia="Times New Roman" w:hAnsi="Times New Roman" w:cs="Times New Roman"/>
          <w:bCs/>
          <w:sz w:val="24"/>
          <w:szCs w:val="24"/>
          <w:lang w:val="sr-Cyrl-CS" w:eastAsia="en-GB"/>
        </w:rPr>
        <w:t xml:space="preserve"> за </w:t>
      </w:r>
      <w:r w:rsidR="00A56A86" w:rsidRPr="00827818">
        <w:rPr>
          <w:rFonts w:ascii="Times New Roman" w:eastAsia="Times New Roman" w:hAnsi="Times New Roman" w:cs="Times New Roman"/>
          <w:bCs/>
          <w:sz w:val="24"/>
          <w:szCs w:val="24"/>
          <w:lang w:val="sr-Cyrl-CS" w:eastAsia="en-GB"/>
        </w:rPr>
        <w:t>циљану вредност у 2024. години</w:t>
      </w:r>
      <w:r w:rsidR="002E2F7F" w:rsidRPr="00827818">
        <w:rPr>
          <w:rFonts w:ascii="Times New Roman" w:eastAsia="Times New Roman" w:hAnsi="Times New Roman" w:cs="Times New Roman"/>
          <w:bCs/>
          <w:sz w:val="24"/>
          <w:szCs w:val="24"/>
          <w:lang w:val="sr-Cyrl-CS" w:eastAsia="en-GB"/>
        </w:rPr>
        <w:t xml:space="preserve"> </w:t>
      </w:r>
      <w:r w:rsidR="00A56A86" w:rsidRPr="00827818">
        <w:rPr>
          <w:rFonts w:ascii="Times New Roman" w:eastAsia="Times New Roman" w:hAnsi="Times New Roman" w:cs="Times New Roman"/>
          <w:bCs/>
          <w:sz w:val="24"/>
          <w:szCs w:val="24"/>
          <w:lang w:val="sr-Cyrl-CS" w:eastAsia="en-GB"/>
        </w:rPr>
        <w:t>број</w:t>
      </w:r>
      <w:r w:rsidR="007774CA" w:rsidRPr="00827818">
        <w:rPr>
          <w:rFonts w:ascii="Times New Roman" w:hAnsi="Times New Roman" w:cs="Times New Roman"/>
          <w:sz w:val="24"/>
          <w:szCs w:val="24"/>
          <w:lang w:val="sr-Cyrl-CS"/>
        </w:rPr>
        <w:t>:</w:t>
      </w:r>
      <w:r w:rsidR="002E2F7F" w:rsidRPr="00827818">
        <w:rPr>
          <w:rFonts w:ascii="Times New Roman" w:eastAsia="Times New Roman" w:hAnsi="Times New Roman" w:cs="Times New Roman"/>
          <w:bCs/>
          <w:sz w:val="24"/>
          <w:szCs w:val="24"/>
          <w:lang w:val="sr-Cyrl-CS" w:eastAsia="en-GB"/>
        </w:rPr>
        <w:t xml:space="preserve"> „40ˮ </w:t>
      </w:r>
      <w:r w:rsidR="008C3557" w:rsidRPr="00827818">
        <w:rPr>
          <w:rFonts w:ascii="Times New Roman" w:eastAsia="Times New Roman" w:hAnsi="Times New Roman" w:cs="Times New Roman"/>
          <w:bCs/>
          <w:sz w:val="24"/>
          <w:szCs w:val="24"/>
          <w:lang w:val="sr-Cyrl-CS" w:eastAsia="en-GB"/>
        </w:rPr>
        <w:t>за</w:t>
      </w:r>
      <w:r w:rsidR="00A56A86" w:rsidRPr="00827818">
        <w:rPr>
          <w:rFonts w:ascii="Times New Roman" w:eastAsia="Times New Roman" w:hAnsi="Times New Roman" w:cs="Times New Roman"/>
          <w:bCs/>
          <w:sz w:val="24"/>
          <w:szCs w:val="24"/>
          <w:lang w:val="sr-Cyrl-CS" w:eastAsia="en-GB"/>
        </w:rPr>
        <w:t>мењује</w:t>
      </w:r>
      <w:r w:rsidR="002E2F7F" w:rsidRPr="00827818">
        <w:rPr>
          <w:rFonts w:ascii="Times New Roman" w:eastAsia="Times New Roman" w:hAnsi="Times New Roman" w:cs="Times New Roman"/>
          <w:bCs/>
          <w:sz w:val="24"/>
          <w:szCs w:val="24"/>
          <w:lang w:val="sr-Cyrl-CS" w:eastAsia="en-GB"/>
        </w:rPr>
        <w:t xml:space="preserve"> се број</w:t>
      </w:r>
      <w:r w:rsidR="00A56A86" w:rsidRPr="00827818">
        <w:rPr>
          <w:rFonts w:ascii="Times New Roman" w:eastAsia="Times New Roman" w:hAnsi="Times New Roman" w:cs="Times New Roman"/>
          <w:bCs/>
          <w:sz w:val="24"/>
          <w:szCs w:val="24"/>
          <w:lang w:val="sr-Cyrl-CS" w:eastAsia="en-GB"/>
        </w:rPr>
        <w:t>ем</w:t>
      </w:r>
      <w:r w:rsidR="007774CA" w:rsidRPr="00827818">
        <w:rPr>
          <w:rFonts w:ascii="Times New Roman" w:hAnsi="Times New Roman" w:cs="Times New Roman"/>
          <w:sz w:val="24"/>
          <w:szCs w:val="24"/>
          <w:lang w:val="sr-Cyrl-CS"/>
        </w:rPr>
        <w:t>:</w:t>
      </w:r>
      <w:r w:rsidR="002E2F7F" w:rsidRPr="00827818">
        <w:rPr>
          <w:rFonts w:ascii="Times New Roman" w:eastAsia="Times New Roman" w:hAnsi="Times New Roman" w:cs="Times New Roman"/>
          <w:bCs/>
          <w:sz w:val="24"/>
          <w:szCs w:val="24"/>
          <w:lang w:val="sr-Cyrl-CS" w:eastAsia="en-GB"/>
        </w:rPr>
        <w:t xml:space="preserve"> </w:t>
      </w:r>
      <w:r w:rsidR="00A56A86" w:rsidRPr="00827818">
        <w:rPr>
          <w:rFonts w:ascii="Times New Roman" w:eastAsia="Times New Roman" w:hAnsi="Times New Roman" w:cs="Times New Roman"/>
          <w:bCs/>
          <w:sz w:val="24"/>
          <w:szCs w:val="24"/>
          <w:lang w:val="sr-Cyrl-CS" w:eastAsia="en-GB"/>
        </w:rPr>
        <w:t>„27ˮ и у колони</w:t>
      </w:r>
      <w:r w:rsidR="002E2F7F" w:rsidRPr="00827818">
        <w:rPr>
          <w:rFonts w:ascii="Times New Roman" w:eastAsia="Times New Roman" w:hAnsi="Times New Roman" w:cs="Times New Roman"/>
          <w:bCs/>
          <w:sz w:val="24"/>
          <w:szCs w:val="24"/>
          <w:lang w:val="sr-Cyrl-CS" w:eastAsia="en-GB"/>
        </w:rPr>
        <w:t xml:space="preserve"> за </w:t>
      </w:r>
      <w:r w:rsidR="00727C46" w:rsidRPr="00827818">
        <w:rPr>
          <w:rFonts w:ascii="Times New Roman" w:eastAsia="Times New Roman" w:hAnsi="Times New Roman" w:cs="Times New Roman"/>
          <w:bCs/>
          <w:sz w:val="24"/>
          <w:szCs w:val="24"/>
          <w:lang w:val="sr-Cyrl-CS" w:eastAsia="en-GB"/>
        </w:rPr>
        <w:t>циљану вредност у 2025. години</w:t>
      </w:r>
      <w:r w:rsidR="002E2F7F" w:rsidRPr="00827818">
        <w:rPr>
          <w:rFonts w:ascii="Times New Roman" w:eastAsia="Times New Roman" w:hAnsi="Times New Roman" w:cs="Times New Roman"/>
          <w:bCs/>
          <w:sz w:val="24"/>
          <w:szCs w:val="24"/>
          <w:lang w:val="sr-Cyrl-CS" w:eastAsia="en-GB"/>
        </w:rPr>
        <w:t xml:space="preserve"> </w:t>
      </w:r>
      <w:r w:rsidR="008C3557" w:rsidRPr="00827818">
        <w:rPr>
          <w:rFonts w:ascii="Times New Roman" w:eastAsia="Times New Roman" w:hAnsi="Times New Roman" w:cs="Times New Roman"/>
          <w:bCs/>
          <w:sz w:val="24"/>
          <w:szCs w:val="24"/>
          <w:lang w:val="sr-Cyrl-CS" w:eastAsia="en-GB"/>
        </w:rPr>
        <w:t>број</w:t>
      </w:r>
      <w:r w:rsidR="007774CA" w:rsidRPr="00827818">
        <w:rPr>
          <w:rFonts w:ascii="Times New Roman" w:hAnsi="Times New Roman" w:cs="Times New Roman"/>
          <w:sz w:val="24"/>
          <w:szCs w:val="24"/>
          <w:lang w:val="sr-Cyrl-CS"/>
        </w:rPr>
        <w:t>:</w:t>
      </w:r>
      <w:r w:rsidR="008C3557" w:rsidRPr="00827818">
        <w:rPr>
          <w:rFonts w:ascii="Times New Roman" w:eastAsia="Times New Roman" w:hAnsi="Times New Roman" w:cs="Times New Roman"/>
          <w:bCs/>
          <w:sz w:val="24"/>
          <w:szCs w:val="24"/>
          <w:lang w:val="sr-Cyrl-CS" w:eastAsia="en-GB"/>
        </w:rPr>
        <w:t xml:space="preserve"> „40ˮ за</w:t>
      </w:r>
      <w:r w:rsidR="00A56A86" w:rsidRPr="00827818">
        <w:rPr>
          <w:rFonts w:ascii="Times New Roman" w:eastAsia="Times New Roman" w:hAnsi="Times New Roman" w:cs="Times New Roman"/>
          <w:bCs/>
          <w:sz w:val="24"/>
          <w:szCs w:val="24"/>
          <w:lang w:val="sr-Cyrl-CS" w:eastAsia="en-GB"/>
        </w:rPr>
        <w:t>мењује се бројем</w:t>
      </w:r>
      <w:r w:rsidR="007774CA" w:rsidRPr="00827818">
        <w:rPr>
          <w:rFonts w:ascii="Times New Roman" w:hAnsi="Times New Roman" w:cs="Times New Roman"/>
          <w:sz w:val="24"/>
          <w:szCs w:val="24"/>
          <w:lang w:val="sr-Cyrl-CS"/>
        </w:rPr>
        <w:t>:</w:t>
      </w:r>
      <w:r w:rsidR="002E2F7F" w:rsidRPr="00827818">
        <w:rPr>
          <w:rFonts w:ascii="Times New Roman" w:eastAsia="Times New Roman" w:hAnsi="Times New Roman" w:cs="Times New Roman"/>
          <w:bCs/>
          <w:sz w:val="24"/>
          <w:szCs w:val="24"/>
          <w:lang w:val="sr-Cyrl-CS" w:eastAsia="en-GB"/>
        </w:rPr>
        <w:t xml:space="preserve"> „29ˮ</w:t>
      </w:r>
      <w:r w:rsidR="00CD51CF" w:rsidRPr="00827818">
        <w:rPr>
          <w:rFonts w:ascii="Times New Roman" w:eastAsia="Times New Roman" w:hAnsi="Times New Roman" w:cs="Times New Roman"/>
          <w:bCs/>
          <w:sz w:val="24"/>
          <w:szCs w:val="24"/>
          <w:lang w:val="sr-Cyrl-CS" w:eastAsia="en-GB"/>
        </w:rPr>
        <w:t>.</w:t>
      </w:r>
      <w:r w:rsidR="00205C4B" w:rsidRPr="00827818">
        <w:rPr>
          <w:rFonts w:ascii="Times New Roman" w:hAnsi="Times New Roman" w:cs="Times New Roman"/>
          <w:sz w:val="24"/>
          <w:szCs w:val="24"/>
          <w:lang w:val="sr-Cyrl-CS"/>
        </w:rPr>
        <w:t xml:space="preserve"> </w:t>
      </w:r>
    </w:p>
    <w:p w:rsidR="004C28DE" w:rsidRPr="00827818" w:rsidRDefault="00C1637E" w:rsidP="00C1637E">
      <w:pPr>
        <w:spacing w:after="0" w:line="240" w:lineRule="auto"/>
        <w:ind w:firstLine="720"/>
        <w:jc w:val="both"/>
        <w:rPr>
          <w:rFonts w:ascii="Times New Roman" w:eastAsia="Times New Roman" w:hAnsi="Times New Roman" w:cs="Times New Roman"/>
          <w:bCs/>
          <w:sz w:val="24"/>
          <w:szCs w:val="24"/>
          <w:lang w:val="sr-Cyrl-CS" w:eastAsia="en-GB"/>
        </w:rPr>
      </w:pPr>
      <w:r w:rsidRPr="00827818">
        <w:rPr>
          <w:rFonts w:ascii="Times New Roman" w:hAnsi="Times New Roman" w:cs="Times New Roman"/>
          <w:sz w:val="24"/>
          <w:szCs w:val="24"/>
          <w:lang w:val="sr-Cyrl-CS"/>
        </w:rPr>
        <w:t xml:space="preserve">17. </w:t>
      </w:r>
      <w:r w:rsidR="002B26DA" w:rsidRPr="00827818">
        <w:rPr>
          <w:rFonts w:ascii="Times New Roman" w:hAnsi="Times New Roman" w:cs="Times New Roman"/>
          <w:sz w:val="24"/>
          <w:szCs w:val="24"/>
          <w:lang w:val="sr-Cyrl-CS"/>
        </w:rPr>
        <w:t xml:space="preserve">У </w:t>
      </w:r>
      <w:r w:rsidR="00FC43B1" w:rsidRPr="00827818">
        <w:rPr>
          <w:rFonts w:ascii="Times New Roman" w:eastAsia="Times New Roman" w:hAnsi="Times New Roman" w:cs="Times New Roman"/>
          <w:bCs/>
          <w:sz w:val="24"/>
          <w:szCs w:val="24"/>
          <w:lang w:val="sr-Cyrl-CS" w:eastAsia="en-GB"/>
        </w:rPr>
        <w:t>М</w:t>
      </w:r>
      <w:r w:rsidR="002B26DA" w:rsidRPr="00827818">
        <w:rPr>
          <w:rFonts w:ascii="Times New Roman" w:eastAsia="Times New Roman" w:hAnsi="Times New Roman" w:cs="Times New Roman"/>
          <w:bCs/>
          <w:sz w:val="24"/>
          <w:szCs w:val="24"/>
          <w:lang w:val="sr-Cyrl-CS" w:eastAsia="en-GB"/>
        </w:rPr>
        <w:t>eр</w:t>
      </w:r>
      <w:r w:rsidR="00FC43B1" w:rsidRPr="00827818">
        <w:rPr>
          <w:rFonts w:ascii="Times New Roman" w:eastAsia="Times New Roman" w:hAnsi="Times New Roman" w:cs="Times New Roman"/>
          <w:bCs/>
          <w:sz w:val="24"/>
          <w:szCs w:val="24"/>
          <w:lang w:val="sr-Cyrl-CS" w:eastAsia="en-GB"/>
        </w:rPr>
        <w:t>и</w:t>
      </w:r>
      <w:r w:rsidR="002B26DA" w:rsidRPr="00827818">
        <w:rPr>
          <w:rFonts w:ascii="Times New Roman" w:eastAsia="Times New Roman" w:hAnsi="Times New Roman" w:cs="Times New Roman"/>
          <w:bCs/>
          <w:sz w:val="24"/>
          <w:szCs w:val="24"/>
          <w:lang w:val="sr-Cyrl-CS" w:eastAsia="en-GB"/>
        </w:rPr>
        <w:t xml:space="preserve"> 1.4</w:t>
      </w:r>
      <w:r w:rsidR="00FC43B1" w:rsidRPr="00827818">
        <w:rPr>
          <w:rFonts w:ascii="Times New Roman" w:eastAsia="Times New Roman" w:hAnsi="Times New Roman" w:cs="Times New Roman"/>
          <w:bCs/>
          <w:sz w:val="24"/>
          <w:szCs w:val="24"/>
          <w:lang w:val="sr-Cyrl-CS" w:eastAsia="en-GB"/>
        </w:rPr>
        <w:t>: Унапређење окружења за ефикасно управљање капиталним пројектима,</w:t>
      </w:r>
      <w:r w:rsidR="00C21722" w:rsidRPr="00827818">
        <w:rPr>
          <w:rFonts w:ascii="Times New Roman" w:eastAsia="Times New Roman" w:hAnsi="Times New Roman" w:cs="Times New Roman"/>
          <w:bCs/>
          <w:sz w:val="24"/>
          <w:szCs w:val="24"/>
          <w:lang w:val="sr-Cyrl-CS" w:eastAsia="en-GB"/>
        </w:rPr>
        <w:t xml:space="preserve"> </w:t>
      </w:r>
      <w:r w:rsidR="00E43873" w:rsidRPr="00827818">
        <w:rPr>
          <w:rFonts w:ascii="Times New Roman" w:eastAsia="Times New Roman" w:hAnsi="Times New Roman" w:cs="Times New Roman"/>
          <w:bCs/>
          <w:sz w:val="24"/>
          <w:szCs w:val="24"/>
          <w:lang w:val="sr-Cyrl-CS" w:eastAsia="en-GB"/>
        </w:rPr>
        <w:t>назив показатеља</w:t>
      </w:r>
      <w:r w:rsidR="00F81D86" w:rsidRPr="00827818">
        <w:rPr>
          <w:rFonts w:ascii="Times New Roman" w:eastAsia="Times New Roman" w:hAnsi="Times New Roman" w:cs="Times New Roman"/>
          <w:bCs/>
          <w:sz w:val="24"/>
          <w:szCs w:val="24"/>
          <w:lang w:val="sr-Cyrl-CS" w:eastAsia="en-GB"/>
        </w:rPr>
        <w:t>:</w:t>
      </w:r>
      <w:r w:rsidR="00EB63DA" w:rsidRPr="00827818">
        <w:rPr>
          <w:rFonts w:ascii="Times New Roman" w:eastAsia="Times New Roman" w:hAnsi="Times New Roman" w:cs="Times New Roman"/>
          <w:bCs/>
          <w:sz w:val="24"/>
          <w:szCs w:val="24"/>
          <w:lang w:val="sr-Cyrl-CS" w:eastAsia="en-GB"/>
        </w:rPr>
        <w:t xml:space="preserve"> „Капитални пројекти </w:t>
      </w:r>
      <w:r w:rsidR="00F81D86" w:rsidRPr="00827818">
        <w:rPr>
          <w:rFonts w:ascii="Times New Roman" w:eastAsia="Times New Roman" w:hAnsi="Times New Roman" w:cs="Times New Roman"/>
          <w:bCs/>
          <w:sz w:val="24"/>
          <w:szCs w:val="24"/>
          <w:lang w:val="sr-Cyrl-CS" w:eastAsia="en-GB"/>
        </w:rPr>
        <w:t xml:space="preserve">(изузимајући оне од посебног значаја за РС) </w:t>
      </w:r>
      <w:r w:rsidR="00EB63DA" w:rsidRPr="00827818">
        <w:rPr>
          <w:rFonts w:ascii="Times New Roman" w:eastAsia="Times New Roman" w:hAnsi="Times New Roman" w:cs="Times New Roman"/>
          <w:bCs/>
          <w:sz w:val="24"/>
          <w:szCs w:val="24"/>
          <w:lang w:val="sr-Cyrl-CS" w:eastAsia="en-GB"/>
        </w:rPr>
        <w:t>који нису прошли предимплементациону фазу сходно мето</w:t>
      </w:r>
      <w:r w:rsidR="00EB610E" w:rsidRPr="00827818">
        <w:rPr>
          <w:rFonts w:ascii="Times New Roman" w:eastAsia="Times New Roman" w:hAnsi="Times New Roman" w:cs="Times New Roman"/>
          <w:bCs/>
          <w:sz w:val="24"/>
          <w:szCs w:val="24"/>
          <w:lang w:val="sr-Cyrl-CS" w:eastAsia="en-GB"/>
        </w:rPr>
        <w:t xml:space="preserve">дологији, а укључени су у буџет </w:t>
      </w:r>
      <w:r w:rsidR="00F81D86" w:rsidRPr="00827818">
        <w:rPr>
          <w:rFonts w:ascii="Times New Roman" w:eastAsia="Times New Roman" w:hAnsi="Times New Roman" w:cs="Times New Roman"/>
          <w:bCs/>
          <w:sz w:val="24"/>
          <w:szCs w:val="24"/>
          <w:lang w:val="sr-Cyrl-CS" w:eastAsia="en-GB"/>
        </w:rPr>
        <w:t xml:space="preserve">Републике </w:t>
      </w:r>
      <w:r w:rsidR="00EB63DA" w:rsidRPr="00827818">
        <w:rPr>
          <w:rFonts w:ascii="Times New Roman" w:eastAsia="Times New Roman" w:hAnsi="Times New Roman" w:cs="Times New Roman"/>
          <w:bCs/>
          <w:sz w:val="24"/>
          <w:szCs w:val="24"/>
          <w:lang w:val="sr-Cyrl-CS" w:eastAsia="en-GB"/>
        </w:rPr>
        <w:t>Србије, где су ресорна министарства у својству овлашћених предлагача</w:t>
      </w:r>
      <w:r w:rsidR="00E65243" w:rsidRPr="00827818">
        <w:rPr>
          <w:rFonts w:ascii="Times New Roman" w:eastAsia="Times New Roman" w:hAnsi="Times New Roman" w:cs="Times New Roman"/>
          <w:bCs/>
          <w:sz w:val="24"/>
          <w:szCs w:val="24"/>
          <w:lang w:val="sr-Cyrl-CS" w:eastAsia="en-GB"/>
        </w:rPr>
        <w:t>ˮ</w:t>
      </w:r>
      <w:r w:rsidR="003E77B8" w:rsidRPr="00827818">
        <w:rPr>
          <w:rFonts w:ascii="Times New Roman" w:eastAsia="Times New Roman" w:hAnsi="Times New Roman" w:cs="Times New Roman"/>
          <w:bCs/>
          <w:sz w:val="24"/>
          <w:szCs w:val="24"/>
          <w:lang w:val="sr-Cyrl-CS" w:eastAsia="en-GB"/>
        </w:rPr>
        <w:t xml:space="preserve"> </w:t>
      </w:r>
      <w:r w:rsidR="00F81D86" w:rsidRPr="00827818">
        <w:rPr>
          <w:rFonts w:ascii="Times New Roman" w:eastAsia="Times New Roman" w:hAnsi="Times New Roman" w:cs="Times New Roman"/>
          <w:bCs/>
          <w:sz w:val="24"/>
          <w:szCs w:val="24"/>
          <w:lang w:val="sr-Cyrl-CS" w:eastAsia="en-GB"/>
        </w:rPr>
        <w:t>замењује се називом:</w:t>
      </w:r>
      <w:r w:rsidR="00EB63DA" w:rsidRPr="00827818">
        <w:rPr>
          <w:rFonts w:ascii="Times New Roman" w:eastAsia="Times New Roman" w:hAnsi="Times New Roman" w:cs="Times New Roman"/>
          <w:bCs/>
          <w:sz w:val="24"/>
          <w:szCs w:val="24"/>
          <w:lang w:val="sr-Cyrl-CS" w:eastAsia="en-GB"/>
        </w:rPr>
        <w:t xml:space="preserve"> </w:t>
      </w:r>
      <w:r w:rsidR="007774CA" w:rsidRPr="00827818">
        <w:rPr>
          <w:rFonts w:ascii="Times New Roman" w:eastAsia="Times New Roman" w:hAnsi="Times New Roman" w:cs="Times New Roman"/>
          <w:bCs/>
          <w:sz w:val="24"/>
          <w:szCs w:val="24"/>
          <w:lang w:val="sr-Cyrl-CS" w:eastAsia="en-GB"/>
        </w:rPr>
        <w:t>„</w:t>
      </w:r>
      <w:r w:rsidR="00EB63DA" w:rsidRPr="00827818">
        <w:rPr>
          <w:rFonts w:ascii="Times New Roman" w:eastAsia="Times New Roman" w:hAnsi="Times New Roman" w:cs="Times New Roman"/>
          <w:bCs/>
          <w:sz w:val="24"/>
          <w:szCs w:val="24"/>
          <w:lang w:val="sr-Cyrl-CS" w:eastAsia="en-GB"/>
        </w:rPr>
        <w:t xml:space="preserve">Капитални пројекти укључени у буџет, који подлежу и оцењени су у складу са методологијом </w:t>
      </w:r>
      <w:r w:rsidR="00715CED" w:rsidRPr="00827818">
        <w:rPr>
          <w:rFonts w:ascii="Times New Roman" w:eastAsia="Times New Roman" w:hAnsi="Times New Roman" w:cs="Times New Roman"/>
          <w:bCs/>
          <w:sz w:val="24"/>
          <w:szCs w:val="24"/>
          <w:lang w:val="sr-Cyrl-CS" w:eastAsia="en-GB"/>
        </w:rPr>
        <w:t>која уређује капиталне пројекте</w:t>
      </w:r>
      <w:r w:rsidR="00E65243" w:rsidRPr="00827818">
        <w:rPr>
          <w:rFonts w:ascii="Times New Roman" w:eastAsia="Times New Roman" w:hAnsi="Times New Roman" w:cs="Times New Roman"/>
          <w:bCs/>
          <w:sz w:val="24"/>
          <w:szCs w:val="24"/>
          <w:lang w:val="sr-Cyrl-CS" w:eastAsia="en-GB"/>
        </w:rPr>
        <w:t>ˮ</w:t>
      </w:r>
      <w:r w:rsidR="007E7514" w:rsidRPr="00827818">
        <w:rPr>
          <w:rFonts w:ascii="Times New Roman" w:eastAsia="Times New Roman" w:hAnsi="Times New Roman" w:cs="Times New Roman"/>
          <w:bCs/>
          <w:sz w:val="24"/>
          <w:szCs w:val="24"/>
          <w:lang w:val="sr-Cyrl-CS" w:eastAsia="en-GB"/>
        </w:rPr>
        <w:t>;</w:t>
      </w:r>
      <w:r w:rsidR="009117E8" w:rsidRPr="00827818">
        <w:rPr>
          <w:rFonts w:ascii="Times New Roman" w:eastAsia="Times New Roman" w:hAnsi="Times New Roman" w:cs="Times New Roman"/>
          <w:bCs/>
          <w:sz w:val="24"/>
          <w:szCs w:val="24"/>
          <w:lang w:val="sr-Cyrl-CS" w:eastAsia="en-GB"/>
        </w:rPr>
        <w:t xml:space="preserve"> </w:t>
      </w:r>
      <w:r w:rsidR="007774CA" w:rsidRPr="00827818">
        <w:rPr>
          <w:rFonts w:ascii="Times New Roman" w:eastAsia="Times New Roman" w:hAnsi="Times New Roman" w:cs="Times New Roman"/>
          <w:bCs/>
          <w:sz w:val="24"/>
          <w:szCs w:val="24"/>
          <w:lang w:val="sr-Cyrl-CS" w:eastAsia="en-GB"/>
        </w:rPr>
        <w:t>Јединица мере</w:t>
      </w:r>
      <w:r w:rsidR="00160FED" w:rsidRPr="00827818">
        <w:rPr>
          <w:rFonts w:ascii="Times New Roman" w:eastAsia="Times New Roman" w:hAnsi="Times New Roman" w:cs="Times New Roman"/>
          <w:bCs/>
          <w:sz w:val="24"/>
          <w:szCs w:val="24"/>
          <w:lang w:val="sr-Cyrl-CS" w:eastAsia="en-GB"/>
        </w:rPr>
        <w:t>:</w:t>
      </w:r>
      <w:r w:rsidR="007774CA" w:rsidRPr="00827818">
        <w:rPr>
          <w:rFonts w:ascii="Times New Roman" w:eastAsia="Times New Roman" w:hAnsi="Times New Roman" w:cs="Times New Roman"/>
          <w:bCs/>
          <w:sz w:val="24"/>
          <w:szCs w:val="24"/>
          <w:lang w:val="sr-Cyrl-CS" w:eastAsia="en-GB"/>
        </w:rPr>
        <w:t xml:space="preserve"> „Број”</w:t>
      </w:r>
      <w:r w:rsidR="009117E8" w:rsidRPr="00827818">
        <w:rPr>
          <w:rFonts w:ascii="Times New Roman" w:eastAsia="Times New Roman" w:hAnsi="Times New Roman" w:cs="Times New Roman"/>
          <w:bCs/>
          <w:sz w:val="24"/>
          <w:szCs w:val="24"/>
          <w:lang w:val="sr-Cyrl-CS" w:eastAsia="en-GB"/>
        </w:rPr>
        <w:t xml:space="preserve"> замењ</w:t>
      </w:r>
      <w:r w:rsidR="007774CA" w:rsidRPr="00827818">
        <w:rPr>
          <w:rFonts w:ascii="Times New Roman" w:eastAsia="Times New Roman" w:hAnsi="Times New Roman" w:cs="Times New Roman"/>
          <w:bCs/>
          <w:sz w:val="24"/>
          <w:szCs w:val="24"/>
          <w:lang w:val="sr-Cyrl-CS" w:eastAsia="en-GB"/>
        </w:rPr>
        <w:t xml:space="preserve">ује </w:t>
      </w:r>
      <w:r w:rsidR="007774CA" w:rsidRPr="00827818">
        <w:rPr>
          <w:rFonts w:ascii="Times New Roman" w:eastAsia="Times New Roman" w:hAnsi="Times New Roman" w:cs="Times New Roman"/>
          <w:bCs/>
          <w:sz w:val="24"/>
          <w:szCs w:val="24"/>
          <w:lang w:val="sr-Cyrl-CS" w:eastAsia="en-GB"/>
        </w:rPr>
        <w:lastRenderedPageBreak/>
        <w:t>се јединицом мере</w:t>
      </w:r>
      <w:r w:rsidR="00160FED" w:rsidRPr="00827818">
        <w:rPr>
          <w:rFonts w:ascii="Times New Roman" w:eastAsia="Times New Roman" w:hAnsi="Times New Roman" w:cs="Times New Roman"/>
          <w:bCs/>
          <w:sz w:val="24"/>
          <w:szCs w:val="24"/>
          <w:lang w:val="sr-Cyrl-CS" w:eastAsia="en-GB"/>
        </w:rPr>
        <w:t>:</w:t>
      </w:r>
      <w:r w:rsidR="007774CA" w:rsidRPr="00827818">
        <w:rPr>
          <w:rFonts w:ascii="Times New Roman" w:eastAsia="Times New Roman" w:hAnsi="Times New Roman" w:cs="Times New Roman"/>
          <w:bCs/>
          <w:sz w:val="24"/>
          <w:szCs w:val="24"/>
          <w:lang w:val="sr-Cyrl-CS" w:eastAsia="en-GB"/>
        </w:rPr>
        <w:t xml:space="preserve"> „Проценат”</w:t>
      </w:r>
      <w:r w:rsidR="009117E8" w:rsidRPr="00827818">
        <w:rPr>
          <w:rFonts w:ascii="Times New Roman" w:eastAsia="Times New Roman" w:hAnsi="Times New Roman" w:cs="Times New Roman"/>
          <w:bCs/>
          <w:sz w:val="24"/>
          <w:szCs w:val="24"/>
          <w:lang w:val="sr-Cyrl-CS" w:eastAsia="en-GB"/>
        </w:rPr>
        <w:t xml:space="preserve">; </w:t>
      </w:r>
      <w:r w:rsidR="007E7514" w:rsidRPr="00827818">
        <w:rPr>
          <w:rFonts w:ascii="Times New Roman" w:eastAsia="Times New Roman" w:hAnsi="Times New Roman" w:cs="Times New Roman"/>
          <w:bCs/>
          <w:sz w:val="24"/>
          <w:szCs w:val="24"/>
          <w:lang w:val="sr-Cyrl-CS" w:eastAsia="en-GB"/>
        </w:rPr>
        <w:t>Извор провере</w:t>
      </w:r>
      <w:r w:rsidR="000E18F8" w:rsidRPr="00827818">
        <w:rPr>
          <w:rFonts w:ascii="Times New Roman" w:eastAsia="Times New Roman" w:hAnsi="Times New Roman" w:cs="Times New Roman"/>
          <w:bCs/>
          <w:sz w:val="24"/>
          <w:szCs w:val="24"/>
          <w:lang w:val="sr-Cyrl-CS" w:eastAsia="en-GB"/>
        </w:rPr>
        <w:t>: „Закон о буџету/Извештај за РККИ</w:t>
      </w:r>
      <w:r w:rsidR="00E65243" w:rsidRPr="00827818">
        <w:rPr>
          <w:rFonts w:ascii="Times New Roman" w:eastAsia="Times New Roman" w:hAnsi="Times New Roman" w:cs="Times New Roman"/>
          <w:bCs/>
          <w:sz w:val="24"/>
          <w:szCs w:val="24"/>
          <w:lang w:val="sr-Cyrl-CS" w:eastAsia="en-GB"/>
        </w:rPr>
        <w:t>ˮ</w:t>
      </w:r>
      <w:r w:rsidR="00983F0B" w:rsidRPr="00827818">
        <w:rPr>
          <w:rFonts w:ascii="Times New Roman" w:eastAsia="Times New Roman" w:hAnsi="Times New Roman" w:cs="Times New Roman"/>
          <w:bCs/>
          <w:sz w:val="24"/>
          <w:szCs w:val="24"/>
          <w:lang w:val="sr-Cyrl-CS" w:eastAsia="en-GB"/>
        </w:rPr>
        <w:t xml:space="preserve"> </w:t>
      </w:r>
      <w:r w:rsidR="000E18F8" w:rsidRPr="00827818">
        <w:rPr>
          <w:rFonts w:ascii="Times New Roman" w:eastAsia="Times New Roman" w:hAnsi="Times New Roman" w:cs="Times New Roman"/>
          <w:bCs/>
          <w:sz w:val="24"/>
          <w:szCs w:val="24"/>
          <w:lang w:val="sr-Cyrl-CS" w:eastAsia="en-GB"/>
        </w:rPr>
        <w:t xml:space="preserve">замењује се извором провере: </w:t>
      </w:r>
      <w:r w:rsidR="00890114" w:rsidRPr="00827818">
        <w:rPr>
          <w:rFonts w:ascii="Times New Roman" w:eastAsia="Times New Roman" w:hAnsi="Times New Roman" w:cs="Times New Roman"/>
          <w:bCs/>
          <w:sz w:val="24"/>
          <w:szCs w:val="24"/>
          <w:lang w:val="sr-Cyrl-CS" w:eastAsia="en-GB"/>
        </w:rPr>
        <w:t>„</w:t>
      </w:r>
      <w:r w:rsidR="00983F0B" w:rsidRPr="00827818">
        <w:rPr>
          <w:rFonts w:ascii="Times New Roman" w:eastAsia="Times New Roman" w:hAnsi="Times New Roman" w:cs="Times New Roman"/>
          <w:bCs/>
          <w:sz w:val="24"/>
          <w:szCs w:val="24"/>
          <w:lang w:val="sr-Cyrl-CS" w:eastAsia="en-GB"/>
        </w:rPr>
        <w:t>Закон о буџету/Листа РККИ</w:t>
      </w:r>
      <w:r w:rsidR="00E65243" w:rsidRPr="00827818">
        <w:rPr>
          <w:rFonts w:ascii="Times New Roman" w:eastAsia="Times New Roman" w:hAnsi="Times New Roman" w:cs="Times New Roman"/>
          <w:bCs/>
          <w:sz w:val="24"/>
          <w:szCs w:val="24"/>
          <w:lang w:val="sr-Cyrl-CS" w:eastAsia="en-GB"/>
        </w:rPr>
        <w:t>ˮ</w:t>
      </w:r>
      <w:r w:rsidR="000E18F8" w:rsidRPr="00827818">
        <w:rPr>
          <w:rFonts w:ascii="Times New Roman" w:eastAsia="Times New Roman" w:hAnsi="Times New Roman" w:cs="Times New Roman"/>
          <w:bCs/>
          <w:sz w:val="24"/>
          <w:szCs w:val="24"/>
          <w:lang w:val="sr-Cyrl-CS" w:eastAsia="en-GB"/>
        </w:rPr>
        <w:t>;</w:t>
      </w:r>
      <w:r w:rsidR="00A61683" w:rsidRPr="00827818">
        <w:rPr>
          <w:rFonts w:ascii="Times New Roman" w:eastAsia="Times New Roman" w:hAnsi="Times New Roman" w:cs="Times New Roman"/>
          <w:bCs/>
          <w:sz w:val="24"/>
          <w:szCs w:val="24"/>
          <w:lang w:val="sr-Cyrl-CS" w:eastAsia="en-GB"/>
        </w:rPr>
        <w:t xml:space="preserve"> </w:t>
      </w:r>
      <w:r w:rsidR="003E77B8" w:rsidRPr="00827818">
        <w:rPr>
          <w:rFonts w:ascii="Times New Roman" w:eastAsia="Times New Roman" w:hAnsi="Times New Roman" w:cs="Times New Roman"/>
          <w:bCs/>
          <w:sz w:val="24"/>
          <w:szCs w:val="24"/>
          <w:lang w:val="sr-Cyrl-CS" w:eastAsia="en-GB"/>
        </w:rPr>
        <w:t xml:space="preserve"> </w:t>
      </w:r>
      <w:r w:rsidR="000E18F8" w:rsidRPr="00827818">
        <w:rPr>
          <w:rFonts w:ascii="Times New Roman" w:eastAsia="Times New Roman" w:hAnsi="Times New Roman" w:cs="Times New Roman"/>
          <w:bCs/>
          <w:sz w:val="24"/>
          <w:szCs w:val="24"/>
          <w:lang w:val="sr-Cyrl-CS" w:eastAsia="en-GB"/>
        </w:rPr>
        <w:t>П</w:t>
      </w:r>
      <w:r w:rsidR="00983F0B" w:rsidRPr="00827818">
        <w:rPr>
          <w:rFonts w:ascii="Times New Roman" w:eastAsia="Times New Roman" w:hAnsi="Times New Roman" w:cs="Times New Roman"/>
          <w:bCs/>
          <w:sz w:val="24"/>
          <w:szCs w:val="24"/>
          <w:lang w:val="sr-Cyrl-CS" w:eastAsia="en-GB"/>
        </w:rPr>
        <w:t>очетна вредност</w:t>
      </w:r>
      <w:r w:rsidR="000E18F8" w:rsidRPr="00827818">
        <w:rPr>
          <w:rFonts w:ascii="Times New Roman" w:eastAsia="Times New Roman" w:hAnsi="Times New Roman" w:cs="Times New Roman"/>
          <w:bCs/>
          <w:sz w:val="24"/>
          <w:szCs w:val="24"/>
          <w:lang w:val="sr-Cyrl-CS" w:eastAsia="en-GB"/>
        </w:rPr>
        <w:t>: „61</w:t>
      </w:r>
      <w:r w:rsidR="00E65243" w:rsidRPr="00827818">
        <w:rPr>
          <w:rFonts w:ascii="Times New Roman" w:eastAsia="Times New Roman" w:hAnsi="Times New Roman" w:cs="Times New Roman"/>
          <w:bCs/>
          <w:sz w:val="24"/>
          <w:szCs w:val="24"/>
          <w:lang w:val="sr-Cyrl-CS" w:eastAsia="en-GB"/>
        </w:rPr>
        <w:t>ˮ</w:t>
      </w:r>
      <w:r w:rsidR="000E18F8" w:rsidRPr="00827818">
        <w:rPr>
          <w:rFonts w:ascii="Times New Roman" w:eastAsia="Times New Roman" w:hAnsi="Times New Roman" w:cs="Times New Roman"/>
          <w:bCs/>
          <w:sz w:val="24"/>
          <w:szCs w:val="24"/>
          <w:lang w:val="sr-Cyrl-CS" w:eastAsia="en-GB"/>
        </w:rPr>
        <w:t xml:space="preserve"> замењује се почетном вредношћу:</w:t>
      </w:r>
      <w:r w:rsidR="004A777D" w:rsidRPr="00827818">
        <w:rPr>
          <w:rFonts w:ascii="Times New Roman" w:eastAsia="Times New Roman" w:hAnsi="Times New Roman" w:cs="Times New Roman"/>
          <w:bCs/>
          <w:sz w:val="24"/>
          <w:szCs w:val="24"/>
          <w:lang w:val="sr-Cyrl-CS" w:eastAsia="en-GB"/>
        </w:rPr>
        <w:t xml:space="preserve"> </w:t>
      </w:r>
      <w:r w:rsidR="00DE27DC" w:rsidRPr="00827818">
        <w:rPr>
          <w:rFonts w:ascii="Times New Roman" w:eastAsia="Times New Roman" w:hAnsi="Times New Roman" w:cs="Times New Roman"/>
          <w:bCs/>
          <w:sz w:val="24"/>
          <w:szCs w:val="24"/>
          <w:lang w:val="sr-Cyrl-CS" w:eastAsia="en-GB"/>
        </w:rPr>
        <w:t>„</w:t>
      </w:r>
      <w:r w:rsidR="00715CED" w:rsidRPr="00827818">
        <w:rPr>
          <w:rFonts w:ascii="Times New Roman" w:eastAsia="Times New Roman" w:hAnsi="Times New Roman" w:cs="Times New Roman"/>
          <w:bCs/>
          <w:sz w:val="24"/>
          <w:szCs w:val="24"/>
          <w:lang w:val="sr-Cyrl-CS" w:eastAsia="en-GB"/>
        </w:rPr>
        <w:t>0</w:t>
      </w:r>
      <w:r w:rsidR="00E65243" w:rsidRPr="00827818">
        <w:rPr>
          <w:rFonts w:ascii="Times New Roman" w:eastAsia="Times New Roman" w:hAnsi="Times New Roman" w:cs="Times New Roman"/>
          <w:bCs/>
          <w:sz w:val="24"/>
          <w:szCs w:val="24"/>
          <w:lang w:val="sr-Cyrl-CS" w:eastAsia="en-GB"/>
        </w:rPr>
        <w:t>ˮ</w:t>
      </w:r>
      <w:r w:rsidR="00983F0B" w:rsidRPr="00827818">
        <w:rPr>
          <w:rFonts w:ascii="Times New Roman" w:eastAsia="Times New Roman" w:hAnsi="Times New Roman" w:cs="Times New Roman"/>
          <w:bCs/>
          <w:sz w:val="24"/>
          <w:szCs w:val="24"/>
          <w:lang w:val="sr-Cyrl-CS" w:eastAsia="en-GB"/>
        </w:rPr>
        <w:t>;</w:t>
      </w:r>
      <w:r w:rsidR="00C7793A" w:rsidRPr="00827818">
        <w:rPr>
          <w:rFonts w:ascii="Times New Roman" w:eastAsia="Times New Roman" w:hAnsi="Times New Roman" w:cs="Times New Roman"/>
          <w:bCs/>
          <w:sz w:val="24"/>
          <w:szCs w:val="24"/>
          <w:lang w:val="sr-Cyrl-CS" w:eastAsia="en-GB"/>
        </w:rPr>
        <w:t xml:space="preserve"> </w:t>
      </w:r>
      <w:r w:rsidR="000E18F8" w:rsidRPr="00827818">
        <w:rPr>
          <w:rFonts w:ascii="Times New Roman" w:eastAsia="Times New Roman" w:hAnsi="Times New Roman" w:cs="Times New Roman"/>
          <w:bCs/>
          <w:sz w:val="24"/>
          <w:szCs w:val="24"/>
          <w:lang w:val="sr-Cyrl-CS" w:eastAsia="en-GB"/>
        </w:rPr>
        <w:t>Базна година: „2020</w:t>
      </w:r>
      <w:r w:rsidR="00E65243" w:rsidRPr="00827818">
        <w:rPr>
          <w:rFonts w:ascii="Times New Roman" w:eastAsia="Times New Roman" w:hAnsi="Times New Roman" w:cs="Times New Roman"/>
          <w:bCs/>
          <w:sz w:val="24"/>
          <w:szCs w:val="24"/>
          <w:lang w:val="sr-Cyrl-CS" w:eastAsia="en-GB"/>
        </w:rPr>
        <w:t>ˮ</w:t>
      </w:r>
      <w:r w:rsidR="007774CA" w:rsidRPr="00827818">
        <w:rPr>
          <w:rFonts w:ascii="Times New Roman" w:eastAsia="Times New Roman" w:hAnsi="Times New Roman" w:cs="Times New Roman"/>
          <w:bCs/>
          <w:sz w:val="24"/>
          <w:szCs w:val="24"/>
          <w:lang w:val="sr-Cyrl-CS" w:eastAsia="en-GB"/>
        </w:rPr>
        <w:t xml:space="preserve"> замењује се базном годином: </w:t>
      </w:r>
      <w:r w:rsidR="008405D0" w:rsidRPr="00827818">
        <w:rPr>
          <w:rFonts w:ascii="Times New Roman" w:eastAsia="Times New Roman" w:hAnsi="Times New Roman" w:cs="Times New Roman"/>
          <w:bCs/>
          <w:sz w:val="24"/>
          <w:szCs w:val="24"/>
          <w:lang w:val="sr-Cyrl-CS" w:eastAsia="en-GB"/>
        </w:rPr>
        <w:t>„</w:t>
      </w:r>
      <w:r w:rsidR="004A777D" w:rsidRPr="00827818">
        <w:rPr>
          <w:rFonts w:ascii="Times New Roman" w:eastAsia="Times New Roman" w:hAnsi="Times New Roman" w:cs="Times New Roman"/>
          <w:bCs/>
          <w:sz w:val="24"/>
          <w:szCs w:val="24"/>
          <w:lang w:val="sr-Cyrl-CS" w:eastAsia="en-GB"/>
        </w:rPr>
        <w:t>202</w:t>
      </w:r>
      <w:r w:rsidR="009117E8" w:rsidRPr="00827818">
        <w:rPr>
          <w:rFonts w:ascii="Times New Roman" w:eastAsia="Times New Roman" w:hAnsi="Times New Roman" w:cs="Times New Roman"/>
          <w:bCs/>
          <w:sz w:val="24"/>
          <w:szCs w:val="24"/>
          <w:lang w:val="sr-Cyrl-CS" w:eastAsia="en-GB"/>
        </w:rPr>
        <w:t>2</w:t>
      </w:r>
      <w:r w:rsidR="00E65243" w:rsidRPr="00827818">
        <w:rPr>
          <w:rFonts w:ascii="Times New Roman" w:eastAsia="Times New Roman" w:hAnsi="Times New Roman" w:cs="Times New Roman"/>
          <w:bCs/>
          <w:sz w:val="24"/>
          <w:szCs w:val="24"/>
          <w:lang w:val="sr-Cyrl-CS" w:eastAsia="en-GB"/>
        </w:rPr>
        <w:t>ˮ</w:t>
      </w:r>
      <w:r w:rsidR="004A777D" w:rsidRPr="00827818">
        <w:rPr>
          <w:rFonts w:ascii="Times New Roman" w:eastAsia="Times New Roman" w:hAnsi="Times New Roman" w:cs="Times New Roman"/>
          <w:bCs/>
          <w:sz w:val="24"/>
          <w:szCs w:val="24"/>
          <w:lang w:val="sr-Cyrl-CS" w:eastAsia="en-GB"/>
        </w:rPr>
        <w:t>;</w:t>
      </w:r>
      <w:r w:rsidR="000E18F8" w:rsidRPr="00827818">
        <w:rPr>
          <w:rFonts w:ascii="Times New Roman" w:eastAsia="Times New Roman" w:hAnsi="Times New Roman" w:cs="Times New Roman"/>
          <w:bCs/>
          <w:sz w:val="24"/>
          <w:szCs w:val="24"/>
          <w:lang w:val="sr-Cyrl-CS" w:eastAsia="en-GB"/>
        </w:rPr>
        <w:t xml:space="preserve"> Ц</w:t>
      </w:r>
      <w:r w:rsidR="00A61683" w:rsidRPr="00827818">
        <w:rPr>
          <w:rFonts w:ascii="Times New Roman" w:eastAsia="Times New Roman" w:hAnsi="Times New Roman" w:cs="Times New Roman"/>
          <w:bCs/>
          <w:sz w:val="24"/>
          <w:szCs w:val="24"/>
          <w:lang w:val="sr-Cyrl-CS" w:eastAsia="en-GB"/>
        </w:rPr>
        <w:t>иљан</w:t>
      </w:r>
      <w:r w:rsidR="000E18F8" w:rsidRPr="00827818">
        <w:rPr>
          <w:rFonts w:ascii="Times New Roman" w:eastAsia="Times New Roman" w:hAnsi="Times New Roman" w:cs="Times New Roman"/>
          <w:bCs/>
          <w:sz w:val="24"/>
          <w:szCs w:val="24"/>
          <w:lang w:val="sr-Cyrl-CS" w:eastAsia="en-GB"/>
        </w:rPr>
        <w:t>а</w:t>
      </w:r>
      <w:r w:rsidR="00A61683" w:rsidRPr="00827818">
        <w:rPr>
          <w:rFonts w:ascii="Times New Roman" w:eastAsia="Times New Roman" w:hAnsi="Times New Roman" w:cs="Times New Roman"/>
          <w:bCs/>
          <w:sz w:val="24"/>
          <w:szCs w:val="24"/>
          <w:lang w:val="sr-Cyrl-CS" w:eastAsia="en-GB"/>
        </w:rPr>
        <w:t xml:space="preserve"> вредност</w:t>
      </w:r>
      <w:r w:rsidR="000E18F8" w:rsidRPr="00827818">
        <w:rPr>
          <w:rFonts w:ascii="Times New Roman" w:eastAsia="Times New Roman" w:hAnsi="Times New Roman" w:cs="Times New Roman"/>
          <w:bCs/>
          <w:sz w:val="24"/>
          <w:szCs w:val="24"/>
          <w:lang w:val="sr-Cyrl-CS" w:eastAsia="en-GB"/>
        </w:rPr>
        <w:t xml:space="preserve"> за </w:t>
      </w:r>
      <w:r w:rsidR="004A527A" w:rsidRPr="00827818">
        <w:rPr>
          <w:rFonts w:ascii="Times New Roman" w:eastAsia="Times New Roman" w:hAnsi="Times New Roman" w:cs="Times New Roman"/>
          <w:bCs/>
          <w:sz w:val="24"/>
          <w:szCs w:val="24"/>
          <w:lang w:val="sr-Cyrl-CS" w:eastAsia="en-GB"/>
        </w:rPr>
        <w:t>2021</w:t>
      </w:r>
      <w:r w:rsidR="00983F0B" w:rsidRPr="00827818">
        <w:rPr>
          <w:rFonts w:ascii="Times New Roman" w:eastAsia="Times New Roman" w:hAnsi="Times New Roman" w:cs="Times New Roman"/>
          <w:bCs/>
          <w:sz w:val="24"/>
          <w:szCs w:val="24"/>
          <w:lang w:val="sr-Cyrl-CS" w:eastAsia="en-GB"/>
        </w:rPr>
        <w:t xml:space="preserve">: </w:t>
      </w:r>
      <w:r w:rsidR="004A527A" w:rsidRPr="00827818">
        <w:rPr>
          <w:rFonts w:ascii="Times New Roman" w:eastAsia="Times New Roman" w:hAnsi="Times New Roman" w:cs="Times New Roman"/>
          <w:bCs/>
          <w:sz w:val="24"/>
          <w:szCs w:val="24"/>
          <w:lang w:val="sr-Cyrl-CS" w:eastAsia="en-GB"/>
        </w:rPr>
        <w:t>„50</w:t>
      </w:r>
      <w:r w:rsidR="00E65243" w:rsidRPr="00827818">
        <w:rPr>
          <w:rFonts w:ascii="Times New Roman" w:eastAsia="Times New Roman" w:hAnsi="Times New Roman" w:cs="Times New Roman"/>
          <w:bCs/>
          <w:sz w:val="24"/>
          <w:szCs w:val="24"/>
          <w:lang w:val="sr-Cyrl-CS" w:eastAsia="en-GB"/>
        </w:rPr>
        <w:t>ˮ</w:t>
      </w:r>
      <w:r w:rsidR="004A527A" w:rsidRPr="00827818">
        <w:rPr>
          <w:rFonts w:ascii="Times New Roman" w:eastAsia="Times New Roman" w:hAnsi="Times New Roman" w:cs="Times New Roman"/>
          <w:bCs/>
          <w:sz w:val="24"/>
          <w:szCs w:val="24"/>
          <w:lang w:val="sr-Cyrl-CS" w:eastAsia="en-GB"/>
        </w:rPr>
        <w:t xml:space="preserve"> замењује се циљаном вредношћу</w:t>
      </w:r>
      <w:r w:rsidR="00297862" w:rsidRPr="00827818">
        <w:rPr>
          <w:rFonts w:ascii="Times New Roman" w:eastAsia="Times New Roman" w:hAnsi="Times New Roman" w:cs="Times New Roman"/>
          <w:bCs/>
          <w:sz w:val="24"/>
          <w:szCs w:val="24"/>
          <w:lang w:val="sr-Cyrl-CS" w:eastAsia="en-GB"/>
        </w:rPr>
        <w:t xml:space="preserve"> за 2021</w:t>
      </w:r>
      <w:r w:rsidR="00715CED" w:rsidRPr="00827818">
        <w:rPr>
          <w:rFonts w:ascii="Times New Roman" w:eastAsia="Times New Roman" w:hAnsi="Times New Roman" w:cs="Times New Roman"/>
          <w:bCs/>
          <w:sz w:val="24"/>
          <w:szCs w:val="24"/>
          <w:lang w:val="sr-Cyrl-CS" w:eastAsia="en-GB"/>
        </w:rPr>
        <w:t>: „-</w:t>
      </w:r>
      <w:r w:rsidR="00E65243" w:rsidRPr="00827818">
        <w:rPr>
          <w:rFonts w:ascii="Times New Roman" w:eastAsia="Times New Roman" w:hAnsi="Times New Roman" w:cs="Times New Roman"/>
          <w:bCs/>
          <w:sz w:val="24"/>
          <w:szCs w:val="24"/>
          <w:lang w:val="sr-Cyrl-CS" w:eastAsia="en-GB"/>
        </w:rPr>
        <w:t>ˮ</w:t>
      </w:r>
      <w:r w:rsidR="004A527A" w:rsidRPr="00827818">
        <w:rPr>
          <w:rFonts w:ascii="Times New Roman" w:eastAsia="Times New Roman" w:hAnsi="Times New Roman" w:cs="Times New Roman"/>
          <w:bCs/>
          <w:sz w:val="24"/>
          <w:szCs w:val="24"/>
          <w:lang w:val="sr-Cyrl-CS" w:eastAsia="en-GB"/>
        </w:rPr>
        <w:t>; Циљана вредност за 2022: „20</w:t>
      </w:r>
      <w:r w:rsidR="00E65243" w:rsidRPr="00827818">
        <w:rPr>
          <w:rFonts w:ascii="Times New Roman" w:eastAsia="Times New Roman" w:hAnsi="Times New Roman" w:cs="Times New Roman"/>
          <w:bCs/>
          <w:sz w:val="24"/>
          <w:szCs w:val="24"/>
          <w:lang w:val="sr-Cyrl-CS" w:eastAsia="en-GB"/>
        </w:rPr>
        <w:t>ˮ</w:t>
      </w:r>
      <w:r w:rsidR="004A527A" w:rsidRPr="00827818">
        <w:rPr>
          <w:rFonts w:ascii="Times New Roman" w:eastAsia="Times New Roman" w:hAnsi="Times New Roman" w:cs="Times New Roman"/>
          <w:bCs/>
          <w:sz w:val="24"/>
          <w:szCs w:val="24"/>
          <w:lang w:val="sr-Cyrl-CS" w:eastAsia="en-GB"/>
        </w:rPr>
        <w:t xml:space="preserve"> замењује се циљаном вредношћу</w:t>
      </w:r>
      <w:r w:rsidR="00297862" w:rsidRPr="00827818">
        <w:rPr>
          <w:rFonts w:ascii="Times New Roman" w:eastAsia="Times New Roman" w:hAnsi="Times New Roman" w:cs="Times New Roman"/>
          <w:bCs/>
          <w:sz w:val="24"/>
          <w:szCs w:val="24"/>
          <w:lang w:val="sr-Cyrl-CS" w:eastAsia="en-GB"/>
        </w:rPr>
        <w:t xml:space="preserve"> за 2022</w:t>
      </w:r>
      <w:r w:rsidR="00715CED" w:rsidRPr="00827818">
        <w:rPr>
          <w:rFonts w:ascii="Times New Roman" w:eastAsia="Times New Roman" w:hAnsi="Times New Roman" w:cs="Times New Roman"/>
          <w:bCs/>
          <w:sz w:val="24"/>
          <w:szCs w:val="24"/>
          <w:lang w:val="sr-Cyrl-CS" w:eastAsia="en-GB"/>
        </w:rPr>
        <w:t>: „</w:t>
      </w:r>
      <w:r w:rsidR="000708A7" w:rsidRPr="00827818">
        <w:rPr>
          <w:rFonts w:ascii="Times New Roman" w:eastAsia="Times New Roman" w:hAnsi="Times New Roman" w:cs="Times New Roman"/>
          <w:bCs/>
          <w:sz w:val="24"/>
          <w:szCs w:val="24"/>
          <w:lang w:val="sr-Cyrl-CS" w:eastAsia="en-GB"/>
        </w:rPr>
        <w:t>-</w:t>
      </w:r>
      <w:r w:rsidR="00E65243" w:rsidRPr="00827818">
        <w:rPr>
          <w:rFonts w:ascii="Times New Roman" w:eastAsia="Times New Roman" w:hAnsi="Times New Roman" w:cs="Times New Roman"/>
          <w:bCs/>
          <w:sz w:val="24"/>
          <w:szCs w:val="24"/>
          <w:lang w:val="sr-Cyrl-CS" w:eastAsia="en-GB"/>
        </w:rPr>
        <w:t>ˮ</w:t>
      </w:r>
      <w:r w:rsidR="004A527A" w:rsidRPr="00827818">
        <w:rPr>
          <w:rFonts w:ascii="Times New Roman" w:eastAsia="Times New Roman" w:hAnsi="Times New Roman" w:cs="Times New Roman"/>
          <w:bCs/>
          <w:sz w:val="24"/>
          <w:szCs w:val="24"/>
          <w:lang w:val="sr-Cyrl-CS" w:eastAsia="en-GB"/>
        </w:rPr>
        <w:t>; Циљана вредност за 2023: „10</w:t>
      </w:r>
      <w:r w:rsidR="00E65243" w:rsidRPr="00827818">
        <w:rPr>
          <w:rFonts w:ascii="Times New Roman" w:eastAsia="Times New Roman" w:hAnsi="Times New Roman" w:cs="Times New Roman"/>
          <w:bCs/>
          <w:sz w:val="24"/>
          <w:szCs w:val="24"/>
          <w:lang w:val="sr-Cyrl-CS" w:eastAsia="en-GB"/>
        </w:rPr>
        <w:t>ˮ</w:t>
      </w:r>
      <w:r w:rsidR="004A527A" w:rsidRPr="00827818">
        <w:rPr>
          <w:rFonts w:ascii="Times New Roman" w:eastAsia="Times New Roman" w:hAnsi="Times New Roman" w:cs="Times New Roman"/>
          <w:bCs/>
          <w:sz w:val="24"/>
          <w:szCs w:val="24"/>
          <w:lang w:val="sr-Cyrl-CS" w:eastAsia="en-GB"/>
        </w:rPr>
        <w:t xml:space="preserve"> замењује се циљаном вредношћу</w:t>
      </w:r>
      <w:r w:rsidR="00297862" w:rsidRPr="00827818">
        <w:rPr>
          <w:rFonts w:ascii="Times New Roman" w:eastAsia="Times New Roman" w:hAnsi="Times New Roman" w:cs="Times New Roman"/>
          <w:bCs/>
          <w:sz w:val="24"/>
          <w:szCs w:val="24"/>
          <w:lang w:val="sr-Cyrl-CS" w:eastAsia="en-GB"/>
        </w:rPr>
        <w:t xml:space="preserve"> за 2023</w:t>
      </w:r>
      <w:r w:rsidR="004A527A" w:rsidRPr="00827818">
        <w:rPr>
          <w:rFonts w:ascii="Times New Roman" w:eastAsia="Times New Roman" w:hAnsi="Times New Roman" w:cs="Times New Roman"/>
          <w:bCs/>
          <w:sz w:val="24"/>
          <w:szCs w:val="24"/>
          <w:lang w:val="sr-Cyrl-CS" w:eastAsia="en-GB"/>
        </w:rPr>
        <w:t>: „0</w:t>
      </w:r>
      <w:r w:rsidR="00E65243" w:rsidRPr="00827818">
        <w:rPr>
          <w:rFonts w:ascii="Times New Roman" w:eastAsia="Times New Roman" w:hAnsi="Times New Roman" w:cs="Times New Roman"/>
          <w:bCs/>
          <w:sz w:val="24"/>
          <w:szCs w:val="24"/>
          <w:lang w:val="sr-Cyrl-CS" w:eastAsia="en-GB"/>
        </w:rPr>
        <w:t>ˮ</w:t>
      </w:r>
      <w:r w:rsidR="004A527A" w:rsidRPr="00827818">
        <w:rPr>
          <w:rFonts w:ascii="Times New Roman" w:eastAsia="Times New Roman" w:hAnsi="Times New Roman" w:cs="Times New Roman"/>
          <w:bCs/>
          <w:sz w:val="24"/>
          <w:szCs w:val="24"/>
          <w:lang w:val="sr-Cyrl-CS" w:eastAsia="en-GB"/>
        </w:rPr>
        <w:t>;</w:t>
      </w:r>
      <w:r w:rsidR="004A527A" w:rsidRPr="00827818" w:rsidDel="000E18F8">
        <w:rPr>
          <w:rFonts w:ascii="Times New Roman" w:eastAsia="Times New Roman" w:hAnsi="Times New Roman" w:cs="Times New Roman"/>
          <w:bCs/>
          <w:sz w:val="24"/>
          <w:szCs w:val="24"/>
          <w:lang w:val="sr-Cyrl-CS" w:eastAsia="en-GB"/>
        </w:rPr>
        <w:t xml:space="preserve"> </w:t>
      </w:r>
      <w:r w:rsidR="004A527A" w:rsidRPr="00827818">
        <w:rPr>
          <w:rFonts w:ascii="Times New Roman" w:eastAsia="Times New Roman" w:hAnsi="Times New Roman" w:cs="Times New Roman"/>
          <w:bCs/>
          <w:sz w:val="24"/>
          <w:szCs w:val="24"/>
          <w:lang w:val="sr-Cyrl-CS" w:eastAsia="en-GB"/>
        </w:rPr>
        <w:t>Циљана вредност за 2024: „5</w:t>
      </w:r>
      <w:r w:rsidR="00E65243" w:rsidRPr="00827818">
        <w:rPr>
          <w:rFonts w:ascii="Times New Roman" w:eastAsia="Times New Roman" w:hAnsi="Times New Roman" w:cs="Times New Roman"/>
          <w:bCs/>
          <w:sz w:val="24"/>
          <w:szCs w:val="24"/>
          <w:lang w:val="sr-Cyrl-CS" w:eastAsia="en-GB"/>
        </w:rPr>
        <w:t>ˮ</w:t>
      </w:r>
      <w:r w:rsidR="004A527A" w:rsidRPr="00827818">
        <w:rPr>
          <w:rFonts w:ascii="Times New Roman" w:eastAsia="Times New Roman" w:hAnsi="Times New Roman" w:cs="Times New Roman"/>
          <w:bCs/>
          <w:sz w:val="24"/>
          <w:szCs w:val="24"/>
          <w:lang w:val="sr-Cyrl-CS" w:eastAsia="en-GB"/>
        </w:rPr>
        <w:t xml:space="preserve"> замењује се циљаном вредношћу</w:t>
      </w:r>
      <w:r w:rsidR="00297862" w:rsidRPr="00827818">
        <w:rPr>
          <w:rFonts w:ascii="Times New Roman" w:eastAsia="Times New Roman" w:hAnsi="Times New Roman" w:cs="Times New Roman"/>
          <w:bCs/>
          <w:sz w:val="24"/>
          <w:szCs w:val="24"/>
          <w:lang w:val="sr-Cyrl-CS" w:eastAsia="en-GB"/>
        </w:rPr>
        <w:t xml:space="preserve"> за 202</w:t>
      </w:r>
      <w:r w:rsidR="00237D59" w:rsidRPr="00827818">
        <w:rPr>
          <w:rFonts w:ascii="Times New Roman" w:eastAsia="Times New Roman" w:hAnsi="Times New Roman" w:cs="Times New Roman"/>
          <w:bCs/>
          <w:sz w:val="24"/>
          <w:szCs w:val="24"/>
          <w:lang w:val="sr-Cyrl-CS" w:eastAsia="en-GB"/>
        </w:rPr>
        <w:t>4</w:t>
      </w:r>
      <w:r w:rsidR="004A527A" w:rsidRPr="00827818">
        <w:rPr>
          <w:rFonts w:ascii="Times New Roman" w:eastAsia="Times New Roman" w:hAnsi="Times New Roman" w:cs="Times New Roman"/>
          <w:bCs/>
          <w:sz w:val="24"/>
          <w:szCs w:val="24"/>
          <w:lang w:val="sr-Cyrl-CS" w:eastAsia="en-GB"/>
        </w:rPr>
        <w:t>: „</w:t>
      </w:r>
      <w:r w:rsidR="009117E8" w:rsidRPr="00827818">
        <w:rPr>
          <w:rFonts w:ascii="Times New Roman" w:eastAsia="Times New Roman" w:hAnsi="Times New Roman" w:cs="Times New Roman"/>
          <w:bCs/>
          <w:sz w:val="24"/>
          <w:szCs w:val="24"/>
          <w:lang w:val="sr-Cyrl-CS" w:eastAsia="en-GB"/>
        </w:rPr>
        <w:t>4</w:t>
      </w:r>
      <w:r w:rsidR="004A527A" w:rsidRPr="00827818">
        <w:rPr>
          <w:rFonts w:ascii="Times New Roman" w:eastAsia="Times New Roman" w:hAnsi="Times New Roman" w:cs="Times New Roman"/>
          <w:bCs/>
          <w:sz w:val="24"/>
          <w:szCs w:val="24"/>
          <w:lang w:val="sr-Cyrl-CS" w:eastAsia="en-GB"/>
        </w:rPr>
        <w:t>0</w:t>
      </w:r>
      <w:r w:rsidR="009117E8" w:rsidRPr="00827818">
        <w:rPr>
          <w:rFonts w:ascii="Times New Roman" w:eastAsia="Times New Roman" w:hAnsi="Times New Roman" w:cs="Times New Roman"/>
          <w:bCs/>
          <w:sz w:val="24"/>
          <w:szCs w:val="24"/>
          <w:lang w:val="sr-Cyrl-CS" w:eastAsia="en-GB"/>
        </w:rPr>
        <w:t>%</w:t>
      </w:r>
      <w:r w:rsidR="00E65243" w:rsidRPr="00827818">
        <w:rPr>
          <w:rFonts w:ascii="Times New Roman" w:eastAsia="Times New Roman" w:hAnsi="Times New Roman" w:cs="Times New Roman"/>
          <w:bCs/>
          <w:sz w:val="24"/>
          <w:szCs w:val="24"/>
          <w:lang w:val="sr-Cyrl-CS" w:eastAsia="en-GB"/>
        </w:rPr>
        <w:t>ˮ</w:t>
      </w:r>
      <w:r w:rsidR="004A527A" w:rsidRPr="00827818" w:rsidDel="000E18F8">
        <w:rPr>
          <w:rFonts w:ascii="Times New Roman" w:eastAsia="Times New Roman" w:hAnsi="Times New Roman" w:cs="Times New Roman"/>
          <w:bCs/>
          <w:sz w:val="24"/>
          <w:szCs w:val="24"/>
          <w:lang w:val="sr-Cyrl-CS" w:eastAsia="en-GB"/>
        </w:rPr>
        <w:t xml:space="preserve"> </w:t>
      </w:r>
      <w:r w:rsidR="00160FED" w:rsidRPr="00827818">
        <w:rPr>
          <w:rFonts w:ascii="Times New Roman" w:eastAsia="Times New Roman" w:hAnsi="Times New Roman" w:cs="Times New Roman"/>
          <w:bCs/>
          <w:sz w:val="24"/>
          <w:szCs w:val="24"/>
          <w:lang w:val="sr-Cyrl-CS" w:eastAsia="en-GB"/>
        </w:rPr>
        <w:t xml:space="preserve">и </w:t>
      </w:r>
      <w:r w:rsidR="004A527A" w:rsidRPr="00827818">
        <w:rPr>
          <w:rFonts w:ascii="Times New Roman" w:eastAsia="Times New Roman" w:hAnsi="Times New Roman" w:cs="Times New Roman"/>
          <w:bCs/>
          <w:sz w:val="24"/>
          <w:szCs w:val="24"/>
          <w:lang w:val="sr-Cyrl-CS" w:eastAsia="en-GB"/>
        </w:rPr>
        <w:t>Циљана вредност за 2025: „0</w:t>
      </w:r>
      <w:r w:rsidR="00E65243" w:rsidRPr="00827818">
        <w:rPr>
          <w:rFonts w:ascii="Times New Roman" w:eastAsia="Times New Roman" w:hAnsi="Times New Roman" w:cs="Times New Roman"/>
          <w:bCs/>
          <w:sz w:val="24"/>
          <w:szCs w:val="24"/>
          <w:lang w:val="sr-Cyrl-CS" w:eastAsia="en-GB"/>
        </w:rPr>
        <w:t>ˮ</w:t>
      </w:r>
      <w:r w:rsidR="004A527A" w:rsidRPr="00827818">
        <w:rPr>
          <w:rFonts w:ascii="Times New Roman" w:eastAsia="Times New Roman" w:hAnsi="Times New Roman" w:cs="Times New Roman"/>
          <w:bCs/>
          <w:sz w:val="24"/>
          <w:szCs w:val="24"/>
          <w:lang w:val="sr-Cyrl-CS" w:eastAsia="en-GB"/>
        </w:rPr>
        <w:t xml:space="preserve"> замењује се циљаном вредношћу</w:t>
      </w:r>
      <w:r w:rsidR="00297862" w:rsidRPr="00827818">
        <w:rPr>
          <w:rFonts w:ascii="Times New Roman" w:eastAsia="Times New Roman" w:hAnsi="Times New Roman" w:cs="Times New Roman"/>
          <w:bCs/>
          <w:sz w:val="24"/>
          <w:szCs w:val="24"/>
          <w:lang w:val="sr-Cyrl-CS" w:eastAsia="en-GB"/>
        </w:rPr>
        <w:t xml:space="preserve"> за 2025</w:t>
      </w:r>
      <w:r w:rsidR="004A527A" w:rsidRPr="00827818">
        <w:rPr>
          <w:rFonts w:ascii="Times New Roman" w:eastAsia="Times New Roman" w:hAnsi="Times New Roman" w:cs="Times New Roman"/>
          <w:bCs/>
          <w:sz w:val="24"/>
          <w:szCs w:val="24"/>
          <w:lang w:val="sr-Cyrl-CS" w:eastAsia="en-GB"/>
        </w:rPr>
        <w:t>: „</w:t>
      </w:r>
      <w:r w:rsidR="009117E8" w:rsidRPr="00827818">
        <w:rPr>
          <w:rFonts w:ascii="Times New Roman" w:eastAsia="Times New Roman" w:hAnsi="Times New Roman" w:cs="Times New Roman"/>
          <w:bCs/>
          <w:sz w:val="24"/>
          <w:szCs w:val="24"/>
          <w:lang w:val="sr-Cyrl-CS" w:eastAsia="en-GB"/>
        </w:rPr>
        <w:t>6</w:t>
      </w:r>
      <w:r w:rsidR="004A527A" w:rsidRPr="00827818">
        <w:rPr>
          <w:rFonts w:ascii="Times New Roman" w:eastAsia="Times New Roman" w:hAnsi="Times New Roman" w:cs="Times New Roman"/>
          <w:bCs/>
          <w:sz w:val="24"/>
          <w:szCs w:val="24"/>
          <w:lang w:val="sr-Cyrl-CS" w:eastAsia="en-GB"/>
        </w:rPr>
        <w:t>0</w:t>
      </w:r>
      <w:r w:rsidR="009117E8" w:rsidRPr="00827818">
        <w:rPr>
          <w:rFonts w:ascii="Times New Roman" w:eastAsia="Times New Roman" w:hAnsi="Times New Roman" w:cs="Times New Roman"/>
          <w:bCs/>
          <w:sz w:val="24"/>
          <w:szCs w:val="24"/>
          <w:lang w:val="sr-Cyrl-CS" w:eastAsia="en-GB"/>
        </w:rPr>
        <w:t>%</w:t>
      </w:r>
      <w:r w:rsidR="00E65243" w:rsidRPr="00827818">
        <w:rPr>
          <w:rFonts w:ascii="Times New Roman" w:eastAsia="Times New Roman" w:hAnsi="Times New Roman" w:cs="Times New Roman"/>
          <w:bCs/>
          <w:sz w:val="24"/>
          <w:szCs w:val="24"/>
          <w:lang w:val="sr-Cyrl-CS" w:eastAsia="en-GB"/>
        </w:rPr>
        <w:t>ˮ</w:t>
      </w:r>
      <w:r w:rsidR="0057598F" w:rsidRPr="00827818">
        <w:rPr>
          <w:rFonts w:ascii="Times New Roman" w:eastAsia="Times New Roman" w:hAnsi="Times New Roman" w:cs="Times New Roman"/>
          <w:bCs/>
          <w:sz w:val="24"/>
          <w:szCs w:val="24"/>
          <w:lang w:val="sr-Cyrl-CS" w:eastAsia="en-GB"/>
        </w:rPr>
        <w:t>.</w:t>
      </w:r>
    </w:p>
    <w:p w:rsidR="007D729A" w:rsidRPr="00827818" w:rsidRDefault="00803E8D" w:rsidP="00803E8D">
      <w:pPr>
        <w:spacing w:after="0" w:line="240" w:lineRule="auto"/>
        <w:ind w:firstLine="720"/>
        <w:jc w:val="both"/>
        <w:rPr>
          <w:rFonts w:ascii="Times New Roman" w:hAnsi="Times New Roman" w:cs="Times New Roman"/>
          <w:sz w:val="24"/>
          <w:szCs w:val="24"/>
          <w:lang w:val="sr-Cyrl-CS"/>
        </w:rPr>
      </w:pPr>
      <w:r w:rsidRPr="00827818">
        <w:rPr>
          <w:rFonts w:ascii="Times New Roman" w:eastAsia="Times New Roman" w:hAnsi="Times New Roman" w:cs="Times New Roman"/>
          <w:bCs/>
          <w:sz w:val="24"/>
          <w:szCs w:val="24"/>
          <w:lang w:val="sr-Cyrl-CS" w:eastAsia="en-GB"/>
        </w:rPr>
        <w:t xml:space="preserve">18. </w:t>
      </w:r>
      <w:r w:rsidR="00690FAA" w:rsidRPr="00827818">
        <w:rPr>
          <w:rFonts w:ascii="Times New Roman" w:eastAsia="Times New Roman" w:hAnsi="Times New Roman" w:cs="Times New Roman"/>
          <w:bCs/>
          <w:sz w:val="24"/>
          <w:szCs w:val="24"/>
          <w:lang w:val="sr-Cyrl-CS" w:eastAsia="en-GB"/>
        </w:rPr>
        <w:t xml:space="preserve">У </w:t>
      </w:r>
      <w:r w:rsidR="00F43E85" w:rsidRPr="00827818">
        <w:rPr>
          <w:rFonts w:ascii="Times New Roman" w:eastAsia="Times New Roman" w:hAnsi="Times New Roman" w:cs="Times New Roman"/>
          <w:bCs/>
          <w:sz w:val="24"/>
          <w:szCs w:val="24"/>
          <w:lang w:val="sr-Cyrl-CS" w:eastAsia="en-GB"/>
        </w:rPr>
        <w:t>М</w:t>
      </w:r>
      <w:r w:rsidR="0055003B" w:rsidRPr="00827818">
        <w:rPr>
          <w:rFonts w:ascii="Times New Roman" w:eastAsia="Times New Roman" w:hAnsi="Times New Roman" w:cs="Times New Roman"/>
          <w:bCs/>
          <w:sz w:val="24"/>
          <w:szCs w:val="24"/>
          <w:lang w:val="sr-Cyrl-CS" w:eastAsia="en-GB"/>
        </w:rPr>
        <w:t>eр</w:t>
      </w:r>
      <w:r w:rsidR="00F43E85" w:rsidRPr="00827818">
        <w:rPr>
          <w:rFonts w:ascii="Times New Roman" w:eastAsia="Times New Roman" w:hAnsi="Times New Roman" w:cs="Times New Roman"/>
          <w:bCs/>
          <w:sz w:val="24"/>
          <w:szCs w:val="24"/>
          <w:lang w:val="sr-Cyrl-CS" w:eastAsia="en-GB"/>
        </w:rPr>
        <w:t>и</w:t>
      </w:r>
      <w:r w:rsidR="0055003B" w:rsidRPr="00827818">
        <w:rPr>
          <w:rFonts w:ascii="Times New Roman" w:eastAsia="Times New Roman" w:hAnsi="Times New Roman" w:cs="Times New Roman"/>
          <w:bCs/>
          <w:sz w:val="24"/>
          <w:szCs w:val="24"/>
          <w:lang w:val="sr-Cyrl-CS" w:eastAsia="en-GB"/>
        </w:rPr>
        <w:t xml:space="preserve"> 1.4</w:t>
      </w:r>
      <w:r w:rsidR="00F43E85" w:rsidRPr="00827818">
        <w:rPr>
          <w:rFonts w:ascii="Times New Roman" w:eastAsia="Times New Roman" w:hAnsi="Times New Roman" w:cs="Times New Roman"/>
          <w:bCs/>
          <w:sz w:val="24"/>
          <w:szCs w:val="24"/>
          <w:lang w:val="sr-Cyrl-CS" w:eastAsia="en-GB"/>
        </w:rPr>
        <w:t>:</w:t>
      </w:r>
      <w:r w:rsidR="0055003B" w:rsidRPr="00827818">
        <w:rPr>
          <w:rFonts w:ascii="Times New Roman" w:eastAsia="Times New Roman" w:hAnsi="Times New Roman" w:cs="Times New Roman"/>
          <w:bCs/>
          <w:sz w:val="24"/>
          <w:szCs w:val="24"/>
          <w:lang w:val="sr-Cyrl-CS" w:eastAsia="en-GB"/>
        </w:rPr>
        <w:t xml:space="preserve"> </w:t>
      </w:r>
      <w:r w:rsidR="00F43E85" w:rsidRPr="00827818">
        <w:rPr>
          <w:rFonts w:ascii="Times New Roman" w:eastAsia="Times New Roman" w:hAnsi="Times New Roman" w:cs="Times New Roman"/>
          <w:bCs/>
          <w:sz w:val="24"/>
          <w:szCs w:val="24"/>
          <w:lang w:val="sr-Cyrl-CS" w:eastAsia="en-GB"/>
        </w:rPr>
        <w:t>Унапређење окружења за ефикасно управљање капиталним пројектима,</w:t>
      </w:r>
      <w:r w:rsidR="004A777D" w:rsidRPr="00827818">
        <w:rPr>
          <w:rFonts w:ascii="Times New Roman" w:eastAsia="Times New Roman" w:hAnsi="Times New Roman" w:cs="Times New Roman"/>
          <w:bCs/>
          <w:sz w:val="24"/>
          <w:szCs w:val="24"/>
          <w:lang w:val="sr-Cyrl-CS" w:eastAsia="en-GB"/>
        </w:rPr>
        <w:t xml:space="preserve"> </w:t>
      </w:r>
      <w:r w:rsidR="00DE27DC" w:rsidRPr="00827818">
        <w:rPr>
          <w:rFonts w:ascii="Times New Roman" w:eastAsia="Times New Roman" w:hAnsi="Times New Roman" w:cs="Times New Roman"/>
          <w:bCs/>
          <w:sz w:val="24"/>
          <w:szCs w:val="24"/>
          <w:lang w:val="sr-Cyrl-CS" w:eastAsia="en-GB"/>
        </w:rPr>
        <w:t>показатељ</w:t>
      </w:r>
      <w:r w:rsidR="00F43E85" w:rsidRPr="00827818">
        <w:rPr>
          <w:rFonts w:ascii="Times New Roman" w:eastAsia="Times New Roman" w:hAnsi="Times New Roman" w:cs="Times New Roman"/>
          <w:bCs/>
          <w:sz w:val="24"/>
          <w:szCs w:val="24"/>
          <w:lang w:val="sr-Cyrl-CS" w:eastAsia="en-GB"/>
        </w:rPr>
        <w:t>:</w:t>
      </w:r>
      <w:r w:rsidR="003C1CED" w:rsidRPr="00827818">
        <w:rPr>
          <w:rFonts w:ascii="Times New Roman" w:eastAsia="Times New Roman" w:hAnsi="Times New Roman" w:cs="Times New Roman"/>
          <w:bCs/>
          <w:sz w:val="24"/>
          <w:szCs w:val="24"/>
          <w:lang w:val="sr-Cyrl-CS" w:eastAsia="en-GB"/>
        </w:rPr>
        <w:t xml:space="preserve"> </w:t>
      </w:r>
      <w:r w:rsidR="007774CA" w:rsidRPr="00827818">
        <w:rPr>
          <w:rFonts w:ascii="Times New Roman" w:eastAsia="Times New Roman" w:hAnsi="Times New Roman" w:cs="Times New Roman"/>
          <w:bCs/>
          <w:sz w:val="24"/>
          <w:szCs w:val="24"/>
          <w:lang w:val="sr-Cyrl-CS" w:eastAsia="en-GB"/>
        </w:rPr>
        <w:t>„</w:t>
      </w:r>
      <w:r w:rsidR="004A777D" w:rsidRPr="00827818">
        <w:rPr>
          <w:rFonts w:ascii="Times New Roman" w:eastAsia="Times New Roman" w:hAnsi="Times New Roman" w:cs="Times New Roman"/>
          <w:bCs/>
          <w:sz w:val="24"/>
          <w:szCs w:val="24"/>
          <w:lang w:val="sr-Cyrl-CS" w:eastAsia="en-GB"/>
        </w:rPr>
        <w:t>Обучени државни службеници из јединица за управљање пројектима на нивоу ресорних министарстава и других институција</w:t>
      </w:r>
      <w:r w:rsidR="00E65243" w:rsidRPr="00827818">
        <w:rPr>
          <w:rFonts w:ascii="Times New Roman" w:eastAsia="Times New Roman" w:hAnsi="Times New Roman" w:cs="Times New Roman"/>
          <w:bCs/>
          <w:sz w:val="24"/>
          <w:szCs w:val="24"/>
          <w:lang w:val="sr-Cyrl-CS" w:eastAsia="en-GB"/>
        </w:rPr>
        <w:t>ˮ</w:t>
      </w:r>
      <w:r w:rsidR="008C3557" w:rsidRPr="00827818">
        <w:rPr>
          <w:rFonts w:ascii="Times New Roman" w:eastAsia="Times New Roman" w:hAnsi="Times New Roman" w:cs="Times New Roman"/>
          <w:bCs/>
          <w:sz w:val="24"/>
          <w:szCs w:val="24"/>
          <w:lang w:val="sr-Cyrl-CS" w:eastAsia="en-GB"/>
        </w:rPr>
        <w:t xml:space="preserve"> замењује се показатеље</w:t>
      </w:r>
      <w:r w:rsidR="00662B09" w:rsidRPr="00827818">
        <w:rPr>
          <w:rFonts w:ascii="Times New Roman" w:eastAsia="Times New Roman" w:hAnsi="Times New Roman" w:cs="Times New Roman"/>
          <w:bCs/>
          <w:sz w:val="24"/>
          <w:szCs w:val="24"/>
          <w:lang w:val="sr-Cyrl-CS" w:eastAsia="en-GB"/>
        </w:rPr>
        <w:t>м</w:t>
      </w:r>
      <w:r w:rsidR="00DE27DC" w:rsidRPr="00827818">
        <w:rPr>
          <w:rFonts w:ascii="Times New Roman" w:eastAsia="Times New Roman" w:hAnsi="Times New Roman" w:cs="Times New Roman"/>
          <w:bCs/>
          <w:sz w:val="24"/>
          <w:szCs w:val="24"/>
          <w:lang w:val="sr-Cyrl-CS" w:eastAsia="en-GB"/>
        </w:rPr>
        <w:t xml:space="preserve">: </w:t>
      </w:r>
      <w:r w:rsidR="00E43873" w:rsidRPr="00827818">
        <w:rPr>
          <w:rFonts w:ascii="Times New Roman" w:eastAsia="Times New Roman" w:hAnsi="Times New Roman" w:cs="Times New Roman"/>
          <w:bCs/>
          <w:sz w:val="24"/>
          <w:szCs w:val="24"/>
          <w:lang w:val="sr-Cyrl-CS" w:eastAsia="en-GB"/>
        </w:rPr>
        <w:t>„Одржане обуке за државне службенике из ресорних министарстава и других институција који обављају послове управљања пројектима</w:t>
      </w:r>
      <w:r w:rsidR="00E65243" w:rsidRPr="00827818">
        <w:rPr>
          <w:rFonts w:ascii="Times New Roman" w:eastAsia="Times New Roman" w:hAnsi="Times New Roman" w:cs="Times New Roman"/>
          <w:bCs/>
          <w:sz w:val="24"/>
          <w:szCs w:val="24"/>
          <w:lang w:val="sr-Cyrl-CS" w:eastAsia="en-GB"/>
        </w:rPr>
        <w:t>ˮ</w:t>
      </w:r>
      <w:r w:rsidR="004A777D" w:rsidRPr="00827818">
        <w:rPr>
          <w:rFonts w:ascii="Times New Roman" w:eastAsia="Times New Roman" w:hAnsi="Times New Roman" w:cs="Times New Roman"/>
          <w:bCs/>
          <w:sz w:val="24"/>
          <w:szCs w:val="24"/>
          <w:lang w:val="sr-Cyrl-CS" w:eastAsia="en-GB"/>
        </w:rPr>
        <w:t>;</w:t>
      </w:r>
      <w:r w:rsidR="00890114" w:rsidRPr="00827818">
        <w:rPr>
          <w:rFonts w:ascii="Times New Roman" w:eastAsia="Times New Roman" w:hAnsi="Times New Roman" w:cs="Times New Roman"/>
          <w:bCs/>
          <w:sz w:val="24"/>
          <w:szCs w:val="24"/>
          <w:lang w:val="sr-Cyrl-CS" w:eastAsia="en-GB"/>
        </w:rPr>
        <w:t xml:space="preserve"> </w:t>
      </w:r>
      <w:r w:rsidR="00662B09" w:rsidRPr="00827818">
        <w:rPr>
          <w:rFonts w:ascii="Times New Roman" w:eastAsia="Times New Roman" w:hAnsi="Times New Roman" w:cs="Times New Roman"/>
          <w:bCs/>
          <w:sz w:val="24"/>
          <w:szCs w:val="24"/>
          <w:lang w:val="sr-Cyrl-CS" w:eastAsia="en-GB"/>
        </w:rPr>
        <w:t>Ј</w:t>
      </w:r>
      <w:r w:rsidR="004A777D" w:rsidRPr="00827818">
        <w:rPr>
          <w:rFonts w:ascii="Times New Roman" w:eastAsia="Times New Roman" w:hAnsi="Times New Roman" w:cs="Times New Roman"/>
          <w:bCs/>
          <w:sz w:val="24"/>
          <w:szCs w:val="24"/>
          <w:lang w:val="sr-Cyrl-CS" w:eastAsia="en-GB"/>
        </w:rPr>
        <w:t>единица мере</w:t>
      </w:r>
      <w:r w:rsidR="00662B09" w:rsidRPr="00827818">
        <w:rPr>
          <w:rFonts w:ascii="Times New Roman" w:eastAsia="Times New Roman" w:hAnsi="Times New Roman" w:cs="Times New Roman"/>
          <w:bCs/>
          <w:sz w:val="24"/>
          <w:szCs w:val="24"/>
          <w:lang w:val="sr-Cyrl-CS" w:eastAsia="en-GB"/>
        </w:rPr>
        <w:t>: „%</w:t>
      </w:r>
      <w:r w:rsidR="00E65243" w:rsidRPr="00827818">
        <w:rPr>
          <w:rFonts w:ascii="Times New Roman" w:eastAsia="Times New Roman" w:hAnsi="Times New Roman" w:cs="Times New Roman"/>
          <w:bCs/>
          <w:sz w:val="24"/>
          <w:szCs w:val="24"/>
          <w:lang w:val="sr-Cyrl-CS" w:eastAsia="en-GB"/>
        </w:rPr>
        <w:t>ˮ</w:t>
      </w:r>
      <w:r w:rsidR="00662B09" w:rsidRPr="00827818">
        <w:rPr>
          <w:rFonts w:ascii="Times New Roman" w:eastAsia="Times New Roman" w:hAnsi="Times New Roman" w:cs="Times New Roman"/>
          <w:bCs/>
          <w:sz w:val="24"/>
          <w:szCs w:val="24"/>
          <w:lang w:val="sr-Cyrl-CS" w:eastAsia="en-GB"/>
        </w:rPr>
        <w:t xml:space="preserve"> замењује се јединицом мере:</w:t>
      </w:r>
      <w:r w:rsidR="004A777D" w:rsidRPr="00827818">
        <w:rPr>
          <w:rFonts w:ascii="Times New Roman" w:eastAsia="Times New Roman" w:hAnsi="Times New Roman" w:cs="Times New Roman"/>
          <w:bCs/>
          <w:sz w:val="24"/>
          <w:szCs w:val="24"/>
          <w:lang w:val="sr-Cyrl-CS" w:eastAsia="en-GB"/>
        </w:rPr>
        <w:t xml:space="preserve"> „Број</w:t>
      </w:r>
      <w:r w:rsidR="00E65243" w:rsidRPr="00827818">
        <w:rPr>
          <w:rFonts w:ascii="Times New Roman" w:eastAsia="Times New Roman" w:hAnsi="Times New Roman" w:cs="Times New Roman"/>
          <w:bCs/>
          <w:sz w:val="24"/>
          <w:szCs w:val="24"/>
          <w:lang w:val="sr-Cyrl-CS" w:eastAsia="en-GB"/>
        </w:rPr>
        <w:t>ˮ</w:t>
      </w:r>
      <w:r w:rsidR="004A777D" w:rsidRPr="00827818">
        <w:rPr>
          <w:rFonts w:ascii="Times New Roman" w:eastAsia="Times New Roman" w:hAnsi="Times New Roman" w:cs="Times New Roman"/>
          <w:bCs/>
          <w:sz w:val="24"/>
          <w:szCs w:val="24"/>
          <w:lang w:val="sr-Cyrl-CS" w:eastAsia="en-GB"/>
        </w:rPr>
        <w:t xml:space="preserve">; </w:t>
      </w:r>
      <w:r w:rsidR="00662B09" w:rsidRPr="00827818">
        <w:rPr>
          <w:rFonts w:ascii="Times New Roman" w:eastAsia="Times New Roman" w:hAnsi="Times New Roman" w:cs="Times New Roman"/>
          <w:bCs/>
          <w:sz w:val="24"/>
          <w:szCs w:val="24"/>
          <w:lang w:val="sr-Cyrl-CS" w:eastAsia="en-GB"/>
        </w:rPr>
        <w:t>И</w:t>
      </w:r>
      <w:r w:rsidR="00890114" w:rsidRPr="00827818">
        <w:rPr>
          <w:rFonts w:ascii="Times New Roman" w:eastAsia="Times New Roman" w:hAnsi="Times New Roman" w:cs="Times New Roman"/>
          <w:bCs/>
          <w:sz w:val="24"/>
          <w:szCs w:val="24"/>
          <w:lang w:val="sr-Cyrl-CS" w:eastAsia="en-GB"/>
        </w:rPr>
        <w:t>звор провере</w:t>
      </w:r>
      <w:r w:rsidR="00662B09" w:rsidRPr="00827818">
        <w:rPr>
          <w:rFonts w:ascii="Times New Roman" w:eastAsia="Times New Roman" w:hAnsi="Times New Roman" w:cs="Times New Roman"/>
          <w:bCs/>
          <w:sz w:val="24"/>
          <w:szCs w:val="24"/>
          <w:lang w:val="sr-Cyrl-CS" w:eastAsia="en-GB"/>
        </w:rPr>
        <w:t xml:space="preserve">: </w:t>
      </w:r>
      <w:r w:rsidR="00B01F04" w:rsidRPr="00827818">
        <w:rPr>
          <w:rFonts w:ascii="Times New Roman" w:eastAsia="Times New Roman" w:hAnsi="Times New Roman" w:cs="Times New Roman"/>
          <w:bCs/>
          <w:sz w:val="24"/>
          <w:szCs w:val="24"/>
          <w:lang w:val="sr-Cyrl-CS" w:eastAsia="en-GB"/>
        </w:rPr>
        <w:t>„</w:t>
      </w:r>
      <w:r w:rsidR="00662B09" w:rsidRPr="00827818">
        <w:rPr>
          <w:rFonts w:ascii="Times New Roman" w:eastAsia="Times New Roman" w:hAnsi="Times New Roman" w:cs="Times New Roman"/>
          <w:bCs/>
          <w:sz w:val="24"/>
          <w:szCs w:val="24"/>
          <w:lang w:val="sr-Cyrl-CS" w:eastAsia="en-GB"/>
        </w:rPr>
        <w:t>Извештај о одржаним радионицама – НАЈУ</w:t>
      </w:r>
      <w:r w:rsidR="00E65243" w:rsidRPr="00827818">
        <w:rPr>
          <w:rFonts w:ascii="Times New Roman" w:eastAsia="Times New Roman" w:hAnsi="Times New Roman" w:cs="Times New Roman"/>
          <w:bCs/>
          <w:sz w:val="24"/>
          <w:szCs w:val="24"/>
          <w:lang w:val="sr-Cyrl-CS" w:eastAsia="en-GB"/>
        </w:rPr>
        <w:t>ˮ</w:t>
      </w:r>
      <w:r w:rsidR="00662B09" w:rsidRPr="00827818">
        <w:rPr>
          <w:rFonts w:ascii="Times New Roman" w:eastAsia="Times New Roman" w:hAnsi="Times New Roman" w:cs="Times New Roman"/>
          <w:bCs/>
          <w:sz w:val="24"/>
          <w:szCs w:val="24"/>
          <w:lang w:val="sr-Cyrl-CS" w:eastAsia="en-GB"/>
        </w:rPr>
        <w:t xml:space="preserve"> замењује се извором провере:</w:t>
      </w:r>
      <w:r w:rsidR="004A777D" w:rsidRPr="00827818">
        <w:rPr>
          <w:rFonts w:ascii="Times New Roman" w:eastAsia="Times New Roman" w:hAnsi="Times New Roman" w:cs="Times New Roman"/>
          <w:bCs/>
          <w:sz w:val="24"/>
          <w:szCs w:val="24"/>
          <w:lang w:val="sr-Cyrl-CS" w:eastAsia="en-GB"/>
        </w:rPr>
        <w:t xml:space="preserve"> </w:t>
      </w:r>
      <w:r w:rsidR="007774CA" w:rsidRPr="00827818">
        <w:rPr>
          <w:rFonts w:ascii="Times New Roman" w:eastAsia="Times New Roman" w:hAnsi="Times New Roman" w:cs="Times New Roman"/>
          <w:bCs/>
          <w:sz w:val="24"/>
          <w:szCs w:val="24"/>
          <w:lang w:val="sr-Cyrl-CS" w:eastAsia="en-GB"/>
        </w:rPr>
        <w:t>„</w:t>
      </w:r>
      <w:r w:rsidR="00890114" w:rsidRPr="00827818">
        <w:rPr>
          <w:rFonts w:ascii="Times New Roman" w:eastAsia="Times New Roman" w:hAnsi="Times New Roman" w:cs="Times New Roman"/>
          <w:bCs/>
          <w:sz w:val="24"/>
          <w:szCs w:val="24"/>
          <w:lang w:val="sr-Cyrl-CS" w:eastAsia="en-GB"/>
        </w:rPr>
        <w:t>Извештај о одржаним</w:t>
      </w:r>
      <w:r w:rsidR="004A777D" w:rsidRPr="00827818">
        <w:rPr>
          <w:rFonts w:ascii="Times New Roman" w:eastAsia="Times New Roman" w:hAnsi="Times New Roman" w:cs="Times New Roman"/>
          <w:bCs/>
          <w:sz w:val="24"/>
          <w:szCs w:val="24"/>
          <w:lang w:val="sr-Cyrl-CS" w:eastAsia="en-GB"/>
        </w:rPr>
        <w:t xml:space="preserve"> обукама</w:t>
      </w:r>
      <w:r w:rsidR="00890114" w:rsidRPr="00827818">
        <w:rPr>
          <w:rFonts w:ascii="Times New Roman" w:eastAsia="Times New Roman" w:hAnsi="Times New Roman" w:cs="Times New Roman"/>
          <w:bCs/>
          <w:sz w:val="24"/>
          <w:szCs w:val="24"/>
          <w:lang w:val="sr-Cyrl-CS" w:eastAsia="en-GB"/>
        </w:rPr>
        <w:t xml:space="preserve"> </w:t>
      </w:r>
      <w:r w:rsidR="003C1CED" w:rsidRPr="00827818">
        <w:rPr>
          <w:rFonts w:ascii="Times New Roman" w:eastAsia="Times New Roman" w:hAnsi="Times New Roman" w:cs="Times New Roman"/>
          <w:bCs/>
          <w:sz w:val="24"/>
          <w:szCs w:val="24"/>
          <w:lang w:val="sr-Cyrl-CS" w:eastAsia="en-GB"/>
        </w:rPr>
        <w:t>-</w:t>
      </w:r>
      <w:r w:rsidR="00890114" w:rsidRPr="00827818">
        <w:rPr>
          <w:rFonts w:ascii="Times New Roman" w:eastAsia="Times New Roman" w:hAnsi="Times New Roman" w:cs="Times New Roman"/>
          <w:bCs/>
          <w:sz w:val="24"/>
          <w:szCs w:val="24"/>
          <w:lang w:val="sr-Cyrl-CS" w:eastAsia="en-GB"/>
        </w:rPr>
        <w:t xml:space="preserve"> НАЈУ/друге институције где се одржавају обуке</w:t>
      </w:r>
      <w:r w:rsidR="00E65243" w:rsidRPr="00827818">
        <w:rPr>
          <w:rFonts w:ascii="Times New Roman" w:eastAsia="Times New Roman" w:hAnsi="Times New Roman" w:cs="Times New Roman"/>
          <w:bCs/>
          <w:sz w:val="24"/>
          <w:szCs w:val="24"/>
          <w:lang w:val="sr-Cyrl-CS" w:eastAsia="en-GB"/>
        </w:rPr>
        <w:t>ˮ</w:t>
      </w:r>
      <w:r w:rsidR="004A777D" w:rsidRPr="00827818">
        <w:rPr>
          <w:rFonts w:ascii="Times New Roman" w:eastAsia="Times New Roman" w:hAnsi="Times New Roman" w:cs="Times New Roman"/>
          <w:bCs/>
          <w:sz w:val="24"/>
          <w:szCs w:val="24"/>
          <w:lang w:val="sr-Cyrl-CS" w:eastAsia="en-GB"/>
        </w:rPr>
        <w:t>;</w:t>
      </w:r>
      <w:r w:rsidR="00251734" w:rsidRPr="00827818">
        <w:rPr>
          <w:rFonts w:ascii="Times New Roman" w:eastAsia="Times New Roman" w:hAnsi="Times New Roman" w:cs="Times New Roman"/>
          <w:bCs/>
          <w:sz w:val="24"/>
          <w:szCs w:val="24"/>
          <w:lang w:val="sr-Cyrl-CS" w:eastAsia="en-GB"/>
        </w:rPr>
        <w:t xml:space="preserve">  </w:t>
      </w:r>
      <w:r w:rsidR="00CE4896" w:rsidRPr="00827818">
        <w:rPr>
          <w:rFonts w:ascii="Times New Roman" w:eastAsia="Times New Roman" w:hAnsi="Times New Roman" w:cs="Times New Roman"/>
          <w:bCs/>
          <w:sz w:val="24"/>
          <w:szCs w:val="24"/>
          <w:lang w:val="sr-Cyrl-CS" w:eastAsia="en-GB"/>
        </w:rPr>
        <w:t>Циљана вредност за 2021: „</w:t>
      </w:r>
      <w:r w:rsidR="007774CA" w:rsidRPr="00827818">
        <w:rPr>
          <w:rFonts w:ascii="Times New Roman" w:eastAsia="Times New Roman" w:hAnsi="Times New Roman" w:cs="Times New Roman"/>
          <w:bCs/>
          <w:sz w:val="24"/>
          <w:szCs w:val="24"/>
          <w:lang w:val="sr-Cyrl-CS" w:eastAsia="en-GB"/>
        </w:rPr>
        <w:t>0”</w:t>
      </w:r>
      <w:r w:rsidR="00CE4896" w:rsidRPr="00827818">
        <w:rPr>
          <w:rFonts w:ascii="Times New Roman" w:eastAsia="Times New Roman" w:hAnsi="Times New Roman" w:cs="Times New Roman"/>
          <w:bCs/>
          <w:sz w:val="24"/>
          <w:szCs w:val="24"/>
          <w:lang w:val="sr-Cyrl-CS" w:eastAsia="en-GB"/>
        </w:rPr>
        <w:t xml:space="preserve"> замењује </w:t>
      </w:r>
      <w:r w:rsidR="00251734" w:rsidRPr="00827818">
        <w:rPr>
          <w:rFonts w:ascii="Times New Roman" w:eastAsia="Times New Roman" w:hAnsi="Times New Roman" w:cs="Times New Roman"/>
          <w:bCs/>
          <w:sz w:val="24"/>
          <w:szCs w:val="24"/>
          <w:lang w:val="sr-Cyrl-CS" w:eastAsia="en-GB"/>
        </w:rPr>
        <w:t>се циљаном вредношћу за 2021: „-</w:t>
      </w:r>
      <w:r w:rsidR="007774CA" w:rsidRPr="00827818">
        <w:rPr>
          <w:rFonts w:ascii="Times New Roman" w:eastAsia="Times New Roman" w:hAnsi="Times New Roman" w:cs="Times New Roman"/>
          <w:bCs/>
          <w:sz w:val="24"/>
          <w:szCs w:val="24"/>
          <w:lang w:val="sr-Cyrl-CS" w:eastAsia="en-GB"/>
        </w:rPr>
        <w:t>ˮ</w:t>
      </w:r>
      <w:r w:rsidR="00CE4896" w:rsidRPr="00827818">
        <w:rPr>
          <w:rFonts w:ascii="Times New Roman" w:eastAsia="Times New Roman" w:hAnsi="Times New Roman" w:cs="Times New Roman"/>
          <w:bCs/>
          <w:sz w:val="24"/>
          <w:szCs w:val="24"/>
          <w:lang w:val="sr-Cyrl-CS" w:eastAsia="en-GB"/>
        </w:rPr>
        <w:t>; Циљана вредност за 2022: „20%</w:t>
      </w:r>
      <w:r w:rsidR="007774CA" w:rsidRPr="00827818">
        <w:rPr>
          <w:rFonts w:ascii="Times New Roman" w:eastAsia="Times New Roman" w:hAnsi="Times New Roman" w:cs="Times New Roman"/>
          <w:bCs/>
          <w:sz w:val="24"/>
          <w:szCs w:val="24"/>
          <w:lang w:val="sr-Cyrl-CS" w:eastAsia="en-GB"/>
        </w:rPr>
        <w:t>ˮ</w:t>
      </w:r>
      <w:r w:rsidR="00CE4896" w:rsidRPr="00827818">
        <w:rPr>
          <w:rFonts w:ascii="Times New Roman" w:eastAsia="Times New Roman" w:hAnsi="Times New Roman" w:cs="Times New Roman"/>
          <w:bCs/>
          <w:sz w:val="24"/>
          <w:szCs w:val="24"/>
          <w:lang w:val="sr-Cyrl-CS" w:eastAsia="en-GB"/>
        </w:rPr>
        <w:t xml:space="preserve"> замењује </w:t>
      </w:r>
      <w:r w:rsidR="00251734" w:rsidRPr="00827818">
        <w:rPr>
          <w:rFonts w:ascii="Times New Roman" w:eastAsia="Times New Roman" w:hAnsi="Times New Roman" w:cs="Times New Roman"/>
          <w:bCs/>
          <w:sz w:val="24"/>
          <w:szCs w:val="24"/>
          <w:lang w:val="sr-Cyrl-CS" w:eastAsia="en-GB"/>
        </w:rPr>
        <w:t>се циљаном вредношћу за 2022: „</w:t>
      </w:r>
      <w:r w:rsidR="00CE4896" w:rsidRPr="00827818">
        <w:rPr>
          <w:rFonts w:ascii="Times New Roman" w:eastAsia="Times New Roman" w:hAnsi="Times New Roman" w:cs="Times New Roman"/>
          <w:bCs/>
          <w:sz w:val="24"/>
          <w:szCs w:val="24"/>
          <w:lang w:val="sr-Cyrl-CS" w:eastAsia="en-GB"/>
        </w:rPr>
        <w:t>-</w:t>
      </w:r>
      <w:r w:rsidR="007774CA" w:rsidRPr="00827818">
        <w:rPr>
          <w:rFonts w:ascii="Times New Roman" w:eastAsia="Times New Roman" w:hAnsi="Times New Roman" w:cs="Times New Roman"/>
          <w:bCs/>
          <w:sz w:val="24"/>
          <w:szCs w:val="24"/>
          <w:lang w:val="sr-Cyrl-CS" w:eastAsia="en-GB"/>
        </w:rPr>
        <w:t>ˮ</w:t>
      </w:r>
      <w:r w:rsidR="00CE4896" w:rsidRPr="00827818">
        <w:rPr>
          <w:rFonts w:ascii="Times New Roman" w:eastAsia="Times New Roman" w:hAnsi="Times New Roman" w:cs="Times New Roman"/>
          <w:bCs/>
          <w:sz w:val="24"/>
          <w:szCs w:val="24"/>
          <w:lang w:val="sr-Cyrl-CS" w:eastAsia="en-GB"/>
        </w:rPr>
        <w:t>; Циљана вредност за 2023: „50%</w:t>
      </w:r>
      <w:r w:rsidR="007774CA" w:rsidRPr="00827818">
        <w:rPr>
          <w:rFonts w:ascii="Times New Roman" w:eastAsia="Times New Roman" w:hAnsi="Times New Roman" w:cs="Times New Roman"/>
          <w:bCs/>
          <w:sz w:val="24"/>
          <w:szCs w:val="24"/>
          <w:lang w:val="sr-Cyrl-CS" w:eastAsia="en-GB"/>
        </w:rPr>
        <w:t>ˮ</w:t>
      </w:r>
      <w:r w:rsidR="00CE4896" w:rsidRPr="00827818">
        <w:rPr>
          <w:rFonts w:ascii="Times New Roman" w:eastAsia="Times New Roman" w:hAnsi="Times New Roman" w:cs="Times New Roman"/>
          <w:bCs/>
          <w:sz w:val="24"/>
          <w:szCs w:val="24"/>
          <w:lang w:val="sr-Cyrl-CS" w:eastAsia="en-GB"/>
        </w:rPr>
        <w:t xml:space="preserve"> замењује се циљаном вредношћу за 2023: „2</w:t>
      </w:r>
      <w:r w:rsidR="00DE10F6" w:rsidRPr="00827818">
        <w:rPr>
          <w:rFonts w:ascii="Times New Roman" w:eastAsia="Times New Roman" w:hAnsi="Times New Roman" w:cs="Times New Roman"/>
          <w:bCs/>
          <w:sz w:val="24"/>
          <w:szCs w:val="24"/>
          <w:lang w:val="sr-Cyrl-CS" w:eastAsia="en-GB"/>
        </w:rPr>
        <w:t>ˮ</w:t>
      </w:r>
      <w:r w:rsidR="00251734" w:rsidRPr="00827818">
        <w:rPr>
          <w:rFonts w:ascii="Times New Roman" w:eastAsia="Times New Roman" w:hAnsi="Times New Roman" w:cs="Times New Roman"/>
          <w:bCs/>
          <w:sz w:val="24"/>
          <w:szCs w:val="24"/>
          <w:lang w:val="sr-Cyrl-CS" w:eastAsia="en-GB"/>
        </w:rPr>
        <w:t xml:space="preserve">; </w:t>
      </w:r>
      <w:r w:rsidR="00105659" w:rsidRPr="00827818">
        <w:rPr>
          <w:rFonts w:ascii="Times New Roman" w:eastAsia="Times New Roman" w:hAnsi="Times New Roman" w:cs="Times New Roman"/>
          <w:bCs/>
          <w:sz w:val="24"/>
          <w:szCs w:val="24"/>
          <w:lang w:val="sr-Cyrl-CS" w:eastAsia="en-GB"/>
        </w:rPr>
        <w:t>Циљана вредност за 2024: „70%</w:t>
      </w:r>
      <w:r w:rsidR="00E65243" w:rsidRPr="00827818">
        <w:rPr>
          <w:rFonts w:ascii="Times New Roman" w:eastAsia="Times New Roman" w:hAnsi="Times New Roman" w:cs="Times New Roman"/>
          <w:bCs/>
          <w:sz w:val="24"/>
          <w:szCs w:val="24"/>
          <w:lang w:val="sr-Cyrl-CS" w:eastAsia="en-GB"/>
        </w:rPr>
        <w:t>ˮ</w:t>
      </w:r>
      <w:r w:rsidR="00662B09" w:rsidRPr="00827818">
        <w:rPr>
          <w:rFonts w:ascii="Times New Roman" w:eastAsia="Times New Roman" w:hAnsi="Times New Roman" w:cs="Times New Roman"/>
          <w:bCs/>
          <w:sz w:val="24"/>
          <w:szCs w:val="24"/>
          <w:lang w:val="sr-Cyrl-CS" w:eastAsia="en-GB"/>
        </w:rPr>
        <w:t xml:space="preserve"> замењу</w:t>
      </w:r>
      <w:r w:rsidR="00105659" w:rsidRPr="00827818">
        <w:rPr>
          <w:rFonts w:ascii="Times New Roman" w:eastAsia="Times New Roman" w:hAnsi="Times New Roman" w:cs="Times New Roman"/>
          <w:bCs/>
          <w:sz w:val="24"/>
          <w:szCs w:val="24"/>
          <w:lang w:val="sr-Cyrl-CS" w:eastAsia="en-GB"/>
        </w:rPr>
        <w:t>је се циљаном вредношћу</w:t>
      </w:r>
      <w:r w:rsidR="00237D59" w:rsidRPr="00827818">
        <w:rPr>
          <w:rFonts w:ascii="Times New Roman" w:eastAsia="Times New Roman" w:hAnsi="Times New Roman" w:cs="Times New Roman"/>
          <w:bCs/>
          <w:sz w:val="24"/>
          <w:szCs w:val="24"/>
          <w:lang w:val="sr-Cyrl-CS" w:eastAsia="en-GB"/>
        </w:rPr>
        <w:t xml:space="preserve"> за 2024</w:t>
      </w:r>
      <w:r w:rsidR="00105659" w:rsidRPr="00827818">
        <w:rPr>
          <w:rFonts w:ascii="Times New Roman" w:eastAsia="Times New Roman" w:hAnsi="Times New Roman" w:cs="Times New Roman"/>
          <w:bCs/>
          <w:sz w:val="24"/>
          <w:szCs w:val="24"/>
          <w:lang w:val="sr-Cyrl-CS" w:eastAsia="en-GB"/>
        </w:rPr>
        <w:t>: „2</w:t>
      </w:r>
      <w:r w:rsidR="00E65243" w:rsidRPr="00827818">
        <w:rPr>
          <w:rFonts w:ascii="Times New Roman" w:eastAsia="Times New Roman" w:hAnsi="Times New Roman" w:cs="Times New Roman"/>
          <w:bCs/>
          <w:sz w:val="24"/>
          <w:szCs w:val="24"/>
          <w:lang w:val="sr-Cyrl-CS" w:eastAsia="en-GB"/>
        </w:rPr>
        <w:t>ˮ</w:t>
      </w:r>
      <w:r w:rsidR="00105659" w:rsidRPr="00827818">
        <w:rPr>
          <w:rFonts w:ascii="Times New Roman" w:eastAsia="Times New Roman" w:hAnsi="Times New Roman" w:cs="Times New Roman"/>
          <w:bCs/>
          <w:sz w:val="24"/>
          <w:szCs w:val="24"/>
          <w:lang w:val="sr-Cyrl-CS" w:eastAsia="en-GB"/>
        </w:rPr>
        <w:t xml:space="preserve"> </w:t>
      </w:r>
      <w:r w:rsidR="00160FED" w:rsidRPr="00827818">
        <w:rPr>
          <w:rFonts w:ascii="Times New Roman" w:eastAsia="Times New Roman" w:hAnsi="Times New Roman" w:cs="Times New Roman"/>
          <w:bCs/>
          <w:sz w:val="24"/>
          <w:szCs w:val="24"/>
          <w:lang w:val="sr-Cyrl-CS" w:eastAsia="en-GB"/>
        </w:rPr>
        <w:t xml:space="preserve">и </w:t>
      </w:r>
      <w:r w:rsidR="00105659" w:rsidRPr="00827818">
        <w:rPr>
          <w:rFonts w:ascii="Times New Roman" w:eastAsia="Times New Roman" w:hAnsi="Times New Roman" w:cs="Times New Roman"/>
          <w:bCs/>
          <w:sz w:val="24"/>
          <w:szCs w:val="24"/>
          <w:lang w:val="sr-Cyrl-CS" w:eastAsia="en-GB"/>
        </w:rPr>
        <w:t>Циљана вредност за 2025: „80%</w:t>
      </w:r>
      <w:r w:rsidR="00E65243" w:rsidRPr="00827818">
        <w:rPr>
          <w:rFonts w:ascii="Times New Roman" w:eastAsia="Times New Roman" w:hAnsi="Times New Roman" w:cs="Times New Roman"/>
          <w:bCs/>
          <w:sz w:val="24"/>
          <w:szCs w:val="24"/>
          <w:lang w:val="sr-Cyrl-CS" w:eastAsia="en-GB"/>
        </w:rPr>
        <w:t>ˮ</w:t>
      </w:r>
      <w:r w:rsidR="00662B09" w:rsidRPr="00827818">
        <w:rPr>
          <w:rFonts w:ascii="Times New Roman" w:eastAsia="Times New Roman" w:hAnsi="Times New Roman" w:cs="Times New Roman"/>
          <w:bCs/>
          <w:sz w:val="24"/>
          <w:szCs w:val="24"/>
          <w:lang w:val="sr-Cyrl-CS" w:eastAsia="en-GB"/>
        </w:rPr>
        <w:t xml:space="preserve"> за</w:t>
      </w:r>
      <w:r w:rsidR="00105659" w:rsidRPr="00827818">
        <w:rPr>
          <w:rFonts w:ascii="Times New Roman" w:eastAsia="Times New Roman" w:hAnsi="Times New Roman" w:cs="Times New Roman"/>
          <w:bCs/>
          <w:sz w:val="24"/>
          <w:szCs w:val="24"/>
          <w:lang w:val="sr-Cyrl-CS" w:eastAsia="en-GB"/>
        </w:rPr>
        <w:t>мењује се циљаном вредношћу</w:t>
      </w:r>
      <w:r w:rsidR="00237D59" w:rsidRPr="00827818">
        <w:rPr>
          <w:rFonts w:ascii="Times New Roman" w:eastAsia="Times New Roman" w:hAnsi="Times New Roman" w:cs="Times New Roman"/>
          <w:bCs/>
          <w:sz w:val="24"/>
          <w:szCs w:val="24"/>
          <w:lang w:val="sr-Cyrl-CS" w:eastAsia="en-GB"/>
        </w:rPr>
        <w:t xml:space="preserve"> за 2025</w:t>
      </w:r>
      <w:r w:rsidR="00105659" w:rsidRPr="00827818">
        <w:rPr>
          <w:rFonts w:ascii="Times New Roman" w:eastAsia="Times New Roman" w:hAnsi="Times New Roman" w:cs="Times New Roman"/>
          <w:bCs/>
          <w:sz w:val="24"/>
          <w:szCs w:val="24"/>
          <w:lang w:val="sr-Cyrl-CS" w:eastAsia="en-GB"/>
        </w:rPr>
        <w:t>: „2</w:t>
      </w:r>
      <w:r w:rsidR="00E65243" w:rsidRPr="00827818">
        <w:rPr>
          <w:rFonts w:ascii="Times New Roman" w:eastAsia="Times New Roman" w:hAnsi="Times New Roman" w:cs="Times New Roman"/>
          <w:bCs/>
          <w:sz w:val="24"/>
          <w:szCs w:val="24"/>
          <w:lang w:val="sr-Cyrl-CS" w:eastAsia="en-GB"/>
        </w:rPr>
        <w:t>ˮ</w:t>
      </w:r>
      <w:r w:rsidR="00E17EA3" w:rsidRPr="00827818">
        <w:rPr>
          <w:rFonts w:ascii="Times New Roman" w:eastAsia="Times New Roman" w:hAnsi="Times New Roman" w:cs="Times New Roman"/>
          <w:bCs/>
          <w:sz w:val="24"/>
          <w:szCs w:val="24"/>
          <w:lang w:val="sr-Cyrl-CS" w:eastAsia="en-GB"/>
        </w:rPr>
        <w:t>.</w:t>
      </w:r>
      <w:r w:rsidR="00DE10F6" w:rsidRPr="00827818">
        <w:rPr>
          <w:rFonts w:ascii="Times New Roman" w:eastAsia="Times New Roman" w:hAnsi="Times New Roman" w:cs="Times New Roman"/>
          <w:bCs/>
          <w:sz w:val="24"/>
          <w:szCs w:val="24"/>
          <w:lang w:val="sr-Cyrl-CS" w:eastAsia="en-GB"/>
        </w:rPr>
        <w:t xml:space="preserve"> </w:t>
      </w:r>
    </w:p>
    <w:p w:rsidR="00423AE6" w:rsidRPr="00827818" w:rsidRDefault="00CD1879" w:rsidP="00CD1879">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19. </w:t>
      </w:r>
      <w:r w:rsidR="007D729A" w:rsidRPr="00827818">
        <w:rPr>
          <w:rFonts w:ascii="Times New Roman" w:hAnsi="Times New Roman" w:cs="Times New Roman"/>
          <w:sz w:val="24"/>
          <w:szCs w:val="24"/>
          <w:lang w:val="sr-Cyrl-CS"/>
        </w:rPr>
        <w:t xml:space="preserve">У </w:t>
      </w:r>
      <w:r w:rsidR="00435409" w:rsidRPr="00827818">
        <w:rPr>
          <w:rFonts w:ascii="Times New Roman" w:hAnsi="Times New Roman" w:cs="Times New Roman"/>
          <w:bCs/>
          <w:sz w:val="24"/>
          <w:szCs w:val="24"/>
          <w:lang w:val="sr-Cyrl-CS"/>
        </w:rPr>
        <w:t>М</w:t>
      </w:r>
      <w:r w:rsidR="007D729A" w:rsidRPr="00827818">
        <w:rPr>
          <w:rFonts w:ascii="Times New Roman" w:hAnsi="Times New Roman" w:cs="Times New Roman"/>
          <w:bCs/>
          <w:sz w:val="24"/>
          <w:szCs w:val="24"/>
          <w:lang w:val="sr-Cyrl-CS"/>
        </w:rPr>
        <w:t>eр</w:t>
      </w:r>
      <w:r w:rsidR="00435409" w:rsidRPr="00827818">
        <w:rPr>
          <w:rFonts w:ascii="Times New Roman" w:hAnsi="Times New Roman" w:cs="Times New Roman"/>
          <w:bCs/>
          <w:sz w:val="24"/>
          <w:szCs w:val="24"/>
          <w:lang w:val="sr-Cyrl-CS"/>
        </w:rPr>
        <w:t>и</w:t>
      </w:r>
      <w:r w:rsidR="007D729A" w:rsidRPr="00827818">
        <w:rPr>
          <w:rFonts w:ascii="Times New Roman" w:hAnsi="Times New Roman" w:cs="Times New Roman"/>
          <w:bCs/>
          <w:sz w:val="24"/>
          <w:szCs w:val="24"/>
          <w:lang w:val="sr-Cyrl-CS"/>
        </w:rPr>
        <w:t xml:space="preserve"> 1.4</w:t>
      </w:r>
      <w:r w:rsidR="00435409" w:rsidRPr="00827818">
        <w:rPr>
          <w:rFonts w:ascii="Times New Roman" w:hAnsi="Times New Roman" w:cs="Times New Roman"/>
          <w:bCs/>
          <w:sz w:val="24"/>
          <w:szCs w:val="24"/>
          <w:lang w:val="sr-Cyrl-CS"/>
        </w:rPr>
        <w:t>:</w:t>
      </w:r>
      <w:r w:rsidR="00435409" w:rsidRPr="00827818">
        <w:rPr>
          <w:rFonts w:ascii="Times New Roman" w:hAnsi="Times New Roman" w:cs="Times New Roman"/>
          <w:sz w:val="24"/>
          <w:szCs w:val="24"/>
          <w:lang w:val="sr-Cyrl-CS"/>
        </w:rPr>
        <w:t xml:space="preserve"> </w:t>
      </w:r>
      <w:r w:rsidR="00435409" w:rsidRPr="00827818">
        <w:rPr>
          <w:rFonts w:ascii="Times New Roman" w:hAnsi="Times New Roman" w:cs="Times New Roman"/>
          <w:bCs/>
          <w:sz w:val="24"/>
          <w:szCs w:val="24"/>
          <w:lang w:val="sr-Cyrl-CS"/>
        </w:rPr>
        <w:t>Унапређење окружења за ефикасно управљање капиталним пројектима,</w:t>
      </w:r>
      <w:r w:rsidR="007D729A" w:rsidRPr="00827818">
        <w:rPr>
          <w:rFonts w:ascii="Times New Roman" w:hAnsi="Times New Roman" w:cs="Times New Roman"/>
          <w:bCs/>
          <w:sz w:val="24"/>
          <w:szCs w:val="24"/>
          <w:lang w:val="sr-Cyrl-CS"/>
        </w:rPr>
        <w:t xml:space="preserve"> </w:t>
      </w:r>
      <w:r w:rsidR="00435409" w:rsidRPr="00827818">
        <w:rPr>
          <w:rFonts w:ascii="Times New Roman" w:hAnsi="Times New Roman" w:cs="Times New Roman"/>
          <w:bCs/>
          <w:sz w:val="24"/>
          <w:szCs w:val="24"/>
          <w:lang w:val="sr-Cyrl-CS"/>
        </w:rPr>
        <w:t>Активност 1.4.4:</w:t>
      </w:r>
      <w:r w:rsidR="00435409" w:rsidRPr="00827818">
        <w:rPr>
          <w:rFonts w:ascii="Times New Roman" w:hAnsi="Times New Roman" w:cs="Times New Roman"/>
          <w:sz w:val="24"/>
          <w:szCs w:val="24"/>
          <w:lang w:val="sr-Cyrl-CS"/>
        </w:rPr>
        <w:t xml:space="preserve"> </w:t>
      </w:r>
      <w:r w:rsidR="00435409" w:rsidRPr="00827818">
        <w:rPr>
          <w:rFonts w:ascii="Times New Roman" w:hAnsi="Times New Roman" w:cs="Times New Roman"/>
          <w:bCs/>
          <w:sz w:val="24"/>
          <w:szCs w:val="24"/>
          <w:lang w:val="sr-Cyrl-CS"/>
        </w:rPr>
        <w:t>Израда приручника о методологији УКП (дизајн, припрема за штампу, лектура, консултантска подршка за садржај)</w:t>
      </w:r>
      <w:r w:rsidR="00F33ADD" w:rsidRPr="00827818">
        <w:rPr>
          <w:rFonts w:ascii="Times New Roman" w:hAnsi="Times New Roman" w:cs="Times New Roman"/>
          <w:bCs/>
          <w:sz w:val="24"/>
          <w:szCs w:val="24"/>
          <w:lang w:val="sr-Cyrl-CS"/>
        </w:rPr>
        <w:t xml:space="preserve">, </w:t>
      </w:r>
      <w:r w:rsidR="00684020" w:rsidRPr="00827818">
        <w:rPr>
          <w:rFonts w:ascii="Times New Roman" w:hAnsi="Times New Roman" w:cs="Times New Roman"/>
          <w:bCs/>
          <w:sz w:val="24"/>
          <w:szCs w:val="24"/>
          <w:lang w:val="sr-Cyrl-CS"/>
        </w:rPr>
        <w:t xml:space="preserve">у колони </w:t>
      </w:r>
      <w:r w:rsidR="00435409" w:rsidRPr="00827818">
        <w:rPr>
          <w:rFonts w:ascii="Times New Roman" w:hAnsi="Times New Roman" w:cs="Times New Roman"/>
          <w:bCs/>
          <w:sz w:val="24"/>
          <w:szCs w:val="24"/>
          <w:lang w:val="sr-Cyrl-CS"/>
        </w:rPr>
        <w:t>рок за завршетак активности</w:t>
      </w:r>
      <w:r w:rsidR="00E17EA3" w:rsidRPr="00827818">
        <w:rPr>
          <w:rFonts w:ascii="Times New Roman" w:hAnsi="Times New Roman" w:cs="Times New Roman"/>
          <w:bCs/>
          <w:sz w:val="24"/>
          <w:szCs w:val="24"/>
          <w:lang w:val="sr-Cyrl-CS"/>
        </w:rPr>
        <w:t>: „</w:t>
      </w:r>
      <w:r w:rsidR="00F33ADD" w:rsidRPr="00827818">
        <w:rPr>
          <w:rFonts w:ascii="Times New Roman" w:hAnsi="Times New Roman" w:cs="Times New Roman"/>
          <w:bCs/>
          <w:sz w:val="24"/>
          <w:szCs w:val="24"/>
          <w:lang w:val="sr-Cyrl-CS"/>
        </w:rPr>
        <w:t>Q2 2023</w:t>
      </w:r>
      <w:r w:rsidR="00E65243" w:rsidRPr="00827818">
        <w:rPr>
          <w:rFonts w:ascii="Times New Roman" w:hAnsi="Times New Roman" w:cs="Times New Roman"/>
          <w:bCs/>
          <w:sz w:val="24"/>
          <w:szCs w:val="24"/>
          <w:lang w:val="sr-Cyrl-CS"/>
        </w:rPr>
        <w:t>ˮ</w:t>
      </w:r>
      <w:r w:rsidR="00F33ADD" w:rsidRPr="00827818">
        <w:rPr>
          <w:rFonts w:ascii="Times New Roman" w:hAnsi="Times New Roman" w:cs="Times New Roman"/>
          <w:bCs/>
          <w:sz w:val="24"/>
          <w:szCs w:val="24"/>
          <w:lang w:val="sr-Cyrl-CS"/>
        </w:rPr>
        <w:t xml:space="preserve"> замењује се роком</w:t>
      </w:r>
      <w:r w:rsidR="00F73DC2" w:rsidRPr="00827818">
        <w:rPr>
          <w:rFonts w:ascii="Times New Roman" w:hAnsi="Times New Roman" w:cs="Times New Roman"/>
          <w:bCs/>
          <w:sz w:val="24"/>
          <w:szCs w:val="24"/>
          <w:lang w:val="sr-Cyrl-CS"/>
        </w:rPr>
        <w:t xml:space="preserve"> за завршетак активности</w:t>
      </w:r>
      <w:r w:rsidR="001A59D3" w:rsidRPr="00827818">
        <w:rPr>
          <w:rFonts w:ascii="Times New Roman" w:hAnsi="Times New Roman" w:cs="Times New Roman"/>
          <w:bCs/>
          <w:sz w:val="24"/>
          <w:szCs w:val="24"/>
          <w:lang w:val="sr-Cyrl-CS"/>
        </w:rPr>
        <w:t>:</w:t>
      </w:r>
      <w:r w:rsidR="00F33ADD" w:rsidRPr="00827818">
        <w:rPr>
          <w:rFonts w:ascii="Times New Roman" w:hAnsi="Times New Roman" w:cs="Times New Roman"/>
          <w:bCs/>
          <w:sz w:val="24"/>
          <w:szCs w:val="24"/>
          <w:lang w:val="sr-Cyrl-CS"/>
        </w:rPr>
        <w:t xml:space="preserve"> </w:t>
      </w:r>
      <w:r w:rsidR="001A59D3" w:rsidRPr="00827818">
        <w:rPr>
          <w:rFonts w:ascii="Times New Roman" w:hAnsi="Times New Roman" w:cs="Times New Roman"/>
          <w:bCs/>
          <w:sz w:val="24"/>
          <w:szCs w:val="24"/>
          <w:lang w:val="sr-Cyrl-CS"/>
        </w:rPr>
        <w:t>„</w:t>
      </w:r>
      <w:r w:rsidR="00B74E95" w:rsidRPr="00827818">
        <w:rPr>
          <w:rFonts w:ascii="Times New Roman" w:hAnsi="Times New Roman" w:cs="Times New Roman"/>
          <w:bCs/>
          <w:sz w:val="24"/>
          <w:szCs w:val="24"/>
          <w:lang w:val="sr-Cyrl-CS"/>
        </w:rPr>
        <w:t>Q</w:t>
      </w:r>
      <w:r w:rsidR="00BA50A5" w:rsidRPr="00827818">
        <w:rPr>
          <w:rFonts w:ascii="Times New Roman" w:hAnsi="Times New Roman" w:cs="Times New Roman"/>
          <w:bCs/>
          <w:sz w:val="24"/>
          <w:szCs w:val="24"/>
          <w:lang w:val="sr-Cyrl-CS"/>
        </w:rPr>
        <w:t>4</w:t>
      </w:r>
      <w:r w:rsidR="001A59D3" w:rsidRPr="00827818">
        <w:rPr>
          <w:rFonts w:ascii="Times New Roman" w:hAnsi="Times New Roman" w:cs="Times New Roman"/>
          <w:bCs/>
          <w:sz w:val="24"/>
          <w:szCs w:val="24"/>
          <w:lang w:val="sr-Cyrl-CS"/>
        </w:rPr>
        <w:t xml:space="preserve"> 2024</w:t>
      </w:r>
      <w:r w:rsidR="00E65243" w:rsidRPr="00827818">
        <w:rPr>
          <w:rFonts w:ascii="Times New Roman" w:hAnsi="Times New Roman" w:cs="Times New Roman"/>
          <w:bCs/>
          <w:sz w:val="24"/>
          <w:szCs w:val="24"/>
          <w:lang w:val="sr-Cyrl-CS"/>
        </w:rPr>
        <w:t>ˮ</w:t>
      </w:r>
      <w:r w:rsidR="00F73DC2" w:rsidRPr="00827818">
        <w:rPr>
          <w:rFonts w:ascii="Times New Roman" w:hAnsi="Times New Roman" w:cs="Times New Roman"/>
          <w:bCs/>
          <w:sz w:val="24"/>
          <w:szCs w:val="24"/>
          <w:lang w:val="sr-Cyrl-CS"/>
        </w:rPr>
        <w:t>;</w:t>
      </w:r>
      <w:r w:rsidR="005D785E" w:rsidRPr="00827818">
        <w:rPr>
          <w:rFonts w:ascii="Times New Roman" w:eastAsia="Times New Roman" w:hAnsi="Times New Roman" w:cs="Times New Roman"/>
          <w:bCs/>
          <w:sz w:val="24"/>
          <w:szCs w:val="24"/>
          <w:lang w:val="sr-Cyrl-CS" w:eastAsia="en-GB"/>
        </w:rPr>
        <w:t xml:space="preserve"> </w:t>
      </w:r>
      <w:r w:rsidR="00856192" w:rsidRPr="00827818">
        <w:rPr>
          <w:rFonts w:ascii="Times New Roman" w:eastAsia="Times New Roman" w:hAnsi="Times New Roman" w:cs="Times New Roman"/>
          <w:bCs/>
          <w:sz w:val="24"/>
          <w:szCs w:val="24"/>
          <w:lang w:val="sr-Cyrl-CS" w:eastAsia="en-GB"/>
        </w:rPr>
        <w:t xml:space="preserve"> </w:t>
      </w:r>
      <w:r w:rsidR="00F73DC2" w:rsidRPr="00827818">
        <w:rPr>
          <w:rFonts w:ascii="Times New Roman" w:eastAsia="Times New Roman" w:hAnsi="Times New Roman" w:cs="Times New Roman"/>
          <w:bCs/>
          <w:sz w:val="24"/>
          <w:szCs w:val="24"/>
          <w:lang w:val="sr-Cyrl-CS" w:eastAsia="en-GB"/>
        </w:rPr>
        <w:t>И</w:t>
      </w:r>
      <w:r w:rsidR="00DA51EC" w:rsidRPr="00827818">
        <w:rPr>
          <w:rFonts w:ascii="Times New Roman" w:eastAsia="Times New Roman" w:hAnsi="Times New Roman" w:cs="Times New Roman"/>
          <w:bCs/>
          <w:sz w:val="24"/>
          <w:szCs w:val="24"/>
          <w:lang w:val="sr-Cyrl-CS" w:eastAsia="en-GB"/>
        </w:rPr>
        <w:t>звор финансира</w:t>
      </w:r>
      <w:r w:rsidR="00F97954" w:rsidRPr="00827818">
        <w:rPr>
          <w:rFonts w:ascii="Times New Roman" w:eastAsia="Times New Roman" w:hAnsi="Times New Roman" w:cs="Times New Roman"/>
          <w:bCs/>
          <w:sz w:val="24"/>
          <w:szCs w:val="24"/>
          <w:lang w:val="sr-Cyrl-CS" w:eastAsia="en-GB"/>
        </w:rPr>
        <w:t>ња</w:t>
      </w:r>
      <w:r w:rsidR="00F73DC2" w:rsidRPr="00827818">
        <w:rPr>
          <w:rFonts w:ascii="Times New Roman" w:eastAsia="Times New Roman" w:hAnsi="Times New Roman" w:cs="Times New Roman"/>
          <w:bCs/>
          <w:sz w:val="24"/>
          <w:szCs w:val="24"/>
          <w:lang w:val="sr-Cyrl-CS" w:eastAsia="en-GB"/>
        </w:rPr>
        <w:t>:</w:t>
      </w:r>
      <w:r w:rsidR="00DA51EC" w:rsidRPr="00827818">
        <w:rPr>
          <w:rFonts w:ascii="Times New Roman" w:eastAsia="Times New Roman" w:hAnsi="Times New Roman" w:cs="Times New Roman"/>
          <w:bCs/>
          <w:sz w:val="24"/>
          <w:szCs w:val="24"/>
          <w:lang w:val="sr-Cyrl-CS" w:eastAsia="en-GB"/>
        </w:rPr>
        <w:t xml:space="preserve"> </w:t>
      </w:r>
      <w:r w:rsidR="00DE10F6" w:rsidRPr="00827818">
        <w:rPr>
          <w:rFonts w:ascii="Times New Roman" w:eastAsia="Times New Roman" w:hAnsi="Times New Roman" w:cs="Times New Roman"/>
          <w:bCs/>
          <w:sz w:val="24"/>
          <w:szCs w:val="24"/>
          <w:lang w:val="sr-Cyrl-CS" w:eastAsia="en-GB"/>
        </w:rPr>
        <w:t>„</w:t>
      </w:r>
      <w:r w:rsidR="00F73DC2" w:rsidRPr="00827818">
        <w:rPr>
          <w:rFonts w:ascii="Times New Roman" w:eastAsia="Times New Roman" w:hAnsi="Times New Roman" w:cs="Times New Roman"/>
          <w:bCs/>
          <w:sz w:val="24"/>
          <w:szCs w:val="24"/>
          <w:lang w:val="sr-Cyrl-CS" w:eastAsia="en-GB"/>
        </w:rPr>
        <w:t>Буџет РС, Донаторска средства, Светска банка</w:t>
      </w:r>
      <w:r w:rsidR="00E65243" w:rsidRPr="00827818">
        <w:rPr>
          <w:rFonts w:ascii="Times New Roman" w:eastAsia="Times New Roman" w:hAnsi="Times New Roman" w:cs="Times New Roman"/>
          <w:bCs/>
          <w:sz w:val="24"/>
          <w:szCs w:val="24"/>
          <w:lang w:val="sr-Cyrl-CS" w:eastAsia="en-GB"/>
        </w:rPr>
        <w:t>ˮ</w:t>
      </w:r>
      <w:r w:rsidR="00F73DC2" w:rsidRPr="00827818">
        <w:rPr>
          <w:rFonts w:ascii="Times New Roman" w:eastAsia="Times New Roman" w:hAnsi="Times New Roman" w:cs="Times New Roman"/>
          <w:bCs/>
          <w:sz w:val="24"/>
          <w:szCs w:val="24"/>
          <w:lang w:val="sr-Cyrl-CS" w:eastAsia="en-GB"/>
        </w:rPr>
        <w:t xml:space="preserve"> </w:t>
      </w:r>
      <w:r w:rsidR="003725BB" w:rsidRPr="00827818">
        <w:rPr>
          <w:rFonts w:ascii="Times New Roman" w:eastAsia="Times New Roman" w:hAnsi="Times New Roman" w:cs="Times New Roman"/>
          <w:bCs/>
          <w:sz w:val="24"/>
          <w:szCs w:val="24"/>
          <w:lang w:val="sr-Cyrl-CS" w:eastAsia="en-GB"/>
        </w:rPr>
        <w:t>з</w:t>
      </w:r>
      <w:r w:rsidR="00DE10F6" w:rsidRPr="00827818">
        <w:rPr>
          <w:rFonts w:ascii="Times New Roman" w:eastAsia="Times New Roman" w:hAnsi="Times New Roman" w:cs="Times New Roman"/>
          <w:bCs/>
          <w:sz w:val="24"/>
          <w:szCs w:val="24"/>
          <w:lang w:val="sr-Cyrl-CS" w:eastAsia="en-GB"/>
        </w:rPr>
        <w:t>амењује се извором финансирања: „</w:t>
      </w:r>
      <w:r w:rsidR="00DA51EC" w:rsidRPr="00827818">
        <w:rPr>
          <w:rFonts w:ascii="Times New Roman" w:eastAsia="Times New Roman" w:hAnsi="Times New Roman" w:cs="Times New Roman"/>
          <w:bCs/>
          <w:sz w:val="24"/>
          <w:szCs w:val="24"/>
          <w:lang w:val="sr-Cyrl-CS" w:eastAsia="en-GB"/>
        </w:rPr>
        <w:t>Буџет РС, донаторска средства</w:t>
      </w:r>
      <w:r w:rsidR="00E65243" w:rsidRPr="00827818">
        <w:rPr>
          <w:rFonts w:ascii="Times New Roman" w:eastAsia="Times New Roman" w:hAnsi="Times New Roman" w:cs="Times New Roman"/>
          <w:bCs/>
          <w:sz w:val="24"/>
          <w:szCs w:val="24"/>
          <w:lang w:val="sr-Cyrl-CS" w:eastAsia="en-GB"/>
        </w:rPr>
        <w:t>ˮ</w:t>
      </w:r>
      <w:r w:rsidR="00DA51EC" w:rsidRPr="00827818">
        <w:rPr>
          <w:rFonts w:ascii="Times New Roman" w:eastAsia="Times New Roman" w:hAnsi="Times New Roman" w:cs="Times New Roman"/>
          <w:bCs/>
          <w:sz w:val="24"/>
          <w:szCs w:val="24"/>
          <w:lang w:val="sr-Cyrl-CS" w:eastAsia="en-GB"/>
        </w:rPr>
        <w:t>;</w:t>
      </w:r>
      <w:r w:rsidR="00856192" w:rsidRPr="00827818">
        <w:rPr>
          <w:rFonts w:ascii="Times New Roman" w:eastAsia="Times New Roman" w:hAnsi="Times New Roman" w:cs="Times New Roman"/>
          <w:bCs/>
          <w:sz w:val="24"/>
          <w:szCs w:val="24"/>
          <w:lang w:val="sr-Cyrl-CS" w:eastAsia="en-GB"/>
        </w:rPr>
        <w:t xml:space="preserve"> </w:t>
      </w:r>
      <w:r w:rsidR="003725BB" w:rsidRPr="00827818">
        <w:rPr>
          <w:rFonts w:ascii="Times New Roman" w:eastAsia="Times New Roman" w:hAnsi="Times New Roman" w:cs="Times New Roman"/>
          <w:bCs/>
          <w:sz w:val="24"/>
          <w:szCs w:val="24"/>
          <w:lang w:val="sr-Cyrl-CS" w:eastAsia="en-GB"/>
        </w:rPr>
        <w:t>У</w:t>
      </w:r>
      <w:r w:rsidR="00323483" w:rsidRPr="00827818">
        <w:rPr>
          <w:rFonts w:ascii="Times New Roman" w:eastAsia="Times New Roman" w:hAnsi="Times New Roman" w:cs="Times New Roman"/>
          <w:bCs/>
          <w:sz w:val="24"/>
          <w:szCs w:val="24"/>
          <w:lang w:val="sr-Cyrl-CS" w:eastAsia="en-GB"/>
        </w:rPr>
        <w:t xml:space="preserve">купна процењена финансијска средства </w:t>
      </w:r>
      <w:r w:rsidR="005D785E" w:rsidRPr="00827818">
        <w:rPr>
          <w:rFonts w:ascii="Times New Roman" w:eastAsia="Times New Roman" w:hAnsi="Times New Roman" w:cs="Times New Roman"/>
          <w:bCs/>
          <w:sz w:val="24"/>
          <w:szCs w:val="24"/>
          <w:lang w:val="sr-Cyrl-CS" w:eastAsia="en-GB"/>
        </w:rPr>
        <w:t xml:space="preserve">у 000 дин. </w:t>
      </w:r>
      <w:r w:rsidR="00323483" w:rsidRPr="00827818">
        <w:rPr>
          <w:rFonts w:ascii="Times New Roman" w:eastAsia="Times New Roman" w:hAnsi="Times New Roman" w:cs="Times New Roman"/>
          <w:bCs/>
          <w:sz w:val="24"/>
          <w:szCs w:val="24"/>
          <w:lang w:val="sr-Cyrl-CS" w:eastAsia="en-GB"/>
        </w:rPr>
        <w:t>за 2022</w:t>
      </w:r>
      <w:r w:rsidR="003725BB" w:rsidRPr="00827818">
        <w:rPr>
          <w:rFonts w:ascii="Times New Roman" w:eastAsia="Times New Roman" w:hAnsi="Times New Roman" w:cs="Times New Roman"/>
          <w:bCs/>
          <w:sz w:val="24"/>
          <w:szCs w:val="24"/>
          <w:lang w:val="sr-Cyrl-CS" w:eastAsia="en-GB"/>
        </w:rPr>
        <w:t>:</w:t>
      </w:r>
      <w:r w:rsidR="00E17EA3" w:rsidRPr="00827818">
        <w:rPr>
          <w:rFonts w:ascii="Times New Roman" w:eastAsia="Times New Roman" w:hAnsi="Times New Roman" w:cs="Times New Roman"/>
          <w:bCs/>
          <w:sz w:val="24"/>
          <w:szCs w:val="24"/>
          <w:lang w:val="sr-Cyrl-CS" w:eastAsia="en-GB"/>
        </w:rPr>
        <w:t xml:space="preserve"> </w:t>
      </w:r>
      <w:r w:rsidR="003725BB" w:rsidRPr="00827818">
        <w:rPr>
          <w:rFonts w:ascii="Times New Roman" w:eastAsia="Times New Roman" w:hAnsi="Times New Roman" w:cs="Times New Roman"/>
          <w:bCs/>
          <w:sz w:val="24"/>
          <w:szCs w:val="24"/>
          <w:lang w:val="sr-Cyrl-CS" w:eastAsia="en-GB"/>
        </w:rPr>
        <w:t>„</w:t>
      </w:r>
      <w:r w:rsidR="00323483" w:rsidRPr="00827818">
        <w:rPr>
          <w:rFonts w:ascii="Times New Roman" w:eastAsia="Times New Roman" w:hAnsi="Times New Roman" w:cs="Times New Roman"/>
          <w:bCs/>
          <w:sz w:val="24"/>
          <w:szCs w:val="24"/>
          <w:lang w:val="sr-Cyrl-CS" w:eastAsia="en-GB"/>
        </w:rPr>
        <w:t>167.7</w:t>
      </w:r>
      <w:r w:rsidR="00E65243" w:rsidRPr="00827818">
        <w:rPr>
          <w:rFonts w:ascii="Times New Roman" w:eastAsia="Times New Roman" w:hAnsi="Times New Roman" w:cs="Times New Roman"/>
          <w:bCs/>
          <w:sz w:val="24"/>
          <w:szCs w:val="24"/>
          <w:lang w:val="sr-Cyrl-CS" w:eastAsia="en-GB"/>
        </w:rPr>
        <w:t>ˮ</w:t>
      </w:r>
      <w:r w:rsidR="00951E7F" w:rsidRPr="00827818">
        <w:rPr>
          <w:rFonts w:ascii="Times New Roman" w:eastAsia="Times New Roman" w:hAnsi="Times New Roman" w:cs="Times New Roman"/>
          <w:bCs/>
          <w:sz w:val="24"/>
          <w:szCs w:val="24"/>
          <w:lang w:val="sr-Cyrl-CS" w:eastAsia="en-GB"/>
        </w:rPr>
        <w:t xml:space="preserve"> </w:t>
      </w:r>
      <w:r w:rsidR="007810A5" w:rsidRPr="00827818">
        <w:rPr>
          <w:rFonts w:ascii="Times New Roman" w:eastAsia="Times New Roman" w:hAnsi="Times New Roman" w:cs="Times New Roman"/>
          <w:bCs/>
          <w:sz w:val="24"/>
          <w:szCs w:val="24"/>
          <w:lang w:val="sr-Cyrl-CS" w:eastAsia="en-GB"/>
        </w:rPr>
        <w:t>замењују се укупним процењеним финансијским с</w:t>
      </w:r>
      <w:r w:rsidR="00E17EA3" w:rsidRPr="00827818">
        <w:rPr>
          <w:rFonts w:ascii="Times New Roman" w:eastAsia="Times New Roman" w:hAnsi="Times New Roman" w:cs="Times New Roman"/>
          <w:bCs/>
          <w:sz w:val="24"/>
          <w:szCs w:val="24"/>
          <w:lang w:val="sr-Cyrl-CS" w:eastAsia="en-GB"/>
        </w:rPr>
        <w:t>редствима у 000 дин. за 2022: „-</w:t>
      </w:r>
      <w:r w:rsidR="00E65243" w:rsidRPr="00827818">
        <w:rPr>
          <w:rFonts w:ascii="Times New Roman" w:eastAsia="Times New Roman" w:hAnsi="Times New Roman" w:cs="Times New Roman"/>
          <w:bCs/>
          <w:sz w:val="24"/>
          <w:szCs w:val="24"/>
          <w:lang w:val="sr-Cyrl-CS" w:eastAsia="en-GB"/>
        </w:rPr>
        <w:t>ˮ</w:t>
      </w:r>
      <w:r w:rsidR="00160FED" w:rsidRPr="00827818">
        <w:rPr>
          <w:rFonts w:ascii="Times New Roman" w:eastAsia="Times New Roman" w:hAnsi="Times New Roman" w:cs="Times New Roman"/>
          <w:bCs/>
          <w:sz w:val="24"/>
          <w:szCs w:val="24"/>
          <w:lang w:val="sr-Cyrl-CS" w:eastAsia="en-GB"/>
        </w:rPr>
        <w:t xml:space="preserve"> и</w:t>
      </w:r>
      <w:r w:rsidR="007810A5" w:rsidRPr="00827818">
        <w:rPr>
          <w:rFonts w:ascii="Times New Roman" w:eastAsia="Times New Roman" w:hAnsi="Times New Roman" w:cs="Times New Roman"/>
          <w:bCs/>
          <w:sz w:val="24"/>
          <w:szCs w:val="24"/>
          <w:lang w:val="sr-Cyrl-CS" w:eastAsia="en-GB"/>
        </w:rPr>
        <w:t xml:space="preserve"> У</w:t>
      </w:r>
      <w:r w:rsidR="00323483" w:rsidRPr="00827818">
        <w:rPr>
          <w:rFonts w:ascii="Times New Roman" w:eastAsia="Times New Roman" w:hAnsi="Times New Roman" w:cs="Times New Roman"/>
          <w:bCs/>
          <w:sz w:val="24"/>
          <w:szCs w:val="24"/>
          <w:lang w:val="sr-Cyrl-CS" w:eastAsia="en-GB"/>
        </w:rPr>
        <w:t xml:space="preserve">купна процењена финансијска средства </w:t>
      </w:r>
      <w:r w:rsidR="00D15DBB" w:rsidRPr="00827818">
        <w:rPr>
          <w:rFonts w:ascii="Times New Roman" w:eastAsia="Times New Roman" w:hAnsi="Times New Roman" w:cs="Times New Roman"/>
          <w:bCs/>
          <w:sz w:val="24"/>
          <w:szCs w:val="24"/>
          <w:lang w:val="sr-Cyrl-CS" w:eastAsia="en-GB"/>
        </w:rPr>
        <w:t xml:space="preserve">у 000 дин </w:t>
      </w:r>
      <w:r w:rsidR="00323483" w:rsidRPr="00827818">
        <w:rPr>
          <w:rFonts w:ascii="Times New Roman" w:eastAsia="Times New Roman" w:hAnsi="Times New Roman" w:cs="Times New Roman"/>
          <w:bCs/>
          <w:sz w:val="24"/>
          <w:szCs w:val="24"/>
          <w:lang w:val="sr-Cyrl-CS" w:eastAsia="en-GB"/>
        </w:rPr>
        <w:t>за 2024</w:t>
      </w:r>
      <w:r w:rsidR="003725BB" w:rsidRPr="00827818">
        <w:rPr>
          <w:rFonts w:ascii="Times New Roman" w:eastAsia="Times New Roman" w:hAnsi="Times New Roman" w:cs="Times New Roman"/>
          <w:bCs/>
          <w:sz w:val="24"/>
          <w:szCs w:val="24"/>
          <w:lang w:val="sr-Cyrl-CS" w:eastAsia="en-GB"/>
        </w:rPr>
        <w:t>:</w:t>
      </w:r>
      <w:r w:rsidR="007810A5" w:rsidRPr="00827818">
        <w:rPr>
          <w:rFonts w:ascii="Times New Roman" w:eastAsia="Times New Roman" w:hAnsi="Times New Roman" w:cs="Times New Roman"/>
          <w:bCs/>
          <w:sz w:val="24"/>
          <w:szCs w:val="24"/>
          <w:lang w:val="sr-Cyrl-CS" w:eastAsia="en-GB"/>
        </w:rPr>
        <w:t xml:space="preserve"> „</w:t>
      </w:r>
      <w:r w:rsidR="00E17EA3" w:rsidRPr="00827818">
        <w:rPr>
          <w:rFonts w:ascii="Times New Roman" w:eastAsia="Times New Roman" w:hAnsi="Times New Roman" w:cs="Times New Roman"/>
          <w:bCs/>
          <w:sz w:val="24"/>
          <w:szCs w:val="24"/>
          <w:lang w:val="sr-Cyrl-CS" w:eastAsia="en-GB"/>
        </w:rPr>
        <w:t>-</w:t>
      </w:r>
      <w:r w:rsidR="00E65243" w:rsidRPr="00827818">
        <w:rPr>
          <w:rFonts w:ascii="Times New Roman" w:eastAsia="Times New Roman" w:hAnsi="Times New Roman" w:cs="Times New Roman"/>
          <w:bCs/>
          <w:sz w:val="24"/>
          <w:szCs w:val="24"/>
          <w:lang w:val="sr-Cyrl-CS" w:eastAsia="en-GB"/>
        </w:rPr>
        <w:t>ˮ</w:t>
      </w:r>
      <w:r w:rsidR="007810A5" w:rsidRPr="00827818">
        <w:rPr>
          <w:rFonts w:ascii="Times New Roman" w:eastAsia="Times New Roman" w:hAnsi="Times New Roman" w:cs="Times New Roman"/>
          <w:bCs/>
          <w:sz w:val="24"/>
          <w:szCs w:val="24"/>
          <w:lang w:val="sr-Cyrl-CS" w:eastAsia="en-GB"/>
        </w:rPr>
        <w:t xml:space="preserve"> замењују се укупним процењеним финансијским средствима у 000 дин. за 2024: </w:t>
      </w:r>
      <w:r w:rsidR="00DE10F6" w:rsidRPr="00827818">
        <w:rPr>
          <w:rFonts w:ascii="Times New Roman" w:eastAsia="Times New Roman" w:hAnsi="Times New Roman" w:cs="Times New Roman"/>
          <w:bCs/>
          <w:sz w:val="24"/>
          <w:szCs w:val="24"/>
          <w:lang w:val="sr-Cyrl-CS" w:eastAsia="en-GB"/>
        </w:rPr>
        <w:t>„</w:t>
      </w:r>
      <w:r w:rsidR="00323483" w:rsidRPr="00827818">
        <w:rPr>
          <w:rFonts w:ascii="Times New Roman" w:eastAsia="Times New Roman" w:hAnsi="Times New Roman" w:cs="Times New Roman"/>
          <w:bCs/>
          <w:sz w:val="24"/>
          <w:szCs w:val="24"/>
          <w:lang w:val="sr-Cyrl-CS" w:eastAsia="en-GB"/>
        </w:rPr>
        <w:t>660</w:t>
      </w:r>
      <w:r w:rsidR="00CE4896" w:rsidRPr="00827818">
        <w:rPr>
          <w:rFonts w:ascii="Times New Roman" w:eastAsia="Times New Roman" w:hAnsi="Times New Roman" w:cs="Times New Roman"/>
          <w:bCs/>
          <w:sz w:val="24"/>
          <w:szCs w:val="24"/>
          <w:lang w:val="sr-Cyrl-CS" w:eastAsia="en-GB"/>
        </w:rPr>
        <w:t>*</w:t>
      </w:r>
      <w:r w:rsidR="00E65243" w:rsidRPr="00827818">
        <w:rPr>
          <w:rFonts w:ascii="Times New Roman" w:eastAsia="Times New Roman" w:hAnsi="Times New Roman" w:cs="Times New Roman"/>
          <w:bCs/>
          <w:sz w:val="24"/>
          <w:szCs w:val="24"/>
          <w:lang w:val="sr-Cyrl-CS" w:eastAsia="en-GB"/>
        </w:rPr>
        <w:t>ˮ</w:t>
      </w:r>
      <w:r w:rsidR="00E17EA3" w:rsidRPr="00827818">
        <w:rPr>
          <w:rFonts w:ascii="Times New Roman" w:eastAsia="Times New Roman" w:hAnsi="Times New Roman" w:cs="Times New Roman"/>
          <w:bCs/>
          <w:sz w:val="24"/>
          <w:szCs w:val="24"/>
          <w:lang w:val="sr-Cyrl-CS" w:eastAsia="en-GB"/>
        </w:rPr>
        <w:t>.</w:t>
      </w:r>
    </w:p>
    <w:p w:rsidR="004C28DE" w:rsidRPr="00827818" w:rsidRDefault="00BC7B9E" w:rsidP="000F0410">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20. </w:t>
      </w:r>
      <w:r w:rsidR="007D729A" w:rsidRPr="00827818">
        <w:rPr>
          <w:rFonts w:ascii="Times New Roman" w:hAnsi="Times New Roman" w:cs="Times New Roman"/>
          <w:sz w:val="24"/>
          <w:szCs w:val="24"/>
          <w:lang w:val="sr-Cyrl-CS"/>
        </w:rPr>
        <w:t xml:space="preserve">У </w:t>
      </w:r>
      <w:r w:rsidR="00F2691A" w:rsidRPr="00827818">
        <w:rPr>
          <w:rFonts w:ascii="Times New Roman" w:hAnsi="Times New Roman" w:cs="Times New Roman"/>
          <w:sz w:val="24"/>
          <w:szCs w:val="24"/>
          <w:lang w:val="sr-Cyrl-CS"/>
        </w:rPr>
        <w:t>М</w:t>
      </w:r>
      <w:r w:rsidR="007D729A" w:rsidRPr="00827818">
        <w:rPr>
          <w:rFonts w:ascii="Times New Roman" w:hAnsi="Times New Roman" w:cs="Times New Roman"/>
          <w:sz w:val="24"/>
          <w:szCs w:val="24"/>
          <w:lang w:val="sr-Cyrl-CS"/>
        </w:rPr>
        <w:t>eр</w:t>
      </w:r>
      <w:r w:rsidR="00F2691A" w:rsidRPr="00827818">
        <w:rPr>
          <w:rFonts w:ascii="Times New Roman" w:hAnsi="Times New Roman" w:cs="Times New Roman"/>
          <w:sz w:val="24"/>
          <w:szCs w:val="24"/>
          <w:lang w:val="sr-Cyrl-CS"/>
        </w:rPr>
        <w:t>и</w:t>
      </w:r>
      <w:r w:rsidR="007D729A" w:rsidRPr="00827818">
        <w:rPr>
          <w:rFonts w:ascii="Times New Roman" w:hAnsi="Times New Roman" w:cs="Times New Roman"/>
          <w:sz w:val="24"/>
          <w:szCs w:val="24"/>
          <w:lang w:val="sr-Cyrl-CS"/>
        </w:rPr>
        <w:t xml:space="preserve"> 1.4</w:t>
      </w:r>
      <w:r w:rsidR="00F2691A" w:rsidRPr="00827818">
        <w:rPr>
          <w:rFonts w:ascii="Times New Roman" w:hAnsi="Times New Roman" w:cs="Times New Roman"/>
          <w:sz w:val="24"/>
          <w:szCs w:val="24"/>
          <w:lang w:val="sr-Cyrl-CS"/>
        </w:rPr>
        <w:t>: Унапређење окружења за ефикасно управљање капиталним пројектима</w:t>
      </w:r>
      <w:r w:rsidR="00D15DBB" w:rsidRPr="00827818">
        <w:rPr>
          <w:rFonts w:ascii="Times New Roman" w:hAnsi="Times New Roman" w:cs="Times New Roman"/>
          <w:sz w:val="24"/>
          <w:szCs w:val="24"/>
          <w:lang w:val="sr-Cyrl-CS"/>
        </w:rPr>
        <w:t xml:space="preserve">, </w:t>
      </w:r>
      <w:r w:rsidR="001E3A01" w:rsidRPr="00827818">
        <w:rPr>
          <w:rFonts w:ascii="Times New Roman" w:hAnsi="Times New Roman" w:cs="Times New Roman"/>
          <w:sz w:val="24"/>
          <w:szCs w:val="24"/>
          <w:lang w:val="sr-Cyrl-CS"/>
        </w:rPr>
        <w:t xml:space="preserve">додаје се </w:t>
      </w:r>
      <w:r w:rsidR="007D729A" w:rsidRPr="00827818">
        <w:rPr>
          <w:rFonts w:ascii="Times New Roman" w:hAnsi="Times New Roman" w:cs="Times New Roman"/>
          <w:sz w:val="24"/>
          <w:szCs w:val="24"/>
          <w:lang w:val="sr-Cyrl-CS"/>
        </w:rPr>
        <w:t>активност</w:t>
      </w:r>
      <w:r w:rsidR="00F90573" w:rsidRPr="00827818">
        <w:rPr>
          <w:rFonts w:ascii="Times New Roman" w:hAnsi="Times New Roman" w:cs="Times New Roman"/>
          <w:sz w:val="24"/>
          <w:szCs w:val="24"/>
          <w:lang w:val="sr-Cyrl-CS"/>
        </w:rPr>
        <w:t xml:space="preserve"> 1.4.</w:t>
      </w:r>
      <w:r w:rsidR="001E3A01" w:rsidRPr="00827818">
        <w:rPr>
          <w:rFonts w:ascii="Times New Roman" w:hAnsi="Times New Roman" w:cs="Times New Roman"/>
          <w:sz w:val="24"/>
          <w:szCs w:val="24"/>
          <w:lang w:val="sr-Cyrl-CS"/>
        </w:rPr>
        <w:t>6</w:t>
      </w:r>
      <w:r w:rsidR="00183930" w:rsidRPr="00827818">
        <w:rPr>
          <w:rFonts w:ascii="Times New Roman" w:hAnsi="Times New Roman" w:cs="Times New Roman"/>
          <w:sz w:val="24"/>
          <w:szCs w:val="24"/>
          <w:lang w:val="sr-Cyrl-CS"/>
        </w:rPr>
        <w:t xml:space="preserve">, која </w:t>
      </w:r>
      <w:r w:rsidR="007D729A" w:rsidRPr="00827818">
        <w:rPr>
          <w:rFonts w:ascii="Times New Roman" w:hAnsi="Times New Roman" w:cs="Times New Roman"/>
          <w:sz w:val="24"/>
          <w:szCs w:val="24"/>
          <w:lang w:val="sr-Cyrl-CS"/>
        </w:rPr>
        <w:t>гласи:</w:t>
      </w:r>
      <w:r w:rsidR="00183930" w:rsidRPr="00827818">
        <w:rPr>
          <w:rFonts w:ascii="Times New Roman" w:hAnsi="Times New Roman" w:cs="Times New Roman"/>
          <w:sz w:val="24"/>
          <w:szCs w:val="24"/>
          <w:lang w:val="sr-Cyrl-CS"/>
        </w:rPr>
        <w:t xml:space="preserve"> </w:t>
      </w:r>
      <w:r w:rsidR="00DE10F6" w:rsidRPr="00827818">
        <w:rPr>
          <w:rFonts w:ascii="Times New Roman" w:hAnsi="Times New Roman" w:cs="Times New Roman"/>
          <w:sz w:val="24"/>
          <w:szCs w:val="24"/>
          <w:lang w:val="sr-Cyrl-CS"/>
        </w:rPr>
        <w:t>„</w:t>
      </w:r>
      <w:r w:rsidR="007D729A" w:rsidRPr="00827818">
        <w:rPr>
          <w:rFonts w:ascii="Times New Roman" w:hAnsi="Times New Roman" w:cs="Times New Roman"/>
          <w:sz w:val="24"/>
          <w:szCs w:val="24"/>
          <w:lang w:val="sr-Cyrl-CS"/>
        </w:rPr>
        <w:t>Надоградња информационог система за управљање капиталним пројектима</w:t>
      </w:r>
      <w:r w:rsidR="00E65243" w:rsidRPr="00827818">
        <w:rPr>
          <w:rFonts w:ascii="Times New Roman" w:hAnsi="Times New Roman" w:cs="Times New Roman"/>
          <w:sz w:val="24"/>
          <w:szCs w:val="24"/>
          <w:lang w:val="sr-Cyrl-CS"/>
        </w:rPr>
        <w:t>ˮ</w:t>
      </w:r>
      <w:r w:rsidR="00B91A11" w:rsidRPr="00827818">
        <w:rPr>
          <w:rFonts w:ascii="Times New Roman" w:hAnsi="Times New Roman" w:cs="Times New Roman"/>
          <w:sz w:val="24"/>
          <w:szCs w:val="24"/>
          <w:lang w:val="sr-Cyrl-CS"/>
        </w:rPr>
        <w:t>.</w:t>
      </w:r>
      <w:r w:rsidR="00F97954" w:rsidRPr="00827818">
        <w:rPr>
          <w:rFonts w:ascii="Times New Roman" w:hAnsi="Times New Roman" w:cs="Times New Roman"/>
          <w:sz w:val="24"/>
          <w:szCs w:val="24"/>
          <w:lang w:val="sr-Cyrl-CS"/>
        </w:rPr>
        <w:t xml:space="preserve"> </w:t>
      </w:r>
      <w:r w:rsidR="008416CF" w:rsidRPr="00827818">
        <w:rPr>
          <w:rFonts w:ascii="Times New Roman" w:hAnsi="Times New Roman" w:cs="Times New Roman"/>
          <w:sz w:val="24"/>
          <w:szCs w:val="24"/>
          <w:lang w:val="sr-Cyrl-CS"/>
        </w:rPr>
        <w:t xml:space="preserve">За наведену </w:t>
      </w:r>
      <w:r w:rsidR="00520135" w:rsidRPr="00827818">
        <w:rPr>
          <w:rFonts w:ascii="Times New Roman" w:hAnsi="Times New Roman" w:cs="Times New Roman"/>
          <w:sz w:val="24"/>
          <w:szCs w:val="24"/>
          <w:lang w:val="sr-Cyrl-CS"/>
        </w:rPr>
        <w:t>активност д</w:t>
      </w:r>
      <w:r w:rsidR="00B91A11" w:rsidRPr="00827818">
        <w:rPr>
          <w:rFonts w:ascii="Times New Roman" w:hAnsi="Times New Roman" w:cs="Times New Roman"/>
          <w:sz w:val="24"/>
          <w:szCs w:val="24"/>
          <w:lang w:val="sr-Cyrl-CS"/>
        </w:rPr>
        <w:t>одају</w:t>
      </w:r>
      <w:r w:rsidR="00183930" w:rsidRPr="00827818">
        <w:rPr>
          <w:rFonts w:ascii="Times New Roman" w:hAnsi="Times New Roman" w:cs="Times New Roman"/>
          <w:sz w:val="24"/>
          <w:szCs w:val="24"/>
          <w:lang w:val="sr-Cyrl-CS"/>
        </w:rPr>
        <w:t xml:space="preserve"> се</w:t>
      </w:r>
      <w:r w:rsidR="00B91A11" w:rsidRPr="00827818">
        <w:rPr>
          <w:rFonts w:ascii="Times New Roman" w:hAnsi="Times New Roman" w:cs="Times New Roman"/>
          <w:sz w:val="24"/>
          <w:szCs w:val="24"/>
          <w:lang w:val="sr-Cyrl-CS"/>
        </w:rPr>
        <w:t>:</w:t>
      </w:r>
      <w:r w:rsidR="00183930" w:rsidRPr="00827818">
        <w:rPr>
          <w:rFonts w:ascii="Times New Roman" w:hAnsi="Times New Roman" w:cs="Times New Roman"/>
          <w:sz w:val="24"/>
          <w:szCs w:val="24"/>
          <w:lang w:val="sr-Cyrl-CS"/>
        </w:rPr>
        <w:t xml:space="preserve"> рок за завршетак</w:t>
      </w:r>
      <w:r w:rsidR="00B91A11" w:rsidRPr="00827818">
        <w:rPr>
          <w:rFonts w:ascii="Times New Roman" w:hAnsi="Times New Roman" w:cs="Times New Roman"/>
          <w:sz w:val="24"/>
          <w:szCs w:val="24"/>
          <w:lang w:val="sr-Cyrl-CS"/>
        </w:rPr>
        <w:t xml:space="preserve"> активности</w:t>
      </w:r>
      <w:r w:rsidR="00183930" w:rsidRPr="00827818">
        <w:rPr>
          <w:rFonts w:ascii="Times New Roman" w:hAnsi="Times New Roman" w:cs="Times New Roman"/>
          <w:sz w:val="24"/>
          <w:szCs w:val="24"/>
          <w:lang w:val="sr-Cyrl-CS"/>
        </w:rPr>
        <w:t xml:space="preserve"> који</w:t>
      </w:r>
      <w:r w:rsidR="00632B79" w:rsidRPr="00827818">
        <w:rPr>
          <w:rFonts w:ascii="Times New Roman" w:hAnsi="Times New Roman" w:cs="Times New Roman"/>
          <w:sz w:val="24"/>
          <w:szCs w:val="24"/>
          <w:lang w:val="sr-Cyrl-CS"/>
        </w:rPr>
        <w:t xml:space="preserve"> гласи: „</w:t>
      </w:r>
      <w:r w:rsidR="002271DA" w:rsidRPr="00827818">
        <w:rPr>
          <w:rFonts w:ascii="Times New Roman" w:hAnsi="Times New Roman" w:cs="Times New Roman"/>
          <w:sz w:val="24"/>
          <w:szCs w:val="24"/>
          <w:lang w:val="sr-Cyrl-CS"/>
        </w:rPr>
        <w:t>Q</w:t>
      </w:r>
      <w:r w:rsidR="00632B79" w:rsidRPr="00827818">
        <w:rPr>
          <w:rFonts w:ascii="Times New Roman" w:hAnsi="Times New Roman" w:cs="Times New Roman"/>
          <w:sz w:val="24"/>
          <w:szCs w:val="24"/>
          <w:lang w:val="sr-Cyrl-CS"/>
        </w:rPr>
        <w:t>2 2024</w:t>
      </w:r>
      <w:r w:rsidR="00E65243" w:rsidRPr="00827818">
        <w:rPr>
          <w:rFonts w:ascii="Times New Roman" w:hAnsi="Times New Roman" w:cs="Times New Roman"/>
          <w:sz w:val="24"/>
          <w:szCs w:val="24"/>
          <w:lang w:val="sr-Cyrl-CS"/>
        </w:rPr>
        <w:t>ˮ</w:t>
      </w:r>
      <w:r w:rsidR="00183930" w:rsidRPr="00827818">
        <w:rPr>
          <w:rFonts w:ascii="Times New Roman" w:hAnsi="Times New Roman" w:cs="Times New Roman"/>
          <w:sz w:val="24"/>
          <w:szCs w:val="24"/>
          <w:lang w:val="sr-Cyrl-CS"/>
        </w:rPr>
        <w:t xml:space="preserve">; </w:t>
      </w:r>
      <w:r w:rsidR="00632B79" w:rsidRPr="00827818">
        <w:rPr>
          <w:rFonts w:ascii="Times New Roman" w:hAnsi="Times New Roman" w:cs="Times New Roman"/>
          <w:sz w:val="24"/>
          <w:szCs w:val="24"/>
          <w:lang w:val="sr-Cyrl-CS"/>
        </w:rPr>
        <w:t xml:space="preserve">институција </w:t>
      </w:r>
      <w:r w:rsidR="00A855F3" w:rsidRPr="00827818">
        <w:rPr>
          <w:rFonts w:ascii="Times New Roman" w:hAnsi="Times New Roman" w:cs="Times New Roman"/>
          <w:sz w:val="24"/>
          <w:szCs w:val="24"/>
          <w:lang w:val="sr-Cyrl-CS"/>
        </w:rPr>
        <w:t xml:space="preserve">одговорна </w:t>
      </w:r>
      <w:r w:rsidR="00B91A11" w:rsidRPr="00827818">
        <w:rPr>
          <w:rFonts w:ascii="Times New Roman" w:hAnsi="Times New Roman" w:cs="Times New Roman"/>
          <w:sz w:val="24"/>
          <w:szCs w:val="24"/>
          <w:lang w:val="sr-Cyrl-CS"/>
        </w:rPr>
        <w:t>за спровођење активности</w:t>
      </w:r>
      <w:r w:rsidR="00632B79" w:rsidRPr="00827818">
        <w:rPr>
          <w:rFonts w:ascii="Times New Roman" w:hAnsi="Times New Roman" w:cs="Times New Roman"/>
          <w:sz w:val="24"/>
          <w:szCs w:val="24"/>
          <w:lang w:val="sr-Cyrl-CS"/>
        </w:rPr>
        <w:t xml:space="preserve"> која</w:t>
      </w:r>
      <w:r w:rsidR="00183930" w:rsidRPr="00827818">
        <w:rPr>
          <w:rFonts w:ascii="Times New Roman" w:hAnsi="Times New Roman" w:cs="Times New Roman"/>
          <w:sz w:val="24"/>
          <w:szCs w:val="24"/>
          <w:lang w:val="sr-Cyrl-CS"/>
        </w:rPr>
        <w:t xml:space="preserve"> гласи: „</w:t>
      </w:r>
      <w:r w:rsidR="00632B79" w:rsidRPr="00827818">
        <w:rPr>
          <w:rFonts w:ascii="Times New Roman" w:hAnsi="Times New Roman" w:cs="Times New Roman"/>
          <w:sz w:val="24"/>
          <w:szCs w:val="24"/>
          <w:lang w:val="sr-Cyrl-CS"/>
        </w:rPr>
        <w:t>Министарство финансија</w:t>
      </w:r>
      <w:r w:rsidR="00E65243" w:rsidRPr="00827818">
        <w:rPr>
          <w:rFonts w:ascii="Times New Roman" w:hAnsi="Times New Roman" w:cs="Times New Roman"/>
          <w:sz w:val="24"/>
          <w:szCs w:val="24"/>
          <w:lang w:val="sr-Cyrl-CS"/>
        </w:rPr>
        <w:t>ˮ</w:t>
      </w:r>
      <w:r w:rsidR="00B91A11" w:rsidRPr="00827818">
        <w:rPr>
          <w:rFonts w:ascii="Times New Roman" w:hAnsi="Times New Roman" w:cs="Times New Roman"/>
          <w:sz w:val="24"/>
          <w:szCs w:val="24"/>
          <w:lang w:val="sr-Cyrl-CS"/>
        </w:rPr>
        <w:t xml:space="preserve">; </w:t>
      </w:r>
      <w:r w:rsidR="00632B79" w:rsidRPr="00827818">
        <w:rPr>
          <w:rFonts w:ascii="Times New Roman" w:hAnsi="Times New Roman" w:cs="Times New Roman"/>
          <w:sz w:val="24"/>
          <w:szCs w:val="24"/>
          <w:lang w:val="sr-Cyrl-CS"/>
        </w:rPr>
        <w:t>п</w:t>
      </w:r>
      <w:r w:rsidR="00B91A11" w:rsidRPr="00827818">
        <w:rPr>
          <w:rFonts w:ascii="Times New Roman" w:hAnsi="Times New Roman" w:cs="Times New Roman"/>
          <w:sz w:val="24"/>
          <w:szCs w:val="24"/>
          <w:lang w:val="sr-Cyrl-CS"/>
        </w:rPr>
        <w:t xml:space="preserve">артнери у спровођењу активности </w:t>
      </w:r>
      <w:r w:rsidR="00632B79" w:rsidRPr="00827818">
        <w:rPr>
          <w:rFonts w:ascii="Times New Roman" w:hAnsi="Times New Roman" w:cs="Times New Roman"/>
          <w:sz w:val="24"/>
          <w:szCs w:val="24"/>
          <w:lang w:val="sr-Cyrl-CS"/>
        </w:rPr>
        <w:t>који гласе</w:t>
      </w:r>
      <w:r w:rsidR="00183930" w:rsidRPr="00827818">
        <w:rPr>
          <w:rFonts w:ascii="Times New Roman" w:hAnsi="Times New Roman" w:cs="Times New Roman"/>
          <w:sz w:val="24"/>
          <w:szCs w:val="24"/>
          <w:lang w:val="sr-Cyrl-CS"/>
        </w:rPr>
        <w:t>:</w:t>
      </w:r>
      <w:r w:rsidR="00632B79" w:rsidRPr="00827818">
        <w:rPr>
          <w:rFonts w:ascii="Times New Roman" w:hAnsi="Times New Roman" w:cs="Times New Roman"/>
          <w:sz w:val="24"/>
          <w:szCs w:val="24"/>
          <w:lang w:val="sr-Cyrl-CS"/>
        </w:rPr>
        <w:t xml:space="preserve"> </w:t>
      </w:r>
      <w:r w:rsidR="00DE10F6" w:rsidRPr="00827818">
        <w:rPr>
          <w:rFonts w:ascii="Times New Roman" w:hAnsi="Times New Roman" w:cs="Times New Roman"/>
          <w:sz w:val="24"/>
          <w:szCs w:val="24"/>
          <w:lang w:val="sr-Cyrl-CS"/>
        </w:rPr>
        <w:t>„</w:t>
      </w:r>
      <w:r w:rsidR="00632B79" w:rsidRPr="00827818">
        <w:rPr>
          <w:rFonts w:ascii="Times New Roman" w:hAnsi="Times New Roman" w:cs="Times New Roman"/>
          <w:sz w:val="24"/>
          <w:szCs w:val="24"/>
          <w:lang w:val="sr-Cyrl-CS"/>
        </w:rPr>
        <w:t>Буџетски корисници</w:t>
      </w:r>
      <w:r w:rsidR="00E65243" w:rsidRPr="00827818">
        <w:rPr>
          <w:rFonts w:ascii="Times New Roman" w:hAnsi="Times New Roman" w:cs="Times New Roman"/>
          <w:sz w:val="24"/>
          <w:szCs w:val="24"/>
          <w:lang w:val="sr-Cyrl-CS"/>
        </w:rPr>
        <w:t>ˮ</w:t>
      </w:r>
      <w:r w:rsidR="00632B79" w:rsidRPr="00827818">
        <w:rPr>
          <w:rFonts w:ascii="Times New Roman" w:hAnsi="Times New Roman" w:cs="Times New Roman"/>
          <w:sz w:val="24"/>
          <w:szCs w:val="24"/>
          <w:lang w:val="sr-Cyrl-CS"/>
        </w:rPr>
        <w:t xml:space="preserve">; </w:t>
      </w:r>
      <w:r w:rsidR="00B91A11" w:rsidRPr="00827818">
        <w:rPr>
          <w:rFonts w:ascii="Times New Roman" w:hAnsi="Times New Roman" w:cs="Times New Roman"/>
          <w:sz w:val="24"/>
          <w:szCs w:val="24"/>
          <w:lang w:val="sr-Cyrl-CS"/>
        </w:rPr>
        <w:t>извор финансирања</w:t>
      </w:r>
      <w:r w:rsidR="00632B79" w:rsidRPr="00827818">
        <w:rPr>
          <w:rFonts w:ascii="Times New Roman" w:hAnsi="Times New Roman" w:cs="Times New Roman"/>
          <w:sz w:val="24"/>
          <w:szCs w:val="24"/>
          <w:lang w:val="sr-Cyrl-CS"/>
        </w:rPr>
        <w:t xml:space="preserve"> који гласи: „Буџет РС</w:t>
      </w:r>
      <w:r w:rsidR="00E65243" w:rsidRPr="00827818">
        <w:rPr>
          <w:rFonts w:ascii="Times New Roman" w:hAnsi="Times New Roman" w:cs="Times New Roman"/>
          <w:sz w:val="24"/>
          <w:szCs w:val="24"/>
          <w:lang w:val="sr-Cyrl-CS"/>
        </w:rPr>
        <w:t>ˮ</w:t>
      </w:r>
      <w:r w:rsidR="00183930" w:rsidRPr="00827818">
        <w:rPr>
          <w:rFonts w:ascii="Times New Roman" w:hAnsi="Times New Roman" w:cs="Times New Roman"/>
          <w:sz w:val="24"/>
          <w:szCs w:val="24"/>
          <w:lang w:val="sr-Cyrl-CS"/>
        </w:rPr>
        <w:t xml:space="preserve">; </w:t>
      </w:r>
      <w:r w:rsidR="00632B79" w:rsidRPr="00827818">
        <w:rPr>
          <w:rFonts w:ascii="Times New Roman" w:hAnsi="Times New Roman" w:cs="Times New Roman"/>
          <w:sz w:val="24"/>
          <w:szCs w:val="24"/>
          <w:lang w:val="sr-Cyrl-CS"/>
        </w:rPr>
        <w:t>веза са програмским буџетом (ПР-ПА/ПЈ)</w:t>
      </w:r>
      <w:r w:rsidR="00183930" w:rsidRPr="00827818">
        <w:rPr>
          <w:rFonts w:ascii="Times New Roman" w:hAnsi="Times New Roman" w:cs="Times New Roman"/>
          <w:sz w:val="24"/>
          <w:szCs w:val="24"/>
          <w:lang w:val="sr-Cyrl-CS"/>
        </w:rPr>
        <w:t xml:space="preserve"> која гласи: </w:t>
      </w:r>
      <w:r w:rsidR="00632B79" w:rsidRPr="00827818">
        <w:rPr>
          <w:rFonts w:ascii="Times New Roman" w:hAnsi="Times New Roman" w:cs="Times New Roman"/>
          <w:sz w:val="24"/>
          <w:szCs w:val="24"/>
          <w:lang w:val="sr-Cyrl-CS"/>
        </w:rPr>
        <w:t>„2301-5016</w:t>
      </w:r>
      <w:r w:rsidR="00E65243" w:rsidRPr="00827818">
        <w:rPr>
          <w:rFonts w:ascii="Times New Roman" w:hAnsi="Times New Roman" w:cs="Times New Roman"/>
          <w:sz w:val="24"/>
          <w:szCs w:val="24"/>
          <w:lang w:val="sr-Cyrl-CS"/>
        </w:rPr>
        <w:t>ˮ</w:t>
      </w:r>
      <w:r w:rsidR="00632B79" w:rsidRPr="00827818">
        <w:rPr>
          <w:rFonts w:ascii="Times New Roman" w:hAnsi="Times New Roman" w:cs="Times New Roman"/>
          <w:sz w:val="24"/>
          <w:szCs w:val="24"/>
          <w:lang w:val="sr-Cyrl-CS"/>
        </w:rPr>
        <w:t xml:space="preserve">; </w:t>
      </w:r>
      <w:r w:rsidR="00FE2579" w:rsidRPr="00827818">
        <w:rPr>
          <w:rFonts w:ascii="Times New Roman" w:hAnsi="Times New Roman" w:cs="Times New Roman"/>
          <w:sz w:val="24"/>
          <w:szCs w:val="24"/>
          <w:lang w:val="sr-Cyrl-CS"/>
        </w:rPr>
        <w:t>укупна процењена финансијска средс</w:t>
      </w:r>
      <w:r w:rsidR="00520135" w:rsidRPr="00827818">
        <w:rPr>
          <w:rFonts w:ascii="Times New Roman" w:hAnsi="Times New Roman" w:cs="Times New Roman"/>
          <w:sz w:val="24"/>
          <w:szCs w:val="24"/>
          <w:lang w:val="sr-Cyrl-CS"/>
        </w:rPr>
        <w:t>тва у 000 дин</w:t>
      </w:r>
      <w:r w:rsidR="005B669C" w:rsidRPr="00827818">
        <w:rPr>
          <w:rFonts w:ascii="Times New Roman" w:hAnsi="Times New Roman" w:cs="Times New Roman"/>
          <w:sz w:val="24"/>
          <w:szCs w:val="24"/>
          <w:lang w:val="sr-Cyrl-CS"/>
        </w:rPr>
        <w:t>, за 2023, која гласе: „123.000</w:t>
      </w:r>
      <w:r w:rsidR="00E65243" w:rsidRPr="00827818">
        <w:rPr>
          <w:rFonts w:ascii="Times New Roman" w:hAnsi="Times New Roman" w:cs="Times New Roman"/>
          <w:sz w:val="24"/>
          <w:szCs w:val="24"/>
          <w:lang w:val="sr-Cyrl-CS"/>
        </w:rPr>
        <w:t>ˮ</w:t>
      </w:r>
      <w:r w:rsidR="005B669C" w:rsidRPr="00827818">
        <w:rPr>
          <w:rFonts w:ascii="Times New Roman" w:hAnsi="Times New Roman" w:cs="Times New Roman"/>
          <w:sz w:val="24"/>
          <w:szCs w:val="24"/>
          <w:lang w:val="sr-Cyrl-CS"/>
        </w:rPr>
        <w:t>.</w:t>
      </w:r>
    </w:p>
    <w:p w:rsidR="00856192" w:rsidRPr="00827818" w:rsidRDefault="006A1151" w:rsidP="006A1151">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21. </w:t>
      </w:r>
      <w:r w:rsidR="00A138A6" w:rsidRPr="00827818">
        <w:rPr>
          <w:rFonts w:ascii="Times New Roman" w:hAnsi="Times New Roman" w:cs="Times New Roman"/>
          <w:sz w:val="24"/>
          <w:szCs w:val="24"/>
          <w:lang w:val="sr-Cyrl-CS"/>
        </w:rPr>
        <w:t>У</w:t>
      </w:r>
      <w:r w:rsidR="00FE6657" w:rsidRPr="00827818">
        <w:rPr>
          <w:rFonts w:ascii="Times New Roman" w:hAnsi="Times New Roman" w:cs="Times New Roman"/>
          <w:sz w:val="24"/>
          <w:szCs w:val="24"/>
          <w:lang w:val="sr-Cyrl-CS"/>
        </w:rPr>
        <w:t xml:space="preserve"> М</w:t>
      </w:r>
      <w:r w:rsidR="007D729A" w:rsidRPr="00827818">
        <w:rPr>
          <w:rFonts w:ascii="Times New Roman" w:hAnsi="Times New Roman" w:cs="Times New Roman"/>
          <w:sz w:val="24"/>
          <w:szCs w:val="24"/>
          <w:lang w:val="sr-Cyrl-CS"/>
        </w:rPr>
        <w:t>eр</w:t>
      </w:r>
      <w:r w:rsidR="006B50F3" w:rsidRPr="00827818">
        <w:rPr>
          <w:rFonts w:ascii="Times New Roman" w:hAnsi="Times New Roman" w:cs="Times New Roman"/>
          <w:sz w:val="24"/>
          <w:szCs w:val="24"/>
          <w:lang w:val="sr-Cyrl-CS"/>
        </w:rPr>
        <w:t>и</w:t>
      </w:r>
      <w:r w:rsidR="007D729A" w:rsidRPr="00827818">
        <w:rPr>
          <w:rFonts w:ascii="Times New Roman" w:hAnsi="Times New Roman" w:cs="Times New Roman"/>
          <w:sz w:val="24"/>
          <w:szCs w:val="24"/>
          <w:lang w:val="sr-Cyrl-CS"/>
        </w:rPr>
        <w:t xml:space="preserve"> 1.4</w:t>
      </w:r>
      <w:r w:rsidR="006B50F3" w:rsidRPr="00827818">
        <w:rPr>
          <w:rFonts w:ascii="Times New Roman" w:hAnsi="Times New Roman" w:cs="Times New Roman"/>
          <w:sz w:val="24"/>
          <w:szCs w:val="24"/>
          <w:lang w:val="sr-Cyrl-CS"/>
        </w:rPr>
        <w:t>: Унапређење окружења за ефикасно управљање капиталним пројектима</w:t>
      </w:r>
      <w:r w:rsidR="007D729A" w:rsidRPr="00827818">
        <w:rPr>
          <w:rFonts w:ascii="Times New Roman" w:hAnsi="Times New Roman" w:cs="Times New Roman"/>
          <w:sz w:val="24"/>
          <w:szCs w:val="24"/>
          <w:lang w:val="sr-Cyrl-CS"/>
        </w:rPr>
        <w:t xml:space="preserve">, </w:t>
      </w:r>
      <w:r w:rsidR="00467C64" w:rsidRPr="00827818">
        <w:rPr>
          <w:rFonts w:ascii="Times New Roman" w:hAnsi="Times New Roman" w:cs="Times New Roman"/>
          <w:sz w:val="24"/>
          <w:szCs w:val="24"/>
          <w:lang w:val="sr-Cyrl-CS"/>
        </w:rPr>
        <w:t xml:space="preserve">додаје се </w:t>
      </w:r>
      <w:r w:rsidR="007D729A" w:rsidRPr="00827818">
        <w:rPr>
          <w:rFonts w:ascii="Times New Roman" w:hAnsi="Times New Roman" w:cs="Times New Roman"/>
          <w:sz w:val="24"/>
          <w:szCs w:val="24"/>
          <w:lang w:val="sr-Cyrl-CS"/>
        </w:rPr>
        <w:t xml:space="preserve">активност </w:t>
      </w:r>
      <w:r w:rsidR="00F90573" w:rsidRPr="00827818">
        <w:rPr>
          <w:rFonts w:ascii="Times New Roman" w:hAnsi="Times New Roman" w:cs="Times New Roman"/>
          <w:sz w:val="24"/>
          <w:szCs w:val="24"/>
          <w:lang w:val="sr-Cyrl-CS"/>
        </w:rPr>
        <w:t>1.4.</w:t>
      </w:r>
      <w:r w:rsidR="00467C64" w:rsidRPr="00827818">
        <w:rPr>
          <w:rFonts w:ascii="Times New Roman" w:hAnsi="Times New Roman" w:cs="Times New Roman"/>
          <w:sz w:val="24"/>
          <w:szCs w:val="24"/>
          <w:lang w:val="sr-Cyrl-CS"/>
        </w:rPr>
        <w:t>7</w:t>
      </w:r>
      <w:r w:rsidR="006B50F3" w:rsidRPr="00827818">
        <w:rPr>
          <w:rFonts w:ascii="Times New Roman" w:hAnsi="Times New Roman" w:cs="Times New Roman"/>
          <w:sz w:val="24"/>
          <w:szCs w:val="24"/>
          <w:lang w:val="sr-Cyrl-CS"/>
        </w:rPr>
        <w:t>, која</w:t>
      </w:r>
      <w:r w:rsidR="007D729A" w:rsidRPr="00827818">
        <w:rPr>
          <w:rFonts w:ascii="Times New Roman" w:hAnsi="Times New Roman" w:cs="Times New Roman"/>
          <w:sz w:val="24"/>
          <w:szCs w:val="24"/>
          <w:lang w:val="sr-Cyrl-CS"/>
        </w:rPr>
        <w:t xml:space="preserve"> гласи:</w:t>
      </w:r>
      <w:r w:rsidR="001474E9" w:rsidRPr="00827818">
        <w:rPr>
          <w:rFonts w:ascii="Times New Roman" w:hAnsi="Times New Roman" w:cs="Times New Roman"/>
          <w:sz w:val="24"/>
          <w:szCs w:val="24"/>
          <w:lang w:val="sr-Cyrl-CS"/>
        </w:rPr>
        <w:t xml:space="preserve"> </w:t>
      </w:r>
      <w:r w:rsidR="004F3ED0" w:rsidRPr="00827818">
        <w:rPr>
          <w:rFonts w:ascii="Times New Roman" w:hAnsi="Times New Roman" w:cs="Times New Roman"/>
          <w:sz w:val="24"/>
          <w:szCs w:val="24"/>
          <w:lang w:val="sr-Cyrl-CS"/>
        </w:rPr>
        <w:t>„</w:t>
      </w:r>
      <w:r w:rsidR="00467C64" w:rsidRPr="00827818">
        <w:rPr>
          <w:rFonts w:ascii="Times New Roman" w:hAnsi="Times New Roman" w:cs="Times New Roman"/>
          <w:sz w:val="24"/>
          <w:szCs w:val="24"/>
          <w:lang w:val="sr-Cyrl-CS"/>
        </w:rPr>
        <w:t>Унапређење вештина запослених из области управљања пројектима, одрживог управљања пројектима, укључујући израду и ревизију кост-бенефит анализе</w:t>
      </w:r>
      <w:r w:rsidR="00E65243" w:rsidRPr="00827818">
        <w:rPr>
          <w:rFonts w:ascii="Times New Roman" w:hAnsi="Times New Roman" w:cs="Times New Roman"/>
          <w:sz w:val="24"/>
          <w:szCs w:val="24"/>
          <w:lang w:val="sr-Cyrl-CS"/>
        </w:rPr>
        <w:t>ˮ</w:t>
      </w:r>
      <w:r w:rsidR="006B50F3" w:rsidRPr="00827818">
        <w:rPr>
          <w:rFonts w:ascii="Times New Roman" w:hAnsi="Times New Roman" w:cs="Times New Roman"/>
          <w:sz w:val="24"/>
          <w:szCs w:val="24"/>
          <w:lang w:val="sr-Cyrl-CS"/>
        </w:rPr>
        <w:t xml:space="preserve">; </w:t>
      </w:r>
      <w:r w:rsidR="00A12A8D" w:rsidRPr="00827818">
        <w:rPr>
          <w:rFonts w:ascii="Times New Roman" w:hAnsi="Times New Roman" w:cs="Times New Roman"/>
          <w:sz w:val="24"/>
          <w:szCs w:val="24"/>
          <w:lang w:val="sr-Cyrl-CS"/>
        </w:rPr>
        <w:t>За наведену активност д</w:t>
      </w:r>
      <w:r w:rsidR="00313CBC" w:rsidRPr="00827818">
        <w:rPr>
          <w:rFonts w:ascii="Times New Roman" w:hAnsi="Times New Roman" w:cs="Times New Roman"/>
          <w:sz w:val="24"/>
          <w:szCs w:val="24"/>
          <w:lang w:val="sr-Cyrl-CS"/>
        </w:rPr>
        <w:t>одају</w:t>
      </w:r>
      <w:r w:rsidR="006B50F3" w:rsidRPr="00827818">
        <w:rPr>
          <w:rFonts w:ascii="Times New Roman" w:hAnsi="Times New Roman" w:cs="Times New Roman"/>
          <w:sz w:val="24"/>
          <w:szCs w:val="24"/>
          <w:lang w:val="sr-Cyrl-CS"/>
        </w:rPr>
        <w:t xml:space="preserve"> се</w:t>
      </w:r>
      <w:r w:rsidR="00313CBC" w:rsidRPr="00827818">
        <w:rPr>
          <w:rFonts w:ascii="Times New Roman" w:hAnsi="Times New Roman" w:cs="Times New Roman"/>
          <w:sz w:val="24"/>
          <w:szCs w:val="24"/>
          <w:lang w:val="sr-Cyrl-CS"/>
        </w:rPr>
        <w:t xml:space="preserve">: рок за завршетак активности </w:t>
      </w:r>
      <w:r w:rsidR="006B50F3" w:rsidRPr="00827818">
        <w:rPr>
          <w:rFonts w:ascii="Times New Roman" w:hAnsi="Times New Roman" w:cs="Times New Roman"/>
          <w:sz w:val="24"/>
          <w:szCs w:val="24"/>
          <w:lang w:val="sr-Cyrl-CS"/>
        </w:rPr>
        <w:t>који гласи: „</w:t>
      </w:r>
      <w:r w:rsidR="002271DA" w:rsidRPr="00827818">
        <w:rPr>
          <w:rFonts w:ascii="Times New Roman" w:hAnsi="Times New Roman" w:cs="Times New Roman"/>
          <w:sz w:val="24"/>
          <w:szCs w:val="24"/>
          <w:lang w:val="sr-Cyrl-CS"/>
        </w:rPr>
        <w:t>Q4</w:t>
      </w:r>
      <w:r w:rsidR="006B50F3" w:rsidRPr="00827818">
        <w:rPr>
          <w:rFonts w:ascii="Times New Roman" w:hAnsi="Times New Roman" w:cs="Times New Roman"/>
          <w:sz w:val="24"/>
          <w:szCs w:val="24"/>
          <w:lang w:val="sr-Cyrl-CS"/>
        </w:rPr>
        <w:t xml:space="preserve"> 2025</w:t>
      </w:r>
      <w:r w:rsidR="00E65243" w:rsidRPr="00827818">
        <w:rPr>
          <w:rFonts w:ascii="Times New Roman" w:hAnsi="Times New Roman" w:cs="Times New Roman"/>
          <w:sz w:val="24"/>
          <w:szCs w:val="24"/>
          <w:lang w:val="sr-Cyrl-CS"/>
        </w:rPr>
        <w:t>ˮ</w:t>
      </w:r>
      <w:r w:rsidR="006B50F3" w:rsidRPr="00827818">
        <w:rPr>
          <w:rFonts w:ascii="Times New Roman" w:hAnsi="Times New Roman" w:cs="Times New Roman"/>
          <w:sz w:val="24"/>
          <w:szCs w:val="24"/>
          <w:lang w:val="sr-Cyrl-CS"/>
        </w:rPr>
        <w:t xml:space="preserve">; институција </w:t>
      </w:r>
      <w:r w:rsidR="00252407" w:rsidRPr="00827818">
        <w:rPr>
          <w:rFonts w:ascii="Times New Roman" w:hAnsi="Times New Roman" w:cs="Times New Roman"/>
          <w:sz w:val="24"/>
          <w:szCs w:val="24"/>
          <w:lang w:val="sr-Cyrl-CS"/>
        </w:rPr>
        <w:t xml:space="preserve">одговорна </w:t>
      </w:r>
      <w:r w:rsidR="005171A3" w:rsidRPr="00827818">
        <w:rPr>
          <w:rFonts w:ascii="Times New Roman" w:hAnsi="Times New Roman" w:cs="Times New Roman"/>
          <w:sz w:val="24"/>
          <w:szCs w:val="24"/>
          <w:lang w:val="sr-Cyrl-CS"/>
        </w:rPr>
        <w:t xml:space="preserve">за спровођење активности </w:t>
      </w:r>
      <w:r w:rsidR="006B50F3" w:rsidRPr="00827818">
        <w:rPr>
          <w:rFonts w:ascii="Times New Roman" w:hAnsi="Times New Roman" w:cs="Times New Roman"/>
          <w:sz w:val="24"/>
          <w:szCs w:val="24"/>
          <w:lang w:val="sr-Cyrl-CS"/>
        </w:rPr>
        <w:t>која гласи: „Министарство финансија</w:t>
      </w:r>
      <w:r w:rsidR="00E65243" w:rsidRPr="00827818">
        <w:rPr>
          <w:rFonts w:ascii="Times New Roman" w:hAnsi="Times New Roman" w:cs="Times New Roman"/>
          <w:sz w:val="24"/>
          <w:szCs w:val="24"/>
          <w:lang w:val="sr-Cyrl-CS"/>
        </w:rPr>
        <w:t>ˮ</w:t>
      </w:r>
      <w:r w:rsidR="006B50F3" w:rsidRPr="00827818">
        <w:rPr>
          <w:rFonts w:ascii="Times New Roman" w:hAnsi="Times New Roman" w:cs="Times New Roman"/>
          <w:sz w:val="24"/>
          <w:szCs w:val="24"/>
          <w:lang w:val="sr-Cyrl-CS"/>
        </w:rPr>
        <w:t>;</w:t>
      </w:r>
      <w:r w:rsidR="00A12A8D" w:rsidRPr="00827818">
        <w:rPr>
          <w:rFonts w:ascii="Times New Roman" w:hAnsi="Times New Roman" w:cs="Times New Roman"/>
          <w:sz w:val="24"/>
          <w:szCs w:val="24"/>
          <w:lang w:val="sr-Cyrl-CS"/>
        </w:rPr>
        <w:t xml:space="preserve"> </w:t>
      </w:r>
      <w:r w:rsidR="006B50F3" w:rsidRPr="00827818">
        <w:rPr>
          <w:rFonts w:ascii="Times New Roman" w:hAnsi="Times New Roman" w:cs="Times New Roman"/>
          <w:sz w:val="24"/>
          <w:szCs w:val="24"/>
          <w:lang w:val="sr-Cyrl-CS"/>
        </w:rPr>
        <w:t>изв</w:t>
      </w:r>
      <w:r w:rsidR="00A12A8D" w:rsidRPr="00827818">
        <w:rPr>
          <w:rFonts w:ascii="Times New Roman" w:hAnsi="Times New Roman" w:cs="Times New Roman"/>
          <w:sz w:val="24"/>
          <w:szCs w:val="24"/>
          <w:lang w:val="sr-Cyrl-CS"/>
        </w:rPr>
        <w:t>ор финансирања</w:t>
      </w:r>
      <w:r w:rsidR="006B50F3" w:rsidRPr="00827818">
        <w:rPr>
          <w:rFonts w:ascii="Times New Roman" w:hAnsi="Times New Roman" w:cs="Times New Roman"/>
          <w:sz w:val="24"/>
          <w:szCs w:val="24"/>
          <w:lang w:val="sr-Cyrl-CS"/>
        </w:rPr>
        <w:t xml:space="preserve"> који гласи: </w:t>
      </w:r>
      <w:r w:rsidR="00662637" w:rsidRPr="00827818">
        <w:rPr>
          <w:rFonts w:ascii="Times New Roman" w:hAnsi="Times New Roman" w:cs="Times New Roman"/>
          <w:sz w:val="24"/>
          <w:szCs w:val="24"/>
          <w:lang w:val="sr-Cyrl-CS"/>
        </w:rPr>
        <w:t>„</w:t>
      </w:r>
      <w:r w:rsidR="00CC02D2" w:rsidRPr="00827818">
        <w:rPr>
          <w:rFonts w:ascii="Times New Roman" w:hAnsi="Times New Roman" w:cs="Times New Roman"/>
          <w:sz w:val="24"/>
          <w:szCs w:val="24"/>
          <w:lang w:val="sr-Cyrl-CS"/>
        </w:rPr>
        <w:t>Д</w:t>
      </w:r>
      <w:r w:rsidR="004F3ED0" w:rsidRPr="00827818">
        <w:rPr>
          <w:rFonts w:ascii="Times New Roman" w:hAnsi="Times New Roman" w:cs="Times New Roman"/>
          <w:sz w:val="24"/>
          <w:szCs w:val="24"/>
          <w:lang w:val="sr-Cyrl-CS"/>
        </w:rPr>
        <w:t>онаторска средства”</w:t>
      </w:r>
      <w:r w:rsidR="00CC02D2" w:rsidRPr="00827818">
        <w:rPr>
          <w:rFonts w:ascii="Times New Roman" w:hAnsi="Times New Roman" w:cs="Times New Roman"/>
          <w:sz w:val="24"/>
          <w:szCs w:val="24"/>
          <w:lang w:val="sr-Cyrl-CS"/>
        </w:rPr>
        <w:t xml:space="preserve">; </w:t>
      </w:r>
      <w:r w:rsidR="00CC02D2" w:rsidRPr="00827818">
        <w:rPr>
          <w:rFonts w:ascii="Times New Roman" w:eastAsia="Times New Roman" w:hAnsi="Times New Roman" w:cs="Times New Roman"/>
          <w:bCs/>
          <w:sz w:val="24"/>
          <w:szCs w:val="24"/>
          <w:lang w:val="sr-Cyrl-CS" w:eastAsia="en-GB"/>
        </w:rPr>
        <w:t>укупна процењена финансијска средства у 000 дин за 2024: „600</w:t>
      </w:r>
      <w:r w:rsidR="004F3ED0" w:rsidRPr="00827818">
        <w:rPr>
          <w:rFonts w:ascii="Times New Roman" w:eastAsia="Times New Roman" w:hAnsi="Times New Roman" w:cs="Times New Roman"/>
          <w:bCs/>
          <w:sz w:val="24"/>
          <w:szCs w:val="24"/>
          <w:lang w:val="sr-Cyrl-CS" w:eastAsia="en-GB"/>
        </w:rPr>
        <w:t>*” и</w:t>
      </w:r>
      <w:r w:rsidR="00CC02D2" w:rsidRPr="00827818">
        <w:rPr>
          <w:rFonts w:ascii="Times New Roman" w:eastAsia="Times New Roman" w:hAnsi="Times New Roman" w:cs="Times New Roman"/>
          <w:bCs/>
          <w:sz w:val="24"/>
          <w:szCs w:val="24"/>
          <w:lang w:val="sr-Cyrl-CS" w:eastAsia="en-GB"/>
        </w:rPr>
        <w:t xml:space="preserve"> укупна процењена финансијска ср</w:t>
      </w:r>
      <w:r w:rsidR="004F3ED0" w:rsidRPr="00827818">
        <w:rPr>
          <w:rFonts w:ascii="Times New Roman" w:eastAsia="Times New Roman" w:hAnsi="Times New Roman" w:cs="Times New Roman"/>
          <w:bCs/>
          <w:sz w:val="24"/>
          <w:szCs w:val="24"/>
          <w:lang w:val="sr-Cyrl-CS" w:eastAsia="en-GB"/>
        </w:rPr>
        <w:t>едства у 000 дин за 2025: „600*”</w:t>
      </w:r>
      <w:r w:rsidR="00CC02D2" w:rsidRPr="00827818">
        <w:rPr>
          <w:rFonts w:ascii="Times New Roman" w:hAnsi="Times New Roman" w:cs="Times New Roman"/>
          <w:sz w:val="24"/>
          <w:szCs w:val="24"/>
          <w:lang w:val="sr-Cyrl-CS"/>
        </w:rPr>
        <w:t>.</w:t>
      </w:r>
    </w:p>
    <w:p w:rsidR="00856192" w:rsidRPr="00827818" w:rsidRDefault="00856192" w:rsidP="00D57BAA">
      <w:pPr>
        <w:pStyle w:val="ListParagraph"/>
        <w:spacing w:after="0" w:line="240" w:lineRule="auto"/>
        <w:jc w:val="both"/>
        <w:rPr>
          <w:rFonts w:ascii="Times New Roman" w:hAnsi="Times New Roman" w:cs="Times New Roman"/>
          <w:sz w:val="24"/>
          <w:szCs w:val="24"/>
          <w:lang w:val="sr-Cyrl-CS"/>
        </w:rPr>
      </w:pPr>
    </w:p>
    <w:p w:rsidR="00D109E1" w:rsidRPr="00827818" w:rsidRDefault="005D3548" w:rsidP="000F0410">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bCs/>
          <w:sz w:val="24"/>
          <w:szCs w:val="24"/>
          <w:lang w:val="sr-Cyrl-CS"/>
        </w:rPr>
        <w:lastRenderedPageBreak/>
        <w:t xml:space="preserve">22. </w:t>
      </w:r>
      <w:r w:rsidR="00856192" w:rsidRPr="00827818">
        <w:rPr>
          <w:rFonts w:ascii="Times New Roman" w:hAnsi="Times New Roman" w:cs="Times New Roman"/>
          <w:bCs/>
          <w:sz w:val="24"/>
          <w:szCs w:val="24"/>
          <w:lang w:val="sr-Cyrl-CS"/>
        </w:rPr>
        <w:t xml:space="preserve">У </w:t>
      </w:r>
      <w:r w:rsidR="00856192" w:rsidRPr="00827818">
        <w:rPr>
          <w:rFonts w:ascii="Times New Roman" w:hAnsi="Times New Roman" w:cs="Times New Roman"/>
          <w:sz w:val="24"/>
          <w:szCs w:val="24"/>
          <w:lang w:val="sr-Cyrl-CS"/>
        </w:rPr>
        <w:t>Meр</w:t>
      </w:r>
      <w:r w:rsidR="00740DF8" w:rsidRPr="00827818">
        <w:rPr>
          <w:rFonts w:ascii="Times New Roman" w:hAnsi="Times New Roman" w:cs="Times New Roman"/>
          <w:sz w:val="24"/>
          <w:szCs w:val="24"/>
          <w:lang w:val="sr-Cyrl-CS"/>
        </w:rPr>
        <w:t>и</w:t>
      </w:r>
      <w:r w:rsidR="00856192" w:rsidRPr="00827818">
        <w:rPr>
          <w:rFonts w:ascii="Times New Roman" w:hAnsi="Times New Roman" w:cs="Times New Roman"/>
          <w:sz w:val="24"/>
          <w:szCs w:val="24"/>
          <w:lang w:val="sr-Cyrl-CS"/>
        </w:rPr>
        <w:t xml:space="preserve"> 1.4</w:t>
      </w:r>
      <w:r w:rsidR="00740DF8" w:rsidRPr="00827818">
        <w:rPr>
          <w:rFonts w:ascii="Times New Roman" w:hAnsi="Times New Roman" w:cs="Times New Roman"/>
          <w:sz w:val="24"/>
          <w:szCs w:val="24"/>
          <w:lang w:val="sr-Cyrl-CS"/>
        </w:rPr>
        <w:t>: Унапређење окружења за ефикасно управљање капиталним пројектима</w:t>
      </w:r>
      <w:r w:rsidR="00856192" w:rsidRPr="00827818">
        <w:rPr>
          <w:rFonts w:ascii="Times New Roman" w:hAnsi="Times New Roman" w:cs="Times New Roman"/>
          <w:sz w:val="24"/>
          <w:szCs w:val="24"/>
          <w:lang w:val="sr-Cyrl-CS"/>
        </w:rPr>
        <w:t>, додаје се активност 1.4.8</w:t>
      </w:r>
      <w:r w:rsidR="00740DF8" w:rsidRPr="00827818">
        <w:rPr>
          <w:rFonts w:ascii="Times New Roman" w:hAnsi="Times New Roman" w:cs="Times New Roman"/>
          <w:sz w:val="24"/>
          <w:szCs w:val="24"/>
          <w:lang w:val="sr-Cyrl-CS"/>
        </w:rPr>
        <w:t>, која</w:t>
      </w:r>
      <w:r w:rsidR="00856192" w:rsidRPr="00827818">
        <w:rPr>
          <w:rFonts w:ascii="Times New Roman" w:hAnsi="Times New Roman" w:cs="Times New Roman"/>
          <w:sz w:val="24"/>
          <w:szCs w:val="24"/>
          <w:lang w:val="sr-Cyrl-CS"/>
        </w:rPr>
        <w:t xml:space="preserve"> гласи:</w:t>
      </w:r>
      <w:r w:rsidR="001474E9" w:rsidRPr="00827818">
        <w:rPr>
          <w:rFonts w:ascii="Times New Roman" w:hAnsi="Times New Roman" w:cs="Times New Roman"/>
          <w:sz w:val="24"/>
          <w:szCs w:val="24"/>
          <w:lang w:val="sr-Cyrl-CS"/>
        </w:rPr>
        <w:t xml:space="preserve"> </w:t>
      </w:r>
      <w:r w:rsidR="00856192" w:rsidRPr="00827818">
        <w:rPr>
          <w:rFonts w:ascii="Times New Roman" w:hAnsi="Times New Roman" w:cs="Times New Roman"/>
          <w:sz w:val="24"/>
          <w:szCs w:val="24"/>
          <w:lang w:val="sr-Cyrl-CS"/>
        </w:rPr>
        <w:t>„</w:t>
      </w:r>
      <w:r w:rsidR="00656026" w:rsidRPr="00827818">
        <w:rPr>
          <w:rFonts w:ascii="Times New Roman" w:hAnsi="Times New Roman" w:cs="Times New Roman"/>
          <w:sz w:val="24"/>
          <w:szCs w:val="24"/>
          <w:lang w:val="sr-Cyrl-CS"/>
        </w:rPr>
        <w:t>З</w:t>
      </w:r>
      <w:r w:rsidR="00856192" w:rsidRPr="00827818">
        <w:rPr>
          <w:rFonts w:ascii="Times New Roman" w:hAnsi="Times New Roman" w:cs="Times New Roman"/>
          <w:sz w:val="24"/>
          <w:szCs w:val="24"/>
          <w:lang w:val="sr-Cyrl-CS"/>
        </w:rPr>
        <w:t>аокруживање правног оквира у</w:t>
      </w:r>
      <w:r w:rsidR="00656026" w:rsidRPr="00827818">
        <w:rPr>
          <w:rFonts w:ascii="Times New Roman" w:hAnsi="Times New Roman" w:cs="Times New Roman"/>
          <w:sz w:val="24"/>
          <w:szCs w:val="24"/>
          <w:lang w:val="sr-Cyrl-CS"/>
        </w:rPr>
        <w:t xml:space="preserve"> смислу заокруживања</w:t>
      </w:r>
      <w:r w:rsidR="00856192" w:rsidRPr="00827818">
        <w:rPr>
          <w:rFonts w:ascii="Times New Roman" w:hAnsi="Times New Roman" w:cs="Times New Roman"/>
          <w:sz w:val="24"/>
          <w:szCs w:val="24"/>
          <w:lang w:val="sr-Cyrl-CS"/>
        </w:rPr>
        <w:t xml:space="preserve"> аспект</w:t>
      </w:r>
      <w:r w:rsidR="00656026" w:rsidRPr="00827818">
        <w:rPr>
          <w:rFonts w:ascii="Times New Roman" w:hAnsi="Times New Roman" w:cs="Times New Roman"/>
          <w:sz w:val="24"/>
          <w:szCs w:val="24"/>
          <w:lang w:val="sr-Cyrl-CS"/>
        </w:rPr>
        <w:t>а</w:t>
      </w:r>
      <w:r w:rsidR="00856192" w:rsidRPr="00827818">
        <w:rPr>
          <w:rFonts w:ascii="Times New Roman" w:hAnsi="Times New Roman" w:cs="Times New Roman"/>
          <w:sz w:val="24"/>
          <w:szCs w:val="24"/>
          <w:lang w:val="sr-Cyrl-CS"/>
        </w:rPr>
        <w:t xml:space="preserve"> утицаја</w:t>
      </w:r>
      <w:r w:rsidR="00656026" w:rsidRPr="00827818">
        <w:rPr>
          <w:rFonts w:ascii="Times New Roman" w:hAnsi="Times New Roman" w:cs="Times New Roman"/>
          <w:sz w:val="24"/>
          <w:szCs w:val="24"/>
          <w:lang w:val="sr-Cyrl-CS"/>
        </w:rPr>
        <w:t xml:space="preserve"> капиталних пројеката</w:t>
      </w:r>
      <w:r w:rsidR="00856192" w:rsidRPr="00827818">
        <w:rPr>
          <w:rFonts w:ascii="Times New Roman" w:hAnsi="Times New Roman" w:cs="Times New Roman"/>
          <w:sz w:val="24"/>
          <w:szCs w:val="24"/>
          <w:lang w:val="sr-Cyrl-CS"/>
        </w:rPr>
        <w:t xml:space="preserve"> на животну средину и климатске промене</w:t>
      </w:r>
      <w:r w:rsidR="00E65243" w:rsidRPr="00827818">
        <w:rPr>
          <w:rFonts w:ascii="Times New Roman" w:hAnsi="Times New Roman" w:cs="Times New Roman"/>
          <w:sz w:val="24"/>
          <w:szCs w:val="24"/>
          <w:lang w:val="sr-Cyrl-CS"/>
        </w:rPr>
        <w:t>ˮ</w:t>
      </w:r>
      <w:r w:rsidR="00AB0583" w:rsidRPr="00827818">
        <w:rPr>
          <w:rFonts w:ascii="Times New Roman" w:hAnsi="Times New Roman" w:cs="Times New Roman"/>
          <w:sz w:val="24"/>
          <w:szCs w:val="24"/>
          <w:lang w:val="sr-Cyrl-CS"/>
        </w:rPr>
        <w:t>.</w:t>
      </w:r>
      <w:r w:rsidR="00740DF8" w:rsidRPr="00827818">
        <w:rPr>
          <w:rFonts w:ascii="Times New Roman" w:hAnsi="Times New Roman" w:cs="Times New Roman"/>
          <w:sz w:val="24"/>
          <w:szCs w:val="24"/>
          <w:lang w:val="sr-Cyrl-CS"/>
        </w:rPr>
        <w:t xml:space="preserve"> </w:t>
      </w:r>
      <w:r w:rsidR="00305097" w:rsidRPr="00827818">
        <w:rPr>
          <w:rFonts w:ascii="Times New Roman" w:hAnsi="Times New Roman" w:cs="Times New Roman"/>
          <w:sz w:val="24"/>
          <w:szCs w:val="24"/>
          <w:lang w:val="sr-Cyrl-CS"/>
        </w:rPr>
        <w:t>За наведену активност д</w:t>
      </w:r>
      <w:r w:rsidR="00AB0583" w:rsidRPr="00827818">
        <w:rPr>
          <w:rFonts w:ascii="Times New Roman" w:hAnsi="Times New Roman" w:cs="Times New Roman"/>
          <w:sz w:val="24"/>
          <w:szCs w:val="24"/>
          <w:lang w:val="sr-Cyrl-CS"/>
        </w:rPr>
        <w:t>одају</w:t>
      </w:r>
      <w:r w:rsidR="00740DF8" w:rsidRPr="00827818">
        <w:rPr>
          <w:rFonts w:ascii="Times New Roman" w:hAnsi="Times New Roman" w:cs="Times New Roman"/>
          <w:sz w:val="24"/>
          <w:szCs w:val="24"/>
          <w:lang w:val="sr-Cyrl-CS"/>
        </w:rPr>
        <w:t xml:space="preserve"> се</w:t>
      </w:r>
      <w:r w:rsidR="00AB0583" w:rsidRPr="00827818">
        <w:rPr>
          <w:rFonts w:ascii="Times New Roman" w:hAnsi="Times New Roman" w:cs="Times New Roman"/>
          <w:sz w:val="24"/>
          <w:szCs w:val="24"/>
          <w:lang w:val="sr-Cyrl-CS"/>
        </w:rPr>
        <w:t>: рок за завршетак активности</w:t>
      </w:r>
      <w:r w:rsidR="00740DF8" w:rsidRPr="00827818">
        <w:rPr>
          <w:rFonts w:ascii="Times New Roman" w:hAnsi="Times New Roman" w:cs="Times New Roman"/>
          <w:sz w:val="24"/>
          <w:szCs w:val="24"/>
          <w:lang w:val="sr-Cyrl-CS"/>
        </w:rPr>
        <w:t xml:space="preserve"> који гласи: </w:t>
      </w:r>
      <w:r w:rsidR="00E65243" w:rsidRPr="00827818">
        <w:rPr>
          <w:rFonts w:ascii="Times New Roman" w:hAnsi="Times New Roman" w:cs="Times New Roman"/>
          <w:sz w:val="24"/>
          <w:szCs w:val="24"/>
          <w:lang w:val="sr-Cyrl-CS"/>
        </w:rPr>
        <w:t>ˮ</w:t>
      </w:r>
      <w:r w:rsidR="002271DA" w:rsidRPr="00827818">
        <w:rPr>
          <w:rFonts w:ascii="Times New Roman" w:hAnsi="Times New Roman" w:cs="Times New Roman"/>
          <w:sz w:val="24"/>
          <w:szCs w:val="24"/>
          <w:lang w:val="sr-Cyrl-CS"/>
        </w:rPr>
        <w:t>Q</w:t>
      </w:r>
      <w:r w:rsidR="00740DF8" w:rsidRPr="00827818">
        <w:rPr>
          <w:rFonts w:ascii="Times New Roman" w:hAnsi="Times New Roman" w:cs="Times New Roman"/>
          <w:sz w:val="24"/>
          <w:szCs w:val="24"/>
          <w:lang w:val="sr-Cyrl-CS"/>
        </w:rPr>
        <w:t>1 2024</w:t>
      </w:r>
      <w:r w:rsidR="00E65243" w:rsidRPr="00827818">
        <w:rPr>
          <w:rFonts w:ascii="Times New Roman" w:hAnsi="Times New Roman" w:cs="Times New Roman"/>
          <w:sz w:val="24"/>
          <w:szCs w:val="24"/>
          <w:lang w:val="sr-Cyrl-CS"/>
        </w:rPr>
        <w:t>ˮ</w:t>
      </w:r>
      <w:r w:rsidR="00740DF8" w:rsidRPr="00827818">
        <w:rPr>
          <w:rFonts w:ascii="Times New Roman" w:hAnsi="Times New Roman" w:cs="Times New Roman"/>
          <w:sz w:val="24"/>
          <w:szCs w:val="24"/>
          <w:lang w:val="sr-Cyrl-CS"/>
        </w:rPr>
        <w:t xml:space="preserve">; институција </w:t>
      </w:r>
      <w:r w:rsidR="00CF272E" w:rsidRPr="00827818">
        <w:rPr>
          <w:rFonts w:ascii="Times New Roman" w:hAnsi="Times New Roman" w:cs="Times New Roman"/>
          <w:sz w:val="24"/>
          <w:szCs w:val="24"/>
          <w:lang w:val="sr-Cyrl-CS"/>
        </w:rPr>
        <w:t xml:space="preserve">одговорна </w:t>
      </w:r>
      <w:r w:rsidR="00AB0583" w:rsidRPr="00827818">
        <w:rPr>
          <w:rFonts w:ascii="Times New Roman" w:hAnsi="Times New Roman" w:cs="Times New Roman"/>
          <w:sz w:val="24"/>
          <w:szCs w:val="24"/>
          <w:lang w:val="sr-Cyrl-CS"/>
        </w:rPr>
        <w:t>за спровођење активности</w:t>
      </w:r>
      <w:r w:rsidR="00740DF8" w:rsidRPr="00827818">
        <w:rPr>
          <w:rFonts w:ascii="Times New Roman" w:hAnsi="Times New Roman" w:cs="Times New Roman"/>
          <w:sz w:val="24"/>
          <w:szCs w:val="24"/>
          <w:lang w:val="sr-Cyrl-CS"/>
        </w:rPr>
        <w:t xml:space="preserve"> која гласи: „Министарство финансија</w:t>
      </w:r>
      <w:r w:rsidR="00E65243" w:rsidRPr="00827818">
        <w:rPr>
          <w:rFonts w:ascii="Times New Roman" w:hAnsi="Times New Roman" w:cs="Times New Roman"/>
          <w:sz w:val="24"/>
          <w:szCs w:val="24"/>
          <w:lang w:val="sr-Cyrl-CS"/>
        </w:rPr>
        <w:t>ˮ</w:t>
      </w:r>
      <w:r w:rsidR="00740DF8" w:rsidRPr="00827818">
        <w:rPr>
          <w:rFonts w:ascii="Times New Roman" w:hAnsi="Times New Roman" w:cs="Times New Roman"/>
          <w:sz w:val="24"/>
          <w:szCs w:val="24"/>
          <w:lang w:val="sr-Cyrl-CS"/>
        </w:rPr>
        <w:t xml:space="preserve">; </w:t>
      </w:r>
      <w:r w:rsidR="00305097" w:rsidRPr="00827818">
        <w:rPr>
          <w:rFonts w:ascii="Times New Roman" w:hAnsi="Times New Roman" w:cs="Times New Roman"/>
          <w:sz w:val="24"/>
          <w:szCs w:val="24"/>
          <w:lang w:val="sr-Cyrl-CS"/>
        </w:rPr>
        <w:t>извор финансирања</w:t>
      </w:r>
      <w:r w:rsidR="00740DF8" w:rsidRPr="00827818">
        <w:rPr>
          <w:rFonts w:ascii="Times New Roman" w:hAnsi="Times New Roman" w:cs="Times New Roman"/>
          <w:sz w:val="24"/>
          <w:szCs w:val="24"/>
          <w:lang w:val="sr-Cyrl-CS"/>
        </w:rPr>
        <w:t xml:space="preserve"> који гласи: „Буџет РС</w:t>
      </w:r>
      <w:r w:rsidR="00656026" w:rsidRPr="00827818">
        <w:rPr>
          <w:rFonts w:ascii="Times New Roman" w:hAnsi="Times New Roman" w:cs="Times New Roman"/>
          <w:sz w:val="24"/>
          <w:szCs w:val="24"/>
          <w:lang w:val="sr-Cyrl-CS"/>
        </w:rPr>
        <w:t xml:space="preserve"> Донаторска средства</w:t>
      </w:r>
      <w:r w:rsidR="00E65243" w:rsidRPr="00827818">
        <w:rPr>
          <w:rFonts w:ascii="Times New Roman" w:hAnsi="Times New Roman" w:cs="Times New Roman"/>
          <w:sz w:val="24"/>
          <w:szCs w:val="24"/>
          <w:lang w:val="sr-Cyrl-CS"/>
        </w:rPr>
        <w:t>ˮ</w:t>
      </w:r>
      <w:r w:rsidR="002A5A65" w:rsidRPr="00827818">
        <w:rPr>
          <w:rFonts w:ascii="Times New Roman" w:hAnsi="Times New Roman" w:cs="Times New Roman"/>
          <w:sz w:val="24"/>
          <w:szCs w:val="24"/>
          <w:lang w:val="sr-Cyrl-CS"/>
        </w:rPr>
        <w:t xml:space="preserve">; </w:t>
      </w:r>
      <w:r w:rsidR="002A18AD" w:rsidRPr="00827818">
        <w:rPr>
          <w:rFonts w:ascii="Times New Roman" w:hAnsi="Times New Roman" w:cs="Times New Roman"/>
          <w:sz w:val="24"/>
          <w:szCs w:val="24"/>
          <w:lang w:val="sr-Cyrl-CS"/>
        </w:rPr>
        <w:t>веза са програмским буџе</w:t>
      </w:r>
      <w:r w:rsidR="002A5A65" w:rsidRPr="00827818">
        <w:rPr>
          <w:rFonts w:ascii="Times New Roman" w:hAnsi="Times New Roman" w:cs="Times New Roman"/>
          <w:sz w:val="24"/>
          <w:szCs w:val="24"/>
          <w:lang w:val="sr-Cyrl-CS"/>
        </w:rPr>
        <w:t>том (ПР-ПА/ПЈ)</w:t>
      </w:r>
      <w:r w:rsidR="002A18AD" w:rsidRPr="00827818">
        <w:rPr>
          <w:rFonts w:ascii="Times New Roman" w:hAnsi="Times New Roman" w:cs="Times New Roman"/>
          <w:sz w:val="24"/>
          <w:szCs w:val="24"/>
          <w:lang w:val="sr-Cyrl-CS"/>
        </w:rPr>
        <w:t xml:space="preserve"> која гласи: „2301 (редовна издвајања)</w:t>
      </w:r>
      <w:r w:rsidR="00E65243" w:rsidRPr="00827818">
        <w:rPr>
          <w:rFonts w:ascii="Times New Roman" w:hAnsi="Times New Roman" w:cs="Times New Roman"/>
          <w:sz w:val="24"/>
          <w:szCs w:val="24"/>
          <w:lang w:val="sr-Cyrl-CS"/>
        </w:rPr>
        <w:t>ˮ</w:t>
      </w:r>
      <w:r w:rsidR="004F3ED0" w:rsidRPr="00827818">
        <w:rPr>
          <w:rFonts w:ascii="Times New Roman" w:hAnsi="Times New Roman" w:cs="Times New Roman"/>
          <w:sz w:val="24"/>
          <w:szCs w:val="24"/>
          <w:lang w:val="sr-Cyrl-CS"/>
        </w:rPr>
        <w:t xml:space="preserve"> и</w:t>
      </w:r>
      <w:r w:rsidR="00656026" w:rsidRPr="00827818">
        <w:rPr>
          <w:rFonts w:ascii="Times New Roman" w:hAnsi="Times New Roman" w:cs="Times New Roman"/>
          <w:sz w:val="24"/>
          <w:szCs w:val="24"/>
          <w:lang w:val="sr-Cyrl-CS"/>
        </w:rPr>
        <w:t xml:space="preserve"> </w:t>
      </w:r>
      <w:r w:rsidR="00656026" w:rsidRPr="00827818">
        <w:rPr>
          <w:rFonts w:ascii="Times New Roman" w:eastAsia="Times New Roman" w:hAnsi="Times New Roman" w:cs="Times New Roman"/>
          <w:bCs/>
          <w:sz w:val="24"/>
          <w:szCs w:val="24"/>
          <w:lang w:val="sr-Cyrl-CS" w:eastAsia="en-GB"/>
        </w:rPr>
        <w:t>укупна процењена финансијска средства у 000 дин за 2024: „2500</w:t>
      </w:r>
      <w:r w:rsidR="004F3ED0" w:rsidRPr="00827818">
        <w:rPr>
          <w:rFonts w:ascii="Times New Roman" w:hAnsi="Times New Roman" w:cs="Times New Roman"/>
          <w:sz w:val="24"/>
          <w:szCs w:val="24"/>
          <w:lang w:val="sr-Cyrl-CS"/>
        </w:rPr>
        <w:t>”</w:t>
      </w:r>
      <w:r w:rsidR="00656026" w:rsidRPr="00827818">
        <w:rPr>
          <w:rFonts w:ascii="Times New Roman" w:hAnsi="Times New Roman" w:cs="Times New Roman"/>
          <w:sz w:val="24"/>
          <w:szCs w:val="24"/>
          <w:lang w:val="sr-Cyrl-CS"/>
        </w:rPr>
        <w:t>.</w:t>
      </w:r>
    </w:p>
    <w:p w:rsidR="00C464A8" w:rsidRPr="00827818" w:rsidRDefault="009F0482" w:rsidP="00DD4BF5">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23. </w:t>
      </w:r>
      <w:r w:rsidR="00E966ED" w:rsidRPr="00827818">
        <w:rPr>
          <w:rFonts w:ascii="Times New Roman" w:hAnsi="Times New Roman" w:cs="Times New Roman"/>
          <w:sz w:val="24"/>
          <w:szCs w:val="24"/>
          <w:lang w:val="sr-Cyrl-CS"/>
        </w:rPr>
        <w:t xml:space="preserve">У </w:t>
      </w:r>
      <w:r w:rsidR="004B7377" w:rsidRPr="00827818">
        <w:rPr>
          <w:rFonts w:ascii="Times New Roman" w:hAnsi="Times New Roman" w:cs="Times New Roman"/>
          <w:sz w:val="24"/>
          <w:szCs w:val="24"/>
          <w:lang w:val="sr-Cyrl-CS"/>
        </w:rPr>
        <w:t>М</w:t>
      </w:r>
      <w:r w:rsidR="00E966ED" w:rsidRPr="00827818">
        <w:rPr>
          <w:rFonts w:ascii="Times New Roman" w:hAnsi="Times New Roman" w:cs="Times New Roman"/>
          <w:sz w:val="24"/>
          <w:szCs w:val="24"/>
          <w:lang w:val="sr-Cyrl-CS"/>
        </w:rPr>
        <w:t>ер</w:t>
      </w:r>
      <w:r w:rsidR="004B7377" w:rsidRPr="00827818">
        <w:rPr>
          <w:rFonts w:ascii="Times New Roman" w:hAnsi="Times New Roman" w:cs="Times New Roman"/>
          <w:sz w:val="24"/>
          <w:szCs w:val="24"/>
          <w:lang w:val="sr-Cyrl-CS"/>
        </w:rPr>
        <w:t>и</w:t>
      </w:r>
      <w:r w:rsidR="00E966ED" w:rsidRPr="00827818">
        <w:rPr>
          <w:rFonts w:ascii="Times New Roman" w:hAnsi="Times New Roman" w:cs="Times New Roman"/>
          <w:sz w:val="24"/>
          <w:szCs w:val="24"/>
          <w:lang w:val="sr-Cyrl-CS"/>
        </w:rPr>
        <w:t xml:space="preserve"> 1.5</w:t>
      </w:r>
      <w:r w:rsidR="004B7377" w:rsidRPr="00827818">
        <w:rPr>
          <w:rFonts w:ascii="Times New Roman" w:hAnsi="Times New Roman" w:cs="Times New Roman"/>
          <w:sz w:val="24"/>
          <w:szCs w:val="24"/>
          <w:lang w:val="sr-Cyrl-CS"/>
        </w:rPr>
        <w:t>: Јачање капацитета Сектора за праћење фискалних ризика</w:t>
      </w:r>
      <w:r w:rsidR="0066002A" w:rsidRPr="00827818">
        <w:rPr>
          <w:rFonts w:ascii="Times New Roman" w:hAnsi="Times New Roman" w:cs="Times New Roman"/>
          <w:sz w:val="24"/>
          <w:szCs w:val="24"/>
          <w:lang w:val="sr-Cyrl-CS"/>
        </w:rPr>
        <w:t>,</w:t>
      </w:r>
      <w:r w:rsidR="00E966ED" w:rsidRPr="00827818">
        <w:rPr>
          <w:rFonts w:ascii="Times New Roman" w:hAnsi="Times New Roman" w:cs="Times New Roman"/>
          <w:sz w:val="24"/>
          <w:szCs w:val="24"/>
          <w:lang w:val="sr-Cyrl-CS"/>
        </w:rPr>
        <w:t xml:space="preserve"> додаје се нови показатељ </w:t>
      </w:r>
      <w:r w:rsidR="00D109E1" w:rsidRPr="00827818">
        <w:rPr>
          <w:rFonts w:ascii="Times New Roman" w:hAnsi="Times New Roman" w:cs="Times New Roman"/>
          <w:sz w:val="24"/>
          <w:szCs w:val="24"/>
          <w:lang w:val="sr-Cyrl-CS"/>
        </w:rPr>
        <w:t>на нивоу мере</w:t>
      </w:r>
      <w:r w:rsidR="00EC1D64" w:rsidRPr="00827818">
        <w:rPr>
          <w:rFonts w:ascii="Times New Roman" w:hAnsi="Times New Roman" w:cs="Times New Roman"/>
          <w:sz w:val="24"/>
          <w:szCs w:val="24"/>
          <w:lang w:val="sr-Cyrl-CS"/>
        </w:rPr>
        <w:t>, који</w:t>
      </w:r>
      <w:r w:rsidR="00D109E1" w:rsidRPr="00827818">
        <w:rPr>
          <w:rFonts w:ascii="Times New Roman" w:hAnsi="Times New Roman" w:cs="Times New Roman"/>
          <w:sz w:val="24"/>
          <w:szCs w:val="24"/>
          <w:lang w:val="sr-Cyrl-CS"/>
        </w:rPr>
        <w:t xml:space="preserve"> гласи</w:t>
      </w:r>
      <w:r w:rsidR="00DB51E2" w:rsidRPr="00827818">
        <w:rPr>
          <w:rFonts w:ascii="Times New Roman" w:hAnsi="Times New Roman" w:cs="Times New Roman"/>
          <w:sz w:val="24"/>
          <w:szCs w:val="24"/>
          <w:lang w:val="sr-Cyrl-CS"/>
        </w:rPr>
        <w:t>:</w:t>
      </w:r>
      <w:r w:rsidR="0066002A" w:rsidRPr="00827818">
        <w:rPr>
          <w:rFonts w:ascii="Times New Roman" w:hAnsi="Times New Roman" w:cs="Times New Roman"/>
          <w:sz w:val="24"/>
          <w:szCs w:val="24"/>
          <w:lang w:val="sr-Cyrl-CS"/>
        </w:rPr>
        <w:t xml:space="preserve"> </w:t>
      </w:r>
      <w:r w:rsidR="008539B2" w:rsidRPr="00827818">
        <w:rPr>
          <w:rFonts w:ascii="Times New Roman" w:hAnsi="Times New Roman" w:cs="Times New Roman"/>
          <w:sz w:val="24"/>
          <w:szCs w:val="24"/>
          <w:lang w:val="sr-Cyrl-CS"/>
        </w:rPr>
        <w:t>„</w:t>
      </w:r>
      <w:r w:rsidR="00221A61" w:rsidRPr="00827818">
        <w:rPr>
          <w:rFonts w:ascii="Times New Roman" w:hAnsi="Times New Roman" w:cs="Times New Roman"/>
          <w:sz w:val="24"/>
          <w:szCs w:val="24"/>
          <w:lang w:val="sr-Cyrl-CS"/>
        </w:rPr>
        <w:t>Фискална стратегија садржи одељак који се односи на квантификоване кључне фискалне ризике</w:t>
      </w:r>
      <w:r w:rsidR="00E65243" w:rsidRPr="00827818">
        <w:rPr>
          <w:rFonts w:ascii="Times New Roman" w:hAnsi="Times New Roman" w:cs="Times New Roman"/>
          <w:sz w:val="24"/>
          <w:szCs w:val="24"/>
          <w:lang w:val="sr-Cyrl-CS"/>
        </w:rPr>
        <w:t>ˮ</w:t>
      </w:r>
      <w:r w:rsidR="00D109E1" w:rsidRPr="00827818">
        <w:rPr>
          <w:rFonts w:ascii="Times New Roman" w:hAnsi="Times New Roman" w:cs="Times New Roman"/>
          <w:sz w:val="24"/>
          <w:szCs w:val="24"/>
          <w:lang w:val="sr-Cyrl-CS"/>
        </w:rPr>
        <w:t xml:space="preserve">; За наведени показатељ </w:t>
      </w:r>
      <w:r w:rsidR="008848A4" w:rsidRPr="00827818">
        <w:rPr>
          <w:rFonts w:ascii="Times New Roman" w:hAnsi="Times New Roman" w:cs="Times New Roman"/>
          <w:sz w:val="24"/>
          <w:szCs w:val="24"/>
          <w:lang w:val="sr-Cyrl-CS"/>
        </w:rPr>
        <w:t>додају</w:t>
      </w:r>
      <w:r w:rsidR="001A2D36" w:rsidRPr="00827818">
        <w:rPr>
          <w:rFonts w:ascii="Times New Roman" w:hAnsi="Times New Roman" w:cs="Times New Roman"/>
          <w:sz w:val="24"/>
          <w:szCs w:val="24"/>
          <w:lang w:val="sr-Cyrl-CS"/>
        </w:rPr>
        <w:t xml:space="preserve"> се</w:t>
      </w:r>
      <w:r w:rsidR="008848A4" w:rsidRPr="00827818">
        <w:rPr>
          <w:rFonts w:ascii="Times New Roman" w:hAnsi="Times New Roman" w:cs="Times New Roman"/>
          <w:sz w:val="24"/>
          <w:szCs w:val="24"/>
          <w:lang w:val="sr-Cyrl-CS"/>
        </w:rPr>
        <w:t>:</w:t>
      </w:r>
      <w:r w:rsidR="001A2D36" w:rsidRPr="00827818">
        <w:rPr>
          <w:rFonts w:ascii="Times New Roman" w:hAnsi="Times New Roman" w:cs="Times New Roman"/>
          <w:sz w:val="24"/>
          <w:szCs w:val="24"/>
          <w:lang w:val="sr-Cyrl-CS"/>
        </w:rPr>
        <w:t xml:space="preserve"> </w:t>
      </w:r>
      <w:r w:rsidR="00D109E1" w:rsidRPr="00827818">
        <w:rPr>
          <w:rFonts w:ascii="Times New Roman" w:hAnsi="Times New Roman" w:cs="Times New Roman"/>
          <w:sz w:val="24"/>
          <w:szCs w:val="24"/>
          <w:lang w:val="sr-Cyrl-CS"/>
        </w:rPr>
        <w:t>јединица мере</w:t>
      </w:r>
      <w:r w:rsidR="004F3ED0" w:rsidRPr="00827818">
        <w:rPr>
          <w:rFonts w:ascii="Times New Roman" w:hAnsi="Times New Roman" w:cs="Times New Roman"/>
          <w:sz w:val="24"/>
          <w:szCs w:val="24"/>
          <w:lang w:val="sr-Cyrl-CS"/>
        </w:rPr>
        <w:t>,</w:t>
      </w:r>
      <w:r w:rsidR="00343DBA" w:rsidRPr="00827818">
        <w:rPr>
          <w:rFonts w:ascii="Times New Roman" w:hAnsi="Times New Roman" w:cs="Times New Roman"/>
          <w:sz w:val="24"/>
          <w:szCs w:val="24"/>
          <w:lang w:val="sr-Cyrl-CS"/>
        </w:rPr>
        <w:t xml:space="preserve"> која</w:t>
      </w:r>
      <w:r w:rsidR="00221A61" w:rsidRPr="00827818">
        <w:rPr>
          <w:rFonts w:ascii="Times New Roman" w:hAnsi="Times New Roman" w:cs="Times New Roman"/>
          <w:sz w:val="24"/>
          <w:szCs w:val="24"/>
          <w:lang w:val="sr-Cyrl-CS"/>
        </w:rPr>
        <w:t xml:space="preserve"> гласи</w:t>
      </w:r>
      <w:r w:rsidR="004F3ED0" w:rsidRPr="00827818">
        <w:rPr>
          <w:rFonts w:ascii="Times New Roman" w:hAnsi="Times New Roman" w:cs="Times New Roman"/>
          <w:sz w:val="24"/>
          <w:szCs w:val="24"/>
          <w:lang w:val="sr-Cyrl-CS"/>
        </w:rPr>
        <w:t>:</w:t>
      </w:r>
      <w:r w:rsidR="00221A61" w:rsidRPr="00827818">
        <w:rPr>
          <w:rFonts w:ascii="Times New Roman" w:hAnsi="Times New Roman" w:cs="Times New Roman"/>
          <w:sz w:val="24"/>
          <w:szCs w:val="24"/>
          <w:lang w:val="sr-Cyrl-CS"/>
        </w:rPr>
        <w:t xml:space="preserve"> „Усвојено/није усвојено</w:t>
      </w:r>
      <w:r w:rsidR="00E65243" w:rsidRPr="00827818">
        <w:rPr>
          <w:rFonts w:ascii="Times New Roman" w:hAnsi="Times New Roman" w:cs="Times New Roman"/>
          <w:sz w:val="24"/>
          <w:szCs w:val="24"/>
          <w:lang w:val="sr-Cyrl-CS"/>
        </w:rPr>
        <w:t>ˮ</w:t>
      </w:r>
      <w:r w:rsidR="00D109E1" w:rsidRPr="00827818">
        <w:rPr>
          <w:rFonts w:ascii="Times New Roman" w:hAnsi="Times New Roman" w:cs="Times New Roman"/>
          <w:sz w:val="24"/>
          <w:szCs w:val="24"/>
          <w:lang w:val="sr-Cyrl-CS"/>
        </w:rPr>
        <w:t>;</w:t>
      </w:r>
      <w:r w:rsidR="001474E9" w:rsidRPr="00827818">
        <w:rPr>
          <w:rFonts w:ascii="Times New Roman" w:hAnsi="Times New Roman" w:cs="Times New Roman"/>
          <w:sz w:val="24"/>
          <w:szCs w:val="24"/>
          <w:lang w:val="sr-Cyrl-CS"/>
        </w:rPr>
        <w:t xml:space="preserve"> </w:t>
      </w:r>
      <w:r w:rsidR="001A2D36" w:rsidRPr="00827818">
        <w:rPr>
          <w:rFonts w:ascii="Times New Roman" w:hAnsi="Times New Roman" w:cs="Times New Roman"/>
          <w:sz w:val="24"/>
          <w:szCs w:val="24"/>
          <w:lang w:val="sr-Cyrl-CS"/>
        </w:rPr>
        <w:t>и</w:t>
      </w:r>
      <w:r w:rsidR="00D109E1" w:rsidRPr="00827818">
        <w:rPr>
          <w:rFonts w:ascii="Times New Roman" w:hAnsi="Times New Roman" w:cs="Times New Roman"/>
          <w:sz w:val="24"/>
          <w:szCs w:val="24"/>
          <w:lang w:val="sr-Cyrl-CS"/>
        </w:rPr>
        <w:t>звор провере</w:t>
      </w:r>
      <w:r w:rsidR="00343DBA" w:rsidRPr="00827818">
        <w:rPr>
          <w:rFonts w:ascii="Times New Roman" w:hAnsi="Times New Roman" w:cs="Times New Roman"/>
          <w:sz w:val="24"/>
          <w:szCs w:val="24"/>
          <w:lang w:val="sr-Cyrl-CS"/>
        </w:rPr>
        <w:t xml:space="preserve"> који </w:t>
      </w:r>
      <w:r w:rsidR="00D109E1" w:rsidRPr="00827818">
        <w:rPr>
          <w:rFonts w:ascii="Times New Roman" w:hAnsi="Times New Roman" w:cs="Times New Roman"/>
          <w:sz w:val="24"/>
          <w:szCs w:val="24"/>
          <w:lang w:val="sr-Cyrl-CS"/>
        </w:rPr>
        <w:t>гласи</w:t>
      </w:r>
      <w:r w:rsidR="00343DBA" w:rsidRPr="00827818">
        <w:rPr>
          <w:rFonts w:ascii="Times New Roman" w:hAnsi="Times New Roman" w:cs="Times New Roman"/>
          <w:sz w:val="24"/>
          <w:szCs w:val="24"/>
          <w:lang w:val="sr-Cyrl-CS"/>
        </w:rPr>
        <w:t>:</w:t>
      </w:r>
      <w:r w:rsidR="00D109E1" w:rsidRPr="00827818">
        <w:rPr>
          <w:rFonts w:ascii="Times New Roman" w:hAnsi="Times New Roman" w:cs="Times New Roman"/>
          <w:sz w:val="24"/>
          <w:szCs w:val="24"/>
          <w:lang w:val="sr-Cyrl-CS"/>
        </w:rPr>
        <w:t xml:space="preserve"> </w:t>
      </w:r>
      <w:r w:rsidR="008539B2" w:rsidRPr="00827818">
        <w:rPr>
          <w:rFonts w:ascii="Times New Roman" w:hAnsi="Times New Roman" w:cs="Times New Roman"/>
          <w:sz w:val="24"/>
          <w:szCs w:val="24"/>
          <w:lang w:val="sr-Cyrl-CS"/>
        </w:rPr>
        <w:t>„</w:t>
      </w:r>
      <w:r w:rsidR="00D109E1" w:rsidRPr="00827818">
        <w:rPr>
          <w:rFonts w:ascii="Times New Roman" w:hAnsi="Times New Roman" w:cs="Times New Roman"/>
          <w:sz w:val="24"/>
          <w:szCs w:val="24"/>
          <w:lang w:val="sr-Cyrl-CS"/>
        </w:rPr>
        <w:t>Службени гласник РС</w:t>
      </w:r>
      <w:r w:rsidR="008F2C15" w:rsidRPr="00827818">
        <w:rPr>
          <w:rFonts w:ascii="Times New Roman" w:hAnsi="Times New Roman" w:cs="Times New Roman"/>
          <w:sz w:val="24"/>
          <w:szCs w:val="24"/>
          <w:lang w:val="sr-Cyrl-CS"/>
        </w:rPr>
        <w:t>”</w:t>
      </w:r>
      <w:r w:rsidR="00D109E1" w:rsidRPr="00827818">
        <w:rPr>
          <w:rFonts w:ascii="Times New Roman" w:hAnsi="Times New Roman" w:cs="Times New Roman"/>
          <w:sz w:val="24"/>
          <w:szCs w:val="24"/>
          <w:lang w:val="sr-Cyrl-CS"/>
        </w:rPr>
        <w:t xml:space="preserve">; </w:t>
      </w:r>
      <w:r w:rsidR="00A07529" w:rsidRPr="00827818">
        <w:rPr>
          <w:rFonts w:ascii="Times New Roman" w:hAnsi="Times New Roman" w:cs="Times New Roman"/>
          <w:sz w:val="24"/>
          <w:szCs w:val="24"/>
          <w:lang w:val="sr-Cyrl-CS"/>
        </w:rPr>
        <w:t>п</w:t>
      </w:r>
      <w:r w:rsidR="001A2D36" w:rsidRPr="00827818">
        <w:rPr>
          <w:rFonts w:ascii="Times New Roman" w:hAnsi="Times New Roman" w:cs="Times New Roman"/>
          <w:sz w:val="24"/>
          <w:szCs w:val="24"/>
          <w:lang w:val="sr-Cyrl-CS"/>
        </w:rPr>
        <w:t>очетна вредност</w:t>
      </w:r>
      <w:r w:rsidR="00343DBA" w:rsidRPr="00827818">
        <w:rPr>
          <w:rFonts w:ascii="Times New Roman" w:hAnsi="Times New Roman" w:cs="Times New Roman"/>
          <w:sz w:val="24"/>
          <w:szCs w:val="24"/>
          <w:lang w:val="sr-Cyrl-CS"/>
        </w:rPr>
        <w:t xml:space="preserve"> која</w:t>
      </w:r>
      <w:r w:rsidR="001A2D36" w:rsidRPr="00827818">
        <w:rPr>
          <w:rFonts w:ascii="Times New Roman" w:hAnsi="Times New Roman" w:cs="Times New Roman"/>
          <w:sz w:val="24"/>
          <w:szCs w:val="24"/>
          <w:lang w:val="sr-Cyrl-CS"/>
        </w:rPr>
        <w:t xml:space="preserve"> </w:t>
      </w:r>
      <w:r w:rsidR="00D109E1" w:rsidRPr="00827818">
        <w:rPr>
          <w:rFonts w:ascii="Times New Roman" w:hAnsi="Times New Roman" w:cs="Times New Roman"/>
          <w:sz w:val="24"/>
          <w:szCs w:val="24"/>
          <w:lang w:val="sr-Cyrl-CS"/>
        </w:rPr>
        <w:t>гласи</w:t>
      </w:r>
      <w:r w:rsidR="00343DBA" w:rsidRPr="00827818">
        <w:rPr>
          <w:rFonts w:ascii="Times New Roman" w:hAnsi="Times New Roman" w:cs="Times New Roman"/>
          <w:sz w:val="24"/>
          <w:szCs w:val="24"/>
          <w:lang w:val="sr-Cyrl-CS"/>
        </w:rPr>
        <w:t>:</w:t>
      </w:r>
      <w:r w:rsidR="00D109E1" w:rsidRPr="00827818">
        <w:rPr>
          <w:rFonts w:ascii="Times New Roman" w:hAnsi="Times New Roman" w:cs="Times New Roman"/>
          <w:sz w:val="24"/>
          <w:szCs w:val="24"/>
          <w:lang w:val="sr-Cyrl-CS"/>
        </w:rPr>
        <w:t xml:space="preserve"> </w:t>
      </w:r>
      <w:r w:rsidR="008539B2" w:rsidRPr="00827818">
        <w:rPr>
          <w:rFonts w:ascii="Times New Roman" w:hAnsi="Times New Roman" w:cs="Times New Roman"/>
          <w:sz w:val="24"/>
          <w:szCs w:val="24"/>
          <w:lang w:val="sr-Cyrl-CS"/>
        </w:rPr>
        <w:t>„-</w:t>
      </w:r>
      <w:r w:rsidR="00E65243" w:rsidRPr="00827818">
        <w:rPr>
          <w:rFonts w:ascii="Times New Roman" w:hAnsi="Times New Roman" w:cs="Times New Roman"/>
          <w:sz w:val="24"/>
          <w:szCs w:val="24"/>
          <w:lang w:val="sr-Cyrl-CS"/>
        </w:rPr>
        <w:t>ˮ</w:t>
      </w:r>
      <w:r w:rsidR="00D109E1" w:rsidRPr="00827818">
        <w:rPr>
          <w:rFonts w:ascii="Times New Roman" w:hAnsi="Times New Roman" w:cs="Times New Roman"/>
          <w:sz w:val="24"/>
          <w:szCs w:val="24"/>
          <w:lang w:val="sr-Cyrl-CS"/>
        </w:rPr>
        <w:t>;</w:t>
      </w:r>
      <w:r w:rsidR="001A2D36" w:rsidRPr="00827818">
        <w:rPr>
          <w:rFonts w:ascii="Times New Roman" w:hAnsi="Times New Roman" w:cs="Times New Roman"/>
          <w:sz w:val="24"/>
          <w:szCs w:val="24"/>
          <w:lang w:val="sr-Cyrl-CS"/>
        </w:rPr>
        <w:t xml:space="preserve"> </w:t>
      </w:r>
      <w:r w:rsidR="008539B2" w:rsidRPr="00827818">
        <w:rPr>
          <w:rFonts w:ascii="Times New Roman" w:hAnsi="Times New Roman" w:cs="Times New Roman"/>
          <w:sz w:val="24"/>
          <w:szCs w:val="24"/>
          <w:lang w:val="sr-Cyrl-CS"/>
        </w:rPr>
        <w:t>б</w:t>
      </w:r>
      <w:r w:rsidR="001A2D36" w:rsidRPr="00827818">
        <w:rPr>
          <w:rFonts w:ascii="Times New Roman" w:hAnsi="Times New Roman" w:cs="Times New Roman"/>
          <w:sz w:val="24"/>
          <w:szCs w:val="24"/>
          <w:lang w:val="sr-Cyrl-CS"/>
        </w:rPr>
        <w:t>азна година</w:t>
      </w:r>
      <w:r w:rsidR="00343DBA" w:rsidRPr="00827818">
        <w:rPr>
          <w:rFonts w:ascii="Times New Roman" w:hAnsi="Times New Roman" w:cs="Times New Roman"/>
          <w:sz w:val="24"/>
          <w:szCs w:val="24"/>
          <w:lang w:val="sr-Cyrl-CS"/>
        </w:rPr>
        <w:t xml:space="preserve"> која </w:t>
      </w:r>
      <w:r w:rsidR="00D109E1" w:rsidRPr="00827818">
        <w:rPr>
          <w:rFonts w:ascii="Times New Roman" w:hAnsi="Times New Roman" w:cs="Times New Roman"/>
          <w:sz w:val="24"/>
          <w:szCs w:val="24"/>
          <w:lang w:val="sr-Cyrl-CS"/>
        </w:rPr>
        <w:t>гласи</w:t>
      </w:r>
      <w:r w:rsidR="00657C17">
        <w:rPr>
          <w:rFonts w:ascii="Times New Roman" w:hAnsi="Times New Roman" w:cs="Times New Roman"/>
          <w:sz w:val="24"/>
          <w:szCs w:val="24"/>
          <w:lang w:val="sr-Cyrl-CS"/>
        </w:rPr>
        <w:t>:</w:t>
      </w:r>
      <w:r w:rsidR="00D109E1" w:rsidRPr="00827818">
        <w:rPr>
          <w:rFonts w:ascii="Times New Roman" w:hAnsi="Times New Roman" w:cs="Times New Roman"/>
          <w:sz w:val="24"/>
          <w:szCs w:val="24"/>
          <w:lang w:val="sr-Cyrl-CS"/>
        </w:rPr>
        <w:t xml:space="preserve"> „202</w:t>
      </w:r>
      <w:r w:rsidR="00221A61" w:rsidRPr="00827818">
        <w:rPr>
          <w:rFonts w:ascii="Times New Roman" w:hAnsi="Times New Roman" w:cs="Times New Roman"/>
          <w:sz w:val="24"/>
          <w:szCs w:val="24"/>
          <w:lang w:val="sr-Cyrl-CS"/>
        </w:rPr>
        <w:t>2</w:t>
      </w:r>
      <w:r w:rsidR="00E65243" w:rsidRPr="00827818">
        <w:rPr>
          <w:rFonts w:ascii="Times New Roman" w:hAnsi="Times New Roman" w:cs="Times New Roman"/>
          <w:sz w:val="24"/>
          <w:szCs w:val="24"/>
          <w:lang w:val="sr-Cyrl-CS"/>
        </w:rPr>
        <w:t>ˮ</w:t>
      </w:r>
      <w:r w:rsidR="008F2C15" w:rsidRPr="00827818">
        <w:rPr>
          <w:rFonts w:ascii="Times New Roman" w:hAnsi="Times New Roman" w:cs="Times New Roman"/>
          <w:sz w:val="24"/>
          <w:szCs w:val="24"/>
          <w:lang w:val="sr-Cyrl-CS"/>
        </w:rPr>
        <w:t xml:space="preserve"> и</w:t>
      </w:r>
      <w:r w:rsidR="009461F9" w:rsidRPr="00827818">
        <w:rPr>
          <w:rFonts w:ascii="Times New Roman" w:hAnsi="Times New Roman" w:cs="Times New Roman"/>
          <w:sz w:val="24"/>
          <w:szCs w:val="24"/>
          <w:lang w:val="sr-Cyrl-CS"/>
        </w:rPr>
        <w:t xml:space="preserve"> </w:t>
      </w:r>
      <w:r w:rsidR="001A2D36" w:rsidRPr="00827818">
        <w:rPr>
          <w:rFonts w:ascii="Times New Roman" w:hAnsi="Times New Roman" w:cs="Times New Roman"/>
          <w:sz w:val="24"/>
          <w:szCs w:val="24"/>
          <w:lang w:val="sr-Cyrl-CS"/>
        </w:rPr>
        <w:t>циљана вредност</w:t>
      </w:r>
      <w:r w:rsidR="00343DBA" w:rsidRPr="00827818">
        <w:rPr>
          <w:rFonts w:ascii="Times New Roman" w:hAnsi="Times New Roman" w:cs="Times New Roman"/>
          <w:sz w:val="24"/>
          <w:szCs w:val="24"/>
          <w:lang w:val="sr-Cyrl-CS"/>
        </w:rPr>
        <w:t xml:space="preserve"> за 202</w:t>
      </w:r>
      <w:r w:rsidR="00221A61" w:rsidRPr="00827818">
        <w:rPr>
          <w:rFonts w:ascii="Times New Roman" w:hAnsi="Times New Roman" w:cs="Times New Roman"/>
          <w:sz w:val="24"/>
          <w:szCs w:val="24"/>
          <w:lang w:val="sr-Cyrl-CS"/>
        </w:rPr>
        <w:t>3</w:t>
      </w:r>
      <w:r w:rsidR="00343DBA" w:rsidRPr="00827818">
        <w:rPr>
          <w:rFonts w:ascii="Times New Roman" w:hAnsi="Times New Roman" w:cs="Times New Roman"/>
          <w:sz w:val="24"/>
          <w:szCs w:val="24"/>
          <w:lang w:val="sr-Cyrl-CS"/>
        </w:rPr>
        <w:t>, која</w:t>
      </w:r>
      <w:r w:rsidR="001A2D36" w:rsidRPr="00827818">
        <w:rPr>
          <w:rFonts w:ascii="Times New Roman" w:hAnsi="Times New Roman" w:cs="Times New Roman"/>
          <w:sz w:val="24"/>
          <w:szCs w:val="24"/>
          <w:lang w:val="sr-Cyrl-CS"/>
        </w:rPr>
        <w:t xml:space="preserve"> гласи: </w:t>
      </w:r>
      <w:r w:rsidR="00D109E1" w:rsidRPr="00827818">
        <w:rPr>
          <w:rFonts w:ascii="Times New Roman" w:hAnsi="Times New Roman" w:cs="Times New Roman"/>
          <w:sz w:val="24"/>
          <w:szCs w:val="24"/>
          <w:lang w:val="sr-Cyrl-CS"/>
        </w:rPr>
        <w:t>„</w:t>
      </w:r>
      <w:r w:rsidR="00221A61" w:rsidRPr="00827818">
        <w:rPr>
          <w:rFonts w:ascii="Times New Roman" w:hAnsi="Times New Roman" w:cs="Times New Roman"/>
          <w:sz w:val="24"/>
          <w:szCs w:val="24"/>
          <w:lang w:val="sr-Cyrl-CS"/>
        </w:rPr>
        <w:t>да</w:t>
      </w:r>
      <w:r w:rsidR="008F2C15" w:rsidRPr="00827818">
        <w:rPr>
          <w:rFonts w:ascii="Times New Roman" w:hAnsi="Times New Roman" w:cs="Times New Roman"/>
          <w:sz w:val="24"/>
          <w:szCs w:val="24"/>
          <w:lang w:val="sr-Cyrl-CS"/>
        </w:rPr>
        <w:t>”</w:t>
      </w:r>
      <w:r w:rsidR="00D109E1" w:rsidRPr="00827818">
        <w:rPr>
          <w:rFonts w:ascii="Times New Roman" w:hAnsi="Times New Roman" w:cs="Times New Roman"/>
          <w:sz w:val="24"/>
          <w:szCs w:val="24"/>
          <w:lang w:val="sr-Cyrl-CS"/>
        </w:rPr>
        <w:t>.</w:t>
      </w:r>
    </w:p>
    <w:p w:rsidR="004B7165" w:rsidRPr="00827818" w:rsidRDefault="00DD4BF5" w:rsidP="00DD4BF5">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24.</w:t>
      </w:r>
      <w:r w:rsidR="003F0440" w:rsidRPr="00827818">
        <w:rPr>
          <w:rFonts w:ascii="Times New Roman" w:hAnsi="Times New Roman" w:cs="Times New Roman"/>
          <w:sz w:val="24"/>
          <w:szCs w:val="24"/>
          <w:lang w:val="sr-Cyrl-CS"/>
        </w:rPr>
        <w:t xml:space="preserve"> </w:t>
      </w:r>
      <w:r w:rsidR="004F6014" w:rsidRPr="00827818">
        <w:rPr>
          <w:rFonts w:ascii="Times New Roman" w:hAnsi="Times New Roman" w:cs="Times New Roman"/>
          <w:sz w:val="24"/>
          <w:szCs w:val="24"/>
          <w:lang w:val="sr-Cyrl-CS"/>
        </w:rPr>
        <w:t>У</w:t>
      </w:r>
      <w:r w:rsidR="00B803A6" w:rsidRPr="00827818">
        <w:rPr>
          <w:rFonts w:ascii="Times New Roman" w:hAnsi="Times New Roman" w:cs="Times New Roman"/>
          <w:sz w:val="24"/>
          <w:szCs w:val="24"/>
          <w:lang w:val="sr-Cyrl-CS"/>
        </w:rPr>
        <w:t xml:space="preserve"> </w:t>
      </w:r>
      <w:r w:rsidR="008F2C15" w:rsidRPr="00827818">
        <w:rPr>
          <w:rFonts w:ascii="Times New Roman" w:hAnsi="Times New Roman" w:cs="Times New Roman"/>
          <w:sz w:val="24"/>
          <w:szCs w:val="24"/>
          <w:lang w:val="sr-Cyrl-CS"/>
        </w:rPr>
        <w:t>M</w:t>
      </w:r>
      <w:r w:rsidR="004B7165" w:rsidRPr="00827818">
        <w:rPr>
          <w:rFonts w:ascii="Times New Roman" w:hAnsi="Times New Roman" w:cs="Times New Roman"/>
          <w:sz w:val="24"/>
          <w:szCs w:val="24"/>
          <w:lang w:val="sr-Cyrl-CS"/>
        </w:rPr>
        <w:t>ер</w:t>
      </w:r>
      <w:r w:rsidR="00B803A6" w:rsidRPr="00827818">
        <w:rPr>
          <w:rFonts w:ascii="Times New Roman" w:hAnsi="Times New Roman" w:cs="Times New Roman"/>
          <w:sz w:val="24"/>
          <w:szCs w:val="24"/>
          <w:lang w:val="sr-Cyrl-CS"/>
        </w:rPr>
        <w:t>и</w:t>
      </w:r>
      <w:r w:rsidR="004B7165" w:rsidRPr="00827818">
        <w:rPr>
          <w:rFonts w:ascii="Times New Roman" w:hAnsi="Times New Roman" w:cs="Times New Roman"/>
          <w:sz w:val="24"/>
          <w:szCs w:val="24"/>
          <w:lang w:val="sr-Cyrl-CS"/>
        </w:rPr>
        <w:t xml:space="preserve"> 1.5</w:t>
      </w:r>
      <w:r w:rsidR="00B803A6" w:rsidRPr="00827818">
        <w:rPr>
          <w:rFonts w:ascii="Times New Roman" w:hAnsi="Times New Roman" w:cs="Times New Roman"/>
          <w:sz w:val="24"/>
          <w:szCs w:val="24"/>
          <w:lang w:val="sr-Cyrl-CS"/>
        </w:rPr>
        <w:t>: Јачање капацитета Сектора за праћење фискалних ризика</w:t>
      </w:r>
      <w:r w:rsidR="00CE5744" w:rsidRPr="00827818">
        <w:rPr>
          <w:rFonts w:ascii="Times New Roman" w:hAnsi="Times New Roman" w:cs="Times New Roman"/>
          <w:sz w:val="24"/>
          <w:szCs w:val="24"/>
          <w:lang w:val="sr-Cyrl-CS"/>
        </w:rPr>
        <w:t>,</w:t>
      </w:r>
      <w:r w:rsidR="00B803A6" w:rsidRPr="00827818">
        <w:rPr>
          <w:rFonts w:ascii="Times New Roman" w:hAnsi="Times New Roman" w:cs="Times New Roman"/>
          <w:sz w:val="24"/>
          <w:szCs w:val="24"/>
          <w:lang w:val="sr-Cyrl-CS"/>
        </w:rPr>
        <w:t xml:space="preserve"> </w:t>
      </w:r>
      <w:r w:rsidR="004B7165" w:rsidRPr="00827818">
        <w:rPr>
          <w:rFonts w:ascii="Times New Roman" w:hAnsi="Times New Roman" w:cs="Times New Roman"/>
          <w:sz w:val="24"/>
          <w:szCs w:val="24"/>
          <w:lang w:val="sr-Cyrl-CS"/>
        </w:rPr>
        <w:t>додаје се нови показатељ на нивоу мере</w:t>
      </w:r>
      <w:r w:rsidR="00B803A6" w:rsidRPr="00827818">
        <w:rPr>
          <w:rFonts w:ascii="Times New Roman" w:hAnsi="Times New Roman" w:cs="Times New Roman"/>
          <w:sz w:val="24"/>
          <w:szCs w:val="24"/>
          <w:lang w:val="sr-Cyrl-CS"/>
        </w:rPr>
        <w:t xml:space="preserve">, који </w:t>
      </w:r>
      <w:r w:rsidR="004B7165" w:rsidRPr="00827818">
        <w:rPr>
          <w:rFonts w:ascii="Times New Roman" w:hAnsi="Times New Roman" w:cs="Times New Roman"/>
          <w:sz w:val="24"/>
          <w:szCs w:val="24"/>
          <w:lang w:val="sr-Cyrl-CS"/>
        </w:rPr>
        <w:t>гласи</w:t>
      </w:r>
      <w:r w:rsidR="00B803A6" w:rsidRPr="00827818">
        <w:rPr>
          <w:rFonts w:ascii="Times New Roman" w:hAnsi="Times New Roman" w:cs="Times New Roman"/>
          <w:sz w:val="24"/>
          <w:szCs w:val="24"/>
          <w:lang w:val="sr-Cyrl-CS"/>
        </w:rPr>
        <w:t xml:space="preserve">: </w:t>
      </w:r>
      <w:r w:rsidR="008F2C15" w:rsidRPr="00827818">
        <w:rPr>
          <w:rFonts w:ascii="Times New Roman" w:hAnsi="Times New Roman" w:cs="Times New Roman"/>
          <w:sz w:val="24"/>
          <w:szCs w:val="24"/>
          <w:lang w:val="sr-Cyrl-CS"/>
        </w:rPr>
        <w:t>„</w:t>
      </w:r>
      <w:r w:rsidR="004B7165" w:rsidRPr="00827818">
        <w:rPr>
          <w:rFonts w:ascii="Times New Roman" w:hAnsi="Times New Roman" w:cs="Times New Roman"/>
          <w:sz w:val="24"/>
          <w:szCs w:val="24"/>
          <w:lang w:val="sr-Cyrl-CS"/>
        </w:rPr>
        <w:t>Обучени запослени у Сектору за праћење фискалних ризика (напредни ниво обука)</w:t>
      </w:r>
      <w:r w:rsidR="00E65243" w:rsidRPr="00827818">
        <w:rPr>
          <w:rFonts w:ascii="Times New Roman" w:hAnsi="Times New Roman" w:cs="Times New Roman"/>
          <w:sz w:val="24"/>
          <w:szCs w:val="24"/>
          <w:lang w:val="sr-Cyrl-CS"/>
        </w:rPr>
        <w:t>ˮ</w:t>
      </w:r>
      <w:r w:rsidR="00AE57CB" w:rsidRPr="00827818">
        <w:rPr>
          <w:rFonts w:ascii="Times New Roman" w:hAnsi="Times New Roman" w:cs="Times New Roman"/>
          <w:sz w:val="24"/>
          <w:szCs w:val="24"/>
          <w:lang w:val="sr-Cyrl-CS"/>
        </w:rPr>
        <w:t xml:space="preserve">. </w:t>
      </w:r>
      <w:r w:rsidR="004B7165" w:rsidRPr="00827818">
        <w:rPr>
          <w:rFonts w:ascii="Times New Roman" w:hAnsi="Times New Roman" w:cs="Times New Roman"/>
          <w:sz w:val="24"/>
          <w:szCs w:val="24"/>
          <w:lang w:val="sr-Cyrl-CS"/>
        </w:rPr>
        <w:t>За</w:t>
      </w:r>
      <w:r w:rsidR="00C464A8" w:rsidRPr="00827818">
        <w:rPr>
          <w:rFonts w:ascii="Times New Roman" w:hAnsi="Times New Roman" w:cs="Times New Roman"/>
          <w:sz w:val="24"/>
          <w:szCs w:val="24"/>
          <w:lang w:val="sr-Cyrl-CS"/>
        </w:rPr>
        <w:t xml:space="preserve"> </w:t>
      </w:r>
      <w:r w:rsidR="004B7165" w:rsidRPr="00827818">
        <w:rPr>
          <w:rFonts w:ascii="Times New Roman" w:hAnsi="Times New Roman" w:cs="Times New Roman"/>
          <w:sz w:val="24"/>
          <w:szCs w:val="24"/>
          <w:lang w:val="sr-Cyrl-CS"/>
        </w:rPr>
        <w:t xml:space="preserve">наведени показатељ </w:t>
      </w:r>
      <w:r w:rsidRPr="00827818">
        <w:rPr>
          <w:rFonts w:ascii="Times New Roman" w:hAnsi="Times New Roman" w:cs="Times New Roman"/>
          <w:sz w:val="24"/>
          <w:szCs w:val="24"/>
          <w:lang w:val="sr-Cyrl-CS"/>
        </w:rPr>
        <w:t>додају</w:t>
      </w:r>
      <w:r w:rsidR="00B803A6" w:rsidRPr="00827818">
        <w:rPr>
          <w:rFonts w:ascii="Times New Roman" w:hAnsi="Times New Roman" w:cs="Times New Roman"/>
          <w:sz w:val="24"/>
          <w:szCs w:val="24"/>
          <w:lang w:val="sr-Cyrl-CS"/>
        </w:rPr>
        <w:t xml:space="preserve"> се</w:t>
      </w:r>
      <w:r w:rsidRPr="00827818">
        <w:rPr>
          <w:rFonts w:ascii="Times New Roman" w:hAnsi="Times New Roman" w:cs="Times New Roman"/>
          <w:sz w:val="24"/>
          <w:szCs w:val="24"/>
          <w:lang w:val="sr-Cyrl-CS"/>
        </w:rPr>
        <w:t>:</w:t>
      </w:r>
      <w:r w:rsidR="00B803A6" w:rsidRPr="00827818">
        <w:rPr>
          <w:rFonts w:ascii="Times New Roman" w:hAnsi="Times New Roman" w:cs="Times New Roman"/>
          <w:sz w:val="24"/>
          <w:szCs w:val="24"/>
          <w:lang w:val="sr-Cyrl-CS"/>
        </w:rPr>
        <w:t xml:space="preserve"> </w:t>
      </w:r>
      <w:r w:rsidR="004B7165" w:rsidRPr="00827818">
        <w:rPr>
          <w:rFonts w:ascii="Times New Roman" w:hAnsi="Times New Roman" w:cs="Times New Roman"/>
          <w:sz w:val="24"/>
          <w:szCs w:val="24"/>
          <w:lang w:val="sr-Cyrl-CS"/>
        </w:rPr>
        <w:t>јединица мере</w:t>
      </w:r>
      <w:r w:rsidR="00B803A6" w:rsidRPr="00827818">
        <w:rPr>
          <w:rFonts w:ascii="Times New Roman" w:hAnsi="Times New Roman" w:cs="Times New Roman"/>
          <w:sz w:val="24"/>
          <w:szCs w:val="24"/>
          <w:lang w:val="sr-Cyrl-CS"/>
        </w:rPr>
        <w:t xml:space="preserve"> која</w:t>
      </w:r>
      <w:r w:rsidR="004B7165" w:rsidRPr="00827818">
        <w:rPr>
          <w:rFonts w:ascii="Times New Roman" w:hAnsi="Times New Roman" w:cs="Times New Roman"/>
          <w:sz w:val="24"/>
          <w:szCs w:val="24"/>
          <w:lang w:val="sr-Cyrl-CS"/>
        </w:rPr>
        <w:t xml:space="preserve"> гласи</w:t>
      </w:r>
      <w:r w:rsidR="00B803A6" w:rsidRPr="00827818">
        <w:rPr>
          <w:rFonts w:ascii="Times New Roman" w:hAnsi="Times New Roman" w:cs="Times New Roman"/>
          <w:sz w:val="24"/>
          <w:szCs w:val="24"/>
          <w:lang w:val="sr-Cyrl-CS"/>
        </w:rPr>
        <w:t>:</w:t>
      </w:r>
      <w:r w:rsidR="00C464A8" w:rsidRPr="00827818">
        <w:rPr>
          <w:rFonts w:ascii="Times New Roman" w:hAnsi="Times New Roman" w:cs="Times New Roman"/>
          <w:sz w:val="24"/>
          <w:szCs w:val="24"/>
          <w:lang w:val="sr-Cyrl-CS"/>
        </w:rPr>
        <w:t xml:space="preserve"> </w:t>
      </w:r>
      <w:r w:rsidR="008F2C15" w:rsidRPr="00827818">
        <w:rPr>
          <w:rFonts w:ascii="Times New Roman" w:hAnsi="Times New Roman" w:cs="Times New Roman"/>
          <w:sz w:val="24"/>
          <w:szCs w:val="24"/>
          <w:lang w:val="sr-Cyrl-CS"/>
        </w:rPr>
        <w:t>„</w:t>
      </w:r>
      <w:r w:rsidR="004B7165" w:rsidRPr="00827818">
        <w:rPr>
          <w:rFonts w:ascii="Times New Roman" w:hAnsi="Times New Roman" w:cs="Times New Roman"/>
          <w:sz w:val="24"/>
          <w:szCs w:val="24"/>
          <w:lang w:val="sr-Cyrl-CS"/>
        </w:rPr>
        <w:t>Проценат (%)</w:t>
      </w:r>
      <w:r w:rsidR="00E65243" w:rsidRPr="00827818">
        <w:rPr>
          <w:rFonts w:ascii="Times New Roman" w:hAnsi="Times New Roman" w:cs="Times New Roman"/>
          <w:sz w:val="24"/>
          <w:szCs w:val="24"/>
          <w:lang w:val="sr-Cyrl-CS"/>
        </w:rPr>
        <w:t>ˮ</w:t>
      </w:r>
      <w:r w:rsidR="004B7165" w:rsidRPr="00827818">
        <w:rPr>
          <w:rFonts w:ascii="Times New Roman" w:hAnsi="Times New Roman" w:cs="Times New Roman"/>
          <w:sz w:val="24"/>
          <w:szCs w:val="24"/>
          <w:lang w:val="sr-Cyrl-CS"/>
        </w:rPr>
        <w:t>;</w:t>
      </w:r>
      <w:r w:rsidR="00B803A6" w:rsidRPr="00827818">
        <w:rPr>
          <w:rFonts w:ascii="Times New Roman" w:hAnsi="Times New Roman" w:cs="Times New Roman"/>
          <w:sz w:val="24"/>
          <w:szCs w:val="24"/>
          <w:lang w:val="sr-Cyrl-CS"/>
        </w:rPr>
        <w:t xml:space="preserve"> </w:t>
      </w:r>
      <w:r w:rsidR="00AE57CB" w:rsidRPr="00827818">
        <w:rPr>
          <w:rFonts w:ascii="Times New Roman" w:hAnsi="Times New Roman" w:cs="Times New Roman"/>
          <w:sz w:val="24"/>
          <w:szCs w:val="24"/>
          <w:lang w:val="sr-Cyrl-CS"/>
        </w:rPr>
        <w:t>и</w:t>
      </w:r>
      <w:r w:rsidR="004B7165" w:rsidRPr="00827818">
        <w:rPr>
          <w:rFonts w:ascii="Times New Roman" w:hAnsi="Times New Roman" w:cs="Times New Roman"/>
          <w:sz w:val="24"/>
          <w:szCs w:val="24"/>
          <w:lang w:val="sr-Cyrl-CS"/>
        </w:rPr>
        <w:t>звор провере</w:t>
      </w:r>
      <w:r w:rsidR="00B803A6" w:rsidRPr="00827818">
        <w:rPr>
          <w:rFonts w:ascii="Times New Roman" w:hAnsi="Times New Roman" w:cs="Times New Roman"/>
          <w:sz w:val="24"/>
          <w:szCs w:val="24"/>
          <w:lang w:val="sr-Cyrl-CS"/>
        </w:rPr>
        <w:t xml:space="preserve"> који </w:t>
      </w:r>
      <w:r w:rsidR="004B7165" w:rsidRPr="00827818">
        <w:rPr>
          <w:rFonts w:ascii="Times New Roman" w:hAnsi="Times New Roman" w:cs="Times New Roman"/>
          <w:sz w:val="24"/>
          <w:szCs w:val="24"/>
          <w:lang w:val="sr-Cyrl-CS"/>
        </w:rPr>
        <w:t>гласи</w:t>
      </w:r>
      <w:r w:rsidR="00B803A6" w:rsidRPr="00827818">
        <w:rPr>
          <w:rFonts w:ascii="Times New Roman" w:hAnsi="Times New Roman" w:cs="Times New Roman"/>
          <w:sz w:val="24"/>
          <w:szCs w:val="24"/>
          <w:lang w:val="sr-Cyrl-CS"/>
        </w:rPr>
        <w:t>:</w:t>
      </w:r>
      <w:r w:rsidR="004B7165" w:rsidRPr="00827818">
        <w:rPr>
          <w:rFonts w:ascii="Times New Roman" w:hAnsi="Times New Roman" w:cs="Times New Roman"/>
          <w:sz w:val="24"/>
          <w:szCs w:val="24"/>
          <w:lang w:val="sr-Cyrl-CS"/>
        </w:rPr>
        <w:t xml:space="preserve"> „Извештај о спроведеним обукама</w:t>
      </w:r>
      <w:r w:rsidR="00E65243" w:rsidRPr="00827818">
        <w:rPr>
          <w:rFonts w:ascii="Times New Roman" w:hAnsi="Times New Roman" w:cs="Times New Roman"/>
          <w:sz w:val="24"/>
          <w:szCs w:val="24"/>
          <w:lang w:val="sr-Cyrl-CS"/>
        </w:rPr>
        <w:t>ˮ</w:t>
      </w:r>
      <w:r w:rsidR="001474E9" w:rsidRPr="00827818">
        <w:rPr>
          <w:rFonts w:ascii="Times New Roman" w:hAnsi="Times New Roman" w:cs="Times New Roman"/>
          <w:sz w:val="24"/>
          <w:szCs w:val="24"/>
          <w:lang w:val="sr-Cyrl-CS"/>
        </w:rPr>
        <w:t xml:space="preserve">; </w:t>
      </w:r>
      <w:r w:rsidR="00DD045B" w:rsidRPr="00827818">
        <w:rPr>
          <w:rFonts w:ascii="Times New Roman" w:hAnsi="Times New Roman" w:cs="Times New Roman"/>
          <w:sz w:val="24"/>
          <w:szCs w:val="24"/>
          <w:lang w:val="sr-Cyrl-CS"/>
        </w:rPr>
        <w:t>почетна вредност</w:t>
      </w:r>
      <w:r w:rsidR="00B803A6" w:rsidRPr="00827818">
        <w:rPr>
          <w:rFonts w:ascii="Times New Roman" w:hAnsi="Times New Roman" w:cs="Times New Roman"/>
          <w:sz w:val="24"/>
          <w:szCs w:val="24"/>
          <w:lang w:val="sr-Cyrl-CS"/>
        </w:rPr>
        <w:t xml:space="preserve"> која гласи </w:t>
      </w:r>
      <w:r w:rsidR="004B7165" w:rsidRPr="00827818">
        <w:rPr>
          <w:rFonts w:ascii="Times New Roman" w:hAnsi="Times New Roman" w:cs="Times New Roman"/>
          <w:sz w:val="24"/>
          <w:szCs w:val="24"/>
          <w:lang w:val="sr-Cyrl-CS"/>
        </w:rPr>
        <w:t>„</w:t>
      </w:r>
      <w:r w:rsidR="00221A61" w:rsidRPr="00827818">
        <w:rPr>
          <w:rFonts w:ascii="Times New Roman" w:hAnsi="Times New Roman" w:cs="Times New Roman"/>
          <w:sz w:val="24"/>
          <w:szCs w:val="24"/>
          <w:lang w:val="sr-Cyrl-CS"/>
        </w:rPr>
        <w:t>10</w:t>
      </w:r>
      <w:r w:rsidR="004B7165" w:rsidRPr="00827818">
        <w:rPr>
          <w:rFonts w:ascii="Times New Roman" w:hAnsi="Times New Roman" w:cs="Times New Roman"/>
          <w:sz w:val="24"/>
          <w:szCs w:val="24"/>
          <w:lang w:val="sr-Cyrl-CS"/>
        </w:rPr>
        <w:t>%</w:t>
      </w:r>
      <w:r w:rsidR="00E65243" w:rsidRPr="00827818">
        <w:rPr>
          <w:rFonts w:ascii="Times New Roman" w:hAnsi="Times New Roman" w:cs="Times New Roman"/>
          <w:sz w:val="24"/>
          <w:szCs w:val="24"/>
          <w:lang w:val="sr-Cyrl-CS"/>
        </w:rPr>
        <w:t>ˮ</w:t>
      </w:r>
      <w:r w:rsidR="001474E9" w:rsidRPr="00827818">
        <w:rPr>
          <w:rFonts w:ascii="Times New Roman" w:hAnsi="Times New Roman" w:cs="Times New Roman"/>
          <w:sz w:val="24"/>
          <w:szCs w:val="24"/>
          <w:lang w:val="sr-Cyrl-CS"/>
        </w:rPr>
        <w:t xml:space="preserve">; </w:t>
      </w:r>
      <w:r w:rsidR="00DD045B" w:rsidRPr="00827818">
        <w:rPr>
          <w:rFonts w:ascii="Times New Roman" w:hAnsi="Times New Roman" w:cs="Times New Roman"/>
          <w:sz w:val="24"/>
          <w:szCs w:val="24"/>
          <w:lang w:val="sr-Cyrl-CS"/>
        </w:rPr>
        <w:t>базна година</w:t>
      </w:r>
      <w:r w:rsidR="00B803A6" w:rsidRPr="00827818">
        <w:rPr>
          <w:rFonts w:ascii="Times New Roman" w:hAnsi="Times New Roman" w:cs="Times New Roman"/>
          <w:sz w:val="24"/>
          <w:szCs w:val="24"/>
          <w:lang w:val="sr-Cyrl-CS"/>
        </w:rPr>
        <w:t xml:space="preserve"> која гласи: </w:t>
      </w:r>
      <w:r w:rsidR="004B7165" w:rsidRPr="00827818">
        <w:rPr>
          <w:rFonts w:ascii="Times New Roman" w:hAnsi="Times New Roman" w:cs="Times New Roman"/>
          <w:sz w:val="24"/>
          <w:szCs w:val="24"/>
          <w:lang w:val="sr-Cyrl-CS"/>
        </w:rPr>
        <w:t>„202</w:t>
      </w:r>
      <w:r w:rsidR="00221A61" w:rsidRPr="00827818">
        <w:rPr>
          <w:rFonts w:ascii="Times New Roman" w:hAnsi="Times New Roman" w:cs="Times New Roman"/>
          <w:sz w:val="24"/>
          <w:szCs w:val="24"/>
          <w:lang w:val="sr-Cyrl-CS"/>
        </w:rPr>
        <w:t>2</w:t>
      </w:r>
      <w:r w:rsidR="00E65243" w:rsidRPr="00827818">
        <w:rPr>
          <w:rFonts w:ascii="Times New Roman" w:hAnsi="Times New Roman" w:cs="Times New Roman"/>
          <w:sz w:val="24"/>
          <w:szCs w:val="24"/>
          <w:lang w:val="sr-Cyrl-CS"/>
        </w:rPr>
        <w:t>ˮ</w:t>
      </w:r>
      <w:r w:rsidR="004B7165" w:rsidRPr="00827818">
        <w:rPr>
          <w:rFonts w:ascii="Times New Roman" w:hAnsi="Times New Roman" w:cs="Times New Roman"/>
          <w:sz w:val="24"/>
          <w:szCs w:val="24"/>
          <w:lang w:val="sr-Cyrl-CS"/>
        </w:rPr>
        <w:t>;</w:t>
      </w:r>
      <w:r w:rsidR="00221A61" w:rsidRPr="00827818">
        <w:rPr>
          <w:rFonts w:ascii="Times New Roman" w:hAnsi="Times New Roman" w:cs="Times New Roman"/>
          <w:sz w:val="24"/>
          <w:szCs w:val="24"/>
          <w:lang w:val="sr-Cyrl-CS"/>
        </w:rPr>
        <w:t xml:space="preserve"> циљана вред</w:t>
      </w:r>
      <w:r w:rsidR="00DD045B" w:rsidRPr="00827818">
        <w:rPr>
          <w:rFonts w:ascii="Times New Roman" w:hAnsi="Times New Roman" w:cs="Times New Roman"/>
          <w:sz w:val="24"/>
          <w:szCs w:val="24"/>
          <w:lang w:val="sr-Cyrl-CS"/>
        </w:rPr>
        <w:t xml:space="preserve">ност за 2023 која гласи: </w:t>
      </w:r>
      <w:r w:rsidR="008F2C15" w:rsidRPr="00827818">
        <w:rPr>
          <w:rFonts w:ascii="Times New Roman" w:hAnsi="Times New Roman" w:cs="Times New Roman"/>
          <w:sz w:val="24"/>
          <w:szCs w:val="24"/>
          <w:lang w:val="sr-Cyrl-CS"/>
        </w:rPr>
        <w:t>„20%”</w:t>
      </w:r>
      <w:r w:rsidR="00221A61" w:rsidRPr="00827818">
        <w:rPr>
          <w:rFonts w:ascii="Times New Roman" w:hAnsi="Times New Roman" w:cs="Times New Roman"/>
          <w:sz w:val="24"/>
          <w:szCs w:val="24"/>
          <w:lang w:val="sr-Cyrl-CS"/>
        </w:rPr>
        <w:t>;</w:t>
      </w:r>
      <w:r w:rsidR="00B803A6" w:rsidRPr="00827818">
        <w:rPr>
          <w:rFonts w:ascii="Times New Roman" w:hAnsi="Times New Roman" w:cs="Times New Roman"/>
          <w:sz w:val="24"/>
          <w:szCs w:val="24"/>
          <w:lang w:val="sr-Cyrl-CS"/>
        </w:rPr>
        <w:t xml:space="preserve"> циљана вредност за</w:t>
      </w:r>
      <w:r w:rsidR="004B7165" w:rsidRPr="00827818">
        <w:rPr>
          <w:rFonts w:ascii="Times New Roman" w:hAnsi="Times New Roman" w:cs="Times New Roman"/>
          <w:sz w:val="24"/>
          <w:szCs w:val="24"/>
          <w:lang w:val="sr-Cyrl-CS"/>
        </w:rPr>
        <w:t xml:space="preserve"> 2024</w:t>
      </w:r>
      <w:r w:rsidR="00B803A6" w:rsidRPr="00827818">
        <w:rPr>
          <w:rFonts w:ascii="Times New Roman" w:hAnsi="Times New Roman" w:cs="Times New Roman"/>
          <w:sz w:val="24"/>
          <w:szCs w:val="24"/>
          <w:lang w:val="sr-Cyrl-CS"/>
        </w:rPr>
        <w:t xml:space="preserve"> која гласи:</w:t>
      </w:r>
      <w:r w:rsidR="00AE57CB" w:rsidRPr="00827818">
        <w:rPr>
          <w:rFonts w:ascii="Times New Roman" w:hAnsi="Times New Roman" w:cs="Times New Roman"/>
          <w:sz w:val="24"/>
          <w:szCs w:val="24"/>
          <w:lang w:val="sr-Cyrl-CS"/>
        </w:rPr>
        <w:t xml:space="preserve"> </w:t>
      </w:r>
      <w:r w:rsidR="004B7165" w:rsidRPr="00827818">
        <w:rPr>
          <w:rFonts w:ascii="Times New Roman" w:hAnsi="Times New Roman" w:cs="Times New Roman"/>
          <w:sz w:val="24"/>
          <w:szCs w:val="24"/>
          <w:lang w:val="sr-Cyrl-CS"/>
        </w:rPr>
        <w:t>„50%</w:t>
      </w:r>
      <w:r w:rsidR="00E65243" w:rsidRPr="00827818">
        <w:rPr>
          <w:rFonts w:ascii="Times New Roman" w:hAnsi="Times New Roman" w:cs="Times New Roman"/>
          <w:sz w:val="24"/>
          <w:szCs w:val="24"/>
          <w:lang w:val="sr-Cyrl-CS"/>
        </w:rPr>
        <w:t>ˮ</w:t>
      </w:r>
      <w:r w:rsidR="001474E9" w:rsidRPr="00827818">
        <w:rPr>
          <w:rFonts w:ascii="Times New Roman" w:hAnsi="Times New Roman" w:cs="Times New Roman"/>
          <w:sz w:val="24"/>
          <w:szCs w:val="24"/>
          <w:lang w:val="sr-Cyrl-CS"/>
        </w:rPr>
        <w:t xml:space="preserve"> </w:t>
      </w:r>
      <w:r w:rsidR="008F2C15" w:rsidRPr="00827818">
        <w:rPr>
          <w:rFonts w:ascii="Times New Roman" w:hAnsi="Times New Roman" w:cs="Times New Roman"/>
          <w:sz w:val="24"/>
          <w:szCs w:val="24"/>
          <w:lang w:val="sr-Cyrl-CS"/>
        </w:rPr>
        <w:t xml:space="preserve">и </w:t>
      </w:r>
      <w:r w:rsidR="00B803A6" w:rsidRPr="00827818">
        <w:rPr>
          <w:rFonts w:ascii="Times New Roman" w:hAnsi="Times New Roman" w:cs="Times New Roman"/>
          <w:sz w:val="24"/>
          <w:szCs w:val="24"/>
          <w:lang w:val="sr-Cyrl-CS"/>
        </w:rPr>
        <w:t xml:space="preserve">циљана вредност </w:t>
      </w:r>
      <w:r w:rsidR="004B7165" w:rsidRPr="00827818">
        <w:rPr>
          <w:rFonts w:ascii="Times New Roman" w:hAnsi="Times New Roman" w:cs="Times New Roman"/>
          <w:sz w:val="24"/>
          <w:szCs w:val="24"/>
          <w:lang w:val="sr-Cyrl-CS"/>
        </w:rPr>
        <w:t>за 2025</w:t>
      </w:r>
      <w:r w:rsidR="00B803A6" w:rsidRPr="00827818">
        <w:rPr>
          <w:rFonts w:ascii="Times New Roman" w:hAnsi="Times New Roman" w:cs="Times New Roman"/>
          <w:sz w:val="24"/>
          <w:szCs w:val="24"/>
          <w:lang w:val="sr-Cyrl-CS"/>
        </w:rPr>
        <w:t xml:space="preserve">, која гласи: </w:t>
      </w:r>
      <w:r w:rsidR="004B7165" w:rsidRPr="00827818">
        <w:rPr>
          <w:rFonts w:ascii="Times New Roman" w:hAnsi="Times New Roman" w:cs="Times New Roman"/>
          <w:sz w:val="24"/>
          <w:szCs w:val="24"/>
          <w:lang w:val="sr-Cyrl-CS"/>
        </w:rPr>
        <w:t>„80%</w:t>
      </w:r>
      <w:r w:rsidR="00E65243" w:rsidRPr="00827818">
        <w:rPr>
          <w:rFonts w:ascii="Times New Roman" w:hAnsi="Times New Roman" w:cs="Times New Roman"/>
          <w:sz w:val="24"/>
          <w:szCs w:val="24"/>
          <w:lang w:val="sr-Cyrl-CS"/>
        </w:rPr>
        <w:t>ˮ</w:t>
      </w:r>
      <w:r w:rsidR="008F2C15" w:rsidRPr="00827818">
        <w:rPr>
          <w:rFonts w:ascii="Times New Roman" w:hAnsi="Times New Roman" w:cs="Times New Roman"/>
          <w:sz w:val="24"/>
          <w:szCs w:val="24"/>
          <w:lang w:val="sr-Cyrl-CS"/>
        </w:rPr>
        <w:t>.</w:t>
      </w:r>
    </w:p>
    <w:p w:rsidR="00221A61" w:rsidRPr="00827818" w:rsidRDefault="00724F9D" w:rsidP="00724F9D">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25. </w:t>
      </w:r>
      <w:r w:rsidR="00B53302" w:rsidRPr="00827818">
        <w:rPr>
          <w:rFonts w:ascii="Times New Roman" w:hAnsi="Times New Roman" w:cs="Times New Roman"/>
          <w:sz w:val="24"/>
          <w:szCs w:val="24"/>
          <w:lang w:val="sr-Cyrl-CS"/>
        </w:rPr>
        <w:t xml:space="preserve">У </w:t>
      </w:r>
      <w:r w:rsidR="008F2C15" w:rsidRPr="00827818">
        <w:rPr>
          <w:rFonts w:ascii="Times New Roman" w:hAnsi="Times New Roman" w:cs="Times New Roman"/>
          <w:sz w:val="24"/>
          <w:szCs w:val="24"/>
          <w:lang w:val="sr-Cyrl-CS"/>
        </w:rPr>
        <w:t>М</w:t>
      </w:r>
      <w:r w:rsidR="00B53302" w:rsidRPr="00827818">
        <w:rPr>
          <w:rFonts w:ascii="Times New Roman" w:hAnsi="Times New Roman" w:cs="Times New Roman"/>
          <w:sz w:val="24"/>
          <w:szCs w:val="24"/>
          <w:lang w:val="sr-Cyrl-CS"/>
        </w:rPr>
        <w:t>ер</w:t>
      </w:r>
      <w:r w:rsidR="006A357B" w:rsidRPr="00827818">
        <w:rPr>
          <w:rFonts w:ascii="Times New Roman" w:hAnsi="Times New Roman" w:cs="Times New Roman"/>
          <w:sz w:val="24"/>
          <w:szCs w:val="24"/>
          <w:lang w:val="sr-Cyrl-CS"/>
        </w:rPr>
        <w:t>и</w:t>
      </w:r>
      <w:r w:rsidR="00B53302" w:rsidRPr="00827818">
        <w:rPr>
          <w:rFonts w:ascii="Times New Roman" w:hAnsi="Times New Roman" w:cs="Times New Roman"/>
          <w:sz w:val="24"/>
          <w:szCs w:val="24"/>
          <w:lang w:val="sr-Cyrl-CS"/>
        </w:rPr>
        <w:t xml:space="preserve"> 1.5</w:t>
      </w:r>
      <w:r w:rsidR="006A357B" w:rsidRPr="00827818">
        <w:rPr>
          <w:rFonts w:ascii="Times New Roman" w:hAnsi="Times New Roman" w:cs="Times New Roman"/>
          <w:sz w:val="24"/>
          <w:szCs w:val="24"/>
          <w:lang w:val="sr-Cyrl-CS"/>
        </w:rPr>
        <w:t>: Јачање капацитета Сектора за праћење фискалних ризика</w:t>
      </w:r>
      <w:r w:rsidR="00B53302" w:rsidRPr="00827818">
        <w:rPr>
          <w:rFonts w:ascii="Times New Roman" w:hAnsi="Times New Roman" w:cs="Times New Roman"/>
          <w:sz w:val="24"/>
          <w:szCs w:val="24"/>
          <w:lang w:val="sr-Cyrl-CS"/>
        </w:rPr>
        <w:t xml:space="preserve">, </w:t>
      </w:r>
      <w:r w:rsidR="00ED6B09" w:rsidRPr="00827818">
        <w:rPr>
          <w:rFonts w:ascii="Times New Roman" w:hAnsi="Times New Roman" w:cs="Times New Roman"/>
          <w:sz w:val="24"/>
          <w:szCs w:val="24"/>
          <w:lang w:val="sr-Cyrl-CS"/>
        </w:rPr>
        <w:t xml:space="preserve">додаје се активност </w:t>
      </w:r>
      <w:r w:rsidR="00B53302" w:rsidRPr="00827818">
        <w:rPr>
          <w:rFonts w:ascii="Times New Roman" w:hAnsi="Times New Roman" w:cs="Times New Roman"/>
          <w:sz w:val="24"/>
          <w:szCs w:val="24"/>
          <w:lang w:val="sr-Cyrl-CS"/>
        </w:rPr>
        <w:t>1.5.4</w:t>
      </w:r>
      <w:r w:rsidR="00ED6B09" w:rsidRPr="00827818">
        <w:rPr>
          <w:rFonts w:ascii="Times New Roman" w:hAnsi="Times New Roman" w:cs="Times New Roman"/>
          <w:sz w:val="24"/>
          <w:szCs w:val="24"/>
          <w:lang w:val="sr-Cyrl-CS"/>
        </w:rPr>
        <w:t>, која гласи</w:t>
      </w:r>
      <w:r w:rsidR="00B53302" w:rsidRPr="00827818">
        <w:rPr>
          <w:rFonts w:ascii="Times New Roman" w:hAnsi="Times New Roman" w:cs="Times New Roman"/>
          <w:sz w:val="24"/>
          <w:szCs w:val="24"/>
          <w:lang w:val="sr-Cyrl-CS"/>
        </w:rPr>
        <w:t>:</w:t>
      </w:r>
      <w:r w:rsidR="003338A0" w:rsidRPr="00827818">
        <w:rPr>
          <w:rFonts w:ascii="Times New Roman" w:hAnsi="Times New Roman" w:cs="Times New Roman"/>
          <w:sz w:val="24"/>
          <w:szCs w:val="24"/>
          <w:lang w:val="sr-Cyrl-CS"/>
        </w:rPr>
        <w:t xml:space="preserve"> </w:t>
      </w:r>
      <w:r w:rsidR="008F2C15" w:rsidRPr="00827818">
        <w:rPr>
          <w:rFonts w:ascii="Times New Roman" w:hAnsi="Times New Roman" w:cs="Times New Roman"/>
          <w:sz w:val="24"/>
          <w:szCs w:val="24"/>
          <w:lang w:val="sr-Cyrl-CS"/>
        </w:rPr>
        <w:t>„</w:t>
      </w:r>
      <w:r w:rsidR="00221A61" w:rsidRPr="00827818">
        <w:rPr>
          <w:rFonts w:ascii="Times New Roman" w:hAnsi="Times New Roman" w:cs="Times New Roman"/>
          <w:sz w:val="24"/>
          <w:szCs w:val="24"/>
          <w:lang w:val="sr-Cyrl-CS"/>
        </w:rPr>
        <w:t>Унапређење и стандардизација извештавања о фискалним ризицима</w:t>
      </w:r>
      <w:r w:rsidR="00E65243" w:rsidRPr="00827818">
        <w:rPr>
          <w:rFonts w:ascii="Times New Roman" w:hAnsi="Times New Roman" w:cs="Times New Roman"/>
          <w:sz w:val="24"/>
          <w:szCs w:val="24"/>
          <w:lang w:val="sr-Cyrl-CS"/>
        </w:rPr>
        <w:t>ˮ</w:t>
      </w:r>
      <w:r w:rsidR="008F2C15" w:rsidRPr="00827818">
        <w:rPr>
          <w:rFonts w:ascii="Times New Roman" w:hAnsi="Times New Roman" w:cs="Times New Roman"/>
          <w:sz w:val="24"/>
          <w:szCs w:val="24"/>
          <w:lang w:val="sr-Cyrl-CS"/>
        </w:rPr>
        <w:t>.</w:t>
      </w:r>
      <w:r w:rsidR="007F75F6" w:rsidRPr="00827818">
        <w:rPr>
          <w:rFonts w:ascii="Times New Roman" w:hAnsi="Times New Roman" w:cs="Times New Roman"/>
          <w:sz w:val="24"/>
          <w:szCs w:val="24"/>
          <w:lang w:val="sr-Cyrl-CS"/>
        </w:rPr>
        <w:t xml:space="preserve"> </w:t>
      </w:r>
      <w:r w:rsidR="00AA7A5E" w:rsidRPr="00827818">
        <w:rPr>
          <w:rFonts w:ascii="Times New Roman" w:hAnsi="Times New Roman" w:cs="Times New Roman"/>
          <w:sz w:val="24"/>
          <w:szCs w:val="24"/>
          <w:lang w:val="sr-Cyrl-CS"/>
        </w:rPr>
        <w:t>За наведену активност додају</w:t>
      </w:r>
      <w:r w:rsidR="002B3E80" w:rsidRPr="00827818">
        <w:rPr>
          <w:rFonts w:ascii="Times New Roman" w:hAnsi="Times New Roman" w:cs="Times New Roman"/>
          <w:sz w:val="24"/>
          <w:szCs w:val="24"/>
          <w:lang w:val="sr-Cyrl-CS"/>
        </w:rPr>
        <w:t xml:space="preserve"> се</w:t>
      </w:r>
      <w:r w:rsidR="00AA7A5E" w:rsidRPr="00827818">
        <w:rPr>
          <w:rFonts w:ascii="Times New Roman" w:hAnsi="Times New Roman" w:cs="Times New Roman"/>
          <w:sz w:val="24"/>
          <w:szCs w:val="24"/>
          <w:lang w:val="sr-Cyrl-CS"/>
        </w:rPr>
        <w:t>: рок за завршетак активности</w:t>
      </w:r>
      <w:r w:rsidR="002B3E80" w:rsidRPr="00827818">
        <w:rPr>
          <w:rFonts w:ascii="Times New Roman" w:hAnsi="Times New Roman" w:cs="Times New Roman"/>
          <w:sz w:val="24"/>
          <w:szCs w:val="24"/>
          <w:lang w:val="sr-Cyrl-CS"/>
        </w:rPr>
        <w:t xml:space="preserve"> који гласи: </w:t>
      </w:r>
      <w:r w:rsidR="008F2C15" w:rsidRPr="00827818">
        <w:rPr>
          <w:rFonts w:ascii="Times New Roman" w:hAnsi="Times New Roman" w:cs="Times New Roman"/>
          <w:sz w:val="24"/>
          <w:szCs w:val="24"/>
          <w:lang w:val="sr-Cyrl-CS"/>
        </w:rPr>
        <w:t>„</w:t>
      </w:r>
      <w:r w:rsidR="00E25E49" w:rsidRPr="00827818">
        <w:rPr>
          <w:rFonts w:ascii="Times New Roman" w:hAnsi="Times New Roman" w:cs="Times New Roman"/>
          <w:sz w:val="24"/>
          <w:szCs w:val="24"/>
          <w:lang w:val="sr-Cyrl-CS"/>
        </w:rPr>
        <w:t>Q</w:t>
      </w:r>
      <w:r w:rsidR="002B3E80" w:rsidRPr="00827818">
        <w:rPr>
          <w:rFonts w:ascii="Times New Roman" w:hAnsi="Times New Roman" w:cs="Times New Roman"/>
          <w:sz w:val="24"/>
          <w:szCs w:val="24"/>
          <w:lang w:val="sr-Cyrl-CS"/>
        </w:rPr>
        <w:t>4 2024</w:t>
      </w:r>
      <w:r w:rsidR="00E65243" w:rsidRPr="00827818">
        <w:rPr>
          <w:rFonts w:ascii="Times New Roman" w:hAnsi="Times New Roman" w:cs="Times New Roman"/>
          <w:sz w:val="24"/>
          <w:szCs w:val="24"/>
          <w:lang w:val="sr-Cyrl-CS"/>
        </w:rPr>
        <w:t>ˮ</w:t>
      </w:r>
      <w:r w:rsidR="002B3E80" w:rsidRPr="00827818">
        <w:rPr>
          <w:rFonts w:ascii="Times New Roman" w:hAnsi="Times New Roman" w:cs="Times New Roman"/>
          <w:sz w:val="24"/>
          <w:szCs w:val="24"/>
          <w:lang w:val="sr-Cyrl-CS"/>
        </w:rPr>
        <w:t xml:space="preserve">; институција </w:t>
      </w:r>
      <w:r w:rsidR="003338A0" w:rsidRPr="00827818">
        <w:rPr>
          <w:rFonts w:ascii="Times New Roman" w:hAnsi="Times New Roman" w:cs="Times New Roman"/>
          <w:sz w:val="24"/>
          <w:szCs w:val="24"/>
          <w:lang w:val="sr-Cyrl-CS"/>
        </w:rPr>
        <w:t xml:space="preserve">одговорна </w:t>
      </w:r>
      <w:r w:rsidR="00AA7A5E" w:rsidRPr="00827818">
        <w:rPr>
          <w:rFonts w:ascii="Times New Roman" w:hAnsi="Times New Roman" w:cs="Times New Roman"/>
          <w:sz w:val="24"/>
          <w:szCs w:val="24"/>
          <w:lang w:val="sr-Cyrl-CS"/>
        </w:rPr>
        <w:t>за спровођење активности</w:t>
      </w:r>
      <w:r w:rsidR="002B3E80" w:rsidRPr="00827818">
        <w:rPr>
          <w:rFonts w:ascii="Times New Roman" w:hAnsi="Times New Roman" w:cs="Times New Roman"/>
          <w:sz w:val="24"/>
          <w:szCs w:val="24"/>
          <w:lang w:val="sr-Cyrl-CS"/>
        </w:rPr>
        <w:t xml:space="preserve"> која гласи: „Министарство финансија</w:t>
      </w:r>
      <w:r w:rsidR="00E65243" w:rsidRPr="00827818">
        <w:rPr>
          <w:rFonts w:ascii="Times New Roman" w:hAnsi="Times New Roman" w:cs="Times New Roman"/>
          <w:sz w:val="24"/>
          <w:szCs w:val="24"/>
          <w:lang w:val="sr-Cyrl-CS"/>
        </w:rPr>
        <w:t>ˮ</w:t>
      </w:r>
      <w:r w:rsidR="002B3E80" w:rsidRPr="00827818">
        <w:rPr>
          <w:rFonts w:ascii="Times New Roman" w:hAnsi="Times New Roman" w:cs="Times New Roman"/>
          <w:sz w:val="24"/>
          <w:szCs w:val="24"/>
          <w:lang w:val="sr-Cyrl-CS"/>
        </w:rPr>
        <w:t>; из</w:t>
      </w:r>
      <w:r w:rsidR="00AA7A5E" w:rsidRPr="00827818">
        <w:rPr>
          <w:rFonts w:ascii="Times New Roman" w:hAnsi="Times New Roman" w:cs="Times New Roman"/>
          <w:sz w:val="24"/>
          <w:szCs w:val="24"/>
          <w:lang w:val="sr-Cyrl-CS"/>
        </w:rPr>
        <w:t>вор финансирања</w:t>
      </w:r>
      <w:r w:rsidR="002B3E80" w:rsidRPr="00827818">
        <w:rPr>
          <w:rFonts w:ascii="Times New Roman" w:hAnsi="Times New Roman" w:cs="Times New Roman"/>
          <w:sz w:val="24"/>
          <w:szCs w:val="24"/>
          <w:lang w:val="sr-Cyrl-CS"/>
        </w:rPr>
        <w:t xml:space="preserve"> који гласи: „Буџет РС, Донаторска средства</w:t>
      </w:r>
      <w:r w:rsidR="00E65243" w:rsidRPr="00827818">
        <w:rPr>
          <w:rFonts w:ascii="Times New Roman" w:hAnsi="Times New Roman" w:cs="Times New Roman"/>
          <w:sz w:val="24"/>
          <w:szCs w:val="24"/>
          <w:lang w:val="sr-Cyrl-CS"/>
        </w:rPr>
        <w:t>ˮ</w:t>
      </w:r>
      <w:r w:rsidR="002B3E80" w:rsidRPr="00827818">
        <w:rPr>
          <w:rFonts w:ascii="Times New Roman" w:hAnsi="Times New Roman" w:cs="Times New Roman"/>
          <w:sz w:val="24"/>
          <w:szCs w:val="24"/>
          <w:lang w:val="sr-Cyrl-CS"/>
        </w:rPr>
        <w:t>; веза са</w:t>
      </w:r>
      <w:r w:rsidR="00AA7A5E" w:rsidRPr="00827818">
        <w:rPr>
          <w:rFonts w:ascii="Times New Roman" w:hAnsi="Times New Roman" w:cs="Times New Roman"/>
          <w:sz w:val="24"/>
          <w:szCs w:val="24"/>
          <w:lang w:val="sr-Cyrl-CS"/>
        </w:rPr>
        <w:t xml:space="preserve"> програмским буџетом (ПР-ПА/ПЈ)</w:t>
      </w:r>
      <w:r w:rsidR="002B3E80" w:rsidRPr="00827818">
        <w:rPr>
          <w:rFonts w:ascii="Times New Roman" w:hAnsi="Times New Roman" w:cs="Times New Roman"/>
          <w:sz w:val="24"/>
          <w:szCs w:val="24"/>
          <w:lang w:val="sr-Cyrl-CS"/>
        </w:rPr>
        <w:t xml:space="preserve"> која гласи: „</w:t>
      </w:r>
      <w:r w:rsidR="008F2C15" w:rsidRPr="00827818">
        <w:rPr>
          <w:rFonts w:ascii="Times New Roman" w:hAnsi="Times New Roman" w:cs="Times New Roman"/>
          <w:sz w:val="24"/>
          <w:szCs w:val="24"/>
          <w:lang w:val="sr-Cyrl-CS"/>
        </w:rPr>
        <w:t>2301 (Редовна издвајања)”</w:t>
      </w:r>
      <w:r w:rsidR="00221A61" w:rsidRPr="00827818">
        <w:rPr>
          <w:rFonts w:ascii="Times New Roman" w:hAnsi="Times New Roman" w:cs="Times New Roman"/>
          <w:sz w:val="24"/>
          <w:szCs w:val="24"/>
          <w:lang w:val="sr-Cyrl-CS"/>
        </w:rPr>
        <w:t xml:space="preserve"> </w:t>
      </w:r>
      <w:r w:rsidR="008F2C15" w:rsidRPr="00827818">
        <w:rPr>
          <w:rFonts w:ascii="Times New Roman" w:hAnsi="Times New Roman" w:cs="Times New Roman"/>
          <w:sz w:val="24"/>
          <w:szCs w:val="24"/>
          <w:lang w:val="sr-Cyrl-CS"/>
        </w:rPr>
        <w:t xml:space="preserve">и </w:t>
      </w:r>
      <w:r w:rsidR="00221A61" w:rsidRPr="00827818">
        <w:rPr>
          <w:rFonts w:ascii="Times New Roman" w:hAnsi="Times New Roman" w:cs="Times New Roman"/>
          <w:bCs/>
          <w:sz w:val="24"/>
          <w:szCs w:val="24"/>
          <w:lang w:val="sr-Cyrl-CS"/>
        </w:rPr>
        <w:t>укупна процењена финансијска сред</w:t>
      </w:r>
      <w:r w:rsidR="008F2C15" w:rsidRPr="00827818">
        <w:rPr>
          <w:rFonts w:ascii="Times New Roman" w:hAnsi="Times New Roman" w:cs="Times New Roman"/>
          <w:bCs/>
          <w:sz w:val="24"/>
          <w:szCs w:val="24"/>
          <w:lang w:val="sr-Cyrl-CS"/>
        </w:rPr>
        <w:t>ства у 000 дин за 2024: „10.000”</w:t>
      </w:r>
      <w:r w:rsidR="00221A61" w:rsidRPr="00827818">
        <w:rPr>
          <w:rFonts w:ascii="Times New Roman" w:hAnsi="Times New Roman" w:cs="Times New Roman"/>
          <w:sz w:val="24"/>
          <w:szCs w:val="24"/>
          <w:lang w:val="sr-Cyrl-CS"/>
        </w:rPr>
        <w:t>.</w:t>
      </w:r>
    </w:p>
    <w:p w:rsidR="00DE6AB5" w:rsidRPr="00827818" w:rsidRDefault="00C9396F" w:rsidP="00C9396F">
      <w:pPr>
        <w:spacing w:after="0" w:line="240" w:lineRule="auto"/>
        <w:ind w:firstLine="720"/>
        <w:jc w:val="both"/>
        <w:rPr>
          <w:rFonts w:ascii="Times New Roman" w:hAnsi="Times New Roman" w:cs="Times New Roman"/>
          <w:bCs/>
          <w:sz w:val="24"/>
          <w:szCs w:val="24"/>
          <w:lang w:val="sr-Cyrl-CS"/>
        </w:rPr>
      </w:pPr>
      <w:r w:rsidRPr="00827818">
        <w:rPr>
          <w:rFonts w:ascii="Times New Roman" w:hAnsi="Times New Roman" w:cs="Times New Roman"/>
          <w:sz w:val="24"/>
          <w:szCs w:val="24"/>
          <w:lang w:val="sr-Cyrl-CS"/>
        </w:rPr>
        <w:t xml:space="preserve">26. </w:t>
      </w:r>
      <w:r w:rsidR="00752B64" w:rsidRPr="00827818">
        <w:rPr>
          <w:rFonts w:ascii="Times New Roman" w:hAnsi="Times New Roman" w:cs="Times New Roman"/>
          <w:sz w:val="24"/>
          <w:szCs w:val="24"/>
          <w:lang w:val="sr-Cyrl-CS"/>
        </w:rPr>
        <w:t xml:space="preserve">У </w:t>
      </w:r>
      <w:r w:rsidR="001939A3" w:rsidRPr="00827818">
        <w:rPr>
          <w:rFonts w:ascii="Times New Roman" w:hAnsi="Times New Roman" w:cs="Times New Roman"/>
          <w:bCs/>
          <w:sz w:val="24"/>
          <w:szCs w:val="24"/>
          <w:lang w:val="sr-Cyrl-CS"/>
        </w:rPr>
        <w:t>М</w:t>
      </w:r>
      <w:r w:rsidR="00752B64" w:rsidRPr="00827818">
        <w:rPr>
          <w:rFonts w:ascii="Times New Roman" w:hAnsi="Times New Roman" w:cs="Times New Roman"/>
          <w:bCs/>
          <w:sz w:val="24"/>
          <w:szCs w:val="24"/>
          <w:lang w:val="sr-Cyrl-CS"/>
        </w:rPr>
        <w:t>ер</w:t>
      </w:r>
      <w:r w:rsidR="001939A3" w:rsidRPr="00827818">
        <w:rPr>
          <w:rFonts w:ascii="Times New Roman" w:hAnsi="Times New Roman" w:cs="Times New Roman"/>
          <w:bCs/>
          <w:sz w:val="24"/>
          <w:szCs w:val="24"/>
          <w:lang w:val="sr-Cyrl-CS"/>
        </w:rPr>
        <w:t>и</w:t>
      </w:r>
      <w:r w:rsidR="00752B64" w:rsidRPr="00827818">
        <w:rPr>
          <w:rFonts w:ascii="Times New Roman" w:hAnsi="Times New Roman" w:cs="Times New Roman"/>
          <w:bCs/>
          <w:sz w:val="24"/>
          <w:szCs w:val="24"/>
          <w:lang w:val="sr-Cyrl-CS"/>
        </w:rPr>
        <w:t xml:space="preserve"> 1.5</w:t>
      </w:r>
      <w:r w:rsidR="001939A3" w:rsidRPr="00827818">
        <w:rPr>
          <w:rFonts w:ascii="Times New Roman" w:hAnsi="Times New Roman" w:cs="Times New Roman"/>
          <w:bCs/>
          <w:sz w:val="24"/>
          <w:szCs w:val="24"/>
          <w:lang w:val="sr-Cyrl-CS"/>
        </w:rPr>
        <w:t xml:space="preserve">: Јачање капацитета Сектора за праћење фискалних ризика, додаје се активност </w:t>
      </w:r>
      <w:r w:rsidR="00F90573" w:rsidRPr="00827818">
        <w:rPr>
          <w:rFonts w:ascii="Times New Roman" w:hAnsi="Times New Roman" w:cs="Times New Roman"/>
          <w:bCs/>
          <w:sz w:val="24"/>
          <w:szCs w:val="24"/>
          <w:lang w:val="sr-Cyrl-CS"/>
        </w:rPr>
        <w:t>1.5.</w:t>
      </w:r>
      <w:r w:rsidR="009B2370" w:rsidRPr="00827818">
        <w:rPr>
          <w:rFonts w:ascii="Times New Roman" w:hAnsi="Times New Roman" w:cs="Times New Roman"/>
          <w:bCs/>
          <w:sz w:val="24"/>
          <w:szCs w:val="24"/>
          <w:lang w:val="sr-Cyrl-CS"/>
        </w:rPr>
        <w:t>5</w:t>
      </w:r>
      <w:r w:rsidR="001939A3" w:rsidRPr="00827818">
        <w:rPr>
          <w:rFonts w:ascii="Times New Roman" w:hAnsi="Times New Roman" w:cs="Times New Roman"/>
          <w:bCs/>
          <w:sz w:val="24"/>
          <w:szCs w:val="24"/>
          <w:lang w:val="sr-Cyrl-CS"/>
        </w:rPr>
        <w:t>, која</w:t>
      </w:r>
      <w:r w:rsidR="00525216" w:rsidRPr="00827818">
        <w:rPr>
          <w:rFonts w:ascii="Times New Roman" w:hAnsi="Times New Roman" w:cs="Times New Roman"/>
          <w:bCs/>
          <w:sz w:val="24"/>
          <w:szCs w:val="24"/>
          <w:lang w:val="sr-Cyrl-CS"/>
        </w:rPr>
        <w:t xml:space="preserve"> гласи:</w:t>
      </w:r>
      <w:r w:rsidR="001474E9" w:rsidRPr="00827818">
        <w:rPr>
          <w:rFonts w:ascii="Times New Roman" w:hAnsi="Times New Roman" w:cs="Times New Roman"/>
          <w:bCs/>
          <w:sz w:val="24"/>
          <w:szCs w:val="24"/>
          <w:lang w:val="sr-Cyrl-CS"/>
        </w:rPr>
        <w:t xml:space="preserve"> </w:t>
      </w:r>
      <w:r w:rsidR="008F2C15" w:rsidRPr="00827818">
        <w:rPr>
          <w:rFonts w:ascii="Times New Roman" w:hAnsi="Times New Roman" w:cs="Times New Roman"/>
          <w:bCs/>
          <w:sz w:val="24"/>
          <w:szCs w:val="24"/>
          <w:lang w:val="sr-Cyrl-CS"/>
        </w:rPr>
        <w:t>„</w:t>
      </w:r>
      <w:r w:rsidR="00C42027" w:rsidRPr="00827818">
        <w:rPr>
          <w:rFonts w:ascii="Times New Roman" w:hAnsi="Times New Roman" w:cs="Times New Roman"/>
          <w:bCs/>
          <w:sz w:val="24"/>
          <w:szCs w:val="24"/>
          <w:lang w:val="sr-Cyrl-CS"/>
        </w:rPr>
        <w:t>Унапређење вештина за запослене из области финансијске анализе, кост бенефит анализе и анализе из области праћења ризика од климатски индукованих елементарних непо</w:t>
      </w:r>
      <w:r w:rsidR="00ED235B" w:rsidRPr="00827818">
        <w:rPr>
          <w:rFonts w:ascii="Times New Roman" w:hAnsi="Times New Roman" w:cs="Times New Roman"/>
          <w:bCs/>
          <w:sz w:val="24"/>
          <w:szCs w:val="24"/>
          <w:lang w:val="sr-Cyrl-CS"/>
        </w:rPr>
        <w:t>года</w:t>
      </w:r>
      <w:r w:rsidR="00E65243" w:rsidRPr="00827818">
        <w:rPr>
          <w:rFonts w:ascii="Times New Roman" w:hAnsi="Times New Roman" w:cs="Times New Roman"/>
          <w:bCs/>
          <w:sz w:val="24"/>
          <w:szCs w:val="24"/>
          <w:lang w:val="sr-Cyrl-CS"/>
        </w:rPr>
        <w:t>ˮ</w:t>
      </w:r>
      <w:r w:rsidR="00ED235B" w:rsidRPr="00827818">
        <w:rPr>
          <w:rFonts w:ascii="Times New Roman" w:hAnsi="Times New Roman" w:cs="Times New Roman"/>
          <w:bCs/>
          <w:sz w:val="24"/>
          <w:szCs w:val="24"/>
          <w:lang w:val="sr-Cyrl-CS"/>
        </w:rPr>
        <w:t>.</w:t>
      </w:r>
      <w:r w:rsidR="008F2C15" w:rsidRPr="00827818">
        <w:rPr>
          <w:rFonts w:ascii="Times New Roman" w:hAnsi="Times New Roman" w:cs="Times New Roman"/>
          <w:bCs/>
          <w:sz w:val="24"/>
          <w:szCs w:val="24"/>
          <w:lang w:val="sr-Cyrl-CS"/>
        </w:rPr>
        <w:t xml:space="preserve"> </w:t>
      </w:r>
      <w:r w:rsidRPr="00827818">
        <w:rPr>
          <w:rFonts w:ascii="Times New Roman" w:hAnsi="Times New Roman" w:cs="Times New Roman"/>
          <w:bCs/>
          <w:sz w:val="24"/>
          <w:szCs w:val="24"/>
          <w:lang w:val="sr-Cyrl-CS"/>
        </w:rPr>
        <w:t>За наведену активност додају</w:t>
      </w:r>
      <w:r w:rsidR="001474E9" w:rsidRPr="00827818">
        <w:rPr>
          <w:rFonts w:ascii="Times New Roman" w:hAnsi="Times New Roman" w:cs="Times New Roman"/>
          <w:bCs/>
          <w:sz w:val="24"/>
          <w:szCs w:val="24"/>
          <w:lang w:val="sr-Cyrl-CS"/>
        </w:rPr>
        <w:t xml:space="preserve"> се</w:t>
      </w:r>
      <w:r w:rsidRPr="00827818">
        <w:rPr>
          <w:rFonts w:ascii="Times New Roman" w:hAnsi="Times New Roman" w:cs="Times New Roman"/>
          <w:bCs/>
          <w:sz w:val="24"/>
          <w:szCs w:val="24"/>
          <w:lang w:val="sr-Cyrl-CS"/>
        </w:rPr>
        <w:t>:</w:t>
      </w:r>
      <w:r w:rsidR="001474E9" w:rsidRPr="00827818">
        <w:rPr>
          <w:rFonts w:ascii="Times New Roman" w:hAnsi="Times New Roman" w:cs="Times New Roman"/>
          <w:bCs/>
          <w:sz w:val="24"/>
          <w:szCs w:val="24"/>
          <w:lang w:val="sr-Cyrl-CS"/>
        </w:rPr>
        <w:t xml:space="preserve"> </w:t>
      </w:r>
      <w:r w:rsidRPr="00827818">
        <w:rPr>
          <w:rFonts w:ascii="Times New Roman" w:hAnsi="Times New Roman" w:cs="Times New Roman"/>
          <w:bCs/>
          <w:sz w:val="24"/>
          <w:szCs w:val="24"/>
          <w:lang w:val="sr-Cyrl-CS"/>
        </w:rPr>
        <w:t>рок за завршетак активности</w:t>
      </w:r>
      <w:r w:rsidR="001939A3" w:rsidRPr="00827818">
        <w:rPr>
          <w:rFonts w:ascii="Times New Roman" w:hAnsi="Times New Roman" w:cs="Times New Roman"/>
          <w:bCs/>
          <w:sz w:val="24"/>
          <w:szCs w:val="24"/>
          <w:lang w:val="sr-Cyrl-CS"/>
        </w:rPr>
        <w:t xml:space="preserve"> који гласи: </w:t>
      </w:r>
      <w:r w:rsidR="008F2C15" w:rsidRPr="00827818">
        <w:rPr>
          <w:rFonts w:ascii="Times New Roman" w:hAnsi="Times New Roman" w:cs="Times New Roman"/>
          <w:bCs/>
          <w:sz w:val="24"/>
          <w:szCs w:val="24"/>
          <w:lang w:val="sr-Cyrl-CS"/>
        </w:rPr>
        <w:t>„</w:t>
      </w:r>
      <w:r w:rsidR="00E25E49" w:rsidRPr="00827818">
        <w:rPr>
          <w:rFonts w:ascii="Times New Roman" w:hAnsi="Times New Roman" w:cs="Times New Roman"/>
          <w:bCs/>
          <w:sz w:val="24"/>
          <w:szCs w:val="24"/>
          <w:lang w:val="sr-Cyrl-CS"/>
        </w:rPr>
        <w:t>Q</w:t>
      </w:r>
      <w:r w:rsidR="005A09E0" w:rsidRPr="00827818">
        <w:rPr>
          <w:rFonts w:ascii="Times New Roman" w:hAnsi="Times New Roman" w:cs="Times New Roman"/>
          <w:bCs/>
          <w:sz w:val="24"/>
          <w:szCs w:val="24"/>
          <w:lang w:val="sr-Cyrl-CS"/>
        </w:rPr>
        <w:t>4</w:t>
      </w:r>
      <w:r w:rsidR="001939A3" w:rsidRPr="00827818">
        <w:rPr>
          <w:rFonts w:ascii="Times New Roman" w:hAnsi="Times New Roman" w:cs="Times New Roman"/>
          <w:bCs/>
          <w:sz w:val="24"/>
          <w:szCs w:val="24"/>
          <w:lang w:val="sr-Cyrl-CS"/>
        </w:rPr>
        <w:t xml:space="preserve"> 2024</w:t>
      </w:r>
      <w:r w:rsidR="00E65243" w:rsidRPr="00827818">
        <w:rPr>
          <w:rFonts w:ascii="Times New Roman" w:hAnsi="Times New Roman" w:cs="Times New Roman"/>
          <w:bCs/>
          <w:sz w:val="24"/>
          <w:szCs w:val="24"/>
          <w:lang w:val="sr-Cyrl-CS"/>
        </w:rPr>
        <w:t>ˮ</w:t>
      </w:r>
      <w:r w:rsidR="001939A3" w:rsidRPr="00827818">
        <w:rPr>
          <w:rFonts w:ascii="Times New Roman" w:hAnsi="Times New Roman" w:cs="Times New Roman"/>
          <w:bCs/>
          <w:sz w:val="24"/>
          <w:szCs w:val="24"/>
          <w:lang w:val="sr-Cyrl-CS"/>
        </w:rPr>
        <w:t xml:space="preserve">; </w:t>
      </w:r>
      <w:r w:rsidR="00DD5D4E" w:rsidRPr="00827818">
        <w:rPr>
          <w:rFonts w:ascii="Times New Roman" w:hAnsi="Times New Roman" w:cs="Times New Roman"/>
          <w:bCs/>
          <w:sz w:val="24"/>
          <w:szCs w:val="24"/>
          <w:lang w:val="sr-Cyrl-CS"/>
        </w:rPr>
        <w:t xml:space="preserve"> </w:t>
      </w:r>
      <w:r w:rsidR="001939A3" w:rsidRPr="00827818">
        <w:rPr>
          <w:rFonts w:ascii="Times New Roman" w:hAnsi="Times New Roman" w:cs="Times New Roman"/>
          <w:bCs/>
          <w:sz w:val="24"/>
          <w:szCs w:val="24"/>
          <w:lang w:val="sr-Cyrl-CS"/>
        </w:rPr>
        <w:t xml:space="preserve">институција </w:t>
      </w:r>
      <w:r w:rsidR="00DA5704" w:rsidRPr="00827818">
        <w:rPr>
          <w:rFonts w:ascii="Times New Roman" w:hAnsi="Times New Roman" w:cs="Times New Roman"/>
          <w:bCs/>
          <w:sz w:val="24"/>
          <w:szCs w:val="24"/>
          <w:lang w:val="sr-Cyrl-CS"/>
        </w:rPr>
        <w:t xml:space="preserve">одговорна </w:t>
      </w:r>
      <w:r w:rsidRPr="00827818">
        <w:rPr>
          <w:rFonts w:ascii="Times New Roman" w:hAnsi="Times New Roman" w:cs="Times New Roman"/>
          <w:bCs/>
          <w:sz w:val="24"/>
          <w:szCs w:val="24"/>
          <w:lang w:val="sr-Cyrl-CS"/>
        </w:rPr>
        <w:t>за спровођење активности</w:t>
      </w:r>
      <w:r w:rsidR="001939A3" w:rsidRPr="00827818">
        <w:rPr>
          <w:rFonts w:ascii="Times New Roman" w:hAnsi="Times New Roman" w:cs="Times New Roman"/>
          <w:bCs/>
          <w:sz w:val="24"/>
          <w:szCs w:val="24"/>
          <w:lang w:val="sr-Cyrl-CS"/>
        </w:rPr>
        <w:t xml:space="preserve"> која гласи: „Министарство финансија</w:t>
      </w:r>
      <w:r w:rsidR="00E65243" w:rsidRPr="00827818">
        <w:rPr>
          <w:rFonts w:ascii="Times New Roman" w:hAnsi="Times New Roman" w:cs="Times New Roman"/>
          <w:bCs/>
          <w:sz w:val="24"/>
          <w:szCs w:val="24"/>
          <w:lang w:val="sr-Cyrl-CS"/>
        </w:rPr>
        <w:t>ˮ</w:t>
      </w:r>
      <w:r w:rsidR="001939A3" w:rsidRPr="00827818">
        <w:rPr>
          <w:rFonts w:ascii="Times New Roman" w:hAnsi="Times New Roman" w:cs="Times New Roman"/>
          <w:bCs/>
          <w:sz w:val="24"/>
          <w:szCs w:val="24"/>
          <w:lang w:val="sr-Cyrl-CS"/>
        </w:rPr>
        <w:t xml:space="preserve">; </w:t>
      </w:r>
      <w:r w:rsidRPr="00827818">
        <w:rPr>
          <w:rFonts w:ascii="Times New Roman" w:hAnsi="Times New Roman" w:cs="Times New Roman"/>
          <w:bCs/>
          <w:sz w:val="24"/>
          <w:szCs w:val="24"/>
          <w:lang w:val="sr-Cyrl-CS"/>
        </w:rPr>
        <w:t>извор финансирања</w:t>
      </w:r>
      <w:r w:rsidR="001939A3" w:rsidRPr="00827818">
        <w:rPr>
          <w:rFonts w:ascii="Times New Roman" w:hAnsi="Times New Roman" w:cs="Times New Roman"/>
          <w:bCs/>
          <w:sz w:val="24"/>
          <w:szCs w:val="24"/>
          <w:lang w:val="sr-Cyrl-CS"/>
        </w:rPr>
        <w:t xml:space="preserve"> који гласи: „Донаторска средства</w:t>
      </w:r>
      <w:r w:rsidR="00E65243" w:rsidRPr="00827818">
        <w:rPr>
          <w:rFonts w:ascii="Times New Roman" w:hAnsi="Times New Roman" w:cs="Times New Roman"/>
          <w:bCs/>
          <w:sz w:val="24"/>
          <w:szCs w:val="24"/>
          <w:lang w:val="sr-Cyrl-CS"/>
        </w:rPr>
        <w:t>ˮ</w:t>
      </w:r>
      <w:r w:rsidR="00221A61" w:rsidRPr="00827818">
        <w:rPr>
          <w:rFonts w:ascii="Times New Roman" w:hAnsi="Times New Roman" w:cs="Times New Roman"/>
          <w:bCs/>
          <w:sz w:val="24"/>
          <w:szCs w:val="24"/>
          <w:lang w:val="sr-Cyrl-CS"/>
        </w:rPr>
        <w:t xml:space="preserve"> </w:t>
      </w:r>
      <w:r w:rsidR="008F2C15" w:rsidRPr="00827818">
        <w:rPr>
          <w:rFonts w:ascii="Times New Roman" w:hAnsi="Times New Roman" w:cs="Times New Roman"/>
          <w:bCs/>
          <w:sz w:val="24"/>
          <w:szCs w:val="24"/>
          <w:lang w:val="sr-Cyrl-CS"/>
        </w:rPr>
        <w:t xml:space="preserve">и </w:t>
      </w:r>
      <w:r w:rsidR="00221A61" w:rsidRPr="00827818">
        <w:rPr>
          <w:rFonts w:ascii="Times New Roman" w:hAnsi="Times New Roman" w:cs="Times New Roman"/>
          <w:bCs/>
          <w:sz w:val="24"/>
          <w:szCs w:val="24"/>
          <w:lang w:val="sr-Cyrl-CS"/>
        </w:rPr>
        <w:t>укупна процењена финансијска средства у 000 дин за 2024: „20.000“.</w:t>
      </w:r>
    </w:p>
    <w:p w:rsidR="00DE6AB5" w:rsidRPr="00827818" w:rsidRDefault="00F90470" w:rsidP="00F90470">
      <w:pPr>
        <w:spacing w:after="0" w:line="240" w:lineRule="auto"/>
        <w:ind w:firstLine="720"/>
        <w:jc w:val="both"/>
        <w:rPr>
          <w:rFonts w:ascii="Times New Roman" w:hAnsi="Times New Roman" w:cs="Times New Roman"/>
          <w:bCs/>
          <w:sz w:val="24"/>
          <w:szCs w:val="24"/>
          <w:lang w:val="sr-Cyrl-CS"/>
        </w:rPr>
      </w:pPr>
      <w:r w:rsidRPr="00827818">
        <w:rPr>
          <w:rFonts w:ascii="Times New Roman" w:hAnsi="Times New Roman" w:cs="Times New Roman"/>
          <w:sz w:val="24"/>
          <w:szCs w:val="24"/>
          <w:lang w:val="sr-Cyrl-CS"/>
        </w:rPr>
        <w:t>27.</w:t>
      </w:r>
      <w:r w:rsidR="006053D7" w:rsidRPr="00827818">
        <w:rPr>
          <w:rFonts w:ascii="Times New Roman" w:hAnsi="Times New Roman" w:cs="Times New Roman"/>
          <w:sz w:val="24"/>
          <w:szCs w:val="24"/>
          <w:lang w:val="sr-Cyrl-CS"/>
        </w:rPr>
        <w:t xml:space="preserve"> </w:t>
      </w:r>
      <w:r w:rsidR="00DE6AB5" w:rsidRPr="00827818">
        <w:rPr>
          <w:rFonts w:ascii="Times New Roman" w:hAnsi="Times New Roman" w:cs="Times New Roman"/>
          <w:sz w:val="24"/>
          <w:szCs w:val="24"/>
          <w:lang w:val="sr-Cyrl-CS"/>
        </w:rPr>
        <w:t xml:space="preserve">У </w:t>
      </w:r>
      <w:r w:rsidR="00D84126" w:rsidRPr="00827818">
        <w:rPr>
          <w:rFonts w:ascii="Times New Roman" w:hAnsi="Times New Roman" w:cs="Times New Roman"/>
          <w:bCs/>
          <w:sz w:val="24"/>
          <w:szCs w:val="24"/>
          <w:lang w:val="sr-Cyrl-CS"/>
        </w:rPr>
        <w:t>М</w:t>
      </w:r>
      <w:r w:rsidR="00DE6AB5" w:rsidRPr="00827818">
        <w:rPr>
          <w:rFonts w:ascii="Times New Roman" w:hAnsi="Times New Roman" w:cs="Times New Roman"/>
          <w:bCs/>
          <w:sz w:val="24"/>
          <w:szCs w:val="24"/>
          <w:lang w:val="sr-Cyrl-CS"/>
        </w:rPr>
        <w:t>ер</w:t>
      </w:r>
      <w:r w:rsidR="00D84126" w:rsidRPr="00827818">
        <w:rPr>
          <w:rFonts w:ascii="Times New Roman" w:hAnsi="Times New Roman" w:cs="Times New Roman"/>
          <w:bCs/>
          <w:sz w:val="24"/>
          <w:szCs w:val="24"/>
          <w:lang w:val="sr-Cyrl-CS"/>
        </w:rPr>
        <w:t>и</w:t>
      </w:r>
      <w:r w:rsidR="00DE6AB5" w:rsidRPr="00827818">
        <w:rPr>
          <w:rFonts w:ascii="Times New Roman" w:hAnsi="Times New Roman" w:cs="Times New Roman"/>
          <w:bCs/>
          <w:sz w:val="24"/>
          <w:szCs w:val="24"/>
          <w:lang w:val="sr-Cyrl-CS"/>
        </w:rPr>
        <w:t xml:space="preserve"> 1.5</w:t>
      </w:r>
      <w:r w:rsidR="00D84126" w:rsidRPr="00827818">
        <w:rPr>
          <w:rFonts w:ascii="Times New Roman" w:hAnsi="Times New Roman" w:cs="Times New Roman"/>
          <w:bCs/>
          <w:sz w:val="24"/>
          <w:szCs w:val="24"/>
          <w:lang w:val="sr-Cyrl-CS"/>
        </w:rPr>
        <w:t>:</w:t>
      </w:r>
      <w:r w:rsidR="00DE6AB5" w:rsidRPr="00827818">
        <w:rPr>
          <w:rFonts w:ascii="Times New Roman" w:hAnsi="Times New Roman" w:cs="Times New Roman"/>
          <w:bCs/>
          <w:sz w:val="24"/>
          <w:szCs w:val="24"/>
          <w:lang w:val="sr-Cyrl-CS"/>
        </w:rPr>
        <w:t xml:space="preserve"> </w:t>
      </w:r>
      <w:r w:rsidR="00D84126" w:rsidRPr="00827818">
        <w:rPr>
          <w:rFonts w:ascii="Times New Roman" w:hAnsi="Times New Roman" w:cs="Times New Roman"/>
          <w:bCs/>
          <w:sz w:val="24"/>
          <w:szCs w:val="24"/>
          <w:lang w:val="sr-Cyrl-CS"/>
        </w:rPr>
        <w:t xml:space="preserve">Јачање капацитета Сектора за праћење фискалних ризика, </w:t>
      </w:r>
      <w:r w:rsidR="00DE6AB5" w:rsidRPr="00827818">
        <w:rPr>
          <w:rFonts w:ascii="Times New Roman" w:hAnsi="Times New Roman" w:cs="Times New Roman"/>
          <w:bCs/>
          <w:sz w:val="24"/>
          <w:szCs w:val="24"/>
          <w:lang w:val="sr-Cyrl-CS"/>
        </w:rPr>
        <w:t>додаје се активност 1.5.6</w:t>
      </w:r>
      <w:r w:rsidR="00D84126" w:rsidRPr="00827818">
        <w:rPr>
          <w:rFonts w:ascii="Times New Roman" w:hAnsi="Times New Roman" w:cs="Times New Roman"/>
          <w:bCs/>
          <w:sz w:val="24"/>
          <w:szCs w:val="24"/>
          <w:lang w:val="sr-Cyrl-CS"/>
        </w:rPr>
        <w:t xml:space="preserve">, која </w:t>
      </w:r>
      <w:r w:rsidR="00DE6AB5" w:rsidRPr="00827818">
        <w:rPr>
          <w:rFonts w:ascii="Times New Roman" w:hAnsi="Times New Roman" w:cs="Times New Roman"/>
          <w:bCs/>
          <w:sz w:val="24"/>
          <w:szCs w:val="24"/>
          <w:lang w:val="sr-Cyrl-CS"/>
        </w:rPr>
        <w:t xml:space="preserve">гласи: </w:t>
      </w:r>
      <w:r w:rsidR="00221A61" w:rsidRPr="00827818">
        <w:rPr>
          <w:rFonts w:ascii="Times New Roman" w:hAnsi="Times New Roman" w:cs="Times New Roman"/>
          <w:bCs/>
          <w:sz w:val="24"/>
          <w:szCs w:val="24"/>
          <w:lang w:val="sr-Cyrl-CS"/>
        </w:rPr>
        <w:t xml:space="preserve"> </w:t>
      </w:r>
      <w:r w:rsidR="005A09E0" w:rsidRPr="00827818">
        <w:rPr>
          <w:rFonts w:ascii="Times New Roman" w:hAnsi="Times New Roman" w:cs="Times New Roman"/>
          <w:bCs/>
          <w:sz w:val="24"/>
          <w:szCs w:val="24"/>
          <w:lang w:val="sr-Cyrl-CS"/>
        </w:rPr>
        <w:t>„</w:t>
      </w:r>
      <w:r w:rsidR="00221A61" w:rsidRPr="00827818">
        <w:rPr>
          <w:rFonts w:ascii="Times New Roman" w:hAnsi="Times New Roman" w:cs="Times New Roman"/>
          <w:bCs/>
          <w:sz w:val="24"/>
          <w:szCs w:val="24"/>
          <w:lang w:val="sr-Cyrl-CS"/>
        </w:rPr>
        <w:t>Упознавање са најбољим међународним праксама које се односе на праћење и извештавање о фискалним ризицима (кроз студијска путовања, радионице и сл</w:t>
      </w:r>
      <w:r w:rsidR="00FE6657" w:rsidRPr="00827818">
        <w:rPr>
          <w:rFonts w:ascii="Times New Roman" w:hAnsi="Times New Roman" w:cs="Times New Roman"/>
          <w:bCs/>
          <w:sz w:val="24"/>
          <w:szCs w:val="24"/>
          <w:lang w:val="sr-Cyrl-CS"/>
        </w:rPr>
        <w:t>.</w:t>
      </w:r>
      <w:r w:rsidR="00221A61" w:rsidRPr="00827818">
        <w:rPr>
          <w:rFonts w:ascii="Times New Roman" w:hAnsi="Times New Roman" w:cs="Times New Roman"/>
          <w:bCs/>
          <w:sz w:val="24"/>
          <w:szCs w:val="24"/>
          <w:lang w:val="sr-Cyrl-CS"/>
        </w:rPr>
        <w:t>)</w:t>
      </w:r>
      <w:r w:rsidR="00E65243" w:rsidRPr="00827818">
        <w:rPr>
          <w:rFonts w:ascii="Times New Roman" w:hAnsi="Times New Roman" w:cs="Times New Roman"/>
          <w:bCs/>
          <w:sz w:val="24"/>
          <w:szCs w:val="24"/>
          <w:lang w:val="sr-Cyrl-CS"/>
        </w:rPr>
        <w:t>ˮ</w:t>
      </w:r>
      <w:r w:rsidR="00AC1468" w:rsidRPr="00827818">
        <w:rPr>
          <w:rFonts w:ascii="Times New Roman" w:hAnsi="Times New Roman" w:cs="Times New Roman"/>
          <w:bCs/>
          <w:sz w:val="24"/>
          <w:szCs w:val="24"/>
          <w:lang w:val="sr-Cyrl-CS"/>
        </w:rPr>
        <w:t>.</w:t>
      </w:r>
      <w:r w:rsidR="00630675" w:rsidRPr="00827818">
        <w:rPr>
          <w:rFonts w:ascii="Times New Roman" w:hAnsi="Times New Roman" w:cs="Times New Roman"/>
          <w:bCs/>
          <w:sz w:val="24"/>
          <w:szCs w:val="24"/>
          <w:lang w:val="sr-Cyrl-CS"/>
        </w:rPr>
        <w:t xml:space="preserve"> </w:t>
      </w:r>
      <w:r w:rsidR="006053D7" w:rsidRPr="00827818">
        <w:rPr>
          <w:rFonts w:ascii="Times New Roman" w:hAnsi="Times New Roman" w:cs="Times New Roman"/>
          <w:bCs/>
          <w:sz w:val="24"/>
          <w:szCs w:val="24"/>
          <w:lang w:val="sr-Cyrl-CS"/>
        </w:rPr>
        <w:t>За наведену активност додају</w:t>
      </w:r>
      <w:r w:rsidR="00D84126" w:rsidRPr="00827818">
        <w:rPr>
          <w:rFonts w:ascii="Times New Roman" w:hAnsi="Times New Roman" w:cs="Times New Roman"/>
          <w:bCs/>
          <w:sz w:val="24"/>
          <w:szCs w:val="24"/>
          <w:lang w:val="sr-Cyrl-CS"/>
        </w:rPr>
        <w:t xml:space="preserve"> се</w:t>
      </w:r>
      <w:r w:rsidR="006053D7" w:rsidRPr="00827818">
        <w:rPr>
          <w:rFonts w:ascii="Times New Roman" w:hAnsi="Times New Roman" w:cs="Times New Roman"/>
          <w:bCs/>
          <w:sz w:val="24"/>
          <w:szCs w:val="24"/>
          <w:lang w:val="sr-Cyrl-CS"/>
        </w:rPr>
        <w:t>: рок за завршетак активности</w:t>
      </w:r>
      <w:r w:rsidR="00D84126" w:rsidRPr="00827818">
        <w:rPr>
          <w:rFonts w:ascii="Times New Roman" w:hAnsi="Times New Roman" w:cs="Times New Roman"/>
          <w:bCs/>
          <w:sz w:val="24"/>
          <w:szCs w:val="24"/>
          <w:lang w:val="sr-Cyrl-CS"/>
        </w:rPr>
        <w:t xml:space="preserve"> који гласи: </w:t>
      </w:r>
      <w:r w:rsidR="00BF3A89" w:rsidRPr="00827818">
        <w:rPr>
          <w:rFonts w:ascii="Times New Roman" w:hAnsi="Times New Roman" w:cs="Times New Roman"/>
          <w:bCs/>
          <w:sz w:val="24"/>
          <w:szCs w:val="24"/>
          <w:lang w:val="sr-Cyrl-CS"/>
        </w:rPr>
        <w:t>„</w:t>
      </w:r>
      <w:r w:rsidR="00E25E49" w:rsidRPr="00827818">
        <w:rPr>
          <w:rFonts w:ascii="Times New Roman" w:hAnsi="Times New Roman" w:cs="Times New Roman"/>
          <w:bCs/>
          <w:sz w:val="24"/>
          <w:szCs w:val="24"/>
          <w:lang w:val="sr-Cyrl-CS"/>
        </w:rPr>
        <w:t>Q</w:t>
      </w:r>
      <w:r w:rsidR="00D84126" w:rsidRPr="00827818">
        <w:rPr>
          <w:rFonts w:ascii="Times New Roman" w:hAnsi="Times New Roman" w:cs="Times New Roman"/>
          <w:bCs/>
          <w:sz w:val="24"/>
          <w:szCs w:val="24"/>
          <w:lang w:val="sr-Cyrl-CS"/>
        </w:rPr>
        <w:t>4</w:t>
      </w:r>
      <w:r w:rsidR="005A09E0" w:rsidRPr="00827818">
        <w:rPr>
          <w:rFonts w:ascii="Times New Roman" w:hAnsi="Times New Roman" w:cs="Times New Roman"/>
          <w:bCs/>
          <w:sz w:val="24"/>
          <w:szCs w:val="24"/>
          <w:lang w:val="sr-Cyrl-CS"/>
        </w:rPr>
        <w:t xml:space="preserve"> </w:t>
      </w:r>
      <w:r w:rsidR="00D84126" w:rsidRPr="00827818">
        <w:rPr>
          <w:rFonts w:ascii="Times New Roman" w:hAnsi="Times New Roman" w:cs="Times New Roman"/>
          <w:bCs/>
          <w:sz w:val="24"/>
          <w:szCs w:val="24"/>
          <w:lang w:val="sr-Cyrl-CS"/>
        </w:rPr>
        <w:t>2024</w:t>
      </w:r>
      <w:r w:rsidR="00E65243" w:rsidRPr="00827818">
        <w:rPr>
          <w:rFonts w:ascii="Times New Roman" w:hAnsi="Times New Roman" w:cs="Times New Roman"/>
          <w:bCs/>
          <w:sz w:val="24"/>
          <w:szCs w:val="24"/>
          <w:lang w:val="sr-Cyrl-CS"/>
        </w:rPr>
        <w:t>ˮ</w:t>
      </w:r>
      <w:r w:rsidR="00D84126" w:rsidRPr="00827818">
        <w:rPr>
          <w:rFonts w:ascii="Times New Roman" w:hAnsi="Times New Roman" w:cs="Times New Roman"/>
          <w:bCs/>
          <w:sz w:val="24"/>
          <w:szCs w:val="24"/>
          <w:lang w:val="sr-Cyrl-CS"/>
        </w:rPr>
        <w:t>;</w:t>
      </w:r>
      <w:r w:rsidR="005A09E0" w:rsidRPr="00827818">
        <w:rPr>
          <w:rFonts w:ascii="Times New Roman" w:hAnsi="Times New Roman" w:cs="Times New Roman"/>
          <w:bCs/>
          <w:sz w:val="24"/>
          <w:szCs w:val="24"/>
          <w:lang w:val="sr-Cyrl-CS"/>
        </w:rPr>
        <w:t xml:space="preserve"> </w:t>
      </w:r>
      <w:r w:rsidR="00D84126" w:rsidRPr="00827818">
        <w:rPr>
          <w:rFonts w:ascii="Times New Roman" w:hAnsi="Times New Roman" w:cs="Times New Roman"/>
          <w:bCs/>
          <w:sz w:val="24"/>
          <w:szCs w:val="24"/>
          <w:lang w:val="sr-Cyrl-CS"/>
        </w:rPr>
        <w:t xml:space="preserve">институција </w:t>
      </w:r>
      <w:r w:rsidR="00295209" w:rsidRPr="00827818">
        <w:rPr>
          <w:rFonts w:ascii="Times New Roman" w:hAnsi="Times New Roman" w:cs="Times New Roman"/>
          <w:bCs/>
          <w:sz w:val="24"/>
          <w:szCs w:val="24"/>
          <w:lang w:val="sr-Cyrl-CS"/>
        </w:rPr>
        <w:t xml:space="preserve">одговорна </w:t>
      </w:r>
      <w:r w:rsidR="006053D7" w:rsidRPr="00827818">
        <w:rPr>
          <w:rFonts w:ascii="Times New Roman" w:hAnsi="Times New Roman" w:cs="Times New Roman"/>
          <w:bCs/>
          <w:sz w:val="24"/>
          <w:szCs w:val="24"/>
          <w:lang w:val="sr-Cyrl-CS"/>
        </w:rPr>
        <w:t xml:space="preserve">за спровођење активности </w:t>
      </w:r>
      <w:r w:rsidR="00D84126" w:rsidRPr="00827818">
        <w:rPr>
          <w:rFonts w:ascii="Times New Roman" w:hAnsi="Times New Roman" w:cs="Times New Roman"/>
          <w:bCs/>
          <w:sz w:val="24"/>
          <w:szCs w:val="24"/>
          <w:lang w:val="sr-Cyrl-CS"/>
        </w:rPr>
        <w:t>која гласи: „Министарство финансија</w:t>
      </w:r>
      <w:r w:rsidR="00E65243" w:rsidRPr="00827818">
        <w:rPr>
          <w:rFonts w:ascii="Times New Roman" w:hAnsi="Times New Roman" w:cs="Times New Roman"/>
          <w:bCs/>
          <w:sz w:val="24"/>
          <w:szCs w:val="24"/>
          <w:lang w:val="sr-Cyrl-CS"/>
        </w:rPr>
        <w:t>ˮ</w:t>
      </w:r>
      <w:r w:rsidR="00D84126" w:rsidRPr="00827818">
        <w:rPr>
          <w:rFonts w:ascii="Times New Roman" w:hAnsi="Times New Roman" w:cs="Times New Roman"/>
          <w:bCs/>
          <w:sz w:val="24"/>
          <w:szCs w:val="24"/>
          <w:lang w:val="sr-Cyrl-CS"/>
        </w:rPr>
        <w:t xml:space="preserve">; </w:t>
      </w:r>
      <w:r w:rsidR="006053D7" w:rsidRPr="00827818">
        <w:rPr>
          <w:rFonts w:ascii="Times New Roman" w:hAnsi="Times New Roman" w:cs="Times New Roman"/>
          <w:bCs/>
          <w:sz w:val="24"/>
          <w:szCs w:val="24"/>
          <w:lang w:val="sr-Cyrl-CS"/>
        </w:rPr>
        <w:t xml:space="preserve">извор финансирања </w:t>
      </w:r>
      <w:r w:rsidR="00D84126" w:rsidRPr="00827818">
        <w:rPr>
          <w:rFonts w:ascii="Times New Roman" w:hAnsi="Times New Roman" w:cs="Times New Roman"/>
          <w:bCs/>
          <w:sz w:val="24"/>
          <w:szCs w:val="24"/>
          <w:lang w:val="sr-Cyrl-CS"/>
        </w:rPr>
        <w:t>који гласи: „Донаторска средства</w:t>
      </w:r>
      <w:r w:rsidR="00E65243" w:rsidRPr="00827818">
        <w:rPr>
          <w:rFonts w:ascii="Times New Roman" w:hAnsi="Times New Roman" w:cs="Times New Roman"/>
          <w:bCs/>
          <w:sz w:val="24"/>
          <w:szCs w:val="24"/>
          <w:lang w:val="sr-Cyrl-CS"/>
        </w:rPr>
        <w:t>ˮ</w:t>
      </w:r>
      <w:r w:rsidR="00BF3A89" w:rsidRPr="00827818">
        <w:rPr>
          <w:rFonts w:ascii="Times New Roman" w:hAnsi="Times New Roman" w:cs="Times New Roman"/>
          <w:bCs/>
          <w:sz w:val="24"/>
          <w:szCs w:val="24"/>
          <w:lang w:val="sr-Cyrl-CS"/>
        </w:rPr>
        <w:t xml:space="preserve"> и</w:t>
      </w:r>
      <w:r w:rsidR="005E2C33" w:rsidRPr="00827818">
        <w:rPr>
          <w:rFonts w:ascii="Times New Roman" w:hAnsi="Times New Roman" w:cs="Times New Roman"/>
          <w:sz w:val="24"/>
          <w:szCs w:val="24"/>
          <w:lang w:val="sr-Cyrl-CS"/>
        </w:rPr>
        <w:t xml:space="preserve"> </w:t>
      </w:r>
      <w:r w:rsidR="00221A61" w:rsidRPr="00827818">
        <w:rPr>
          <w:rFonts w:ascii="Times New Roman" w:hAnsi="Times New Roman" w:cs="Times New Roman"/>
          <w:bCs/>
          <w:sz w:val="24"/>
          <w:szCs w:val="24"/>
          <w:lang w:val="sr-Cyrl-CS"/>
        </w:rPr>
        <w:t>укупна процењена финансијска средства у 000 дин за 2024: „15.0</w:t>
      </w:r>
      <w:r w:rsidR="00BF3A89" w:rsidRPr="00827818">
        <w:rPr>
          <w:rFonts w:ascii="Times New Roman" w:hAnsi="Times New Roman" w:cs="Times New Roman"/>
          <w:bCs/>
          <w:sz w:val="24"/>
          <w:szCs w:val="24"/>
          <w:lang w:val="sr-Cyrl-CS"/>
        </w:rPr>
        <w:t>00”</w:t>
      </w:r>
      <w:r w:rsidR="00221A61" w:rsidRPr="00827818">
        <w:rPr>
          <w:rFonts w:ascii="Times New Roman" w:hAnsi="Times New Roman" w:cs="Times New Roman"/>
          <w:sz w:val="24"/>
          <w:szCs w:val="24"/>
          <w:lang w:val="sr-Cyrl-CS"/>
        </w:rPr>
        <w:t>.</w:t>
      </w:r>
    </w:p>
    <w:p w:rsidR="00032034" w:rsidRPr="00827818" w:rsidRDefault="005045F7" w:rsidP="00E65FB4">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28. </w:t>
      </w:r>
      <w:r w:rsidR="00750984" w:rsidRPr="00827818">
        <w:rPr>
          <w:rFonts w:ascii="Times New Roman" w:hAnsi="Times New Roman" w:cs="Times New Roman"/>
          <w:sz w:val="24"/>
          <w:szCs w:val="24"/>
          <w:lang w:val="sr-Cyrl-CS"/>
        </w:rPr>
        <w:t xml:space="preserve">У </w:t>
      </w:r>
      <w:r w:rsidR="008973B8" w:rsidRPr="00827818">
        <w:rPr>
          <w:rFonts w:ascii="Times New Roman" w:hAnsi="Times New Roman" w:cs="Times New Roman"/>
          <w:sz w:val="24"/>
          <w:szCs w:val="24"/>
          <w:lang w:val="sr-Cyrl-CS"/>
        </w:rPr>
        <w:t xml:space="preserve">оквиру </w:t>
      </w:r>
      <w:r w:rsidR="00750984" w:rsidRPr="00827818">
        <w:rPr>
          <w:rFonts w:ascii="Times New Roman" w:hAnsi="Times New Roman" w:cs="Times New Roman"/>
          <w:bCs/>
          <w:sz w:val="24"/>
          <w:szCs w:val="24"/>
          <w:lang w:val="sr-Cyrl-CS"/>
        </w:rPr>
        <w:t>Посебн</w:t>
      </w:r>
      <w:r w:rsidR="008973B8" w:rsidRPr="00827818">
        <w:rPr>
          <w:rFonts w:ascii="Times New Roman" w:hAnsi="Times New Roman" w:cs="Times New Roman"/>
          <w:bCs/>
          <w:sz w:val="24"/>
          <w:szCs w:val="24"/>
          <w:lang w:val="sr-Cyrl-CS"/>
        </w:rPr>
        <w:t>ог</w:t>
      </w:r>
      <w:r w:rsidR="00750984" w:rsidRPr="00827818">
        <w:rPr>
          <w:rFonts w:ascii="Times New Roman" w:hAnsi="Times New Roman" w:cs="Times New Roman"/>
          <w:bCs/>
          <w:sz w:val="24"/>
          <w:szCs w:val="24"/>
          <w:lang w:val="sr-Cyrl-CS"/>
        </w:rPr>
        <w:t xml:space="preserve"> циљ</w:t>
      </w:r>
      <w:r w:rsidR="008973B8" w:rsidRPr="00827818">
        <w:rPr>
          <w:rFonts w:ascii="Times New Roman" w:hAnsi="Times New Roman" w:cs="Times New Roman"/>
          <w:bCs/>
          <w:sz w:val="24"/>
          <w:szCs w:val="24"/>
          <w:lang w:val="sr-Cyrl-CS"/>
        </w:rPr>
        <w:t>а</w:t>
      </w:r>
      <w:r w:rsidR="007B3D18" w:rsidRPr="00827818">
        <w:rPr>
          <w:rFonts w:ascii="Times New Roman" w:hAnsi="Times New Roman" w:cs="Times New Roman"/>
          <w:bCs/>
          <w:sz w:val="24"/>
          <w:szCs w:val="24"/>
          <w:lang w:val="sr-Cyrl-CS"/>
        </w:rPr>
        <w:t xml:space="preserve"> II</w:t>
      </w:r>
      <w:r w:rsidR="00750984" w:rsidRPr="00827818">
        <w:rPr>
          <w:rFonts w:ascii="Times New Roman" w:hAnsi="Times New Roman" w:cs="Times New Roman"/>
          <w:sz w:val="24"/>
          <w:szCs w:val="24"/>
          <w:lang w:val="sr-Cyrl-CS"/>
        </w:rPr>
        <w:t xml:space="preserve"> </w:t>
      </w:r>
      <w:r w:rsidR="00750984" w:rsidRPr="00827818">
        <w:rPr>
          <w:rFonts w:ascii="Times New Roman" w:hAnsi="Times New Roman" w:cs="Times New Roman"/>
          <w:bCs/>
          <w:sz w:val="24"/>
          <w:szCs w:val="24"/>
          <w:lang w:val="sr-Cyrl-CS"/>
        </w:rPr>
        <w:t xml:space="preserve">Ефикасно прикупљање и управљање буџетским средствима, </w:t>
      </w:r>
      <w:r w:rsidR="008973B8" w:rsidRPr="00827818">
        <w:rPr>
          <w:rFonts w:ascii="Times New Roman" w:hAnsi="Times New Roman" w:cs="Times New Roman"/>
          <w:bCs/>
          <w:sz w:val="24"/>
          <w:szCs w:val="24"/>
          <w:lang w:val="sr-Cyrl-CS"/>
        </w:rPr>
        <w:t xml:space="preserve">у </w:t>
      </w:r>
      <w:r w:rsidR="008E3969" w:rsidRPr="00827818">
        <w:rPr>
          <w:rFonts w:ascii="Times New Roman" w:hAnsi="Times New Roman" w:cs="Times New Roman"/>
          <w:bCs/>
          <w:sz w:val="24"/>
          <w:szCs w:val="24"/>
          <w:lang w:val="sr-Cyrl-CS"/>
        </w:rPr>
        <w:t xml:space="preserve">оквиру </w:t>
      </w:r>
      <w:r w:rsidR="00750984" w:rsidRPr="00827818">
        <w:rPr>
          <w:rFonts w:ascii="Times New Roman" w:hAnsi="Times New Roman" w:cs="Times New Roman"/>
          <w:bCs/>
          <w:sz w:val="24"/>
          <w:szCs w:val="24"/>
          <w:lang w:val="sr-Cyrl-CS"/>
        </w:rPr>
        <w:t>показатељ</w:t>
      </w:r>
      <w:r w:rsidR="008E3969" w:rsidRPr="00827818">
        <w:rPr>
          <w:rFonts w:ascii="Times New Roman" w:hAnsi="Times New Roman" w:cs="Times New Roman"/>
          <w:bCs/>
          <w:sz w:val="24"/>
          <w:szCs w:val="24"/>
          <w:lang w:val="sr-Cyrl-CS"/>
        </w:rPr>
        <w:t>а на нивоу посебног циља:</w:t>
      </w:r>
      <w:r w:rsidR="00750984" w:rsidRPr="00827818">
        <w:rPr>
          <w:rFonts w:ascii="Times New Roman" w:hAnsi="Times New Roman" w:cs="Times New Roman"/>
          <w:bCs/>
          <w:sz w:val="24"/>
          <w:szCs w:val="24"/>
          <w:lang w:val="sr-Cyrl-CS"/>
        </w:rPr>
        <w:t xml:space="preserve"> </w:t>
      </w:r>
      <w:r w:rsidR="007B3D18"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Годишњи трошкови сервисирања јавног дуга (плаћање камата- нето износ) као % БДП</w:t>
      </w:r>
      <w:r w:rsidR="00BF3A89"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 xml:space="preserve">, </w:t>
      </w:r>
      <w:r w:rsidR="00583B32" w:rsidRPr="00827818">
        <w:rPr>
          <w:rFonts w:ascii="Times New Roman" w:hAnsi="Times New Roman" w:cs="Times New Roman"/>
          <w:bCs/>
          <w:sz w:val="24"/>
          <w:szCs w:val="24"/>
          <w:lang w:val="sr-Cyrl-CS"/>
        </w:rPr>
        <w:t>циљана</w:t>
      </w:r>
      <w:r w:rsidR="00866CAC" w:rsidRPr="00827818">
        <w:rPr>
          <w:rFonts w:ascii="Times New Roman" w:hAnsi="Times New Roman" w:cs="Times New Roman"/>
          <w:bCs/>
          <w:sz w:val="24"/>
          <w:szCs w:val="24"/>
          <w:lang w:val="sr-Cyrl-CS"/>
        </w:rPr>
        <w:t xml:space="preserve"> вр</w:t>
      </w:r>
      <w:r w:rsidR="00583B32" w:rsidRPr="00827818">
        <w:rPr>
          <w:rFonts w:ascii="Times New Roman" w:hAnsi="Times New Roman" w:cs="Times New Roman"/>
          <w:bCs/>
          <w:sz w:val="24"/>
          <w:szCs w:val="24"/>
          <w:lang w:val="sr-Cyrl-CS"/>
        </w:rPr>
        <w:t>едност</w:t>
      </w:r>
      <w:r w:rsidR="007B3D18" w:rsidRPr="00827818">
        <w:rPr>
          <w:rFonts w:ascii="Times New Roman" w:hAnsi="Times New Roman" w:cs="Times New Roman"/>
          <w:bCs/>
          <w:sz w:val="24"/>
          <w:szCs w:val="24"/>
          <w:lang w:val="sr-Cyrl-CS"/>
        </w:rPr>
        <w:t xml:space="preserve"> за 2023: „-</w:t>
      </w:r>
      <w:r w:rsidR="00E65243" w:rsidRPr="00827818">
        <w:rPr>
          <w:rFonts w:ascii="Times New Roman" w:hAnsi="Times New Roman" w:cs="Times New Roman"/>
          <w:bCs/>
          <w:sz w:val="24"/>
          <w:szCs w:val="24"/>
          <w:lang w:val="sr-Cyrl-CS"/>
        </w:rPr>
        <w:t>ˮ</w:t>
      </w:r>
      <w:r w:rsidR="00866CAC" w:rsidRPr="00827818">
        <w:rPr>
          <w:rFonts w:ascii="Times New Roman" w:hAnsi="Times New Roman" w:cs="Times New Roman"/>
          <w:bCs/>
          <w:sz w:val="24"/>
          <w:szCs w:val="24"/>
          <w:lang w:val="sr-Cyrl-CS"/>
        </w:rPr>
        <w:t xml:space="preserve"> замењује се </w:t>
      </w:r>
      <w:r w:rsidR="00583B32" w:rsidRPr="00827818">
        <w:rPr>
          <w:rFonts w:ascii="Times New Roman" w:hAnsi="Times New Roman" w:cs="Times New Roman"/>
          <w:bCs/>
          <w:sz w:val="24"/>
          <w:szCs w:val="24"/>
          <w:lang w:val="sr-Cyrl-CS"/>
        </w:rPr>
        <w:t xml:space="preserve">циљаном </w:t>
      </w:r>
      <w:r w:rsidR="00866CAC" w:rsidRPr="00827818">
        <w:rPr>
          <w:rFonts w:ascii="Times New Roman" w:hAnsi="Times New Roman" w:cs="Times New Roman"/>
          <w:bCs/>
          <w:sz w:val="24"/>
          <w:szCs w:val="24"/>
          <w:lang w:val="sr-Cyrl-CS"/>
        </w:rPr>
        <w:t>вредношћу</w:t>
      </w:r>
      <w:r w:rsidR="00583B32" w:rsidRPr="00827818">
        <w:rPr>
          <w:rFonts w:ascii="Times New Roman" w:hAnsi="Times New Roman" w:cs="Times New Roman"/>
          <w:bCs/>
          <w:sz w:val="24"/>
          <w:szCs w:val="24"/>
          <w:lang w:val="sr-Cyrl-CS"/>
        </w:rPr>
        <w:t xml:space="preserve"> за 2023</w:t>
      </w:r>
      <w:r w:rsidR="00866CAC" w:rsidRPr="00827818">
        <w:rPr>
          <w:rFonts w:ascii="Times New Roman" w:hAnsi="Times New Roman" w:cs="Times New Roman"/>
          <w:bCs/>
          <w:sz w:val="24"/>
          <w:szCs w:val="24"/>
          <w:lang w:val="sr-Cyrl-CS"/>
        </w:rPr>
        <w:t>: „1,8</w:t>
      </w:r>
      <w:r w:rsidR="00976AB7" w:rsidRPr="00827818">
        <w:rPr>
          <w:rFonts w:ascii="Times New Roman" w:hAnsi="Times New Roman" w:cs="Times New Roman"/>
          <w:bCs/>
          <w:sz w:val="24"/>
          <w:szCs w:val="24"/>
          <w:lang w:val="sr-Cyrl-CS"/>
        </w:rPr>
        <w:t>%</w:t>
      </w:r>
      <w:r w:rsidR="00E65243" w:rsidRPr="00827818">
        <w:rPr>
          <w:rFonts w:ascii="Times New Roman" w:hAnsi="Times New Roman" w:cs="Times New Roman"/>
          <w:bCs/>
          <w:sz w:val="24"/>
          <w:szCs w:val="24"/>
          <w:lang w:val="sr-Cyrl-CS"/>
        </w:rPr>
        <w:t>ˮ</w:t>
      </w:r>
      <w:r w:rsidR="00583B32" w:rsidRPr="00827818">
        <w:rPr>
          <w:rFonts w:ascii="Times New Roman" w:hAnsi="Times New Roman" w:cs="Times New Roman"/>
          <w:bCs/>
          <w:sz w:val="24"/>
          <w:szCs w:val="24"/>
          <w:lang w:val="sr-Cyrl-CS"/>
        </w:rPr>
        <w:t xml:space="preserve">; Циљана вредност </w:t>
      </w:r>
      <w:r w:rsidR="007B3D18" w:rsidRPr="00827818">
        <w:rPr>
          <w:rFonts w:ascii="Times New Roman" w:hAnsi="Times New Roman" w:cs="Times New Roman"/>
          <w:bCs/>
          <w:sz w:val="24"/>
          <w:szCs w:val="24"/>
          <w:lang w:val="sr-Cyrl-CS"/>
        </w:rPr>
        <w:t>за 2024: „-</w:t>
      </w:r>
      <w:r w:rsidR="00E65243" w:rsidRPr="00827818">
        <w:rPr>
          <w:rFonts w:ascii="Times New Roman" w:hAnsi="Times New Roman" w:cs="Times New Roman"/>
          <w:bCs/>
          <w:sz w:val="24"/>
          <w:szCs w:val="24"/>
          <w:lang w:val="sr-Cyrl-CS"/>
        </w:rPr>
        <w:t>ˮ</w:t>
      </w:r>
      <w:r w:rsidR="009B13DC" w:rsidRPr="00827818">
        <w:rPr>
          <w:rFonts w:ascii="Times New Roman" w:hAnsi="Times New Roman" w:cs="Times New Roman"/>
          <w:bCs/>
          <w:sz w:val="24"/>
          <w:szCs w:val="24"/>
          <w:lang w:val="sr-Cyrl-CS"/>
        </w:rPr>
        <w:t xml:space="preserve"> </w:t>
      </w:r>
      <w:r w:rsidR="009B13DC" w:rsidRPr="00827818">
        <w:rPr>
          <w:rFonts w:ascii="Times New Roman" w:hAnsi="Times New Roman" w:cs="Times New Roman"/>
          <w:bCs/>
          <w:sz w:val="24"/>
          <w:szCs w:val="24"/>
          <w:lang w:val="sr-Cyrl-CS"/>
        </w:rPr>
        <w:lastRenderedPageBreak/>
        <w:t xml:space="preserve">замењује се </w:t>
      </w:r>
      <w:r w:rsidR="00583B32" w:rsidRPr="00827818">
        <w:rPr>
          <w:rFonts w:ascii="Times New Roman" w:hAnsi="Times New Roman" w:cs="Times New Roman"/>
          <w:bCs/>
          <w:sz w:val="24"/>
          <w:szCs w:val="24"/>
          <w:lang w:val="sr-Cyrl-CS"/>
        </w:rPr>
        <w:t xml:space="preserve">циљаном </w:t>
      </w:r>
      <w:r w:rsidR="009B13DC" w:rsidRPr="00827818">
        <w:rPr>
          <w:rFonts w:ascii="Times New Roman" w:hAnsi="Times New Roman" w:cs="Times New Roman"/>
          <w:bCs/>
          <w:sz w:val="24"/>
          <w:szCs w:val="24"/>
          <w:lang w:val="sr-Cyrl-CS"/>
        </w:rPr>
        <w:t>вредношћу</w:t>
      </w:r>
      <w:r w:rsidR="00583B32" w:rsidRPr="00827818">
        <w:rPr>
          <w:rFonts w:ascii="Times New Roman" w:hAnsi="Times New Roman" w:cs="Times New Roman"/>
          <w:bCs/>
          <w:sz w:val="24"/>
          <w:szCs w:val="24"/>
          <w:lang w:val="sr-Cyrl-CS"/>
        </w:rPr>
        <w:t xml:space="preserve"> за 2024</w:t>
      </w:r>
      <w:r w:rsidR="009B13DC" w:rsidRPr="00827818">
        <w:rPr>
          <w:rFonts w:ascii="Times New Roman" w:hAnsi="Times New Roman" w:cs="Times New Roman"/>
          <w:bCs/>
          <w:sz w:val="24"/>
          <w:szCs w:val="24"/>
          <w:lang w:val="sr-Cyrl-CS"/>
        </w:rPr>
        <w:t>: „2,1</w:t>
      </w:r>
      <w:r w:rsidR="00976AB7" w:rsidRPr="00827818">
        <w:rPr>
          <w:rFonts w:ascii="Times New Roman" w:hAnsi="Times New Roman" w:cs="Times New Roman"/>
          <w:bCs/>
          <w:sz w:val="24"/>
          <w:szCs w:val="24"/>
          <w:lang w:val="sr-Cyrl-CS"/>
        </w:rPr>
        <w:t>%</w:t>
      </w:r>
      <w:r w:rsidRPr="00827818">
        <w:rPr>
          <w:rFonts w:ascii="Times New Roman" w:hAnsi="Times New Roman" w:cs="Times New Roman"/>
          <w:bCs/>
          <w:sz w:val="24"/>
          <w:szCs w:val="24"/>
          <w:lang w:val="sr-Cyrl-CS"/>
        </w:rPr>
        <w:t>ˮ и</w:t>
      </w:r>
      <w:r w:rsidR="00BF3A89" w:rsidRPr="00827818">
        <w:rPr>
          <w:rFonts w:ascii="Times New Roman" w:hAnsi="Times New Roman" w:cs="Times New Roman"/>
          <w:bCs/>
          <w:sz w:val="24"/>
          <w:szCs w:val="24"/>
          <w:lang w:val="sr-Cyrl-CS"/>
        </w:rPr>
        <w:t xml:space="preserve"> </w:t>
      </w:r>
      <w:r w:rsidR="00583B32" w:rsidRPr="00827818">
        <w:rPr>
          <w:rFonts w:ascii="Times New Roman" w:hAnsi="Times New Roman" w:cs="Times New Roman"/>
          <w:bCs/>
          <w:sz w:val="24"/>
          <w:szCs w:val="24"/>
          <w:lang w:val="sr-Cyrl-CS"/>
        </w:rPr>
        <w:t>Циљана</w:t>
      </w:r>
      <w:r w:rsidR="00866CAC" w:rsidRPr="00827818">
        <w:rPr>
          <w:rFonts w:ascii="Times New Roman" w:hAnsi="Times New Roman" w:cs="Times New Roman"/>
          <w:bCs/>
          <w:sz w:val="24"/>
          <w:szCs w:val="24"/>
          <w:lang w:val="sr-Cyrl-CS"/>
        </w:rPr>
        <w:t xml:space="preserve"> в</w:t>
      </w:r>
      <w:r w:rsidR="00583B32" w:rsidRPr="00827818">
        <w:rPr>
          <w:rFonts w:ascii="Times New Roman" w:hAnsi="Times New Roman" w:cs="Times New Roman"/>
          <w:bCs/>
          <w:sz w:val="24"/>
          <w:szCs w:val="24"/>
          <w:lang w:val="sr-Cyrl-CS"/>
        </w:rPr>
        <w:t xml:space="preserve">редност </w:t>
      </w:r>
      <w:r w:rsidR="009B13DC" w:rsidRPr="00827818">
        <w:rPr>
          <w:rFonts w:ascii="Times New Roman" w:hAnsi="Times New Roman" w:cs="Times New Roman"/>
          <w:bCs/>
          <w:sz w:val="24"/>
          <w:szCs w:val="24"/>
          <w:lang w:val="sr-Cyrl-CS"/>
        </w:rPr>
        <w:t>за 2025: „1,7%</w:t>
      </w:r>
      <w:r w:rsidR="00E65243" w:rsidRPr="00827818">
        <w:rPr>
          <w:rFonts w:ascii="Times New Roman" w:hAnsi="Times New Roman" w:cs="Times New Roman"/>
          <w:bCs/>
          <w:sz w:val="24"/>
          <w:szCs w:val="24"/>
          <w:lang w:val="sr-Cyrl-CS"/>
        </w:rPr>
        <w:t>ˮ</w:t>
      </w:r>
      <w:r w:rsidR="00866CAC" w:rsidRPr="00827818">
        <w:rPr>
          <w:rFonts w:ascii="Times New Roman" w:hAnsi="Times New Roman" w:cs="Times New Roman"/>
          <w:bCs/>
          <w:sz w:val="24"/>
          <w:szCs w:val="24"/>
          <w:lang w:val="sr-Cyrl-CS"/>
        </w:rPr>
        <w:t xml:space="preserve"> замењуј</w:t>
      </w:r>
      <w:r w:rsidR="009B13DC" w:rsidRPr="00827818">
        <w:rPr>
          <w:rFonts w:ascii="Times New Roman" w:hAnsi="Times New Roman" w:cs="Times New Roman"/>
          <w:bCs/>
          <w:sz w:val="24"/>
          <w:szCs w:val="24"/>
          <w:lang w:val="sr-Cyrl-CS"/>
        </w:rPr>
        <w:t xml:space="preserve">е се </w:t>
      </w:r>
      <w:r w:rsidR="00583B32" w:rsidRPr="00827818">
        <w:rPr>
          <w:rFonts w:ascii="Times New Roman" w:hAnsi="Times New Roman" w:cs="Times New Roman"/>
          <w:bCs/>
          <w:sz w:val="24"/>
          <w:szCs w:val="24"/>
          <w:lang w:val="sr-Cyrl-CS"/>
        </w:rPr>
        <w:t xml:space="preserve">циљаном </w:t>
      </w:r>
      <w:r w:rsidR="009B13DC" w:rsidRPr="00827818">
        <w:rPr>
          <w:rFonts w:ascii="Times New Roman" w:hAnsi="Times New Roman" w:cs="Times New Roman"/>
          <w:bCs/>
          <w:sz w:val="24"/>
          <w:szCs w:val="24"/>
          <w:lang w:val="sr-Cyrl-CS"/>
        </w:rPr>
        <w:t>вредношћу</w:t>
      </w:r>
      <w:r w:rsidR="00583B32" w:rsidRPr="00827818">
        <w:rPr>
          <w:rFonts w:ascii="Times New Roman" w:hAnsi="Times New Roman" w:cs="Times New Roman"/>
          <w:bCs/>
          <w:sz w:val="24"/>
          <w:szCs w:val="24"/>
          <w:lang w:val="sr-Cyrl-CS"/>
        </w:rPr>
        <w:t xml:space="preserve"> за 2025</w:t>
      </w:r>
      <w:r w:rsidR="009B13DC" w:rsidRPr="00827818">
        <w:rPr>
          <w:rFonts w:ascii="Times New Roman" w:hAnsi="Times New Roman" w:cs="Times New Roman"/>
          <w:bCs/>
          <w:sz w:val="24"/>
          <w:szCs w:val="24"/>
          <w:lang w:val="sr-Cyrl-CS"/>
        </w:rPr>
        <w:t>: „2,1</w:t>
      </w:r>
      <w:r w:rsidR="00976AB7" w:rsidRPr="00827818">
        <w:rPr>
          <w:rFonts w:ascii="Times New Roman" w:hAnsi="Times New Roman" w:cs="Times New Roman"/>
          <w:bCs/>
          <w:sz w:val="24"/>
          <w:szCs w:val="24"/>
          <w:lang w:val="sr-Cyrl-CS"/>
        </w:rPr>
        <w:t>%</w:t>
      </w:r>
      <w:r w:rsidR="00E65243" w:rsidRPr="00827818">
        <w:rPr>
          <w:rFonts w:ascii="Times New Roman" w:hAnsi="Times New Roman" w:cs="Times New Roman"/>
          <w:bCs/>
          <w:sz w:val="24"/>
          <w:szCs w:val="24"/>
          <w:lang w:val="sr-Cyrl-CS"/>
        </w:rPr>
        <w:t>ˮ</w:t>
      </w:r>
      <w:r w:rsidR="009B13DC" w:rsidRPr="00827818">
        <w:rPr>
          <w:rFonts w:ascii="Times New Roman" w:hAnsi="Times New Roman" w:cs="Times New Roman"/>
          <w:bCs/>
          <w:sz w:val="24"/>
          <w:szCs w:val="24"/>
          <w:lang w:val="sr-Cyrl-CS"/>
        </w:rPr>
        <w:t>.</w:t>
      </w:r>
      <w:r w:rsidR="00866CAC" w:rsidRPr="00827818">
        <w:rPr>
          <w:rFonts w:ascii="Times New Roman" w:hAnsi="Times New Roman" w:cs="Times New Roman"/>
          <w:bCs/>
          <w:sz w:val="24"/>
          <w:szCs w:val="24"/>
          <w:lang w:val="sr-Cyrl-CS"/>
        </w:rPr>
        <w:t xml:space="preserve"> </w:t>
      </w:r>
      <w:r w:rsidR="00BF3A89" w:rsidRPr="00827818">
        <w:rPr>
          <w:rFonts w:ascii="Times New Roman" w:hAnsi="Times New Roman" w:cs="Times New Roman"/>
          <w:bCs/>
          <w:sz w:val="24"/>
          <w:szCs w:val="24"/>
          <w:lang w:val="sr-Cyrl-CS"/>
        </w:rPr>
        <w:t xml:space="preserve"> </w:t>
      </w:r>
    </w:p>
    <w:p w:rsidR="00B37CCF" w:rsidRPr="00827818" w:rsidRDefault="00032034" w:rsidP="00E65FB4">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29.</w:t>
      </w:r>
      <w:r w:rsidR="001E364A" w:rsidRPr="00827818">
        <w:rPr>
          <w:rFonts w:ascii="Times New Roman" w:hAnsi="Times New Roman" w:cs="Times New Roman"/>
          <w:sz w:val="24"/>
          <w:szCs w:val="24"/>
          <w:lang w:val="sr-Cyrl-CS"/>
        </w:rPr>
        <w:t xml:space="preserve"> </w:t>
      </w:r>
      <w:r w:rsidR="00B37CCF" w:rsidRPr="00827818">
        <w:rPr>
          <w:rFonts w:ascii="Times New Roman" w:hAnsi="Times New Roman" w:cs="Times New Roman"/>
          <w:sz w:val="24"/>
          <w:szCs w:val="24"/>
          <w:lang w:val="sr-Cyrl-CS"/>
        </w:rPr>
        <w:t xml:space="preserve">У </w:t>
      </w:r>
      <w:r w:rsidR="00B37CCF" w:rsidRPr="00827818">
        <w:rPr>
          <w:rFonts w:ascii="Times New Roman" w:hAnsi="Times New Roman" w:cs="Times New Roman"/>
          <w:bCs/>
          <w:sz w:val="24"/>
          <w:szCs w:val="24"/>
          <w:lang w:val="sr-Cyrl-CS"/>
        </w:rPr>
        <w:t>Мери 2.1: Ефикасно прикупљање буџетских прихода који су</w:t>
      </w:r>
      <w:r w:rsidR="007B3D18" w:rsidRPr="00827818">
        <w:rPr>
          <w:rFonts w:ascii="Times New Roman" w:hAnsi="Times New Roman" w:cs="Times New Roman"/>
          <w:bCs/>
          <w:sz w:val="24"/>
          <w:szCs w:val="24"/>
          <w:lang w:val="sr-Cyrl-CS"/>
        </w:rPr>
        <w:t xml:space="preserve"> у надлежности Пореске управе, у оквиру а</w:t>
      </w:r>
      <w:r w:rsidR="00B37CCF" w:rsidRPr="00827818">
        <w:rPr>
          <w:rFonts w:ascii="Times New Roman" w:hAnsi="Times New Roman" w:cs="Times New Roman"/>
          <w:bCs/>
          <w:sz w:val="24"/>
          <w:szCs w:val="24"/>
          <w:lang w:val="sr-Cyrl-CS"/>
        </w:rPr>
        <w:t>ктивност</w:t>
      </w:r>
      <w:r w:rsidR="007B3D18" w:rsidRPr="00827818">
        <w:rPr>
          <w:rFonts w:ascii="Times New Roman" w:hAnsi="Times New Roman" w:cs="Times New Roman"/>
          <w:bCs/>
          <w:sz w:val="24"/>
          <w:szCs w:val="24"/>
          <w:lang w:val="sr-Cyrl-CS"/>
        </w:rPr>
        <w:t>и</w:t>
      </w:r>
      <w:r w:rsidR="00B37CCF" w:rsidRPr="00827818">
        <w:rPr>
          <w:rFonts w:ascii="Times New Roman" w:hAnsi="Times New Roman" w:cs="Times New Roman"/>
          <w:bCs/>
          <w:sz w:val="24"/>
          <w:szCs w:val="24"/>
          <w:lang w:val="sr-Cyrl-CS"/>
        </w:rPr>
        <w:t xml:space="preserve"> 2.1.1</w:t>
      </w:r>
      <w:r w:rsidR="00BF3A89" w:rsidRPr="00827818">
        <w:rPr>
          <w:rFonts w:ascii="Times New Roman" w:hAnsi="Times New Roman" w:cs="Times New Roman"/>
          <w:bCs/>
          <w:sz w:val="24"/>
          <w:szCs w:val="24"/>
          <w:lang w:val="sr-Cyrl-CS"/>
        </w:rPr>
        <w:t xml:space="preserve"> „</w:t>
      </w:r>
      <w:r w:rsidR="00B37CCF" w:rsidRPr="00827818">
        <w:rPr>
          <w:rFonts w:ascii="Times New Roman" w:hAnsi="Times New Roman" w:cs="Times New Roman"/>
          <w:bCs/>
          <w:sz w:val="24"/>
          <w:szCs w:val="24"/>
          <w:lang w:val="sr-Cyrl-CS"/>
        </w:rPr>
        <w:t>Реинжењеринг пос</w:t>
      </w:r>
      <w:r w:rsidR="007B3D18" w:rsidRPr="00827818">
        <w:rPr>
          <w:rFonts w:ascii="Times New Roman" w:hAnsi="Times New Roman" w:cs="Times New Roman"/>
          <w:bCs/>
          <w:sz w:val="24"/>
          <w:szCs w:val="24"/>
          <w:lang w:val="sr-Cyrl-CS"/>
        </w:rPr>
        <w:t>ловних процеса основних функција”</w:t>
      </w:r>
      <w:r w:rsidR="00B37CCF" w:rsidRPr="00827818">
        <w:rPr>
          <w:rFonts w:ascii="Times New Roman" w:hAnsi="Times New Roman" w:cs="Times New Roman"/>
          <w:bCs/>
          <w:sz w:val="24"/>
          <w:szCs w:val="24"/>
          <w:lang w:val="sr-Cyrl-CS"/>
        </w:rPr>
        <w:t>,</w:t>
      </w:r>
      <w:r w:rsidR="001F43A8" w:rsidRPr="00827818">
        <w:rPr>
          <w:rFonts w:ascii="Times New Roman" w:hAnsi="Times New Roman" w:cs="Times New Roman"/>
          <w:bCs/>
          <w:sz w:val="24"/>
          <w:szCs w:val="24"/>
          <w:lang w:val="sr-Cyrl-CS"/>
        </w:rPr>
        <w:t xml:space="preserve"> рок за завршетак активности: „Q2 2022ˮ замењује се роком за завршетак активности: „Q3 2023ˮ</w:t>
      </w:r>
      <w:r w:rsidR="0069039B" w:rsidRPr="00827818">
        <w:rPr>
          <w:rFonts w:ascii="Times New Roman" w:hAnsi="Times New Roman" w:cs="Times New Roman"/>
          <w:bCs/>
          <w:sz w:val="24"/>
          <w:szCs w:val="24"/>
          <w:lang w:val="sr-Cyrl-CS"/>
        </w:rPr>
        <w:t xml:space="preserve"> </w:t>
      </w:r>
      <w:r w:rsidR="00BF3A89" w:rsidRPr="00827818">
        <w:rPr>
          <w:rFonts w:ascii="Times New Roman" w:hAnsi="Times New Roman" w:cs="Times New Roman"/>
          <w:bCs/>
          <w:sz w:val="24"/>
          <w:szCs w:val="24"/>
          <w:lang w:val="sr-Cyrl-CS"/>
        </w:rPr>
        <w:t xml:space="preserve">и </w:t>
      </w:r>
      <w:r w:rsidR="00B37CCF" w:rsidRPr="00827818">
        <w:rPr>
          <w:rFonts w:ascii="Times New Roman" w:hAnsi="Times New Roman" w:cs="Times New Roman"/>
          <w:bCs/>
          <w:sz w:val="24"/>
          <w:szCs w:val="24"/>
          <w:lang w:val="sr-Cyrl-CS"/>
        </w:rPr>
        <w:t xml:space="preserve">додају се укупна процењена финансијска средства у 000 дин за 2024. годину  </w:t>
      </w:r>
      <w:r w:rsidR="00BF3A89" w:rsidRPr="00827818">
        <w:rPr>
          <w:rFonts w:ascii="Times New Roman" w:hAnsi="Times New Roman" w:cs="Times New Roman"/>
          <w:bCs/>
          <w:sz w:val="24"/>
          <w:szCs w:val="24"/>
          <w:lang w:val="sr-Cyrl-CS"/>
        </w:rPr>
        <w:t xml:space="preserve">која </w:t>
      </w:r>
      <w:r w:rsidR="00B37CCF" w:rsidRPr="00827818">
        <w:rPr>
          <w:rFonts w:ascii="Times New Roman" w:hAnsi="Times New Roman" w:cs="Times New Roman"/>
          <w:bCs/>
          <w:sz w:val="24"/>
          <w:szCs w:val="24"/>
          <w:lang w:val="sr-Cyrl-CS"/>
        </w:rPr>
        <w:t>гласе</w:t>
      </w:r>
      <w:r w:rsidR="00BF3A89" w:rsidRPr="00827818">
        <w:rPr>
          <w:rFonts w:ascii="Times New Roman" w:hAnsi="Times New Roman" w:cs="Times New Roman"/>
          <w:bCs/>
          <w:sz w:val="24"/>
          <w:szCs w:val="24"/>
          <w:lang w:val="sr-Cyrl-CS"/>
        </w:rPr>
        <w:t>: „22.234”</w:t>
      </w:r>
      <w:r w:rsidR="001E3208" w:rsidRPr="00827818">
        <w:rPr>
          <w:rFonts w:ascii="Times New Roman" w:hAnsi="Times New Roman" w:cs="Times New Roman"/>
          <w:bCs/>
          <w:sz w:val="24"/>
          <w:szCs w:val="24"/>
          <w:lang w:val="sr-Cyrl-CS"/>
        </w:rPr>
        <w:t>.</w:t>
      </w:r>
    </w:p>
    <w:p w:rsidR="002502E4" w:rsidRPr="00827818" w:rsidRDefault="00C24FB2" w:rsidP="00341B7D">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30. </w:t>
      </w:r>
      <w:r w:rsidR="00750984" w:rsidRPr="00827818">
        <w:rPr>
          <w:rFonts w:ascii="Times New Roman" w:hAnsi="Times New Roman" w:cs="Times New Roman"/>
          <w:sz w:val="24"/>
          <w:szCs w:val="24"/>
          <w:lang w:val="sr-Cyrl-CS"/>
        </w:rPr>
        <w:t xml:space="preserve">У </w:t>
      </w:r>
      <w:r w:rsidR="002D2B2B" w:rsidRPr="00827818">
        <w:rPr>
          <w:rFonts w:ascii="Times New Roman" w:hAnsi="Times New Roman" w:cs="Times New Roman"/>
          <w:bCs/>
          <w:sz w:val="24"/>
          <w:szCs w:val="24"/>
          <w:lang w:val="sr-Cyrl-CS"/>
        </w:rPr>
        <w:t>М</w:t>
      </w:r>
      <w:r w:rsidR="00750984" w:rsidRPr="00827818">
        <w:rPr>
          <w:rFonts w:ascii="Times New Roman" w:hAnsi="Times New Roman" w:cs="Times New Roman"/>
          <w:bCs/>
          <w:sz w:val="24"/>
          <w:szCs w:val="24"/>
          <w:lang w:val="sr-Cyrl-CS"/>
        </w:rPr>
        <w:t>ер</w:t>
      </w:r>
      <w:r w:rsidR="002D2B2B" w:rsidRPr="00827818">
        <w:rPr>
          <w:rFonts w:ascii="Times New Roman" w:hAnsi="Times New Roman" w:cs="Times New Roman"/>
          <w:bCs/>
          <w:sz w:val="24"/>
          <w:szCs w:val="24"/>
          <w:lang w:val="sr-Cyrl-CS"/>
        </w:rPr>
        <w:t>и</w:t>
      </w:r>
      <w:r w:rsidR="00E80969" w:rsidRPr="00827818">
        <w:rPr>
          <w:rFonts w:ascii="Times New Roman" w:hAnsi="Times New Roman" w:cs="Times New Roman"/>
          <w:bCs/>
          <w:sz w:val="24"/>
          <w:szCs w:val="24"/>
          <w:lang w:val="sr-Cyrl-CS"/>
        </w:rPr>
        <w:t xml:space="preserve"> </w:t>
      </w:r>
      <w:r w:rsidR="007B3D18" w:rsidRPr="00827818">
        <w:rPr>
          <w:rFonts w:ascii="Times New Roman" w:hAnsi="Times New Roman" w:cs="Times New Roman"/>
          <w:bCs/>
          <w:sz w:val="24"/>
          <w:szCs w:val="24"/>
          <w:lang w:val="sr-Cyrl-CS"/>
        </w:rPr>
        <w:t>2.1</w:t>
      </w:r>
      <w:r w:rsidR="00750984" w:rsidRPr="00827818">
        <w:rPr>
          <w:rFonts w:ascii="Times New Roman" w:hAnsi="Times New Roman" w:cs="Times New Roman"/>
          <w:bCs/>
          <w:sz w:val="24"/>
          <w:szCs w:val="24"/>
          <w:lang w:val="sr-Cyrl-CS"/>
        </w:rPr>
        <w:t xml:space="preserve"> Ефикасно прикупљање буџетских прихода који су у надлежности Пореске управе, </w:t>
      </w:r>
      <w:r w:rsidR="007B3D18" w:rsidRPr="00827818">
        <w:rPr>
          <w:rFonts w:ascii="Times New Roman" w:hAnsi="Times New Roman" w:cs="Times New Roman"/>
          <w:bCs/>
          <w:sz w:val="24"/>
          <w:szCs w:val="24"/>
          <w:lang w:val="sr-Cyrl-CS"/>
        </w:rPr>
        <w:t>у оквиру а</w:t>
      </w:r>
      <w:r w:rsidR="00750984" w:rsidRPr="00827818">
        <w:rPr>
          <w:rFonts w:ascii="Times New Roman" w:hAnsi="Times New Roman" w:cs="Times New Roman"/>
          <w:bCs/>
          <w:sz w:val="24"/>
          <w:szCs w:val="24"/>
          <w:lang w:val="sr-Cyrl-CS"/>
        </w:rPr>
        <w:t>ктивност</w:t>
      </w:r>
      <w:r w:rsidR="007B3D18" w:rsidRPr="00827818">
        <w:rPr>
          <w:rFonts w:ascii="Times New Roman" w:hAnsi="Times New Roman" w:cs="Times New Roman"/>
          <w:bCs/>
          <w:sz w:val="24"/>
          <w:szCs w:val="24"/>
          <w:lang w:val="sr-Cyrl-CS"/>
        </w:rPr>
        <w:t>и</w:t>
      </w:r>
      <w:r w:rsidR="00750984" w:rsidRPr="00827818">
        <w:rPr>
          <w:rFonts w:ascii="Times New Roman" w:hAnsi="Times New Roman" w:cs="Times New Roman"/>
          <w:bCs/>
          <w:sz w:val="24"/>
          <w:szCs w:val="24"/>
          <w:lang w:val="sr-Cyrl-CS"/>
        </w:rPr>
        <w:t xml:space="preserve"> 2.1.3</w:t>
      </w:r>
      <w:r w:rsidR="00DB49C6"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 xml:space="preserve"> </w:t>
      </w:r>
      <w:r w:rsidR="00702EF5"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Унапређење ИКТ инфраструктуре-COTS</w:t>
      </w:r>
      <w:r w:rsidR="00BF3A89" w:rsidRPr="00827818">
        <w:rPr>
          <w:rFonts w:ascii="Times New Roman" w:hAnsi="Times New Roman" w:cs="Times New Roman"/>
          <w:bCs/>
          <w:sz w:val="24"/>
          <w:szCs w:val="24"/>
          <w:lang w:val="sr-Cyrl-CS"/>
        </w:rPr>
        <w:t>”</w:t>
      </w:r>
      <w:r w:rsidR="00583B32"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 xml:space="preserve"> </w:t>
      </w:r>
      <w:r w:rsidR="00DB49C6" w:rsidRPr="00827818">
        <w:rPr>
          <w:rFonts w:ascii="Times New Roman" w:hAnsi="Times New Roman" w:cs="Times New Roman"/>
          <w:bCs/>
          <w:sz w:val="24"/>
          <w:szCs w:val="24"/>
          <w:lang w:val="sr-Cyrl-CS"/>
        </w:rPr>
        <w:t>рок за завршетак активности: „Q4 2024</w:t>
      </w:r>
      <w:r w:rsidR="00E65243" w:rsidRPr="00827818">
        <w:rPr>
          <w:rFonts w:ascii="Times New Roman" w:hAnsi="Times New Roman" w:cs="Times New Roman"/>
          <w:bCs/>
          <w:sz w:val="24"/>
          <w:szCs w:val="24"/>
          <w:lang w:val="sr-Cyrl-CS"/>
        </w:rPr>
        <w:t>ˮ</w:t>
      </w:r>
      <w:r w:rsidR="00DB49C6" w:rsidRPr="00827818">
        <w:rPr>
          <w:rFonts w:ascii="Times New Roman" w:hAnsi="Times New Roman" w:cs="Times New Roman"/>
          <w:bCs/>
          <w:sz w:val="24"/>
          <w:szCs w:val="24"/>
          <w:lang w:val="sr-Cyrl-CS"/>
        </w:rPr>
        <w:t xml:space="preserve"> зам</w:t>
      </w:r>
      <w:r w:rsidR="00FE6657" w:rsidRPr="00827818">
        <w:rPr>
          <w:rFonts w:ascii="Times New Roman" w:hAnsi="Times New Roman" w:cs="Times New Roman"/>
          <w:bCs/>
          <w:sz w:val="24"/>
          <w:szCs w:val="24"/>
          <w:lang w:val="sr-Cyrl-CS"/>
        </w:rPr>
        <w:t>ењује се роком за завршетак акт</w:t>
      </w:r>
      <w:r w:rsidR="00DB49C6" w:rsidRPr="00827818">
        <w:rPr>
          <w:rFonts w:ascii="Times New Roman" w:hAnsi="Times New Roman" w:cs="Times New Roman"/>
          <w:bCs/>
          <w:sz w:val="24"/>
          <w:szCs w:val="24"/>
          <w:lang w:val="sr-Cyrl-CS"/>
        </w:rPr>
        <w:t>и</w:t>
      </w:r>
      <w:r w:rsidR="00FE6657" w:rsidRPr="00827818">
        <w:rPr>
          <w:rFonts w:ascii="Times New Roman" w:hAnsi="Times New Roman" w:cs="Times New Roman"/>
          <w:bCs/>
          <w:sz w:val="24"/>
          <w:szCs w:val="24"/>
          <w:lang w:val="sr-Cyrl-CS"/>
        </w:rPr>
        <w:t>в</w:t>
      </w:r>
      <w:r w:rsidR="00DB49C6" w:rsidRPr="00827818">
        <w:rPr>
          <w:rFonts w:ascii="Times New Roman" w:hAnsi="Times New Roman" w:cs="Times New Roman"/>
          <w:bCs/>
          <w:sz w:val="24"/>
          <w:szCs w:val="24"/>
          <w:lang w:val="sr-Cyrl-CS"/>
        </w:rPr>
        <w:t xml:space="preserve">ности: </w:t>
      </w:r>
      <w:r w:rsidR="00750984" w:rsidRPr="00827818">
        <w:rPr>
          <w:rFonts w:ascii="Times New Roman" w:hAnsi="Times New Roman" w:cs="Times New Roman"/>
          <w:bCs/>
          <w:sz w:val="24"/>
          <w:szCs w:val="24"/>
          <w:lang w:val="sr-Cyrl-CS"/>
        </w:rPr>
        <w:t>„</w:t>
      </w:r>
      <w:r w:rsidR="00976AB7" w:rsidRPr="00827818">
        <w:rPr>
          <w:rFonts w:ascii="Times New Roman" w:hAnsi="Times New Roman" w:cs="Times New Roman"/>
          <w:bCs/>
          <w:sz w:val="24"/>
          <w:szCs w:val="24"/>
          <w:lang w:val="sr-Cyrl-CS"/>
        </w:rPr>
        <w:t>Q4</w:t>
      </w:r>
      <w:r w:rsidR="007B3D18" w:rsidRPr="00827818">
        <w:rPr>
          <w:rFonts w:ascii="Times New Roman" w:hAnsi="Times New Roman" w:cs="Times New Roman"/>
          <w:bCs/>
          <w:sz w:val="24"/>
          <w:szCs w:val="24"/>
          <w:lang w:val="sr-Cyrl-CS"/>
        </w:rPr>
        <w:t xml:space="preserve"> </w:t>
      </w:r>
      <w:r w:rsidR="00750984" w:rsidRPr="00827818">
        <w:rPr>
          <w:rFonts w:ascii="Times New Roman" w:hAnsi="Times New Roman" w:cs="Times New Roman"/>
          <w:bCs/>
          <w:sz w:val="24"/>
          <w:szCs w:val="24"/>
          <w:lang w:val="sr-Cyrl-CS"/>
        </w:rPr>
        <w:t>2025</w:t>
      </w:r>
      <w:r w:rsidR="00E65243" w:rsidRPr="00827818">
        <w:rPr>
          <w:rFonts w:ascii="Times New Roman" w:hAnsi="Times New Roman" w:cs="Times New Roman"/>
          <w:bCs/>
          <w:sz w:val="24"/>
          <w:szCs w:val="24"/>
          <w:lang w:val="sr-Cyrl-CS"/>
        </w:rPr>
        <w:t>ˮ</w:t>
      </w:r>
      <w:r w:rsidR="00DB49C6"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 xml:space="preserve"> </w:t>
      </w:r>
      <w:r w:rsidR="00DB49C6" w:rsidRPr="00827818">
        <w:rPr>
          <w:rFonts w:ascii="Times New Roman" w:hAnsi="Times New Roman" w:cs="Times New Roman"/>
          <w:bCs/>
          <w:sz w:val="24"/>
          <w:szCs w:val="24"/>
          <w:lang w:val="sr-Cyrl-CS"/>
        </w:rPr>
        <w:t>У</w:t>
      </w:r>
      <w:r w:rsidR="00750984" w:rsidRPr="00827818">
        <w:rPr>
          <w:rFonts w:ascii="Times New Roman" w:hAnsi="Times New Roman" w:cs="Times New Roman"/>
          <w:bCs/>
          <w:sz w:val="24"/>
          <w:szCs w:val="24"/>
          <w:lang w:val="sr-Cyrl-CS"/>
        </w:rPr>
        <w:t xml:space="preserve">купна процењена финансијска средства </w:t>
      </w:r>
      <w:r w:rsidR="00E80969" w:rsidRPr="00827818">
        <w:rPr>
          <w:rFonts w:ascii="Times New Roman" w:hAnsi="Times New Roman" w:cs="Times New Roman"/>
          <w:bCs/>
          <w:sz w:val="24"/>
          <w:szCs w:val="24"/>
          <w:lang w:val="sr-Cyrl-CS"/>
        </w:rPr>
        <w:t>у 000 дин</w:t>
      </w:r>
      <w:r w:rsidR="004D5541" w:rsidRPr="00827818">
        <w:rPr>
          <w:rFonts w:ascii="Times New Roman" w:hAnsi="Times New Roman" w:cs="Times New Roman"/>
          <w:bCs/>
          <w:sz w:val="24"/>
          <w:szCs w:val="24"/>
          <w:lang w:val="sr-Cyrl-CS"/>
        </w:rPr>
        <w:t xml:space="preserve">. </w:t>
      </w:r>
      <w:r w:rsidR="00320F58" w:rsidRPr="00827818">
        <w:rPr>
          <w:rFonts w:ascii="Times New Roman" w:hAnsi="Times New Roman" w:cs="Times New Roman"/>
          <w:bCs/>
          <w:sz w:val="24"/>
          <w:szCs w:val="24"/>
          <w:lang w:val="sr-Cyrl-CS"/>
        </w:rPr>
        <w:t>з</w:t>
      </w:r>
      <w:r w:rsidR="004D5541" w:rsidRPr="00827818">
        <w:rPr>
          <w:rFonts w:ascii="Times New Roman" w:hAnsi="Times New Roman" w:cs="Times New Roman"/>
          <w:bCs/>
          <w:sz w:val="24"/>
          <w:szCs w:val="24"/>
          <w:lang w:val="sr-Cyrl-CS"/>
        </w:rPr>
        <w:t>а 2024</w:t>
      </w:r>
      <w:r w:rsidR="0005087C" w:rsidRPr="00827818">
        <w:rPr>
          <w:rFonts w:ascii="Times New Roman" w:hAnsi="Times New Roman" w:cs="Times New Roman"/>
          <w:bCs/>
          <w:sz w:val="24"/>
          <w:szCs w:val="24"/>
          <w:lang w:val="sr-Cyrl-CS"/>
        </w:rPr>
        <w:t>: „535.499</w:t>
      </w:r>
      <w:r w:rsidR="00E65243" w:rsidRPr="00827818">
        <w:rPr>
          <w:rFonts w:ascii="Times New Roman" w:hAnsi="Times New Roman" w:cs="Times New Roman"/>
          <w:bCs/>
          <w:sz w:val="24"/>
          <w:szCs w:val="24"/>
          <w:lang w:val="sr-Cyrl-CS"/>
        </w:rPr>
        <w:t>ˮ</w:t>
      </w:r>
      <w:r w:rsidR="004D5541" w:rsidRPr="00827818">
        <w:rPr>
          <w:rFonts w:ascii="Times New Roman" w:hAnsi="Times New Roman" w:cs="Times New Roman"/>
          <w:bCs/>
          <w:sz w:val="24"/>
          <w:szCs w:val="24"/>
          <w:lang w:val="sr-Cyrl-CS"/>
        </w:rPr>
        <w:t xml:space="preserve"> замењује се </w:t>
      </w:r>
      <w:r w:rsidR="0005087C" w:rsidRPr="00827818">
        <w:rPr>
          <w:rFonts w:ascii="Times New Roman" w:hAnsi="Times New Roman" w:cs="Times New Roman"/>
          <w:bCs/>
          <w:sz w:val="24"/>
          <w:szCs w:val="24"/>
          <w:lang w:val="sr-Cyrl-CS"/>
        </w:rPr>
        <w:t>укупном процењеном финансијским средством у 000 дин, за 2024: „1.372.179</w:t>
      </w:r>
      <w:r w:rsidR="00E65243" w:rsidRPr="00827818">
        <w:rPr>
          <w:rFonts w:ascii="Times New Roman" w:hAnsi="Times New Roman" w:cs="Times New Roman"/>
          <w:bCs/>
          <w:sz w:val="24"/>
          <w:szCs w:val="24"/>
          <w:lang w:val="sr-Cyrl-CS"/>
        </w:rPr>
        <w:t>ˮ</w:t>
      </w:r>
      <w:r w:rsidR="00583B32" w:rsidRPr="00827818">
        <w:rPr>
          <w:rFonts w:ascii="Times New Roman" w:hAnsi="Times New Roman" w:cs="Times New Roman"/>
          <w:bCs/>
          <w:sz w:val="24"/>
          <w:szCs w:val="24"/>
          <w:lang w:val="sr-Cyrl-CS"/>
        </w:rPr>
        <w:t>;</w:t>
      </w:r>
      <w:r w:rsidR="0005087C" w:rsidRPr="00827818">
        <w:rPr>
          <w:rFonts w:ascii="Times New Roman" w:hAnsi="Times New Roman" w:cs="Times New Roman"/>
          <w:bCs/>
          <w:sz w:val="24"/>
          <w:szCs w:val="24"/>
          <w:lang w:val="sr-Cyrl-CS"/>
        </w:rPr>
        <w:t xml:space="preserve"> </w:t>
      </w:r>
      <w:r w:rsidR="00BF3A89" w:rsidRPr="00827818">
        <w:rPr>
          <w:rFonts w:ascii="Times New Roman" w:hAnsi="Times New Roman" w:cs="Times New Roman"/>
          <w:bCs/>
          <w:sz w:val="24"/>
          <w:szCs w:val="24"/>
          <w:lang w:val="sr-Cyrl-CS"/>
        </w:rPr>
        <w:t xml:space="preserve"> и </w:t>
      </w:r>
      <w:r w:rsidRPr="00827818">
        <w:rPr>
          <w:rFonts w:ascii="Times New Roman" w:hAnsi="Times New Roman" w:cs="Times New Roman"/>
          <w:bCs/>
          <w:sz w:val="24"/>
          <w:szCs w:val="24"/>
          <w:lang w:val="sr-Cyrl-CS"/>
        </w:rPr>
        <w:t>у</w:t>
      </w:r>
      <w:r w:rsidR="0005087C" w:rsidRPr="00827818">
        <w:rPr>
          <w:rFonts w:ascii="Times New Roman" w:hAnsi="Times New Roman" w:cs="Times New Roman"/>
          <w:bCs/>
          <w:sz w:val="24"/>
          <w:szCs w:val="24"/>
          <w:lang w:val="sr-Cyrl-CS"/>
        </w:rPr>
        <w:t>купна процењена финансијска с</w:t>
      </w:r>
      <w:r w:rsidR="007B3D18" w:rsidRPr="00827818">
        <w:rPr>
          <w:rFonts w:ascii="Times New Roman" w:hAnsi="Times New Roman" w:cs="Times New Roman"/>
          <w:bCs/>
          <w:sz w:val="24"/>
          <w:szCs w:val="24"/>
          <w:lang w:val="sr-Cyrl-CS"/>
        </w:rPr>
        <w:t>редства у 000 дин, за 2025: „-</w:t>
      </w:r>
      <w:r w:rsidR="00E65243" w:rsidRPr="00827818">
        <w:rPr>
          <w:rFonts w:ascii="Times New Roman" w:hAnsi="Times New Roman" w:cs="Times New Roman"/>
          <w:bCs/>
          <w:sz w:val="24"/>
          <w:szCs w:val="24"/>
          <w:lang w:val="sr-Cyrl-CS"/>
        </w:rPr>
        <w:t>ˮ</w:t>
      </w:r>
      <w:r w:rsidR="007B3D18" w:rsidRPr="00827818">
        <w:rPr>
          <w:rFonts w:ascii="Times New Roman" w:hAnsi="Times New Roman" w:cs="Times New Roman"/>
          <w:bCs/>
          <w:sz w:val="24"/>
          <w:szCs w:val="24"/>
          <w:lang w:val="sr-Cyrl-CS"/>
        </w:rPr>
        <w:t xml:space="preserve"> замењује се укупним</w:t>
      </w:r>
      <w:r w:rsidR="0005087C" w:rsidRPr="00827818">
        <w:rPr>
          <w:rFonts w:ascii="Times New Roman" w:hAnsi="Times New Roman" w:cs="Times New Roman"/>
          <w:bCs/>
          <w:sz w:val="24"/>
          <w:szCs w:val="24"/>
          <w:lang w:val="sr-Cyrl-CS"/>
        </w:rPr>
        <w:t xml:space="preserve"> п</w:t>
      </w:r>
      <w:r w:rsidR="007B3D18" w:rsidRPr="00827818">
        <w:rPr>
          <w:rFonts w:ascii="Times New Roman" w:hAnsi="Times New Roman" w:cs="Times New Roman"/>
          <w:bCs/>
          <w:sz w:val="24"/>
          <w:szCs w:val="24"/>
          <w:lang w:val="sr-Cyrl-CS"/>
        </w:rPr>
        <w:t>роцењеним финансијским средствима</w:t>
      </w:r>
      <w:r w:rsidR="0005087C" w:rsidRPr="00827818">
        <w:rPr>
          <w:rFonts w:ascii="Times New Roman" w:hAnsi="Times New Roman" w:cs="Times New Roman"/>
          <w:bCs/>
          <w:sz w:val="24"/>
          <w:szCs w:val="24"/>
          <w:lang w:val="sr-Cyrl-CS"/>
        </w:rPr>
        <w:t xml:space="preserve"> у 000 дин, за 2025: „548.857</w:t>
      </w:r>
      <w:r w:rsidR="00E65243" w:rsidRPr="00827818">
        <w:rPr>
          <w:rFonts w:ascii="Times New Roman" w:hAnsi="Times New Roman" w:cs="Times New Roman"/>
          <w:bCs/>
          <w:sz w:val="24"/>
          <w:szCs w:val="24"/>
          <w:lang w:val="sr-Cyrl-CS"/>
        </w:rPr>
        <w:t>ˮ</w:t>
      </w:r>
      <w:r w:rsidR="0005087C" w:rsidRPr="00827818">
        <w:rPr>
          <w:rFonts w:ascii="Times New Roman" w:hAnsi="Times New Roman" w:cs="Times New Roman"/>
          <w:bCs/>
          <w:sz w:val="24"/>
          <w:szCs w:val="24"/>
          <w:lang w:val="sr-Cyrl-CS"/>
        </w:rPr>
        <w:t>.</w:t>
      </w:r>
    </w:p>
    <w:p w:rsidR="005D40E0" w:rsidRPr="00827818" w:rsidRDefault="00341B7D" w:rsidP="00341B7D">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 xml:space="preserve">31. </w:t>
      </w:r>
      <w:r w:rsidR="005D40E0" w:rsidRPr="00827818">
        <w:rPr>
          <w:rFonts w:ascii="Times New Roman" w:hAnsi="Times New Roman" w:cs="Times New Roman"/>
          <w:sz w:val="24"/>
          <w:szCs w:val="24"/>
          <w:lang w:val="sr-Cyrl-CS"/>
        </w:rPr>
        <w:t xml:space="preserve">У </w:t>
      </w:r>
      <w:r w:rsidR="005D40E0" w:rsidRPr="00827818">
        <w:rPr>
          <w:rFonts w:ascii="Times New Roman" w:hAnsi="Times New Roman" w:cs="Times New Roman"/>
          <w:bCs/>
          <w:sz w:val="24"/>
          <w:szCs w:val="24"/>
          <w:lang w:val="sr-Cyrl-CS"/>
        </w:rPr>
        <w:t xml:space="preserve">Мери 2.1 Ефикасно прикупљање буџетских прихода који су у надлежности Пореске управе, у оквиру активности 2.1.4: </w:t>
      </w:r>
      <w:r w:rsidR="00702EF5" w:rsidRPr="00827818">
        <w:rPr>
          <w:rFonts w:ascii="Times New Roman" w:hAnsi="Times New Roman" w:cs="Times New Roman"/>
          <w:bCs/>
          <w:sz w:val="24"/>
          <w:szCs w:val="24"/>
          <w:lang w:val="sr-Cyrl-CS"/>
        </w:rPr>
        <w:t>„</w:t>
      </w:r>
      <w:r w:rsidR="005D40E0" w:rsidRPr="00827818">
        <w:rPr>
          <w:rFonts w:ascii="Times New Roman" w:hAnsi="Times New Roman" w:cs="Times New Roman"/>
          <w:bCs/>
          <w:sz w:val="24"/>
          <w:szCs w:val="24"/>
          <w:lang w:val="sr-Cyrl-CS"/>
        </w:rPr>
        <w:t>Усклађивање законодавног оквира и припрема техничких спецификација за имплементацију система за размену информација према ЕУ стандарду (системи за размену у области индиректног опорезивања и системи за размену у области директног опорез</w:t>
      </w:r>
      <w:r w:rsidR="00827818">
        <w:rPr>
          <w:rFonts w:ascii="Times New Roman" w:hAnsi="Times New Roman" w:cs="Times New Roman"/>
          <w:bCs/>
          <w:sz w:val="24"/>
          <w:szCs w:val="24"/>
          <w:lang w:val="sr-Cyrl-CS"/>
        </w:rPr>
        <w:t>и</w:t>
      </w:r>
      <w:r w:rsidR="005D40E0" w:rsidRPr="00827818">
        <w:rPr>
          <w:rFonts w:ascii="Times New Roman" w:hAnsi="Times New Roman" w:cs="Times New Roman"/>
          <w:bCs/>
          <w:sz w:val="24"/>
          <w:szCs w:val="24"/>
          <w:lang w:val="sr-Cyrl-CS"/>
        </w:rPr>
        <w:t>вања), као и испуњавање препорука Глобалног форума за примену међунaродног стандарда за размену информација на захтев и аутоматску размену</w:t>
      </w:r>
      <w:r w:rsidR="00BF3A89" w:rsidRPr="00827818">
        <w:rPr>
          <w:rFonts w:ascii="Times New Roman" w:hAnsi="Times New Roman" w:cs="Times New Roman"/>
          <w:bCs/>
          <w:sz w:val="24"/>
          <w:szCs w:val="24"/>
          <w:lang w:val="sr-Cyrl-CS"/>
        </w:rPr>
        <w:t>”</w:t>
      </w:r>
      <w:r w:rsidR="005D40E0" w:rsidRPr="00827818">
        <w:rPr>
          <w:rFonts w:ascii="Times New Roman" w:hAnsi="Times New Roman" w:cs="Times New Roman"/>
          <w:bCs/>
          <w:sz w:val="24"/>
          <w:szCs w:val="24"/>
          <w:lang w:val="sr-Cyrl-CS"/>
        </w:rPr>
        <w:t>, из колоне извор финансирања брише се „Буџет (суфинансирање)</w:t>
      </w:r>
      <w:r w:rsidR="00BF3A89" w:rsidRPr="00827818">
        <w:rPr>
          <w:rFonts w:ascii="Times New Roman" w:hAnsi="Times New Roman" w:cs="Times New Roman"/>
          <w:bCs/>
          <w:sz w:val="24"/>
          <w:szCs w:val="24"/>
          <w:lang w:val="sr-Cyrl-CS"/>
        </w:rPr>
        <w:t>”</w:t>
      </w:r>
      <w:r w:rsidR="005D40E0" w:rsidRPr="00827818">
        <w:rPr>
          <w:rFonts w:ascii="Times New Roman" w:hAnsi="Times New Roman" w:cs="Times New Roman"/>
          <w:bCs/>
          <w:sz w:val="24"/>
          <w:szCs w:val="24"/>
          <w:lang w:val="sr-Cyrl-CS"/>
        </w:rPr>
        <w:t>; бришу се укупна процењена финансијска средст</w:t>
      </w:r>
      <w:r w:rsidR="00BF3A89" w:rsidRPr="00827818">
        <w:rPr>
          <w:rFonts w:ascii="Times New Roman" w:hAnsi="Times New Roman" w:cs="Times New Roman"/>
          <w:bCs/>
          <w:sz w:val="24"/>
          <w:szCs w:val="24"/>
          <w:lang w:val="sr-Cyrl-CS"/>
        </w:rPr>
        <w:t>ва у 000 дин, за 2022: „12.000*”</w:t>
      </w:r>
      <w:r w:rsidR="008936F2" w:rsidRPr="00827818">
        <w:rPr>
          <w:rFonts w:ascii="Times New Roman" w:hAnsi="Times New Roman" w:cs="Times New Roman"/>
          <w:bCs/>
          <w:sz w:val="24"/>
          <w:szCs w:val="24"/>
          <w:lang w:val="sr-Cyrl-CS"/>
        </w:rPr>
        <w:t>, 2023: „12.000*”, 2024: „12.000*” и 2025</w:t>
      </w:r>
      <w:r w:rsidR="00657C17">
        <w:rPr>
          <w:rFonts w:ascii="Times New Roman" w:hAnsi="Times New Roman" w:cs="Times New Roman"/>
          <w:bCs/>
          <w:sz w:val="24"/>
          <w:szCs w:val="24"/>
          <w:lang w:val="sr-Cyrl-CS"/>
        </w:rPr>
        <w:t>:</w:t>
      </w:r>
      <w:r w:rsidR="008936F2" w:rsidRPr="00827818">
        <w:rPr>
          <w:rFonts w:ascii="Times New Roman" w:hAnsi="Times New Roman" w:cs="Times New Roman"/>
          <w:bCs/>
          <w:sz w:val="24"/>
          <w:szCs w:val="24"/>
          <w:lang w:val="sr-Cyrl-CS"/>
        </w:rPr>
        <w:t xml:space="preserve"> „18.000*”</w:t>
      </w:r>
      <w:r w:rsidR="005D40E0" w:rsidRPr="00827818">
        <w:rPr>
          <w:rFonts w:ascii="Times New Roman" w:hAnsi="Times New Roman" w:cs="Times New Roman"/>
          <w:bCs/>
          <w:sz w:val="24"/>
          <w:szCs w:val="24"/>
          <w:lang w:val="sr-Cyrl-CS"/>
        </w:rPr>
        <w:t>.</w:t>
      </w:r>
    </w:p>
    <w:p w:rsidR="002502E4" w:rsidRPr="00827818" w:rsidRDefault="00262BF1" w:rsidP="00262BF1">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bCs/>
          <w:sz w:val="24"/>
          <w:szCs w:val="24"/>
          <w:lang w:val="sr-Cyrl-CS"/>
        </w:rPr>
        <w:t>32.</w:t>
      </w:r>
      <w:r w:rsidR="0088108D" w:rsidRPr="00827818">
        <w:rPr>
          <w:rFonts w:ascii="Times New Roman" w:hAnsi="Times New Roman" w:cs="Times New Roman"/>
          <w:bCs/>
          <w:sz w:val="24"/>
          <w:szCs w:val="24"/>
          <w:lang w:val="sr-Cyrl-CS"/>
        </w:rPr>
        <w:t xml:space="preserve"> </w:t>
      </w:r>
      <w:r w:rsidR="002502E4" w:rsidRPr="00827818">
        <w:rPr>
          <w:rFonts w:ascii="Times New Roman" w:hAnsi="Times New Roman" w:cs="Times New Roman"/>
          <w:bCs/>
          <w:sz w:val="24"/>
          <w:szCs w:val="24"/>
          <w:lang w:val="sr-Cyrl-CS"/>
        </w:rPr>
        <w:t xml:space="preserve">У </w:t>
      </w:r>
      <w:r w:rsidR="006D01DA" w:rsidRPr="00827818">
        <w:rPr>
          <w:rFonts w:ascii="Times New Roman" w:hAnsi="Times New Roman" w:cs="Times New Roman"/>
          <w:bCs/>
          <w:sz w:val="24"/>
          <w:szCs w:val="24"/>
          <w:lang w:val="sr-Cyrl-CS"/>
        </w:rPr>
        <w:t>М</w:t>
      </w:r>
      <w:r w:rsidR="002502E4" w:rsidRPr="00827818">
        <w:rPr>
          <w:rFonts w:ascii="Times New Roman" w:hAnsi="Times New Roman" w:cs="Times New Roman"/>
          <w:bCs/>
          <w:sz w:val="24"/>
          <w:szCs w:val="24"/>
          <w:lang w:val="sr-Cyrl-CS"/>
        </w:rPr>
        <w:t>ер</w:t>
      </w:r>
      <w:r w:rsidR="006D01DA" w:rsidRPr="00827818">
        <w:rPr>
          <w:rFonts w:ascii="Times New Roman" w:hAnsi="Times New Roman" w:cs="Times New Roman"/>
          <w:bCs/>
          <w:sz w:val="24"/>
          <w:szCs w:val="24"/>
          <w:lang w:val="sr-Cyrl-CS"/>
        </w:rPr>
        <w:t>и</w:t>
      </w:r>
      <w:r w:rsidR="007473C0" w:rsidRPr="00827818">
        <w:rPr>
          <w:rFonts w:ascii="Times New Roman" w:hAnsi="Times New Roman" w:cs="Times New Roman"/>
          <w:bCs/>
          <w:sz w:val="24"/>
          <w:szCs w:val="24"/>
          <w:lang w:val="sr-Cyrl-CS"/>
        </w:rPr>
        <w:t xml:space="preserve"> 2.1 </w:t>
      </w:r>
      <w:r w:rsidR="002502E4" w:rsidRPr="00827818">
        <w:rPr>
          <w:rFonts w:ascii="Times New Roman" w:hAnsi="Times New Roman" w:cs="Times New Roman"/>
          <w:bCs/>
          <w:sz w:val="24"/>
          <w:szCs w:val="24"/>
          <w:lang w:val="sr-Cyrl-CS"/>
        </w:rPr>
        <w:t>Ефикасно прикупљање буџетских прихода који су у надлежности Пореске управе</w:t>
      </w:r>
      <w:r w:rsidR="004D1FD9" w:rsidRPr="00827818">
        <w:rPr>
          <w:rFonts w:ascii="Times New Roman" w:hAnsi="Times New Roman" w:cs="Times New Roman"/>
          <w:bCs/>
          <w:sz w:val="24"/>
          <w:szCs w:val="24"/>
          <w:lang w:val="sr-Cyrl-CS"/>
        </w:rPr>
        <w:t xml:space="preserve">, </w:t>
      </w:r>
      <w:r w:rsidR="007473C0" w:rsidRPr="00827818">
        <w:rPr>
          <w:rFonts w:ascii="Times New Roman" w:hAnsi="Times New Roman" w:cs="Times New Roman"/>
          <w:bCs/>
          <w:sz w:val="24"/>
          <w:szCs w:val="24"/>
          <w:lang w:val="sr-Cyrl-CS"/>
        </w:rPr>
        <w:t>а</w:t>
      </w:r>
      <w:r w:rsidR="002502E4" w:rsidRPr="00827818">
        <w:rPr>
          <w:rFonts w:ascii="Times New Roman" w:hAnsi="Times New Roman" w:cs="Times New Roman"/>
          <w:bCs/>
          <w:sz w:val="24"/>
          <w:szCs w:val="24"/>
          <w:lang w:val="sr-Cyrl-CS"/>
        </w:rPr>
        <w:t>ктивност 2.1.8</w:t>
      </w:r>
      <w:r w:rsidR="006D01DA" w:rsidRPr="00827818">
        <w:rPr>
          <w:rFonts w:ascii="Times New Roman" w:hAnsi="Times New Roman" w:cs="Times New Roman"/>
          <w:bCs/>
          <w:sz w:val="24"/>
          <w:szCs w:val="24"/>
          <w:lang w:val="sr-Cyrl-CS"/>
        </w:rPr>
        <w:t>:</w:t>
      </w:r>
      <w:r w:rsidR="00FC661F" w:rsidRPr="00827818">
        <w:rPr>
          <w:rFonts w:ascii="Times New Roman" w:hAnsi="Times New Roman" w:cs="Times New Roman"/>
          <w:bCs/>
          <w:sz w:val="24"/>
          <w:szCs w:val="24"/>
          <w:lang w:val="sr-Cyrl-CS"/>
        </w:rPr>
        <w:t xml:space="preserve"> </w:t>
      </w:r>
      <w:r w:rsidR="007473C0" w:rsidRPr="00827818">
        <w:rPr>
          <w:rFonts w:ascii="Times New Roman" w:hAnsi="Times New Roman" w:cs="Times New Roman"/>
          <w:bCs/>
          <w:sz w:val="24"/>
          <w:szCs w:val="24"/>
          <w:lang w:val="sr-Cyrl-CS"/>
        </w:rPr>
        <w:t>„</w:t>
      </w:r>
      <w:r w:rsidR="006D01DA" w:rsidRPr="00827818">
        <w:rPr>
          <w:rFonts w:ascii="Times New Roman" w:hAnsi="Times New Roman" w:cs="Times New Roman"/>
          <w:bCs/>
          <w:sz w:val="24"/>
          <w:szCs w:val="24"/>
          <w:lang w:val="sr-Cyrl-CS"/>
        </w:rPr>
        <w:t>Увођење</w:t>
      </w:r>
      <w:r w:rsidR="002502E4" w:rsidRPr="00827818">
        <w:rPr>
          <w:rFonts w:ascii="Times New Roman" w:hAnsi="Times New Roman" w:cs="Times New Roman"/>
          <w:bCs/>
          <w:sz w:val="24"/>
          <w:szCs w:val="24"/>
          <w:lang w:val="sr-Cyrl-CS"/>
        </w:rPr>
        <w:t xml:space="preserve"> ИТ система за управљање непокретном имовином Министарства финансија и управа у саставу</w:t>
      </w:r>
      <w:r w:rsidR="008936F2" w:rsidRPr="00827818">
        <w:rPr>
          <w:rFonts w:ascii="Times New Roman" w:hAnsi="Times New Roman" w:cs="Times New Roman"/>
          <w:bCs/>
          <w:sz w:val="24"/>
          <w:szCs w:val="24"/>
          <w:lang w:val="sr-Cyrl-CS"/>
        </w:rPr>
        <w:t>”</w:t>
      </w:r>
      <w:r w:rsidR="00A06DF4" w:rsidRPr="00827818">
        <w:rPr>
          <w:rFonts w:ascii="Times New Roman" w:hAnsi="Times New Roman" w:cs="Times New Roman"/>
          <w:bCs/>
          <w:sz w:val="24"/>
          <w:szCs w:val="24"/>
          <w:lang w:val="sr-Cyrl-CS"/>
        </w:rPr>
        <w:t xml:space="preserve"> брише</w:t>
      </w:r>
      <w:r w:rsidR="008936F2" w:rsidRPr="00827818">
        <w:rPr>
          <w:rFonts w:ascii="Times New Roman" w:hAnsi="Times New Roman" w:cs="Times New Roman"/>
          <w:bCs/>
          <w:sz w:val="24"/>
          <w:szCs w:val="24"/>
          <w:lang w:val="sr-Cyrl-CS"/>
        </w:rPr>
        <w:t xml:space="preserve"> се</w:t>
      </w:r>
      <w:r w:rsidR="006D01DA" w:rsidRPr="00827818">
        <w:rPr>
          <w:rFonts w:ascii="Times New Roman" w:hAnsi="Times New Roman" w:cs="Times New Roman"/>
          <w:bCs/>
          <w:sz w:val="24"/>
          <w:szCs w:val="24"/>
          <w:lang w:val="sr-Cyrl-CS"/>
        </w:rPr>
        <w:t>.</w:t>
      </w:r>
    </w:p>
    <w:p w:rsidR="002502E4" w:rsidRPr="00827818" w:rsidRDefault="00262BF1" w:rsidP="00262BF1">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bCs/>
          <w:sz w:val="24"/>
          <w:szCs w:val="24"/>
          <w:lang w:val="sr-Cyrl-CS"/>
        </w:rPr>
        <w:t xml:space="preserve">33. </w:t>
      </w:r>
      <w:r w:rsidR="002502E4" w:rsidRPr="00827818">
        <w:rPr>
          <w:rFonts w:ascii="Times New Roman" w:hAnsi="Times New Roman" w:cs="Times New Roman"/>
          <w:bCs/>
          <w:sz w:val="24"/>
          <w:szCs w:val="24"/>
          <w:lang w:val="sr-Cyrl-CS"/>
        </w:rPr>
        <w:t xml:space="preserve">У </w:t>
      </w:r>
      <w:r w:rsidR="009C2C48" w:rsidRPr="00827818">
        <w:rPr>
          <w:rFonts w:ascii="Times New Roman" w:hAnsi="Times New Roman" w:cs="Times New Roman"/>
          <w:bCs/>
          <w:sz w:val="24"/>
          <w:szCs w:val="24"/>
          <w:lang w:val="sr-Cyrl-CS"/>
        </w:rPr>
        <w:t>М</w:t>
      </w:r>
      <w:r w:rsidR="002502E4" w:rsidRPr="00827818">
        <w:rPr>
          <w:rFonts w:ascii="Times New Roman" w:hAnsi="Times New Roman" w:cs="Times New Roman"/>
          <w:bCs/>
          <w:sz w:val="24"/>
          <w:szCs w:val="24"/>
          <w:lang w:val="sr-Cyrl-CS"/>
        </w:rPr>
        <w:t>ер</w:t>
      </w:r>
      <w:r w:rsidR="009C2C48" w:rsidRPr="00827818">
        <w:rPr>
          <w:rFonts w:ascii="Times New Roman" w:hAnsi="Times New Roman" w:cs="Times New Roman"/>
          <w:bCs/>
          <w:sz w:val="24"/>
          <w:szCs w:val="24"/>
          <w:lang w:val="sr-Cyrl-CS"/>
        </w:rPr>
        <w:t>и</w:t>
      </w:r>
      <w:r w:rsidR="002502E4" w:rsidRPr="00827818">
        <w:rPr>
          <w:rFonts w:ascii="Times New Roman" w:hAnsi="Times New Roman" w:cs="Times New Roman"/>
          <w:bCs/>
          <w:sz w:val="24"/>
          <w:szCs w:val="24"/>
          <w:lang w:val="sr-Cyrl-CS"/>
        </w:rPr>
        <w:t xml:space="preserve"> 2.1: Ефикасно прикупљање буџетских прихода који су у надлежности Пореске управе, </w:t>
      </w:r>
      <w:r w:rsidR="007E4743" w:rsidRPr="00827818">
        <w:rPr>
          <w:rFonts w:ascii="Times New Roman" w:hAnsi="Times New Roman" w:cs="Times New Roman"/>
          <w:bCs/>
          <w:sz w:val="24"/>
          <w:szCs w:val="24"/>
          <w:lang w:val="sr-Cyrl-CS"/>
        </w:rPr>
        <w:t xml:space="preserve">на нивоу мере </w:t>
      </w:r>
      <w:r w:rsidR="002502E4" w:rsidRPr="00827818">
        <w:rPr>
          <w:rFonts w:ascii="Times New Roman" w:hAnsi="Times New Roman" w:cs="Times New Roman"/>
          <w:bCs/>
          <w:sz w:val="24"/>
          <w:szCs w:val="24"/>
          <w:lang w:val="sr-Cyrl-CS"/>
        </w:rPr>
        <w:t xml:space="preserve">додаје се </w:t>
      </w:r>
      <w:r w:rsidR="007E4743" w:rsidRPr="00827818">
        <w:rPr>
          <w:rFonts w:ascii="Times New Roman" w:hAnsi="Times New Roman" w:cs="Times New Roman"/>
          <w:bCs/>
          <w:sz w:val="24"/>
          <w:szCs w:val="24"/>
          <w:lang w:val="sr-Cyrl-CS"/>
        </w:rPr>
        <w:t xml:space="preserve">нова </w:t>
      </w:r>
      <w:r w:rsidR="002502E4" w:rsidRPr="00827818">
        <w:rPr>
          <w:rFonts w:ascii="Times New Roman" w:hAnsi="Times New Roman" w:cs="Times New Roman"/>
          <w:bCs/>
          <w:sz w:val="24"/>
          <w:szCs w:val="24"/>
          <w:lang w:val="sr-Cyrl-CS"/>
        </w:rPr>
        <w:t>активност 2.1.</w:t>
      </w:r>
      <w:r w:rsidR="00B37CCF" w:rsidRPr="00827818">
        <w:rPr>
          <w:rFonts w:ascii="Times New Roman" w:hAnsi="Times New Roman" w:cs="Times New Roman"/>
          <w:bCs/>
          <w:sz w:val="24"/>
          <w:szCs w:val="24"/>
          <w:lang w:val="sr-Cyrl-CS"/>
        </w:rPr>
        <w:t>8</w:t>
      </w:r>
      <w:r w:rsidR="007E4743" w:rsidRPr="00827818">
        <w:rPr>
          <w:rFonts w:ascii="Times New Roman" w:hAnsi="Times New Roman" w:cs="Times New Roman"/>
          <w:bCs/>
          <w:sz w:val="24"/>
          <w:szCs w:val="24"/>
          <w:lang w:val="sr-Cyrl-CS"/>
        </w:rPr>
        <w:t>, која</w:t>
      </w:r>
      <w:r w:rsidR="002502E4" w:rsidRPr="00827818">
        <w:rPr>
          <w:rFonts w:ascii="Times New Roman" w:hAnsi="Times New Roman" w:cs="Times New Roman"/>
          <w:bCs/>
          <w:sz w:val="24"/>
          <w:szCs w:val="24"/>
          <w:lang w:val="sr-Cyrl-CS"/>
        </w:rPr>
        <w:t xml:space="preserve"> гласи</w:t>
      </w:r>
      <w:r w:rsidR="007E4743" w:rsidRPr="00827818">
        <w:rPr>
          <w:rFonts w:ascii="Times New Roman" w:hAnsi="Times New Roman" w:cs="Times New Roman"/>
          <w:bCs/>
          <w:sz w:val="24"/>
          <w:szCs w:val="24"/>
          <w:lang w:val="sr-Cyrl-CS"/>
        </w:rPr>
        <w:t>:</w:t>
      </w:r>
      <w:r w:rsidR="002502E4" w:rsidRPr="00827818">
        <w:rPr>
          <w:rFonts w:ascii="Times New Roman" w:hAnsi="Times New Roman" w:cs="Times New Roman"/>
          <w:bCs/>
          <w:sz w:val="24"/>
          <w:szCs w:val="24"/>
          <w:lang w:val="sr-Cyrl-CS"/>
        </w:rPr>
        <w:t xml:space="preserve"> „Израда комуникационе стратегије у</w:t>
      </w:r>
      <w:r w:rsidR="0089670A" w:rsidRPr="00827818">
        <w:rPr>
          <w:rFonts w:ascii="Times New Roman" w:hAnsi="Times New Roman" w:cs="Times New Roman"/>
          <w:bCs/>
          <w:sz w:val="24"/>
          <w:szCs w:val="24"/>
          <w:lang w:val="sr-Cyrl-CS"/>
        </w:rPr>
        <w:t xml:space="preserve"> вези измене ПО ПДВ обрас</w:t>
      </w:r>
      <w:r w:rsidR="002502E4" w:rsidRPr="00827818">
        <w:rPr>
          <w:rFonts w:ascii="Times New Roman" w:hAnsi="Times New Roman" w:cs="Times New Roman"/>
          <w:bCs/>
          <w:sz w:val="24"/>
          <w:szCs w:val="24"/>
          <w:lang w:val="sr-Cyrl-CS"/>
        </w:rPr>
        <w:t>ца</w:t>
      </w:r>
      <w:r w:rsidR="00E65243" w:rsidRPr="00827818">
        <w:rPr>
          <w:rFonts w:ascii="Times New Roman" w:hAnsi="Times New Roman" w:cs="Times New Roman"/>
          <w:bCs/>
          <w:sz w:val="24"/>
          <w:szCs w:val="24"/>
          <w:lang w:val="sr-Cyrl-CS"/>
        </w:rPr>
        <w:t>ˮ</w:t>
      </w:r>
      <w:r w:rsidR="007E4743" w:rsidRPr="00827818">
        <w:rPr>
          <w:rFonts w:ascii="Times New Roman" w:hAnsi="Times New Roman" w:cs="Times New Roman"/>
          <w:bCs/>
          <w:sz w:val="24"/>
          <w:szCs w:val="24"/>
          <w:lang w:val="sr-Cyrl-CS"/>
        </w:rPr>
        <w:t>;</w:t>
      </w:r>
      <w:r w:rsidR="002502E4" w:rsidRPr="00827818">
        <w:rPr>
          <w:rFonts w:ascii="Times New Roman" w:hAnsi="Times New Roman" w:cs="Times New Roman"/>
          <w:bCs/>
          <w:sz w:val="24"/>
          <w:szCs w:val="24"/>
          <w:lang w:val="sr-Cyrl-CS"/>
        </w:rPr>
        <w:t xml:space="preserve"> </w:t>
      </w:r>
      <w:r w:rsidR="008E790C" w:rsidRPr="00827818">
        <w:rPr>
          <w:rFonts w:ascii="Times New Roman" w:hAnsi="Times New Roman" w:cs="Times New Roman"/>
          <w:bCs/>
          <w:sz w:val="24"/>
          <w:szCs w:val="24"/>
          <w:lang w:val="sr-Cyrl-CS"/>
        </w:rPr>
        <w:t>За наведену активност додају</w:t>
      </w:r>
      <w:r w:rsidR="007E4743" w:rsidRPr="00827818">
        <w:rPr>
          <w:rFonts w:ascii="Times New Roman" w:hAnsi="Times New Roman" w:cs="Times New Roman"/>
          <w:bCs/>
          <w:sz w:val="24"/>
          <w:szCs w:val="24"/>
          <w:lang w:val="sr-Cyrl-CS"/>
        </w:rPr>
        <w:t xml:space="preserve"> се</w:t>
      </w:r>
      <w:r w:rsidR="008E790C" w:rsidRPr="00827818">
        <w:rPr>
          <w:rFonts w:ascii="Times New Roman" w:hAnsi="Times New Roman" w:cs="Times New Roman"/>
          <w:bCs/>
          <w:sz w:val="24"/>
          <w:szCs w:val="24"/>
          <w:lang w:val="sr-Cyrl-CS"/>
        </w:rPr>
        <w:t>:</w:t>
      </w:r>
      <w:r w:rsidR="007E4743" w:rsidRPr="00827818">
        <w:rPr>
          <w:rFonts w:ascii="Times New Roman" w:hAnsi="Times New Roman" w:cs="Times New Roman"/>
          <w:bCs/>
          <w:sz w:val="24"/>
          <w:szCs w:val="24"/>
          <w:lang w:val="sr-Cyrl-CS"/>
        </w:rPr>
        <w:t xml:space="preserve"> рок за завршетак активности, који гласи: </w:t>
      </w:r>
      <w:r w:rsidR="008936F2" w:rsidRPr="00827818">
        <w:rPr>
          <w:rFonts w:ascii="Times New Roman" w:hAnsi="Times New Roman" w:cs="Times New Roman"/>
          <w:bCs/>
          <w:sz w:val="24"/>
          <w:szCs w:val="24"/>
          <w:lang w:val="sr-Cyrl-CS"/>
        </w:rPr>
        <w:t>„</w:t>
      </w:r>
      <w:r w:rsidR="00B74E95" w:rsidRPr="00827818">
        <w:rPr>
          <w:rFonts w:ascii="Times New Roman" w:hAnsi="Times New Roman" w:cs="Times New Roman"/>
          <w:bCs/>
          <w:sz w:val="24"/>
          <w:szCs w:val="24"/>
          <w:lang w:val="sr-Cyrl-CS"/>
        </w:rPr>
        <w:t>Q2</w:t>
      </w:r>
      <w:r w:rsidR="0067382F" w:rsidRPr="00827818">
        <w:rPr>
          <w:rFonts w:ascii="Times New Roman" w:hAnsi="Times New Roman" w:cs="Times New Roman"/>
          <w:bCs/>
          <w:sz w:val="24"/>
          <w:szCs w:val="24"/>
          <w:lang w:val="sr-Cyrl-CS"/>
        </w:rPr>
        <w:t xml:space="preserve"> </w:t>
      </w:r>
      <w:r w:rsidR="008E790C" w:rsidRPr="00827818">
        <w:rPr>
          <w:rFonts w:ascii="Times New Roman" w:hAnsi="Times New Roman" w:cs="Times New Roman"/>
          <w:bCs/>
          <w:sz w:val="24"/>
          <w:szCs w:val="24"/>
          <w:lang w:val="sr-Cyrl-CS"/>
        </w:rPr>
        <w:t>2024</w:t>
      </w:r>
      <w:r w:rsidR="007E4743" w:rsidRPr="00827818">
        <w:rPr>
          <w:rFonts w:ascii="Times New Roman" w:hAnsi="Times New Roman" w:cs="Times New Roman"/>
          <w:bCs/>
          <w:sz w:val="24"/>
          <w:szCs w:val="24"/>
          <w:lang w:val="sr-Cyrl-CS"/>
        </w:rPr>
        <w:t>;</w:t>
      </w:r>
      <w:r w:rsidR="009D605C" w:rsidRPr="00827818">
        <w:rPr>
          <w:rFonts w:ascii="Times New Roman" w:hAnsi="Times New Roman" w:cs="Times New Roman"/>
          <w:bCs/>
          <w:sz w:val="24"/>
          <w:szCs w:val="24"/>
          <w:lang w:val="sr-Cyrl-CS"/>
        </w:rPr>
        <w:t xml:space="preserve"> </w:t>
      </w:r>
      <w:r w:rsidR="007E4743" w:rsidRPr="00827818">
        <w:rPr>
          <w:rFonts w:ascii="Times New Roman" w:hAnsi="Times New Roman" w:cs="Times New Roman"/>
          <w:bCs/>
          <w:sz w:val="24"/>
          <w:szCs w:val="24"/>
          <w:lang w:val="sr-Cyrl-CS"/>
        </w:rPr>
        <w:t>институција</w:t>
      </w:r>
      <w:r w:rsidR="006F7BA0" w:rsidRPr="00827818">
        <w:rPr>
          <w:rFonts w:ascii="Times New Roman" w:hAnsi="Times New Roman" w:cs="Times New Roman"/>
          <w:bCs/>
          <w:sz w:val="24"/>
          <w:szCs w:val="24"/>
          <w:lang w:val="sr-Cyrl-CS"/>
        </w:rPr>
        <w:t xml:space="preserve"> одговорна</w:t>
      </w:r>
      <w:r w:rsidR="007E4743" w:rsidRPr="00827818">
        <w:rPr>
          <w:rFonts w:ascii="Times New Roman" w:hAnsi="Times New Roman" w:cs="Times New Roman"/>
          <w:bCs/>
          <w:sz w:val="24"/>
          <w:szCs w:val="24"/>
          <w:lang w:val="sr-Cyrl-CS"/>
        </w:rPr>
        <w:t xml:space="preserve"> за спровође</w:t>
      </w:r>
      <w:r w:rsidR="00F07853" w:rsidRPr="00827818">
        <w:rPr>
          <w:rFonts w:ascii="Times New Roman" w:hAnsi="Times New Roman" w:cs="Times New Roman"/>
          <w:bCs/>
          <w:sz w:val="24"/>
          <w:szCs w:val="24"/>
          <w:lang w:val="sr-Cyrl-CS"/>
        </w:rPr>
        <w:t>ње активности</w:t>
      </w:r>
      <w:r w:rsidR="007E4743" w:rsidRPr="00827818">
        <w:rPr>
          <w:rFonts w:ascii="Times New Roman" w:hAnsi="Times New Roman" w:cs="Times New Roman"/>
          <w:bCs/>
          <w:sz w:val="24"/>
          <w:szCs w:val="24"/>
          <w:lang w:val="sr-Cyrl-CS"/>
        </w:rPr>
        <w:t xml:space="preserve"> која гласи: „Министарство финансија</w:t>
      </w:r>
      <w:r w:rsidR="00E65243" w:rsidRPr="00827818">
        <w:rPr>
          <w:rFonts w:ascii="Times New Roman" w:hAnsi="Times New Roman" w:cs="Times New Roman"/>
          <w:bCs/>
          <w:sz w:val="24"/>
          <w:szCs w:val="24"/>
          <w:lang w:val="sr-Cyrl-CS"/>
        </w:rPr>
        <w:t>ˮ</w:t>
      </w:r>
      <w:r w:rsidR="007E4743" w:rsidRPr="00827818">
        <w:rPr>
          <w:rFonts w:ascii="Times New Roman" w:hAnsi="Times New Roman" w:cs="Times New Roman"/>
          <w:bCs/>
          <w:sz w:val="24"/>
          <w:szCs w:val="24"/>
          <w:lang w:val="sr-Cyrl-CS"/>
        </w:rPr>
        <w:t>;</w:t>
      </w:r>
      <w:r w:rsidR="009D605C" w:rsidRPr="00827818">
        <w:rPr>
          <w:rFonts w:ascii="Times New Roman" w:hAnsi="Times New Roman" w:cs="Times New Roman"/>
          <w:bCs/>
          <w:sz w:val="24"/>
          <w:szCs w:val="24"/>
          <w:lang w:val="sr-Cyrl-CS"/>
        </w:rPr>
        <w:t xml:space="preserve"> </w:t>
      </w:r>
      <w:r w:rsidR="00F07853" w:rsidRPr="00827818">
        <w:rPr>
          <w:rFonts w:ascii="Times New Roman" w:hAnsi="Times New Roman" w:cs="Times New Roman"/>
          <w:bCs/>
          <w:sz w:val="24"/>
          <w:szCs w:val="24"/>
          <w:lang w:val="sr-Cyrl-CS"/>
        </w:rPr>
        <w:t>извор финансирања</w:t>
      </w:r>
      <w:r w:rsidR="007E4743" w:rsidRPr="00827818">
        <w:rPr>
          <w:rFonts w:ascii="Times New Roman" w:hAnsi="Times New Roman" w:cs="Times New Roman"/>
          <w:bCs/>
          <w:sz w:val="24"/>
          <w:szCs w:val="24"/>
          <w:lang w:val="sr-Cyrl-CS"/>
        </w:rPr>
        <w:t xml:space="preserve"> који гласи: </w:t>
      </w:r>
      <w:r w:rsidR="002502E4" w:rsidRPr="00827818">
        <w:rPr>
          <w:rFonts w:ascii="Times New Roman" w:hAnsi="Times New Roman" w:cs="Times New Roman"/>
          <w:bCs/>
          <w:sz w:val="24"/>
          <w:szCs w:val="24"/>
          <w:lang w:val="sr-Cyrl-CS"/>
        </w:rPr>
        <w:t>„Донаторска средства</w:t>
      </w:r>
      <w:r w:rsidR="00E65243" w:rsidRPr="00827818">
        <w:rPr>
          <w:rFonts w:ascii="Times New Roman" w:hAnsi="Times New Roman" w:cs="Times New Roman"/>
          <w:bCs/>
          <w:sz w:val="24"/>
          <w:szCs w:val="24"/>
          <w:lang w:val="sr-Cyrl-CS"/>
        </w:rPr>
        <w:t>ˮ</w:t>
      </w:r>
      <w:r w:rsidR="007C2F11" w:rsidRPr="00827818">
        <w:rPr>
          <w:rFonts w:ascii="Times New Roman" w:hAnsi="Times New Roman" w:cs="Times New Roman"/>
          <w:bCs/>
          <w:sz w:val="24"/>
          <w:szCs w:val="24"/>
          <w:lang w:val="sr-Cyrl-CS"/>
        </w:rPr>
        <w:t>;</w:t>
      </w:r>
      <w:r w:rsidR="002502E4" w:rsidRPr="00827818">
        <w:rPr>
          <w:rFonts w:ascii="Times New Roman" w:hAnsi="Times New Roman" w:cs="Times New Roman"/>
          <w:bCs/>
          <w:sz w:val="24"/>
          <w:szCs w:val="24"/>
          <w:lang w:val="sr-Cyrl-CS"/>
        </w:rPr>
        <w:t xml:space="preserve"> </w:t>
      </w:r>
      <w:r w:rsidR="008936F2" w:rsidRPr="00827818">
        <w:rPr>
          <w:rFonts w:ascii="Times New Roman" w:hAnsi="Times New Roman" w:cs="Times New Roman"/>
          <w:bCs/>
          <w:sz w:val="24"/>
          <w:szCs w:val="24"/>
          <w:lang w:val="sr-Cyrl-CS"/>
        </w:rPr>
        <w:t xml:space="preserve">и </w:t>
      </w:r>
      <w:r w:rsidR="00504C88" w:rsidRPr="00827818">
        <w:rPr>
          <w:rFonts w:ascii="Times New Roman" w:hAnsi="Times New Roman" w:cs="Times New Roman"/>
          <w:bCs/>
          <w:sz w:val="24"/>
          <w:szCs w:val="24"/>
          <w:lang w:val="sr-Cyrl-CS"/>
        </w:rPr>
        <w:t>укупна процењена финансијска средства у 000 дин, за 2024, која гласе: „35,214*</w:t>
      </w:r>
      <w:r w:rsidR="00E65243" w:rsidRPr="00827818">
        <w:rPr>
          <w:rFonts w:ascii="Times New Roman" w:hAnsi="Times New Roman" w:cs="Times New Roman"/>
          <w:bCs/>
          <w:sz w:val="24"/>
          <w:szCs w:val="24"/>
          <w:lang w:val="sr-Cyrl-CS"/>
        </w:rPr>
        <w:t>ˮ</w:t>
      </w:r>
      <w:r w:rsidR="001E3208" w:rsidRPr="00827818">
        <w:rPr>
          <w:rFonts w:ascii="Times New Roman" w:hAnsi="Times New Roman" w:cs="Times New Roman"/>
          <w:bCs/>
          <w:sz w:val="24"/>
          <w:szCs w:val="24"/>
          <w:lang w:val="sr-Cyrl-CS"/>
        </w:rPr>
        <w:t>.</w:t>
      </w:r>
    </w:p>
    <w:p w:rsidR="00750984" w:rsidRPr="00827818" w:rsidRDefault="005D4898" w:rsidP="003F68DE">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bCs/>
          <w:sz w:val="24"/>
          <w:szCs w:val="24"/>
          <w:lang w:val="sr-Cyrl-CS"/>
        </w:rPr>
        <w:t xml:space="preserve">34. </w:t>
      </w:r>
      <w:r w:rsidR="002502E4" w:rsidRPr="00827818">
        <w:rPr>
          <w:rFonts w:ascii="Times New Roman" w:hAnsi="Times New Roman" w:cs="Times New Roman"/>
          <w:bCs/>
          <w:sz w:val="24"/>
          <w:szCs w:val="24"/>
          <w:lang w:val="sr-Cyrl-CS"/>
        </w:rPr>
        <w:t xml:space="preserve">У </w:t>
      </w:r>
      <w:r w:rsidR="00FB6215" w:rsidRPr="00827818">
        <w:rPr>
          <w:rFonts w:ascii="Times New Roman" w:hAnsi="Times New Roman" w:cs="Times New Roman"/>
          <w:bCs/>
          <w:sz w:val="24"/>
          <w:szCs w:val="24"/>
          <w:lang w:val="sr-Cyrl-CS"/>
        </w:rPr>
        <w:t>М</w:t>
      </w:r>
      <w:r w:rsidR="002502E4" w:rsidRPr="00827818">
        <w:rPr>
          <w:rFonts w:ascii="Times New Roman" w:hAnsi="Times New Roman" w:cs="Times New Roman"/>
          <w:bCs/>
          <w:sz w:val="24"/>
          <w:szCs w:val="24"/>
          <w:lang w:val="sr-Cyrl-CS"/>
        </w:rPr>
        <w:t>ер</w:t>
      </w:r>
      <w:r w:rsidR="00FB6215" w:rsidRPr="00827818">
        <w:rPr>
          <w:rFonts w:ascii="Times New Roman" w:hAnsi="Times New Roman" w:cs="Times New Roman"/>
          <w:bCs/>
          <w:sz w:val="24"/>
          <w:szCs w:val="24"/>
          <w:lang w:val="sr-Cyrl-CS"/>
        </w:rPr>
        <w:t>и</w:t>
      </w:r>
      <w:r w:rsidR="0067382F" w:rsidRPr="00827818">
        <w:rPr>
          <w:rFonts w:ascii="Times New Roman" w:hAnsi="Times New Roman" w:cs="Times New Roman"/>
          <w:bCs/>
          <w:sz w:val="24"/>
          <w:szCs w:val="24"/>
          <w:lang w:val="sr-Cyrl-CS"/>
        </w:rPr>
        <w:t xml:space="preserve"> 2.1 </w:t>
      </w:r>
      <w:r w:rsidR="002502E4" w:rsidRPr="00827818">
        <w:rPr>
          <w:rFonts w:ascii="Times New Roman" w:hAnsi="Times New Roman" w:cs="Times New Roman"/>
          <w:bCs/>
          <w:sz w:val="24"/>
          <w:szCs w:val="24"/>
          <w:lang w:val="sr-Cyrl-CS"/>
        </w:rPr>
        <w:t>Ефикасно прикупљање буџетских прихода који су у надлежности Пореске управе, додаје се активност 2.1.</w:t>
      </w:r>
      <w:r w:rsidR="00B37CCF" w:rsidRPr="00827818">
        <w:rPr>
          <w:rFonts w:ascii="Times New Roman" w:hAnsi="Times New Roman" w:cs="Times New Roman"/>
          <w:bCs/>
          <w:sz w:val="24"/>
          <w:szCs w:val="24"/>
          <w:lang w:val="sr-Cyrl-CS"/>
        </w:rPr>
        <w:t>9</w:t>
      </w:r>
      <w:r w:rsidR="00B57526" w:rsidRPr="00827818">
        <w:rPr>
          <w:rFonts w:ascii="Times New Roman" w:hAnsi="Times New Roman" w:cs="Times New Roman"/>
          <w:bCs/>
          <w:sz w:val="24"/>
          <w:szCs w:val="24"/>
          <w:lang w:val="sr-Cyrl-CS"/>
        </w:rPr>
        <w:t>, која</w:t>
      </w:r>
      <w:r w:rsidR="002502E4" w:rsidRPr="00827818">
        <w:rPr>
          <w:rFonts w:ascii="Times New Roman" w:hAnsi="Times New Roman" w:cs="Times New Roman"/>
          <w:bCs/>
          <w:sz w:val="24"/>
          <w:szCs w:val="24"/>
          <w:lang w:val="sr-Cyrl-CS"/>
        </w:rPr>
        <w:t xml:space="preserve"> гласи</w:t>
      </w:r>
      <w:r w:rsidR="00B57526" w:rsidRPr="00827818">
        <w:rPr>
          <w:rFonts w:ascii="Times New Roman" w:hAnsi="Times New Roman" w:cs="Times New Roman"/>
          <w:bCs/>
          <w:sz w:val="24"/>
          <w:szCs w:val="24"/>
          <w:lang w:val="sr-Cyrl-CS"/>
        </w:rPr>
        <w:t>:</w:t>
      </w:r>
      <w:r w:rsidR="002502E4" w:rsidRPr="00827818">
        <w:rPr>
          <w:rFonts w:ascii="Times New Roman" w:hAnsi="Times New Roman" w:cs="Times New Roman"/>
          <w:bCs/>
          <w:sz w:val="24"/>
          <w:szCs w:val="24"/>
          <w:lang w:val="sr-Cyrl-CS"/>
        </w:rPr>
        <w:t xml:space="preserve"> „Израда комуникационе стратегије за увођење система електронских отпремница</w:t>
      </w:r>
      <w:r w:rsidR="00E65243" w:rsidRPr="00827818">
        <w:rPr>
          <w:rFonts w:ascii="Times New Roman" w:hAnsi="Times New Roman" w:cs="Times New Roman"/>
          <w:bCs/>
          <w:sz w:val="24"/>
          <w:szCs w:val="24"/>
          <w:lang w:val="sr-Cyrl-CS"/>
        </w:rPr>
        <w:t>ˮ</w:t>
      </w:r>
      <w:r w:rsidR="00B57526" w:rsidRPr="00827818">
        <w:rPr>
          <w:rFonts w:ascii="Times New Roman" w:hAnsi="Times New Roman" w:cs="Times New Roman"/>
          <w:bCs/>
          <w:sz w:val="24"/>
          <w:szCs w:val="24"/>
          <w:lang w:val="sr-Cyrl-CS"/>
        </w:rPr>
        <w:t>;</w:t>
      </w:r>
      <w:r w:rsidR="002502E4" w:rsidRPr="00827818">
        <w:rPr>
          <w:rFonts w:ascii="Times New Roman" w:hAnsi="Times New Roman" w:cs="Times New Roman"/>
          <w:bCs/>
          <w:sz w:val="24"/>
          <w:szCs w:val="24"/>
          <w:lang w:val="sr-Cyrl-CS"/>
        </w:rPr>
        <w:t xml:space="preserve"> </w:t>
      </w:r>
      <w:r w:rsidR="00B57526" w:rsidRPr="00827818">
        <w:rPr>
          <w:rFonts w:ascii="Times New Roman" w:hAnsi="Times New Roman" w:cs="Times New Roman"/>
          <w:bCs/>
          <w:sz w:val="24"/>
          <w:szCs w:val="24"/>
          <w:lang w:val="sr-Cyrl-CS"/>
        </w:rPr>
        <w:t>За наведе</w:t>
      </w:r>
      <w:r w:rsidR="0014047B" w:rsidRPr="00827818">
        <w:rPr>
          <w:rFonts w:ascii="Times New Roman" w:hAnsi="Times New Roman" w:cs="Times New Roman"/>
          <w:bCs/>
          <w:sz w:val="24"/>
          <w:szCs w:val="24"/>
          <w:lang w:val="sr-Cyrl-CS"/>
        </w:rPr>
        <w:t>ну активност додају</w:t>
      </w:r>
      <w:r w:rsidR="00A342AB" w:rsidRPr="00827818">
        <w:rPr>
          <w:rFonts w:ascii="Times New Roman" w:hAnsi="Times New Roman" w:cs="Times New Roman"/>
          <w:bCs/>
          <w:sz w:val="24"/>
          <w:szCs w:val="24"/>
          <w:lang w:val="sr-Cyrl-CS"/>
        </w:rPr>
        <w:t xml:space="preserve"> се</w:t>
      </w:r>
      <w:r w:rsidR="0014047B" w:rsidRPr="00827818">
        <w:rPr>
          <w:rFonts w:ascii="Times New Roman" w:hAnsi="Times New Roman" w:cs="Times New Roman"/>
          <w:bCs/>
          <w:sz w:val="24"/>
          <w:szCs w:val="24"/>
          <w:lang w:val="sr-Cyrl-CS"/>
        </w:rPr>
        <w:t>: рок за завршетак активности</w:t>
      </w:r>
      <w:r w:rsidR="00617E21" w:rsidRPr="00827818">
        <w:rPr>
          <w:rFonts w:ascii="Times New Roman" w:hAnsi="Times New Roman" w:cs="Times New Roman"/>
          <w:bCs/>
          <w:sz w:val="24"/>
          <w:szCs w:val="24"/>
          <w:lang w:val="sr-Cyrl-CS"/>
        </w:rPr>
        <w:t xml:space="preserve"> који гласи: „</w:t>
      </w:r>
      <w:r w:rsidR="00B74E95" w:rsidRPr="00827818">
        <w:rPr>
          <w:rFonts w:ascii="Times New Roman" w:hAnsi="Times New Roman" w:cs="Times New Roman"/>
          <w:bCs/>
          <w:sz w:val="24"/>
          <w:szCs w:val="24"/>
          <w:lang w:val="sr-Cyrl-CS"/>
        </w:rPr>
        <w:t>Q4</w:t>
      </w:r>
      <w:r w:rsidR="00836C93" w:rsidRPr="00827818">
        <w:rPr>
          <w:rFonts w:ascii="Times New Roman" w:hAnsi="Times New Roman" w:cs="Times New Roman"/>
          <w:bCs/>
          <w:sz w:val="24"/>
          <w:szCs w:val="24"/>
          <w:lang w:val="sr-Cyrl-CS"/>
        </w:rPr>
        <w:t xml:space="preserve"> 2024</w:t>
      </w:r>
      <w:r w:rsidR="00E65243" w:rsidRPr="00827818">
        <w:rPr>
          <w:rFonts w:ascii="Times New Roman" w:hAnsi="Times New Roman" w:cs="Times New Roman"/>
          <w:bCs/>
          <w:sz w:val="24"/>
          <w:szCs w:val="24"/>
          <w:lang w:val="sr-Cyrl-CS"/>
        </w:rPr>
        <w:t>ˮ</w:t>
      </w:r>
      <w:r w:rsidR="00B57526" w:rsidRPr="00827818">
        <w:rPr>
          <w:rFonts w:ascii="Times New Roman" w:hAnsi="Times New Roman" w:cs="Times New Roman"/>
          <w:bCs/>
          <w:sz w:val="24"/>
          <w:szCs w:val="24"/>
          <w:lang w:val="sr-Cyrl-CS"/>
        </w:rPr>
        <w:t xml:space="preserve">; институција </w:t>
      </w:r>
      <w:r w:rsidR="00A342AB" w:rsidRPr="00827818">
        <w:rPr>
          <w:rFonts w:ascii="Times New Roman" w:hAnsi="Times New Roman" w:cs="Times New Roman"/>
          <w:bCs/>
          <w:sz w:val="24"/>
          <w:szCs w:val="24"/>
          <w:lang w:val="sr-Cyrl-CS"/>
        </w:rPr>
        <w:t xml:space="preserve">одговорна </w:t>
      </w:r>
      <w:r w:rsidR="0014047B" w:rsidRPr="00827818">
        <w:rPr>
          <w:rFonts w:ascii="Times New Roman" w:hAnsi="Times New Roman" w:cs="Times New Roman"/>
          <w:bCs/>
          <w:sz w:val="24"/>
          <w:szCs w:val="24"/>
          <w:lang w:val="sr-Cyrl-CS"/>
        </w:rPr>
        <w:t>за спровођење активности</w:t>
      </w:r>
      <w:r w:rsidR="00B57526" w:rsidRPr="00827818">
        <w:rPr>
          <w:rFonts w:ascii="Times New Roman" w:hAnsi="Times New Roman" w:cs="Times New Roman"/>
          <w:bCs/>
          <w:sz w:val="24"/>
          <w:szCs w:val="24"/>
          <w:lang w:val="sr-Cyrl-CS"/>
        </w:rPr>
        <w:t xml:space="preserve"> која гласи: „Министарство финансија</w:t>
      </w:r>
      <w:r w:rsidR="00E65243" w:rsidRPr="00827818">
        <w:rPr>
          <w:rFonts w:ascii="Times New Roman" w:hAnsi="Times New Roman" w:cs="Times New Roman"/>
          <w:bCs/>
          <w:sz w:val="24"/>
          <w:szCs w:val="24"/>
          <w:lang w:val="sr-Cyrl-CS"/>
        </w:rPr>
        <w:t>ˮ</w:t>
      </w:r>
      <w:r w:rsidR="0014047B" w:rsidRPr="00827818">
        <w:rPr>
          <w:rFonts w:ascii="Times New Roman" w:hAnsi="Times New Roman" w:cs="Times New Roman"/>
          <w:bCs/>
          <w:sz w:val="24"/>
          <w:szCs w:val="24"/>
          <w:lang w:val="sr-Cyrl-CS"/>
        </w:rPr>
        <w:t xml:space="preserve">; </w:t>
      </w:r>
      <w:r w:rsidR="00B57526" w:rsidRPr="00827818">
        <w:rPr>
          <w:rFonts w:ascii="Times New Roman" w:hAnsi="Times New Roman" w:cs="Times New Roman"/>
          <w:bCs/>
          <w:sz w:val="24"/>
          <w:szCs w:val="24"/>
          <w:lang w:val="sr-Cyrl-CS"/>
        </w:rPr>
        <w:t>извор финансирања, који гласи:</w:t>
      </w:r>
      <w:r w:rsidR="00886EF8" w:rsidRPr="00827818">
        <w:rPr>
          <w:rFonts w:ascii="Times New Roman" w:hAnsi="Times New Roman" w:cs="Times New Roman"/>
          <w:bCs/>
          <w:sz w:val="24"/>
          <w:szCs w:val="24"/>
          <w:lang w:val="sr-Cyrl-CS"/>
        </w:rPr>
        <w:t xml:space="preserve"> </w:t>
      </w:r>
      <w:r w:rsidR="002502E4" w:rsidRPr="00827818">
        <w:rPr>
          <w:rFonts w:ascii="Times New Roman" w:hAnsi="Times New Roman" w:cs="Times New Roman"/>
          <w:bCs/>
          <w:sz w:val="24"/>
          <w:szCs w:val="24"/>
          <w:lang w:val="sr-Cyrl-CS"/>
        </w:rPr>
        <w:t>„Донаторска средства</w:t>
      </w:r>
      <w:r w:rsidR="00E65243" w:rsidRPr="00827818">
        <w:rPr>
          <w:rFonts w:ascii="Times New Roman" w:hAnsi="Times New Roman" w:cs="Times New Roman"/>
          <w:bCs/>
          <w:sz w:val="24"/>
          <w:szCs w:val="24"/>
          <w:lang w:val="sr-Cyrl-CS"/>
        </w:rPr>
        <w:t>ˮ</w:t>
      </w:r>
      <w:r w:rsidR="00886EF8" w:rsidRPr="00827818">
        <w:rPr>
          <w:rFonts w:ascii="Times New Roman" w:hAnsi="Times New Roman" w:cs="Times New Roman"/>
          <w:bCs/>
          <w:sz w:val="24"/>
          <w:szCs w:val="24"/>
          <w:lang w:val="sr-Cyrl-CS"/>
        </w:rPr>
        <w:t>;</w:t>
      </w:r>
      <w:r w:rsidR="0005519B" w:rsidRPr="00827818">
        <w:rPr>
          <w:rFonts w:ascii="Times New Roman" w:hAnsi="Times New Roman" w:cs="Times New Roman"/>
          <w:bCs/>
          <w:sz w:val="24"/>
          <w:szCs w:val="24"/>
          <w:lang w:val="sr-Cyrl-CS"/>
        </w:rPr>
        <w:t xml:space="preserve"> </w:t>
      </w:r>
      <w:r w:rsidR="002A3D53" w:rsidRPr="00827818">
        <w:rPr>
          <w:rFonts w:ascii="Times New Roman" w:hAnsi="Times New Roman" w:cs="Times New Roman"/>
          <w:bCs/>
          <w:sz w:val="24"/>
          <w:szCs w:val="24"/>
          <w:lang w:val="sr-Cyrl-CS"/>
        </w:rPr>
        <w:t xml:space="preserve">и </w:t>
      </w:r>
      <w:r w:rsidR="00C3278C" w:rsidRPr="00827818">
        <w:rPr>
          <w:rFonts w:ascii="Times New Roman" w:hAnsi="Times New Roman" w:cs="Times New Roman"/>
          <w:bCs/>
          <w:sz w:val="24"/>
          <w:szCs w:val="24"/>
          <w:lang w:val="sr-Cyrl-CS"/>
        </w:rPr>
        <w:t>укупна процењена финансијска средства у 000 дин, за 2024, која гласе: „35,214*</w:t>
      </w:r>
      <w:r w:rsidR="00E65243" w:rsidRPr="00827818">
        <w:rPr>
          <w:rFonts w:ascii="Times New Roman" w:hAnsi="Times New Roman" w:cs="Times New Roman"/>
          <w:bCs/>
          <w:sz w:val="24"/>
          <w:szCs w:val="24"/>
          <w:lang w:val="sr-Cyrl-CS"/>
        </w:rPr>
        <w:t>ˮ</w:t>
      </w:r>
      <w:r w:rsidR="001E3208" w:rsidRPr="00827818">
        <w:rPr>
          <w:rFonts w:ascii="Times New Roman" w:hAnsi="Times New Roman" w:cs="Times New Roman"/>
          <w:bCs/>
          <w:sz w:val="24"/>
          <w:szCs w:val="24"/>
          <w:lang w:val="sr-Cyrl-CS"/>
        </w:rPr>
        <w:t>.</w:t>
      </w:r>
    </w:p>
    <w:p w:rsidR="00750984" w:rsidRPr="00827818" w:rsidRDefault="003F68DE" w:rsidP="003F68DE">
      <w:pPr>
        <w:spacing w:after="0"/>
        <w:ind w:firstLine="720"/>
        <w:jc w:val="both"/>
        <w:rPr>
          <w:rFonts w:ascii="Times New Roman" w:hAnsi="Times New Roman" w:cs="Times New Roman"/>
          <w:bCs/>
          <w:sz w:val="24"/>
          <w:szCs w:val="24"/>
          <w:lang w:val="sr-Cyrl-CS"/>
        </w:rPr>
      </w:pPr>
      <w:r w:rsidRPr="00827818">
        <w:rPr>
          <w:rFonts w:ascii="Times New Roman" w:hAnsi="Times New Roman" w:cs="Times New Roman"/>
          <w:sz w:val="24"/>
          <w:szCs w:val="24"/>
          <w:lang w:val="sr-Cyrl-CS"/>
        </w:rPr>
        <w:t>35.</w:t>
      </w:r>
      <w:r w:rsidR="00750984" w:rsidRPr="00827818">
        <w:rPr>
          <w:rFonts w:ascii="Times New Roman" w:hAnsi="Times New Roman" w:cs="Times New Roman"/>
          <w:sz w:val="24"/>
          <w:szCs w:val="24"/>
          <w:lang w:val="sr-Cyrl-CS"/>
        </w:rPr>
        <w:t xml:space="preserve">У </w:t>
      </w:r>
      <w:r w:rsidR="002A3D53" w:rsidRPr="00827818">
        <w:rPr>
          <w:rFonts w:ascii="Times New Roman" w:hAnsi="Times New Roman" w:cs="Times New Roman"/>
          <w:bCs/>
          <w:sz w:val="24"/>
          <w:szCs w:val="24"/>
          <w:lang w:val="sr-Cyrl-CS"/>
        </w:rPr>
        <w:t>М</w:t>
      </w:r>
      <w:r w:rsidR="00750984" w:rsidRPr="00827818">
        <w:rPr>
          <w:rFonts w:ascii="Times New Roman" w:hAnsi="Times New Roman" w:cs="Times New Roman"/>
          <w:bCs/>
          <w:sz w:val="24"/>
          <w:szCs w:val="24"/>
          <w:lang w:val="sr-Cyrl-CS"/>
        </w:rPr>
        <w:t>ер</w:t>
      </w:r>
      <w:r w:rsidR="00C30DEA" w:rsidRPr="00827818">
        <w:rPr>
          <w:rFonts w:ascii="Times New Roman" w:hAnsi="Times New Roman" w:cs="Times New Roman"/>
          <w:bCs/>
          <w:sz w:val="24"/>
          <w:szCs w:val="24"/>
          <w:lang w:val="sr-Cyrl-CS"/>
        </w:rPr>
        <w:t>и</w:t>
      </w:r>
      <w:r w:rsidR="00750984" w:rsidRPr="00827818">
        <w:rPr>
          <w:rFonts w:ascii="Times New Roman" w:hAnsi="Times New Roman" w:cs="Times New Roman"/>
          <w:bCs/>
          <w:sz w:val="24"/>
          <w:szCs w:val="24"/>
          <w:lang w:val="sr-Cyrl-CS"/>
        </w:rPr>
        <w:t xml:space="preserve"> 2.2: Модернизација процеса рада Управе за дуван, додаје се активност 2.2.4</w:t>
      </w:r>
      <w:r w:rsidR="00C30DEA" w:rsidRPr="00827818">
        <w:rPr>
          <w:rFonts w:ascii="Times New Roman" w:hAnsi="Times New Roman" w:cs="Times New Roman"/>
          <w:bCs/>
          <w:sz w:val="24"/>
          <w:szCs w:val="24"/>
          <w:lang w:val="sr-Cyrl-CS"/>
        </w:rPr>
        <w:t>, која</w:t>
      </w:r>
      <w:r w:rsidR="00750984" w:rsidRPr="00827818">
        <w:rPr>
          <w:rFonts w:ascii="Times New Roman" w:hAnsi="Times New Roman" w:cs="Times New Roman"/>
          <w:bCs/>
          <w:sz w:val="24"/>
          <w:szCs w:val="24"/>
          <w:lang w:val="sr-Cyrl-CS"/>
        </w:rPr>
        <w:t xml:space="preserve"> гласи</w:t>
      </w:r>
      <w:r w:rsidR="00C30DEA"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 xml:space="preserve"> </w:t>
      </w:r>
      <w:r w:rsidR="002A3D53"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Надоградња Интегрисаног информационог система Управе за дуван</w:t>
      </w:r>
      <w:r w:rsidR="00E65243" w:rsidRPr="00827818">
        <w:rPr>
          <w:rFonts w:ascii="Times New Roman" w:hAnsi="Times New Roman" w:cs="Times New Roman"/>
          <w:bCs/>
          <w:sz w:val="24"/>
          <w:szCs w:val="24"/>
          <w:lang w:val="sr-Cyrl-CS"/>
        </w:rPr>
        <w:t>ˮ</w:t>
      </w:r>
      <w:r w:rsidR="00C30DEA" w:rsidRPr="00827818">
        <w:rPr>
          <w:rFonts w:ascii="Times New Roman" w:hAnsi="Times New Roman" w:cs="Times New Roman"/>
          <w:bCs/>
          <w:sz w:val="24"/>
          <w:szCs w:val="24"/>
          <w:lang w:val="sr-Cyrl-CS"/>
        </w:rPr>
        <w:t>;</w:t>
      </w:r>
      <w:r w:rsidR="009D605C" w:rsidRPr="00827818">
        <w:rPr>
          <w:rFonts w:ascii="Times New Roman" w:hAnsi="Times New Roman" w:cs="Times New Roman"/>
          <w:bCs/>
          <w:sz w:val="24"/>
          <w:szCs w:val="24"/>
          <w:lang w:val="sr-Cyrl-CS"/>
        </w:rPr>
        <w:t xml:space="preserve"> </w:t>
      </w:r>
      <w:r w:rsidR="00C30DEA" w:rsidRPr="00827818">
        <w:rPr>
          <w:rFonts w:ascii="Times New Roman" w:hAnsi="Times New Roman" w:cs="Times New Roman"/>
          <w:bCs/>
          <w:sz w:val="24"/>
          <w:szCs w:val="24"/>
          <w:lang w:val="sr-Cyrl-CS"/>
        </w:rPr>
        <w:t>За наведен</w:t>
      </w:r>
      <w:r w:rsidR="004C7A44" w:rsidRPr="00827818">
        <w:rPr>
          <w:rFonts w:ascii="Times New Roman" w:hAnsi="Times New Roman" w:cs="Times New Roman"/>
          <w:bCs/>
          <w:sz w:val="24"/>
          <w:szCs w:val="24"/>
          <w:lang w:val="sr-Cyrl-CS"/>
        </w:rPr>
        <w:t>у активност додају</w:t>
      </w:r>
      <w:r w:rsidR="00A342AB" w:rsidRPr="00827818">
        <w:rPr>
          <w:rFonts w:ascii="Times New Roman" w:hAnsi="Times New Roman" w:cs="Times New Roman"/>
          <w:bCs/>
          <w:sz w:val="24"/>
          <w:szCs w:val="24"/>
          <w:lang w:val="sr-Cyrl-CS"/>
        </w:rPr>
        <w:t xml:space="preserve"> се</w:t>
      </w:r>
      <w:r w:rsidR="004C7A44" w:rsidRPr="00827818">
        <w:rPr>
          <w:rFonts w:ascii="Times New Roman" w:hAnsi="Times New Roman" w:cs="Times New Roman"/>
          <w:bCs/>
          <w:sz w:val="24"/>
          <w:szCs w:val="24"/>
          <w:lang w:val="sr-Cyrl-CS"/>
        </w:rPr>
        <w:t>:</w:t>
      </w:r>
      <w:r w:rsidR="00A342AB" w:rsidRPr="00827818">
        <w:rPr>
          <w:rFonts w:ascii="Times New Roman" w:hAnsi="Times New Roman" w:cs="Times New Roman"/>
          <w:bCs/>
          <w:sz w:val="24"/>
          <w:szCs w:val="24"/>
          <w:lang w:val="sr-Cyrl-CS"/>
        </w:rPr>
        <w:t xml:space="preserve"> </w:t>
      </w:r>
      <w:r w:rsidR="004C7A44" w:rsidRPr="00827818">
        <w:rPr>
          <w:rFonts w:ascii="Times New Roman" w:hAnsi="Times New Roman" w:cs="Times New Roman"/>
          <w:bCs/>
          <w:sz w:val="24"/>
          <w:szCs w:val="24"/>
          <w:lang w:val="sr-Cyrl-CS"/>
        </w:rPr>
        <w:t>рок за завршетак активности</w:t>
      </w:r>
      <w:r w:rsidR="00C30DEA" w:rsidRPr="00827818">
        <w:rPr>
          <w:rFonts w:ascii="Times New Roman" w:hAnsi="Times New Roman" w:cs="Times New Roman"/>
          <w:bCs/>
          <w:sz w:val="24"/>
          <w:szCs w:val="24"/>
          <w:lang w:val="sr-Cyrl-CS"/>
        </w:rPr>
        <w:t xml:space="preserve"> који гласи: </w:t>
      </w:r>
      <w:r w:rsidR="002A3D53" w:rsidRPr="00827818">
        <w:rPr>
          <w:rFonts w:ascii="Times New Roman" w:hAnsi="Times New Roman" w:cs="Times New Roman"/>
          <w:bCs/>
          <w:sz w:val="24"/>
          <w:szCs w:val="24"/>
          <w:lang w:val="sr-Cyrl-CS"/>
        </w:rPr>
        <w:t>„</w:t>
      </w:r>
      <w:r w:rsidR="00B74E95" w:rsidRPr="00827818">
        <w:rPr>
          <w:rFonts w:ascii="Times New Roman" w:hAnsi="Times New Roman" w:cs="Times New Roman"/>
          <w:bCs/>
          <w:sz w:val="24"/>
          <w:szCs w:val="24"/>
          <w:lang w:val="sr-Cyrl-CS"/>
        </w:rPr>
        <w:t>Q</w:t>
      </w:r>
      <w:r w:rsidR="009D605C" w:rsidRPr="00827818">
        <w:rPr>
          <w:rFonts w:ascii="Times New Roman" w:hAnsi="Times New Roman" w:cs="Times New Roman"/>
          <w:bCs/>
          <w:sz w:val="24"/>
          <w:szCs w:val="24"/>
          <w:lang w:val="sr-Cyrl-CS"/>
        </w:rPr>
        <w:t>4</w:t>
      </w:r>
      <w:r w:rsidR="00C30DEA" w:rsidRPr="00827818">
        <w:rPr>
          <w:rFonts w:ascii="Times New Roman" w:hAnsi="Times New Roman" w:cs="Times New Roman"/>
          <w:bCs/>
          <w:sz w:val="24"/>
          <w:szCs w:val="24"/>
          <w:lang w:val="sr-Cyrl-CS"/>
        </w:rPr>
        <w:t xml:space="preserve"> 202</w:t>
      </w:r>
      <w:r w:rsidR="009D66E6" w:rsidRPr="00827818">
        <w:rPr>
          <w:rFonts w:ascii="Times New Roman" w:hAnsi="Times New Roman" w:cs="Times New Roman"/>
          <w:bCs/>
          <w:sz w:val="24"/>
          <w:szCs w:val="24"/>
          <w:lang w:val="sr-Cyrl-CS"/>
        </w:rPr>
        <w:t>5</w:t>
      </w:r>
      <w:r w:rsidR="00C30DEA" w:rsidRPr="00827818">
        <w:rPr>
          <w:rFonts w:ascii="Times New Roman" w:hAnsi="Times New Roman" w:cs="Times New Roman"/>
          <w:bCs/>
          <w:sz w:val="24"/>
          <w:szCs w:val="24"/>
          <w:lang w:val="sr-Cyrl-CS"/>
        </w:rPr>
        <w:t>.</w:t>
      </w:r>
      <w:r w:rsidR="00E65243" w:rsidRPr="00827818">
        <w:rPr>
          <w:rFonts w:ascii="Times New Roman" w:hAnsi="Times New Roman" w:cs="Times New Roman"/>
          <w:bCs/>
          <w:sz w:val="24"/>
          <w:szCs w:val="24"/>
          <w:lang w:val="sr-Cyrl-CS"/>
        </w:rPr>
        <w:t>ˮ</w:t>
      </w:r>
      <w:r w:rsidR="00C30DEA" w:rsidRPr="00827818">
        <w:rPr>
          <w:rFonts w:ascii="Times New Roman" w:hAnsi="Times New Roman" w:cs="Times New Roman"/>
          <w:bCs/>
          <w:sz w:val="24"/>
          <w:szCs w:val="24"/>
          <w:lang w:val="sr-Cyrl-CS"/>
        </w:rPr>
        <w:t xml:space="preserve">; веза са </w:t>
      </w:r>
      <w:r w:rsidR="004C7A44" w:rsidRPr="00827818">
        <w:rPr>
          <w:rFonts w:ascii="Times New Roman" w:hAnsi="Times New Roman" w:cs="Times New Roman"/>
          <w:bCs/>
          <w:sz w:val="24"/>
          <w:szCs w:val="24"/>
          <w:lang w:val="sr-Cyrl-CS"/>
        </w:rPr>
        <w:lastRenderedPageBreak/>
        <w:t>програмским буџетом (ПР-ПА/ПЈ)</w:t>
      </w:r>
      <w:r w:rsidR="00C30DEA" w:rsidRPr="00827818">
        <w:rPr>
          <w:rFonts w:ascii="Times New Roman" w:hAnsi="Times New Roman" w:cs="Times New Roman"/>
          <w:bCs/>
          <w:sz w:val="24"/>
          <w:szCs w:val="24"/>
          <w:lang w:val="sr-Cyrl-CS"/>
        </w:rPr>
        <w:t xml:space="preserve"> која гласи: </w:t>
      </w:r>
      <w:r w:rsidR="00750984" w:rsidRPr="00827818">
        <w:rPr>
          <w:rFonts w:ascii="Times New Roman" w:hAnsi="Times New Roman" w:cs="Times New Roman"/>
          <w:bCs/>
          <w:sz w:val="24"/>
          <w:szCs w:val="24"/>
          <w:lang w:val="sr-Cyrl-CS"/>
        </w:rPr>
        <w:t>„ Програм 2301, Пројекат 0010 регулација производње и промета дувана и дуванских производа</w:t>
      </w:r>
      <w:r w:rsidR="00D822D8" w:rsidRPr="00827818">
        <w:rPr>
          <w:rFonts w:ascii="Times New Roman" w:hAnsi="Times New Roman" w:cs="Times New Roman"/>
          <w:bCs/>
          <w:sz w:val="24"/>
          <w:szCs w:val="24"/>
          <w:lang w:val="sr-Cyrl-CS"/>
        </w:rPr>
        <w:t xml:space="preserve"> </w:t>
      </w:r>
      <w:r w:rsidR="00314FAA" w:rsidRPr="00827818">
        <w:rPr>
          <w:rFonts w:ascii="Times New Roman" w:hAnsi="Times New Roman" w:cs="Times New Roman"/>
          <w:bCs/>
          <w:sz w:val="24"/>
          <w:szCs w:val="24"/>
          <w:lang w:val="sr-Cyrl-CS"/>
        </w:rPr>
        <w:t>и</w:t>
      </w:r>
      <w:r w:rsidR="00750984" w:rsidRPr="00827818">
        <w:rPr>
          <w:rFonts w:ascii="Times New Roman" w:hAnsi="Times New Roman" w:cs="Times New Roman"/>
          <w:bCs/>
          <w:sz w:val="24"/>
          <w:szCs w:val="24"/>
          <w:lang w:val="sr-Cyrl-CS"/>
        </w:rPr>
        <w:t>звор финансирања 01 општи приходи и примања буџета</w:t>
      </w:r>
      <w:r w:rsidR="00E65243" w:rsidRPr="00827818">
        <w:rPr>
          <w:rFonts w:ascii="Times New Roman" w:hAnsi="Times New Roman" w:cs="Times New Roman"/>
          <w:bCs/>
          <w:sz w:val="24"/>
          <w:szCs w:val="24"/>
          <w:lang w:val="sr-Cyrl-CS"/>
        </w:rPr>
        <w:t>ˮ</w:t>
      </w:r>
      <w:r w:rsidR="00C30DEA"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 xml:space="preserve"> </w:t>
      </w:r>
      <w:r w:rsidR="00C30DEA" w:rsidRPr="00827818">
        <w:rPr>
          <w:rFonts w:ascii="Times New Roman" w:hAnsi="Times New Roman" w:cs="Times New Roman"/>
          <w:bCs/>
          <w:sz w:val="24"/>
          <w:szCs w:val="24"/>
          <w:lang w:val="sr-Cyrl-CS"/>
        </w:rPr>
        <w:t>укупна процењена финансијска средства по изворима у 000 дин, за 2024, која гласе: „</w:t>
      </w:r>
      <w:r w:rsidR="00CB3DC4" w:rsidRPr="00827818">
        <w:rPr>
          <w:rFonts w:ascii="Times New Roman" w:hAnsi="Times New Roman" w:cs="Times New Roman"/>
          <w:bCs/>
          <w:sz w:val="24"/>
          <w:szCs w:val="24"/>
          <w:lang w:val="sr-Cyrl-CS"/>
        </w:rPr>
        <w:t>7.000</w:t>
      </w:r>
      <w:r w:rsidR="00E65243" w:rsidRPr="00827818">
        <w:rPr>
          <w:rFonts w:ascii="Times New Roman" w:hAnsi="Times New Roman" w:cs="Times New Roman"/>
          <w:bCs/>
          <w:sz w:val="24"/>
          <w:szCs w:val="24"/>
          <w:lang w:val="sr-Cyrl-CS"/>
        </w:rPr>
        <w:t>ˮ</w:t>
      </w:r>
      <w:r w:rsidR="00586528" w:rsidRPr="00827818">
        <w:rPr>
          <w:rFonts w:ascii="Times New Roman" w:hAnsi="Times New Roman" w:cs="Times New Roman"/>
          <w:bCs/>
          <w:sz w:val="24"/>
          <w:szCs w:val="24"/>
          <w:lang w:val="sr-Cyrl-CS"/>
        </w:rPr>
        <w:t xml:space="preserve"> </w:t>
      </w:r>
      <w:r w:rsidR="002A3D53" w:rsidRPr="00827818">
        <w:rPr>
          <w:rFonts w:ascii="Times New Roman" w:hAnsi="Times New Roman" w:cs="Times New Roman"/>
          <w:bCs/>
          <w:sz w:val="24"/>
          <w:szCs w:val="24"/>
          <w:lang w:val="sr-Cyrl-CS"/>
        </w:rPr>
        <w:t xml:space="preserve">и </w:t>
      </w:r>
      <w:r w:rsidR="00C30DEA" w:rsidRPr="00827818">
        <w:rPr>
          <w:rFonts w:ascii="Times New Roman" w:hAnsi="Times New Roman" w:cs="Times New Roman"/>
          <w:bCs/>
          <w:sz w:val="24"/>
          <w:szCs w:val="24"/>
          <w:lang w:val="sr-Cyrl-CS"/>
        </w:rPr>
        <w:t>укупна процењена финансијска средства по изворима у 000 дин, за 2025, која гласе: „</w:t>
      </w:r>
      <w:r w:rsidR="00CB3DC4" w:rsidRPr="00827818">
        <w:rPr>
          <w:rFonts w:ascii="Times New Roman" w:hAnsi="Times New Roman" w:cs="Times New Roman"/>
          <w:bCs/>
          <w:sz w:val="24"/>
          <w:szCs w:val="24"/>
          <w:lang w:val="sr-Cyrl-CS"/>
        </w:rPr>
        <w:t>15.560</w:t>
      </w:r>
      <w:r w:rsidR="009D66E6" w:rsidRPr="00827818">
        <w:rPr>
          <w:rFonts w:ascii="Times New Roman" w:hAnsi="Times New Roman" w:cs="Times New Roman"/>
          <w:bCs/>
          <w:sz w:val="24"/>
          <w:szCs w:val="24"/>
          <w:lang w:val="sr-Cyrl-CS"/>
        </w:rPr>
        <w:t>*</w:t>
      </w:r>
      <w:r w:rsidR="00E65243" w:rsidRPr="00827818">
        <w:rPr>
          <w:rFonts w:ascii="Times New Roman" w:hAnsi="Times New Roman" w:cs="Times New Roman"/>
          <w:bCs/>
          <w:sz w:val="24"/>
          <w:szCs w:val="24"/>
          <w:lang w:val="sr-Cyrl-CS"/>
        </w:rPr>
        <w:t>ˮ</w:t>
      </w:r>
      <w:r w:rsidR="009C77FC" w:rsidRPr="00827818">
        <w:rPr>
          <w:rFonts w:ascii="Times New Roman" w:hAnsi="Times New Roman" w:cs="Times New Roman"/>
          <w:bCs/>
          <w:sz w:val="24"/>
          <w:szCs w:val="24"/>
          <w:lang w:val="sr-Cyrl-CS"/>
        </w:rPr>
        <w:t>.</w:t>
      </w:r>
      <w:r w:rsidR="00C30DEA" w:rsidRPr="00827818">
        <w:rPr>
          <w:rFonts w:ascii="Times New Roman" w:hAnsi="Times New Roman" w:cs="Times New Roman"/>
          <w:bCs/>
          <w:sz w:val="24"/>
          <w:szCs w:val="24"/>
          <w:lang w:val="sr-Cyrl-CS"/>
        </w:rPr>
        <w:t xml:space="preserve"> </w:t>
      </w:r>
    </w:p>
    <w:p w:rsidR="00750984" w:rsidRPr="00827818" w:rsidRDefault="00F47AA2" w:rsidP="00864999">
      <w:pPr>
        <w:spacing w:after="0"/>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36</w:t>
      </w:r>
      <w:r w:rsidR="00864999" w:rsidRPr="00827818">
        <w:rPr>
          <w:rFonts w:ascii="Times New Roman" w:hAnsi="Times New Roman" w:cs="Times New Roman"/>
          <w:bCs/>
          <w:sz w:val="24"/>
          <w:szCs w:val="24"/>
          <w:lang w:val="sr-Cyrl-CS"/>
        </w:rPr>
        <w:t xml:space="preserve">. </w:t>
      </w:r>
      <w:r w:rsidR="00750984" w:rsidRPr="00827818">
        <w:rPr>
          <w:rFonts w:ascii="Times New Roman" w:hAnsi="Times New Roman" w:cs="Times New Roman"/>
          <w:sz w:val="24"/>
          <w:szCs w:val="24"/>
          <w:lang w:val="sr-Cyrl-CS"/>
        </w:rPr>
        <w:t xml:space="preserve">У </w:t>
      </w:r>
      <w:r w:rsidR="006B2596" w:rsidRPr="00827818">
        <w:rPr>
          <w:rFonts w:ascii="Times New Roman" w:hAnsi="Times New Roman" w:cs="Times New Roman"/>
          <w:bCs/>
          <w:sz w:val="24"/>
          <w:szCs w:val="24"/>
          <w:lang w:val="sr-Cyrl-CS"/>
        </w:rPr>
        <w:t>М</w:t>
      </w:r>
      <w:r w:rsidR="00750984" w:rsidRPr="00827818">
        <w:rPr>
          <w:rFonts w:ascii="Times New Roman" w:hAnsi="Times New Roman" w:cs="Times New Roman"/>
          <w:bCs/>
          <w:sz w:val="24"/>
          <w:szCs w:val="24"/>
          <w:lang w:val="sr-Cyrl-CS"/>
        </w:rPr>
        <w:t>ер</w:t>
      </w:r>
      <w:r w:rsidR="006B2596" w:rsidRPr="00827818">
        <w:rPr>
          <w:rFonts w:ascii="Times New Roman" w:hAnsi="Times New Roman" w:cs="Times New Roman"/>
          <w:bCs/>
          <w:sz w:val="24"/>
          <w:szCs w:val="24"/>
          <w:lang w:val="sr-Cyrl-CS"/>
        </w:rPr>
        <w:t>и</w:t>
      </w:r>
      <w:r w:rsidR="00750984" w:rsidRPr="00827818">
        <w:rPr>
          <w:rFonts w:ascii="Times New Roman" w:hAnsi="Times New Roman" w:cs="Times New Roman"/>
          <w:bCs/>
          <w:sz w:val="24"/>
          <w:szCs w:val="24"/>
          <w:lang w:val="sr-Cyrl-CS"/>
        </w:rPr>
        <w:t xml:space="preserve"> 2.4:</w:t>
      </w:r>
      <w:r w:rsidR="00750984" w:rsidRPr="00827818">
        <w:rPr>
          <w:rFonts w:ascii="Times New Roman" w:hAnsi="Times New Roman" w:cs="Times New Roman"/>
          <w:sz w:val="24"/>
          <w:szCs w:val="24"/>
          <w:lang w:val="sr-Cyrl-CS"/>
        </w:rPr>
        <w:t xml:space="preserve"> </w:t>
      </w:r>
      <w:r w:rsidR="00750984" w:rsidRPr="00827818">
        <w:rPr>
          <w:rFonts w:ascii="Times New Roman" w:hAnsi="Times New Roman" w:cs="Times New Roman"/>
          <w:bCs/>
          <w:sz w:val="24"/>
          <w:szCs w:val="24"/>
          <w:lang w:val="sr-Cyrl-CS"/>
        </w:rPr>
        <w:t>Ефикасн</w:t>
      </w:r>
      <w:r w:rsidR="00354081" w:rsidRPr="00827818">
        <w:rPr>
          <w:rFonts w:ascii="Times New Roman" w:hAnsi="Times New Roman" w:cs="Times New Roman"/>
          <w:bCs/>
          <w:sz w:val="24"/>
          <w:szCs w:val="24"/>
          <w:lang w:val="sr-Cyrl-CS"/>
        </w:rPr>
        <w:t>о</w:t>
      </w:r>
      <w:r w:rsidR="00750984" w:rsidRPr="00827818">
        <w:rPr>
          <w:rFonts w:ascii="Times New Roman" w:hAnsi="Times New Roman" w:cs="Times New Roman"/>
          <w:bCs/>
          <w:sz w:val="24"/>
          <w:szCs w:val="24"/>
          <w:lang w:val="sr-Cyrl-CS"/>
        </w:rPr>
        <w:t xml:space="preserve"> управљање јавним дугом, </w:t>
      </w:r>
      <w:r w:rsidR="006B2596" w:rsidRPr="00827818">
        <w:rPr>
          <w:rFonts w:ascii="Times New Roman" w:hAnsi="Times New Roman" w:cs="Times New Roman"/>
          <w:bCs/>
          <w:sz w:val="24"/>
          <w:szCs w:val="24"/>
          <w:lang w:val="sr-Cyrl-CS"/>
        </w:rPr>
        <w:t>у показатељу: Учешће дуга у домаћој валути у укупном јавном дугу</w:t>
      </w:r>
      <w:r w:rsidR="002A3D53" w:rsidRPr="00827818">
        <w:rPr>
          <w:rFonts w:ascii="Times New Roman" w:hAnsi="Times New Roman" w:cs="Times New Roman"/>
          <w:bCs/>
          <w:sz w:val="24"/>
          <w:szCs w:val="24"/>
          <w:lang w:val="sr-Cyrl-CS"/>
        </w:rPr>
        <w:t xml:space="preserve"> </w:t>
      </w:r>
      <w:r w:rsidR="006B2596" w:rsidRPr="00827818">
        <w:rPr>
          <w:rFonts w:ascii="Times New Roman" w:hAnsi="Times New Roman" w:cs="Times New Roman"/>
          <w:bCs/>
          <w:sz w:val="24"/>
          <w:szCs w:val="24"/>
          <w:lang w:val="sr-Cyrl-CS"/>
        </w:rPr>
        <w:t>- централни ниво власти</w:t>
      </w:r>
      <w:r w:rsidR="00F71047" w:rsidRPr="00827818">
        <w:rPr>
          <w:rFonts w:ascii="Times New Roman" w:hAnsi="Times New Roman" w:cs="Times New Roman"/>
          <w:bCs/>
          <w:sz w:val="24"/>
          <w:szCs w:val="24"/>
          <w:lang w:val="sr-Cyrl-CS"/>
        </w:rPr>
        <w:t xml:space="preserve">, </w:t>
      </w:r>
      <w:r w:rsidR="00A342AB" w:rsidRPr="00827818">
        <w:rPr>
          <w:rFonts w:ascii="Times New Roman" w:hAnsi="Times New Roman" w:cs="Times New Roman"/>
          <w:bCs/>
          <w:sz w:val="24"/>
          <w:szCs w:val="24"/>
          <w:lang w:val="sr-Cyrl-CS"/>
        </w:rPr>
        <w:t>циљана</w:t>
      </w:r>
      <w:r w:rsidR="00DC42AF" w:rsidRPr="00827818">
        <w:rPr>
          <w:rFonts w:ascii="Times New Roman" w:hAnsi="Times New Roman" w:cs="Times New Roman"/>
          <w:bCs/>
          <w:sz w:val="24"/>
          <w:szCs w:val="24"/>
          <w:lang w:val="sr-Cyrl-CS"/>
        </w:rPr>
        <w:t xml:space="preserve"> вр</w:t>
      </w:r>
      <w:r w:rsidR="00A342AB" w:rsidRPr="00827818">
        <w:rPr>
          <w:rFonts w:ascii="Times New Roman" w:hAnsi="Times New Roman" w:cs="Times New Roman"/>
          <w:bCs/>
          <w:sz w:val="24"/>
          <w:szCs w:val="24"/>
          <w:lang w:val="sr-Cyrl-CS"/>
        </w:rPr>
        <w:t xml:space="preserve">едност </w:t>
      </w:r>
      <w:r w:rsidR="00DC42AF" w:rsidRPr="00827818">
        <w:rPr>
          <w:rFonts w:ascii="Times New Roman" w:hAnsi="Times New Roman" w:cs="Times New Roman"/>
          <w:bCs/>
          <w:sz w:val="24"/>
          <w:szCs w:val="24"/>
          <w:lang w:val="sr-Cyrl-CS"/>
        </w:rPr>
        <w:t>за 2023: „33%</w:t>
      </w:r>
      <w:r w:rsidR="00E65243" w:rsidRPr="00827818">
        <w:rPr>
          <w:rFonts w:ascii="Times New Roman" w:hAnsi="Times New Roman" w:cs="Times New Roman"/>
          <w:bCs/>
          <w:sz w:val="24"/>
          <w:szCs w:val="24"/>
          <w:lang w:val="sr-Cyrl-CS"/>
        </w:rPr>
        <w:t>ˮ</w:t>
      </w:r>
      <w:r w:rsidR="00DC42AF" w:rsidRPr="00827818">
        <w:rPr>
          <w:rFonts w:ascii="Times New Roman" w:hAnsi="Times New Roman" w:cs="Times New Roman"/>
          <w:bCs/>
          <w:sz w:val="24"/>
          <w:szCs w:val="24"/>
          <w:lang w:val="sr-Cyrl-CS"/>
        </w:rPr>
        <w:t>, замењује се</w:t>
      </w:r>
      <w:r w:rsidR="002F2B24" w:rsidRPr="00827818">
        <w:rPr>
          <w:rFonts w:ascii="Times New Roman" w:hAnsi="Times New Roman" w:cs="Times New Roman"/>
          <w:bCs/>
          <w:sz w:val="24"/>
          <w:szCs w:val="24"/>
          <w:lang w:val="sr-Cyrl-CS"/>
        </w:rPr>
        <w:t xml:space="preserve"> </w:t>
      </w:r>
      <w:r w:rsidR="00A342AB" w:rsidRPr="00827818">
        <w:rPr>
          <w:rFonts w:ascii="Times New Roman" w:hAnsi="Times New Roman" w:cs="Times New Roman"/>
          <w:bCs/>
          <w:sz w:val="24"/>
          <w:szCs w:val="24"/>
          <w:lang w:val="sr-Cyrl-CS"/>
        </w:rPr>
        <w:t>циљаном</w:t>
      </w:r>
      <w:r w:rsidR="00DC42AF" w:rsidRPr="00827818">
        <w:rPr>
          <w:rFonts w:ascii="Times New Roman" w:hAnsi="Times New Roman" w:cs="Times New Roman"/>
          <w:bCs/>
          <w:sz w:val="24"/>
          <w:szCs w:val="24"/>
          <w:lang w:val="sr-Cyrl-CS"/>
        </w:rPr>
        <w:t xml:space="preserve"> вредношћу</w:t>
      </w:r>
      <w:r w:rsidR="00A342AB" w:rsidRPr="00827818">
        <w:rPr>
          <w:rFonts w:ascii="Times New Roman" w:hAnsi="Times New Roman" w:cs="Times New Roman"/>
          <w:bCs/>
          <w:sz w:val="24"/>
          <w:szCs w:val="24"/>
          <w:lang w:val="sr-Cyrl-CS"/>
        </w:rPr>
        <w:t xml:space="preserve"> за 2023</w:t>
      </w:r>
      <w:r w:rsidR="00DC42AF" w:rsidRPr="00827818">
        <w:rPr>
          <w:rFonts w:ascii="Times New Roman" w:hAnsi="Times New Roman" w:cs="Times New Roman"/>
          <w:bCs/>
          <w:sz w:val="24"/>
          <w:szCs w:val="24"/>
          <w:lang w:val="sr-Cyrl-CS"/>
        </w:rPr>
        <w:t>: „20,5</w:t>
      </w:r>
      <w:r w:rsidR="002F2B24" w:rsidRPr="00827818">
        <w:rPr>
          <w:rFonts w:ascii="Times New Roman" w:hAnsi="Times New Roman" w:cs="Times New Roman"/>
          <w:bCs/>
          <w:sz w:val="24"/>
          <w:szCs w:val="24"/>
          <w:lang w:val="sr-Cyrl-CS"/>
        </w:rPr>
        <w:t>%</w:t>
      </w:r>
      <w:r w:rsidR="00E65243" w:rsidRPr="00827818">
        <w:rPr>
          <w:rFonts w:ascii="Times New Roman" w:hAnsi="Times New Roman" w:cs="Times New Roman"/>
          <w:bCs/>
          <w:sz w:val="24"/>
          <w:szCs w:val="24"/>
          <w:lang w:val="sr-Cyrl-CS"/>
        </w:rPr>
        <w:t>ˮ</w:t>
      </w:r>
      <w:r w:rsidR="00A342AB" w:rsidRPr="00827818">
        <w:rPr>
          <w:rFonts w:ascii="Times New Roman" w:hAnsi="Times New Roman" w:cs="Times New Roman"/>
          <w:bCs/>
          <w:sz w:val="24"/>
          <w:szCs w:val="24"/>
          <w:lang w:val="sr-Cyrl-CS"/>
        </w:rPr>
        <w:t>; Циљана</w:t>
      </w:r>
      <w:r w:rsidR="00DC42AF" w:rsidRPr="00827818">
        <w:rPr>
          <w:rFonts w:ascii="Times New Roman" w:hAnsi="Times New Roman" w:cs="Times New Roman"/>
          <w:bCs/>
          <w:sz w:val="24"/>
          <w:szCs w:val="24"/>
          <w:lang w:val="sr-Cyrl-CS"/>
        </w:rPr>
        <w:t xml:space="preserve"> в</w:t>
      </w:r>
      <w:r w:rsidR="00A342AB" w:rsidRPr="00827818">
        <w:rPr>
          <w:rFonts w:ascii="Times New Roman" w:hAnsi="Times New Roman" w:cs="Times New Roman"/>
          <w:bCs/>
          <w:sz w:val="24"/>
          <w:szCs w:val="24"/>
          <w:lang w:val="sr-Cyrl-CS"/>
        </w:rPr>
        <w:t>редност</w:t>
      </w:r>
      <w:r w:rsidR="00DC42AF" w:rsidRPr="00827818">
        <w:rPr>
          <w:rFonts w:ascii="Times New Roman" w:hAnsi="Times New Roman" w:cs="Times New Roman"/>
          <w:bCs/>
          <w:sz w:val="24"/>
          <w:szCs w:val="24"/>
          <w:lang w:val="sr-Cyrl-CS"/>
        </w:rPr>
        <w:t xml:space="preserve"> за 2024: „34%</w:t>
      </w:r>
      <w:r w:rsidR="00E65243" w:rsidRPr="00827818">
        <w:rPr>
          <w:rFonts w:ascii="Times New Roman" w:hAnsi="Times New Roman" w:cs="Times New Roman"/>
          <w:bCs/>
          <w:sz w:val="24"/>
          <w:szCs w:val="24"/>
          <w:lang w:val="sr-Cyrl-CS"/>
        </w:rPr>
        <w:t>ˮ</w:t>
      </w:r>
      <w:r w:rsidR="00DC42AF" w:rsidRPr="00827818">
        <w:rPr>
          <w:rFonts w:ascii="Times New Roman" w:hAnsi="Times New Roman" w:cs="Times New Roman"/>
          <w:bCs/>
          <w:sz w:val="24"/>
          <w:szCs w:val="24"/>
          <w:lang w:val="sr-Cyrl-CS"/>
        </w:rPr>
        <w:t xml:space="preserve"> замењује се </w:t>
      </w:r>
      <w:r w:rsidR="00A342AB" w:rsidRPr="00827818">
        <w:rPr>
          <w:rFonts w:ascii="Times New Roman" w:hAnsi="Times New Roman" w:cs="Times New Roman"/>
          <w:bCs/>
          <w:sz w:val="24"/>
          <w:szCs w:val="24"/>
          <w:lang w:val="sr-Cyrl-CS"/>
        </w:rPr>
        <w:t xml:space="preserve">циљаном </w:t>
      </w:r>
      <w:r w:rsidR="00DC42AF" w:rsidRPr="00827818">
        <w:rPr>
          <w:rFonts w:ascii="Times New Roman" w:hAnsi="Times New Roman" w:cs="Times New Roman"/>
          <w:bCs/>
          <w:sz w:val="24"/>
          <w:szCs w:val="24"/>
          <w:lang w:val="sr-Cyrl-CS"/>
        </w:rPr>
        <w:t>вредношћу</w:t>
      </w:r>
      <w:r w:rsidR="00A342AB" w:rsidRPr="00827818">
        <w:rPr>
          <w:rFonts w:ascii="Times New Roman" w:hAnsi="Times New Roman" w:cs="Times New Roman"/>
          <w:bCs/>
          <w:sz w:val="24"/>
          <w:szCs w:val="24"/>
          <w:lang w:val="sr-Cyrl-CS"/>
        </w:rPr>
        <w:t xml:space="preserve"> за 2024</w:t>
      </w:r>
      <w:r w:rsidR="00DC42AF" w:rsidRPr="00827818">
        <w:rPr>
          <w:rFonts w:ascii="Times New Roman" w:hAnsi="Times New Roman" w:cs="Times New Roman"/>
          <w:bCs/>
          <w:sz w:val="24"/>
          <w:szCs w:val="24"/>
          <w:lang w:val="sr-Cyrl-CS"/>
        </w:rPr>
        <w:t>: „21</w:t>
      </w:r>
      <w:r w:rsidR="002F2B24" w:rsidRPr="00827818">
        <w:rPr>
          <w:rFonts w:ascii="Times New Roman" w:hAnsi="Times New Roman" w:cs="Times New Roman"/>
          <w:bCs/>
          <w:sz w:val="24"/>
          <w:szCs w:val="24"/>
          <w:lang w:val="sr-Cyrl-CS"/>
        </w:rPr>
        <w:t>%</w:t>
      </w:r>
      <w:r w:rsidR="00E65243" w:rsidRPr="00827818">
        <w:rPr>
          <w:rFonts w:ascii="Times New Roman" w:hAnsi="Times New Roman" w:cs="Times New Roman"/>
          <w:bCs/>
          <w:sz w:val="24"/>
          <w:szCs w:val="24"/>
          <w:lang w:val="sr-Cyrl-CS"/>
        </w:rPr>
        <w:t>ˮ</w:t>
      </w:r>
      <w:r w:rsidR="00DC42AF" w:rsidRPr="00827818">
        <w:rPr>
          <w:rFonts w:ascii="Times New Roman" w:hAnsi="Times New Roman" w:cs="Times New Roman"/>
          <w:bCs/>
          <w:sz w:val="24"/>
          <w:szCs w:val="24"/>
          <w:lang w:val="sr-Cyrl-CS"/>
        </w:rPr>
        <w:t xml:space="preserve"> </w:t>
      </w:r>
      <w:r w:rsidR="002A3D53" w:rsidRPr="00827818">
        <w:rPr>
          <w:rFonts w:ascii="Times New Roman" w:hAnsi="Times New Roman" w:cs="Times New Roman"/>
          <w:bCs/>
          <w:sz w:val="24"/>
          <w:szCs w:val="24"/>
          <w:lang w:val="sr-Cyrl-CS"/>
        </w:rPr>
        <w:t xml:space="preserve">и </w:t>
      </w:r>
      <w:r w:rsidR="00A342AB" w:rsidRPr="00827818">
        <w:rPr>
          <w:rFonts w:ascii="Times New Roman" w:hAnsi="Times New Roman" w:cs="Times New Roman"/>
          <w:bCs/>
          <w:sz w:val="24"/>
          <w:szCs w:val="24"/>
          <w:lang w:val="sr-Cyrl-CS"/>
        </w:rPr>
        <w:t>Циљана</w:t>
      </w:r>
      <w:r w:rsidR="00DC42AF" w:rsidRPr="00827818">
        <w:rPr>
          <w:rFonts w:ascii="Times New Roman" w:hAnsi="Times New Roman" w:cs="Times New Roman"/>
          <w:bCs/>
          <w:sz w:val="24"/>
          <w:szCs w:val="24"/>
          <w:lang w:val="sr-Cyrl-CS"/>
        </w:rPr>
        <w:t xml:space="preserve"> в</w:t>
      </w:r>
      <w:r w:rsidR="00A342AB" w:rsidRPr="00827818">
        <w:rPr>
          <w:rFonts w:ascii="Times New Roman" w:hAnsi="Times New Roman" w:cs="Times New Roman"/>
          <w:bCs/>
          <w:sz w:val="24"/>
          <w:szCs w:val="24"/>
          <w:lang w:val="sr-Cyrl-CS"/>
        </w:rPr>
        <w:t xml:space="preserve">редност </w:t>
      </w:r>
      <w:r w:rsidR="00C46107" w:rsidRPr="00827818">
        <w:rPr>
          <w:rFonts w:ascii="Times New Roman" w:hAnsi="Times New Roman" w:cs="Times New Roman"/>
          <w:bCs/>
          <w:sz w:val="24"/>
          <w:szCs w:val="24"/>
          <w:lang w:val="sr-Cyrl-CS"/>
        </w:rPr>
        <w:t>за 2025: „35%</w:t>
      </w:r>
      <w:r w:rsidR="00E65243" w:rsidRPr="00827818">
        <w:rPr>
          <w:rFonts w:ascii="Times New Roman" w:hAnsi="Times New Roman" w:cs="Times New Roman"/>
          <w:bCs/>
          <w:sz w:val="24"/>
          <w:szCs w:val="24"/>
          <w:lang w:val="sr-Cyrl-CS"/>
        </w:rPr>
        <w:t>ˮ</w:t>
      </w:r>
      <w:r w:rsidR="00C46107" w:rsidRPr="00827818">
        <w:rPr>
          <w:rFonts w:ascii="Times New Roman" w:hAnsi="Times New Roman" w:cs="Times New Roman"/>
          <w:bCs/>
          <w:sz w:val="24"/>
          <w:szCs w:val="24"/>
          <w:lang w:val="sr-Cyrl-CS"/>
        </w:rPr>
        <w:t xml:space="preserve">  замењује се</w:t>
      </w:r>
      <w:r w:rsidR="00A342AB" w:rsidRPr="00827818">
        <w:rPr>
          <w:rFonts w:ascii="Times New Roman" w:hAnsi="Times New Roman" w:cs="Times New Roman"/>
          <w:bCs/>
          <w:sz w:val="24"/>
          <w:szCs w:val="24"/>
          <w:lang w:val="sr-Cyrl-CS"/>
        </w:rPr>
        <w:t xml:space="preserve"> циљаном</w:t>
      </w:r>
      <w:r w:rsidR="00C46107" w:rsidRPr="00827818">
        <w:rPr>
          <w:rFonts w:ascii="Times New Roman" w:hAnsi="Times New Roman" w:cs="Times New Roman"/>
          <w:bCs/>
          <w:sz w:val="24"/>
          <w:szCs w:val="24"/>
          <w:lang w:val="sr-Cyrl-CS"/>
        </w:rPr>
        <w:t xml:space="preserve"> вредношћу</w:t>
      </w:r>
      <w:r w:rsidR="00A342AB" w:rsidRPr="00827818">
        <w:rPr>
          <w:rFonts w:ascii="Times New Roman" w:hAnsi="Times New Roman" w:cs="Times New Roman"/>
          <w:bCs/>
          <w:sz w:val="24"/>
          <w:szCs w:val="24"/>
          <w:lang w:val="sr-Cyrl-CS"/>
        </w:rPr>
        <w:t xml:space="preserve"> за 2025</w:t>
      </w:r>
      <w:r w:rsidR="00C46107" w:rsidRPr="00827818">
        <w:rPr>
          <w:rFonts w:ascii="Times New Roman" w:hAnsi="Times New Roman" w:cs="Times New Roman"/>
          <w:bCs/>
          <w:sz w:val="24"/>
          <w:szCs w:val="24"/>
          <w:lang w:val="sr-Cyrl-CS"/>
        </w:rPr>
        <w:t>: „22</w:t>
      </w:r>
      <w:r w:rsidR="002F2B24" w:rsidRPr="00827818">
        <w:rPr>
          <w:rFonts w:ascii="Times New Roman" w:hAnsi="Times New Roman" w:cs="Times New Roman"/>
          <w:bCs/>
          <w:sz w:val="24"/>
          <w:szCs w:val="24"/>
          <w:lang w:val="sr-Cyrl-CS"/>
        </w:rPr>
        <w:t>%</w:t>
      </w:r>
      <w:r w:rsidR="00E65243" w:rsidRPr="00827818">
        <w:rPr>
          <w:rFonts w:ascii="Times New Roman" w:hAnsi="Times New Roman" w:cs="Times New Roman"/>
          <w:bCs/>
          <w:sz w:val="24"/>
          <w:szCs w:val="24"/>
          <w:lang w:val="sr-Cyrl-CS"/>
        </w:rPr>
        <w:t>ˮ</w:t>
      </w:r>
      <w:r w:rsidR="00C46107" w:rsidRPr="00827818">
        <w:rPr>
          <w:rFonts w:ascii="Times New Roman" w:hAnsi="Times New Roman" w:cs="Times New Roman"/>
          <w:bCs/>
          <w:sz w:val="24"/>
          <w:szCs w:val="24"/>
          <w:lang w:val="sr-Cyrl-CS"/>
        </w:rPr>
        <w:t>.</w:t>
      </w:r>
      <w:r w:rsidR="00DC42AF" w:rsidRPr="00827818">
        <w:rPr>
          <w:rFonts w:ascii="Times New Roman" w:hAnsi="Times New Roman" w:cs="Times New Roman"/>
          <w:bCs/>
          <w:sz w:val="24"/>
          <w:szCs w:val="24"/>
          <w:lang w:val="sr-Cyrl-CS"/>
        </w:rPr>
        <w:t xml:space="preserve"> </w:t>
      </w:r>
    </w:p>
    <w:p w:rsidR="0003263A" w:rsidRPr="00827818" w:rsidRDefault="00F47AA2" w:rsidP="0003263A">
      <w:pPr>
        <w:spacing w:after="0"/>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37</w:t>
      </w:r>
      <w:r w:rsidR="00B868DD" w:rsidRPr="00827818">
        <w:rPr>
          <w:rFonts w:ascii="Times New Roman" w:hAnsi="Times New Roman" w:cs="Times New Roman"/>
          <w:bCs/>
          <w:sz w:val="24"/>
          <w:szCs w:val="24"/>
          <w:lang w:val="sr-Cyrl-CS"/>
        </w:rPr>
        <w:t xml:space="preserve">. </w:t>
      </w:r>
      <w:r w:rsidR="00750984" w:rsidRPr="00827818">
        <w:rPr>
          <w:rFonts w:ascii="Times New Roman" w:hAnsi="Times New Roman" w:cs="Times New Roman"/>
          <w:sz w:val="24"/>
          <w:szCs w:val="24"/>
          <w:lang w:val="sr-Cyrl-CS"/>
        </w:rPr>
        <w:t xml:space="preserve">У </w:t>
      </w:r>
      <w:r w:rsidR="003171DC" w:rsidRPr="00827818">
        <w:rPr>
          <w:rFonts w:ascii="Times New Roman" w:hAnsi="Times New Roman" w:cs="Times New Roman"/>
          <w:bCs/>
          <w:sz w:val="24"/>
          <w:szCs w:val="24"/>
          <w:lang w:val="sr-Cyrl-CS"/>
        </w:rPr>
        <w:t>М</w:t>
      </w:r>
      <w:r w:rsidR="00750984" w:rsidRPr="00827818">
        <w:rPr>
          <w:rFonts w:ascii="Times New Roman" w:hAnsi="Times New Roman" w:cs="Times New Roman"/>
          <w:bCs/>
          <w:sz w:val="24"/>
          <w:szCs w:val="24"/>
          <w:lang w:val="sr-Cyrl-CS"/>
        </w:rPr>
        <w:t>ер</w:t>
      </w:r>
      <w:r w:rsidR="003171DC" w:rsidRPr="00827818">
        <w:rPr>
          <w:rFonts w:ascii="Times New Roman" w:hAnsi="Times New Roman" w:cs="Times New Roman"/>
          <w:bCs/>
          <w:sz w:val="24"/>
          <w:szCs w:val="24"/>
          <w:lang w:val="sr-Cyrl-CS"/>
        </w:rPr>
        <w:t>и</w:t>
      </w:r>
      <w:r w:rsidR="00750984" w:rsidRPr="00827818">
        <w:rPr>
          <w:rFonts w:ascii="Times New Roman" w:hAnsi="Times New Roman" w:cs="Times New Roman"/>
          <w:bCs/>
          <w:sz w:val="24"/>
          <w:szCs w:val="24"/>
          <w:lang w:val="sr-Cyrl-CS"/>
        </w:rPr>
        <w:t xml:space="preserve"> 2.4:</w:t>
      </w:r>
      <w:r w:rsidR="00750984" w:rsidRPr="00827818">
        <w:rPr>
          <w:rFonts w:ascii="Times New Roman" w:hAnsi="Times New Roman" w:cs="Times New Roman"/>
          <w:sz w:val="24"/>
          <w:szCs w:val="24"/>
          <w:lang w:val="sr-Cyrl-CS"/>
        </w:rPr>
        <w:t xml:space="preserve"> </w:t>
      </w:r>
      <w:r w:rsidR="00750984" w:rsidRPr="00827818">
        <w:rPr>
          <w:rFonts w:ascii="Times New Roman" w:hAnsi="Times New Roman" w:cs="Times New Roman"/>
          <w:bCs/>
          <w:sz w:val="24"/>
          <w:szCs w:val="24"/>
          <w:lang w:val="sr-Cyrl-CS"/>
        </w:rPr>
        <w:t>Ефикасн</w:t>
      </w:r>
      <w:r w:rsidR="003171DC" w:rsidRPr="00827818">
        <w:rPr>
          <w:rFonts w:ascii="Times New Roman" w:hAnsi="Times New Roman" w:cs="Times New Roman"/>
          <w:bCs/>
          <w:sz w:val="24"/>
          <w:szCs w:val="24"/>
          <w:lang w:val="sr-Cyrl-CS"/>
        </w:rPr>
        <w:t>о</w:t>
      </w:r>
      <w:r w:rsidR="00750984" w:rsidRPr="00827818">
        <w:rPr>
          <w:rFonts w:ascii="Times New Roman" w:hAnsi="Times New Roman" w:cs="Times New Roman"/>
          <w:bCs/>
          <w:sz w:val="24"/>
          <w:szCs w:val="24"/>
          <w:lang w:val="sr-Cyrl-CS"/>
        </w:rPr>
        <w:t xml:space="preserve"> управљање јавним дугом, </w:t>
      </w:r>
      <w:r w:rsidR="00E76E87" w:rsidRPr="00827818">
        <w:rPr>
          <w:rFonts w:ascii="Times New Roman" w:hAnsi="Times New Roman" w:cs="Times New Roman"/>
          <w:bCs/>
          <w:sz w:val="24"/>
          <w:szCs w:val="24"/>
          <w:lang w:val="sr-Cyrl-CS"/>
        </w:rPr>
        <w:t>Активност 2.4.1: Јачање средњорочне стратегије управљања јавним дугом израдом модела за управљање ризицима, рок за завршетак активности: „Q4 2022</w:t>
      </w:r>
      <w:r w:rsidR="00E65243" w:rsidRPr="00827818">
        <w:rPr>
          <w:rFonts w:ascii="Times New Roman" w:hAnsi="Times New Roman" w:cs="Times New Roman"/>
          <w:bCs/>
          <w:sz w:val="24"/>
          <w:szCs w:val="24"/>
          <w:lang w:val="sr-Cyrl-CS"/>
        </w:rPr>
        <w:t>ˮ</w:t>
      </w:r>
      <w:r w:rsidR="00E76E87" w:rsidRPr="00827818">
        <w:rPr>
          <w:rFonts w:ascii="Times New Roman" w:hAnsi="Times New Roman" w:cs="Times New Roman"/>
          <w:bCs/>
          <w:sz w:val="24"/>
          <w:szCs w:val="24"/>
          <w:lang w:val="sr-Cyrl-CS"/>
        </w:rPr>
        <w:t xml:space="preserve"> замењује се роком за завршетак акт</w:t>
      </w:r>
      <w:r w:rsidR="00FE6657" w:rsidRPr="00827818">
        <w:rPr>
          <w:rFonts w:ascii="Times New Roman" w:hAnsi="Times New Roman" w:cs="Times New Roman"/>
          <w:bCs/>
          <w:sz w:val="24"/>
          <w:szCs w:val="24"/>
          <w:lang w:val="sr-Cyrl-CS"/>
        </w:rPr>
        <w:t>и</w:t>
      </w:r>
      <w:r w:rsidR="00E76E87" w:rsidRPr="00827818">
        <w:rPr>
          <w:rFonts w:ascii="Times New Roman" w:hAnsi="Times New Roman" w:cs="Times New Roman"/>
          <w:bCs/>
          <w:sz w:val="24"/>
          <w:szCs w:val="24"/>
          <w:lang w:val="sr-Cyrl-CS"/>
        </w:rPr>
        <w:t>вности: „</w:t>
      </w:r>
      <w:r w:rsidR="00B74E95" w:rsidRPr="00827818">
        <w:rPr>
          <w:rFonts w:ascii="Times New Roman" w:hAnsi="Times New Roman" w:cs="Times New Roman"/>
          <w:bCs/>
          <w:sz w:val="24"/>
          <w:szCs w:val="24"/>
          <w:lang w:val="sr-Cyrl-CS"/>
        </w:rPr>
        <w:t>Q</w:t>
      </w:r>
      <w:r w:rsidR="004C3A54" w:rsidRPr="00827818">
        <w:rPr>
          <w:rFonts w:ascii="Times New Roman" w:hAnsi="Times New Roman" w:cs="Times New Roman"/>
          <w:bCs/>
          <w:sz w:val="24"/>
          <w:szCs w:val="24"/>
          <w:lang w:val="sr-Cyrl-CS"/>
        </w:rPr>
        <w:t>4</w:t>
      </w:r>
      <w:r w:rsidR="005A3B6E" w:rsidRPr="00827818">
        <w:rPr>
          <w:rFonts w:ascii="Times New Roman" w:hAnsi="Times New Roman" w:cs="Times New Roman"/>
          <w:bCs/>
          <w:sz w:val="24"/>
          <w:szCs w:val="24"/>
          <w:lang w:val="sr-Cyrl-CS"/>
        </w:rPr>
        <w:t xml:space="preserve"> 2024</w:t>
      </w:r>
      <w:r w:rsidR="00E65243" w:rsidRPr="00827818">
        <w:rPr>
          <w:rFonts w:ascii="Times New Roman" w:hAnsi="Times New Roman" w:cs="Times New Roman"/>
          <w:bCs/>
          <w:sz w:val="24"/>
          <w:szCs w:val="24"/>
          <w:lang w:val="sr-Cyrl-CS"/>
        </w:rPr>
        <w:t>ˮ</w:t>
      </w:r>
      <w:r w:rsidR="0003263A" w:rsidRPr="00827818">
        <w:rPr>
          <w:rFonts w:ascii="Times New Roman" w:hAnsi="Times New Roman" w:cs="Times New Roman"/>
          <w:bCs/>
          <w:sz w:val="24"/>
          <w:szCs w:val="24"/>
          <w:lang w:val="sr-Cyrl-CS"/>
        </w:rPr>
        <w:t>.</w:t>
      </w:r>
    </w:p>
    <w:p w:rsidR="0003263A" w:rsidRPr="00827818" w:rsidRDefault="00E76E87" w:rsidP="0003263A">
      <w:pPr>
        <w:spacing w:after="0"/>
        <w:ind w:firstLine="720"/>
        <w:jc w:val="both"/>
        <w:rPr>
          <w:rFonts w:ascii="Times New Roman" w:hAnsi="Times New Roman" w:cs="Times New Roman"/>
          <w:bCs/>
          <w:sz w:val="24"/>
          <w:szCs w:val="24"/>
          <w:lang w:val="sr-Cyrl-CS"/>
        </w:rPr>
      </w:pPr>
      <w:r w:rsidRPr="00827818">
        <w:rPr>
          <w:rFonts w:ascii="Times New Roman" w:hAnsi="Times New Roman" w:cs="Times New Roman"/>
          <w:bCs/>
          <w:sz w:val="24"/>
          <w:szCs w:val="24"/>
          <w:lang w:val="sr-Cyrl-CS"/>
        </w:rPr>
        <w:t xml:space="preserve">Активност </w:t>
      </w:r>
      <w:r w:rsidR="00750984" w:rsidRPr="00827818">
        <w:rPr>
          <w:rFonts w:ascii="Times New Roman" w:hAnsi="Times New Roman" w:cs="Times New Roman"/>
          <w:bCs/>
          <w:sz w:val="24"/>
          <w:szCs w:val="24"/>
          <w:lang w:val="sr-Cyrl-CS"/>
        </w:rPr>
        <w:t>2.4.2</w:t>
      </w:r>
      <w:r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 xml:space="preserve"> Спровођење пилот пројекта за увођење система примарних дилера и даљи развој домаћег тржишта обвезница</w:t>
      </w:r>
      <w:r w:rsidRPr="00827818">
        <w:rPr>
          <w:rFonts w:ascii="Times New Roman" w:hAnsi="Times New Roman" w:cs="Times New Roman"/>
          <w:bCs/>
          <w:sz w:val="24"/>
          <w:szCs w:val="24"/>
          <w:lang w:val="sr-Cyrl-CS"/>
        </w:rPr>
        <w:t>,</w:t>
      </w:r>
      <w:r w:rsidR="00750984" w:rsidRPr="00827818">
        <w:rPr>
          <w:rFonts w:ascii="Times New Roman" w:hAnsi="Times New Roman" w:cs="Times New Roman"/>
          <w:bCs/>
          <w:sz w:val="24"/>
          <w:szCs w:val="24"/>
          <w:lang w:val="sr-Cyrl-CS"/>
        </w:rPr>
        <w:t xml:space="preserve"> </w:t>
      </w:r>
      <w:r w:rsidRPr="00827818">
        <w:rPr>
          <w:rFonts w:ascii="Times New Roman" w:hAnsi="Times New Roman" w:cs="Times New Roman"/>
          <w:bCs/>
          <w:sz w:val="24"/>
          <w:szCs w:val="24"/>
          <w:lang w:val="sr-Cyrl-CS"/>
        </w:rPr>
        <w:t>рок за завршетак активности: „Q4 2024</w:t>
      </w:r>
      <w:r w:rsidR="00E65243" w:rsidRPr="00827818">
        <w:rPr>
          <w:rFonts w:ascii="Times New Roman" w:hAnsi="Times New Roman" w:cs="Times New Roman"/>
          <w:bCs/>
          <w:sz w:val="24"/>
          <w:szCs w:val="24"/>
          <w:lang w:val="sr-Cyrl-CS"/>
        </w:rPr>
        <w:t>ˮ</w:t>
      </w:r>
      <w:r w:rsidRPr="00827818">
        <w:rPr>
          <w:rFonts w:ascii="Times New Roman" w:hAnsi="Times New Roman" w:cs="Times New Roman"/>
          <w:bCs/>
          <w:sz w:val="24"/>
          <w:szCs w:val="24"/>
          <w:lang w:val="sr-Cyrl-CS"/>
        </w:rPr>
        <w:t xml:space="preserve"> зам</w:t>
      </w:r>
      <w:r w:rsidR="00FE6657" w:rsidRPr="00827818">
        <w:rPr>
          <w:rFonts w:ascii="Times New Roman" w:hAnsi="Times New Roman" w:cs="Times New Roman"/>
          <w:bCs/>
          <w:sz w:val="24"/>
          <w:szCs w:val="24"/>
          <w:lang w:val="sr-Cyrl-CS"/>
        </w:rPr>
        <w:t>ењује се роком за завршетак акт</w:t>
      </w:r>
      <w:r w:rsidRPr="00827818">
        <w:rPr>
          <w:rFonts w:ascii="Times New Roman" w:hAnsi="Times New Roman" w:cs="Times New Roman"/>
          <w:bCs/>
          <w:sz w:val="24"/>
          <w:szCs w:val="24"/>
          <w:lang w:val="sr-Cyrl-CS"/>
        </w:rPr>
        <w:t>и</w:t>
      </w:r>
      <w:r w:rsidR="00FE6657" w:rsidRPr="00827818">
        <w:rPr>
          <w:rFonts w:ascii="Times New Roman" w:hAnsi="Times New Roman" w:cs="Times New Roman"/>
          <w:bCs/>
          <w:sz w:val="24"/>
          <w:szCs w:val="24"/>
          <w:lang w:val="sr-Cyrl-CS"/>
        </w:rPr>
        <w:t>в</w:t>
      </w:r>
      <w:r w:rsidRPr="00827818">
        <w:rPr>
          <w:rFonts w:ascii="Times New Roman" w:hAnsi="Times New Roman" w:cs="Times New Roman"/>
          <w:bCs/>
          <w:sz w:val="24"/>
          <w:szCs w:val="24"/>
          <w:lang w:val="sr-Cyrl-CS"/>
        </w:rPr>
        <w:t>ности: „</w:t>
      </w:r>
      <w:r w:rsidR="00B74E95" w:rsidRPr="00827818">
        <w:rPr>
          <w:rFonts w:ascii="Times New Roman" w:hAnsi="Times New Roman" w:cs="Times New Roman"/>
          <w:bCs/>
          <w:sz w:val="24"/>
          <w:szCs w:val="24"/>
          <w:lang w:val="sr-Cyrl-CS"/>
        </w:rPr>
        <w:t>Q</w:t>
      </w:r>
      <w:r w:rsidR="004C3A54" w:rsidRPr="00827818">
        <w:rPr>
          <w:rFonts w:ascii="Times New Roman" w:hAnsi="Times New Roman" w:cs="Times New Roman"/>
          <w:bCs/>
          <w:sz w:val="24"/>
          <w:szCs w:val="24"/>
          <w:lang w:val="sr-Cyrl-CS"/>
        </w:rPr>
        <w:t>4</w:t>
      </w:r>
      <w:r w:rsidR="005A3B6E" w:rsidRPr="00827818">
        <w:rPr>
          <w:rFonts w:ascii="Times New Roman" w:hAnsi="Times New Roman" w:cs="Times New Roman"/>
          <w:bCs/>
          <w:sz w:val="24"/>
          <w:szCs w:val="24"/>
          <w:lang w:val="sr-Cyrl-CS"/>
        </w:rPr>
        <w:t xml:space="preserve"> 2025</w:t>
      </w:r>
      <w:r w:rsidR="00E65243" w:rsidRPr="00827818">
        <w:rPr>
          <w:rFonts w:ascii="Times New Roman" w:hAnsi="Times New Roman" w:cs="Times New Roman"/>
          <w:bCs/>
          <w:sz w:val="24"/>
          <w:szCs w:val="24"/>
          <w:lang w:val="sr-Cyrl-CS"/>
        </w:rPr>
        <w:t>ˮ</w:t>
      </w:r>
      <w:r w:rsidR="0003263A" w:rsidRPr="00827818">
        <w:rPr>
          <w:rFonts w:ascii="Times New Roman" w:hAnsi="Times New Roman" w:cs="Times New Roman"/>
          <w:bCs/>
          <w:sz w:val="24"/>
          <w:szCs w:val="24"/>
          <w:lang w:val="sr-Cyrl-CS"/>
        </w:rPr>
        <w:t>.</w:t>
      </w:r>
      <w:r w:rsidRPr="00827818">
        <w:rPr>
          <w:rFonts w:ascii="Times New Roman" w:hAnsi="Times New Roman" w:cs="Times New Roman"/>
          <w:bCs/>
          <w:sz w:val="24"/>
          <w:szCs w:val="24"/>
          <w:lang w:val="sr-Cyrl-CS"/>
        </w:rPr>
        <w:t xml:space="preserve"> </w:t>
      </w:r>
    </w:p>
    <w:p w:rsidR="009376A4" w:rsidRPr="00827818" w:rsidRDefault="00E76E87" w:rsidP="009376A4">
      <w:pPr>
        <w:ind w:firstLine="720"/>
        <w:jc w:val="both"/>
        <w:rPr>
          <w:rFonts w:ascii="Times New Roman" w:hAnsi="Times New Roman" w:cs="Times New Roman"/>
          <w:bCs/>
          <w:sz w:val="24"/>
          <w:szCs w:val="24"/>
          <w:lang w:val="sr-Cyrl-CS"/>
        </w:rPr>
      </w:pPr>
      <w:r w:rsidRPr="00827818">
        <w:rPr>
          <w:rFonts w:ascii="Times New Roman" w:hAnsi="Times New Roman" w:cs="Times New Roman"/>
          <w:bCs/>
          <w:sz w:val="24"/>
          <w:szCs w:val="24"/>
          <w:lang w:val="sr-Cyrl-CS"/>
        </w:rPr>
        <w:t>Активност</w:t>
      </w:r>
      <w:r w:rsidR="00750984" w:rsidRPr="00827818">
        <w:rPr>
          <w:rFonts w:ascii="Times New Roman" w:hAnsi="Times New Roman" w:cs="Times New Roman"/>
          <w:bCs/>
          <w:sz w:val="24"/>
          <w:szCs w:val="24"/>
          <w:lang w:val="sr-Cyrl-CS"/>
        </w:rPr>
        <w:t xml:space="preserve"> 2.4.4</w:t>
      </w:r>
      <w:r w:rsidRPr="00827818">
        <w:rPr>
          <w:rFonts w:ascii="Times New Roman" w:hAnsi="Times New Roman" w:cs="Times New Roman"/>
          <w:bCs/>
          <w:sz w:val="24"/>
          <w:szCs w:val="24"/>
          <w:lang w:val="sr-Cyrl-CS"/>
        </w:rPr>
        <w:t>:</w:t>
      </w:r>
      <w:r w:rsidR="00131E2A" w:rsidRPr="00827818">
        <w:rPr>
          <w:rFonts w:ascii="Times New Roman" w:hAnsi="Times New Roman" w:cs="Times New Roman"/>
          <w:bCs/>
          <w:sz w:val="24"/>
          <w:szCs w:val="24"/>
          <w:lang w:val="sr-Cyrl-CS"/>
        </w:rPr>
        <w:t xml:space="preserve"> </w:t>
      </w:r>
      <w:r w:rsidR="00750984" w:rsidRPr="00827818">
        <w:rPr>
          <w:rFonts w:ascii="Times New Roman" w:hAnsi="Times New Roman" w:cs="Times New Roman"/>
          <w:bCs/>
          <w:sz w:val="24"/>
          <w:szCs w:val="24"/>
          <w:lang w:val="sr-Cyrl-CS"/>
        </w:rPr>
        <w:t>Надоградња постојећег информационог система (</w:t>
      </w:r>
      <w:r w:rsidR="00750984" w:rsidRPr="00827818">
        <w:rPr>
          <w:rFonts w:ascii="Times New Roman" w:hAnsi="Times New Roman" w:cs="Times New Roman"/>
          <w:bCs/>
          <w:i/>
          <w:sz w:val="24"/>
          <w:szCs w:val="24"/>
          <w:lang w:val="sr-Cyrl-CS"/>
        </w:rPr>
        <w:t>PDMS</w:t>
      </w:r>
      <w:r w:rsidR="00750984" w:rsidRPr="00827818">
        <w:rPr>
          <w:rFonts w:ascii="Times New Roman" w:hAnsi="Times New Roman" w:cs="Times New Roman"/>
          <w:bCs/>
          <w:sz w:val="24"/>
          <w:szCs w:val="24"/>
          <w:lang w:val="sr-Cyrl-CS"/>
        </w:rPr>
        <w:t>) развијеним модулом за управљање ризицима</w:t>
      </w:r>
      <w:r w:rsidRPr="00827818">
        <w:rPr>
          <w:rFonts w:ascii="Times New Roman" w:hAnsi="Times New Roman" w:cs="Times New Roman"/>
          <w:bCs/>
          <w:sz w:val="24"/>
          <w:szCs w:val="24"/>
          <w:lang w:val="sr-Cyrl-CS"/>
        </w:rPr>
        <w:t>,</w:t>
      </w:r>
      <w:r w:rsidR="00FE6657" w:rsidRPr="00827818">
        <w:rPr>
          <w:rFonts w:ascii="Times New Roman" w:hAnsi="Times New Roman" w:cs="Times New Roman"/>
          <w:bCs/>
          <w:sz w:val="24"/>
          <w:szCs w:val="24"/>
          <w:lang w:val="sr-Cyrl-CS"/>
        </w:rPr>
        <w:t xml:space="preserve"> </w:t>
      </w:r>
      <w:r w:rsidRPr="00827818">
        <w:rPr>
          <w:rFonts w:ascii="Times New Roman" w:hAnsi="Times New Roman" w:cs="Times New Roman"/>
          <w:bCs/>
          <w:sz w:val="24"/>
          <w:szCs w:val="24"/>
          <w:lang w:val="sr-Cyrl-CS"/>
        </w:rPr>
        <w:t xml:space="preserve">рок за </w:t>
      </w:r>
      <w:r w:rsidR="009F0D43" w:rsidRPr="00827818">
        <w:rPr>
          <w:rFonts w:ascii="Times New Roman" w:hAnsi="Times New Roman" w:cs="Times New Roman"/>
          <w:bCs/>
          <w:sz w:val="24"/>
          <w:szCs w:val="24"/>
          <w:lang w:val="sr-Cyrl-CS"/>
        </w:rPr>
        <w:t>завршетак активности: „Q4 2024</w:t>
      </w:r>
      <w:r w:rsidR="00E65243" w:rsidRPr="00827818">
        <w:rPr>
          <w:rFonts w:ascii="Times New Roman" w:hAnsi="Times New Roman" w:cs="Times New Roman"/>
          <w:bCs/>
          <w:sz w:val="24"/>
          <w:szCs w:val="24"/>
          <w:lang w:val="sr-Cyrl-CS"/>
        </w:rPr>
        <w:t>ˮ</w:t>
      </w:r>
      <w:r w:rsidRPr="00827818">
        <w:rPr>
          <w:rFonts w:ascii="Times New Roman" w:hAnsi="Times New Roman" w:cs="Times New Roman"/>
          <w:bCs/>
          <w:sz w:val="24"/>
          <w:szCs w:val="24"/>
          <w:lang w:val="sr-Cyrl-CS"/>
        </w:rPr>
        <w:t xml:space="preserve"> замењује се роком за завршетак акт</w:t>
      </w:r>
      <w:r w:rsidR="00FE6657" w:rsidRPr="00827818">
        <w:rPr>
          <w:rFonts w:ascii="Times New Roman" w:hAnsi="Times New Roman" w:cs="Times New Roman"/>
          <w:bCs/>
          <w:sz w:val="24"/>
          <w:szCs w:val="24"/>
          <w:lang w:val="sr-Cyrl-CS"/>
        </w:rPr>
        <w:t>и</w:t>
      </w:r>
      <w:r w:rsidRPr="00827818">
        <w:rPr>
          <w:rFonts w:ascii="Times New Roman" w:hAnsi="Times New Roman" w:cs="Times New Roman"/>
          <w:bCs/>
          <w:sz w:val="24"/>
          <w:szCs w:val="24"/>
          <w:lang w:val="sr-Cyrl-CS"/>
        </w:rPr>
        <w:t>вности: „</w:t>
      </w:r>
      <w:r w:rsidR="00B74E95" w:rsidRPr="00827818">
        <w:rPr>
          <w:rFonts w:ascii="Times New Roman" w:hAnsi="Times New Roman" w:cs="Times New Roman"/>
          <w:bCs/>
          <w:sz w:val="24"/>
          <w:szCs w:val="24"/>
          <w:lang w:val="sr-Cyrl-CS"/>
        </w:rPr>
        <w:t>Q</w:t>
      </w:r>
      <w:r w:rsidR="0037038B" w:rsidRPr="00827818">
        <w:rPr>
          <w:rFonts w:ascii="Times New Roman" w:hAnsi="Times New Roman" w:cs="Times New Roman"/>
          <w:bCs/>
          <w:sz w:val="24"/>
          <w:szCs w:val="24"/>
          <w:lang w:val="sr-Cyrl-CS"/>
        </w:rPr>
        <w:t>4</w:t>
      </w:r>
      <w:r w:rsidR="005A3B6E" w:rsidRPr="00827818">
        <w:rPr>
          <w:rFonts w:ascii="Times New Roman" w:hAnsi="Times New Roman" w:cs="Times New Roman"/>
          <w:bCs/>
          <w:sz w:val="24"/>
          <w:szCs w:val="24"/>
          <w:lang w:val="sr-Cyrl-CS"/>
        </w:rPr>
        <w:t xml:space="preserve"> 2025</w:t>
      </w:r>
      <w:r w:rsidR="00E65243" w:rsidRPr="00827818">
        <w:rPr>
          <w:rFonts w:ascii="Times New Roman" w:hAnsi="Times New Roman" w:cs="Times New Roman"/>
          <w:bCs/>
          <w:sz w:val="24"/>
          <w:szCs w:val="24"/>
          <w:lang w:val="sr-Cyrl-CS"/>
        </w:rPr>
        <w:t>ˮ</w:t>
      </w:r>
      <w:r w:rsidR="005A3B6E" w:rsidRPr="00827818">
        <w:rPr>
          <w:rFonts w:ascii="Times New Roman" w:hAnsi="Times New Roman" w:cs="Times New Roman"/>
          <w:bCs/>
          <w:sz w:val="24"/>
          <w:szCs w:val="24"/>
          <w:lang w:val="sr-Cyrl-CS"/>
        </w:rPr>
        <w:t>.</w:t>
      </w:r>
    </w:p>
    <w:p w:rsidR="009376A4" w:rsidRPr="00827818" w:rsidRDefault="00F47AA2" w:rsidP="009376A4">
      <w:pPr>
        <w:spacing w:after="0"/>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38</w:t>
      </w:r>
      <w:r w:rsidR="009376A4" w:rsidRPr="00827818">
        <w:rPr>
          <w:rFonts w:ascii="Times New Roman" w:hAnsi="Times New Roman" w:cs="Times New Roman"/>
          <w:bCs/>
          <w:sz w:val="24"/>
          <w:szCs w:val="24"/>
          <w:lang w:val="sr-Cyrl-CS"/>
        </w:rPr>
        <w:t xml:space="preserve">. </w:t>
      </w:r>
      <w:r w:rsidR="00750984" w:rsidRPr="00827818">
        <w:rPr>
          <w:rFonts w:ascii="Times New Roman" w:hAnsi="Times New Roman" w:cs="Times New Roman"/>
          <w:sz w:val="24"/>
          <w:szCs w:val="24"/>
          <w:lang w:val="sr-Cyrl-CS"/>
        </w:rPr>
        <w:t xml:space="preserve">У </w:t>
      </w:r>
      <w:r w:rsidR="00900EF7" w:rsidRPr="00827818">
        <w:rPr>
          <w:rFonts w:ascii="Times New Roman" w:hAnsi="Times New Roman" w:cs="Times New Roman"/>
          <w:bCs/>
          <w:sz w:val="24"/>
          <w:szCs w:val="24"/>
          <w:lang w:val="sr-Cyrl-CS"/>
        </w:rPr>
        <w:t>М</w:t>
      </w:r>
      <w:r w:rsidR="00750984" w:rsidRPr="00827818">
        <w:rPr>
          <w:rFonts w:ascii="Times New Roman" w:hAnsi="Times New Roman" w:cs="Times New Roman"/>
          <w:bCs/>
          <w:sz w:val="24"/>
          <w:szCs w:val="24"/>
          <w:lang w:val="sr-Cyrl-CS"/>
        </w:rPr>
        <w:t>ер</w:t>
      </w:r>
      <w:r w:rsidR="00900EF7" w:rsidRPr="00827818">
        <w:rPr>
          <w:rFonts w:ascii="Times New Roman" w:hAnsi="Times New Roman" w:cs="Times New Roman"/>
          <w:bCs/>
          <w:sz w:val="24"/>
          <w:szCs w:val="24"/>
          <w:lang w:val="sr-Cyrl-CS"/>
        </w:rPr>
        <w:t>и</w:t>
      </w:r>
      <w:r w:rsidR="005A3B6E" w:rsidRPr="00827818">
        <w:rPr>
          <w:rFonts w:ascii="Times New Roman" w:hAnsi="Times New Roman" w:cs="Times New Roman"/>
          <w:bCs/>
          <w:sz w:val="24"/>
          <w:szCs w:val="24"/>
          <w:lang w:val="sr-Cyrl-CS"/>
        </w:rPr>
        <w:t xml:space="preserve"> 2.4</w:t>
      </w:r>
      <w:r w:rsidR="00750984" w:rsidRPr="00827818">
        <w:rPr>
          <w:rFonts w:ascii="Times New Roman" w:hAnsi="Times New Roman" w:cs="Times New Roman"/>
          <w:sz w:val="24"/>
          <w:szCs w:val="24"/>
          <w:lang w:val="sr-Cyrl-CS"/>
        </w:rPr>
        <w:t xml:space="preserve"> </w:t>
      </w:r>
      <w:r w:rsidR="00750984" w:rsidRPr="00827818">
        <w:rPr>
          <w:rFonts w:ascii="Times New Roman" w:hAnsi="Times New Roman" w:cs="Times New Roman"/>
          <w:bCs/>
          <w:sz w:val="24"/>
          <w:szCs w:val="24"/>
          <w:lang w:val="sr-Cyrl-CS"/>
        </w:rPr>
        <w:t>Ефикасн</w:t>
      </w:r>
      <w:r w:rsidR="00222CCF" w:rsidRPr="00827818">
        <w:rPr>
          <w:rFonts w:ascii="Times New Roman" w:hAnsi="Times New Roman" w:cs="Times New Roman"/>
          <w:bCs/>
          <w:sz w:val="24"/>
          <w:szCs w:val="24"/>
          <w:lang w:val="sr-Cyrl-CS"/>
        </w:rPr>
        <w:t>о</w:t>
      </w:r>
      <w:r w:rsidR="00750984" w:rsidRPr="00827818">
        <w:rPr>
          <w:rFonts w:ascii="Times New Roman" w:hAnsi="Times New Roman" w:cs="Times New Roman"/>
          <w:bCs/>
          <w:sz w:val="24"/>
          <w:szCs w:val="24"/>
          <w:lang w:val="sr-Cyrl-CS"/>
        </w:rPr>
        <w:t xml:space="preserve"> управљање јавним дугом, </w:t>
      </w:r>
      <w:r w:rsidR="00900EF7" w:rsidRPr="00827818">
        <w:rPr>
          <w:rFonts w:ascii="Times New Roman" w:hAnsi="Times New Roman" w:cs="Times New Roman"/>
          <w:bCs/>
          <w:sz w:val="24"/>
          <w:szCs w:val="24"/>
          <w:lang w:val="sr-Cyrl-CS"/>
        </w:rPr>
        <w:t xml:space="preserve">Активност 2.4.2: </w:t>
      </w:r>
      <w:r w:rsidR="00D81BFD" w:rsidRPr="00827818">
        <w:rPr>
          <w:rFonts w:ascii="Times New Roman" w:hAnsi="Times New Roman" w:cs="Times New Roman"/>
          <w:bCs/>
          <w:sz w:val="24"/>
          <w:szCs w:val="24"/>
          <w:lang w:val="sr-Cyrl-CS"/>
        </w:rPr>
        <w:t xml:space="preserve">Спровођење пилот пројекта за увођење система примарних дилера и даљи развој домаћег тржишта обвезница, </w:t>
      </w:r>
      <w:r w:rsidR="008A72B8" w:rsidRPr="00827818">
        <w:rPr>
          <w:rFonts w:ascii="Times New Roman" w:hAnsi="Times New Roman" w:cs="Times New Roman"/>
          <w:bCs/>
          <w:sz w:val="24"/>
          <w:szCs w:val="24"/>
          <w:lang w:val="sr-Cyrl-CS"/>
        </w:rPr>
        <w:t>укупна процењена финансијска средства по изворима у 000 дин, за 2023: „12.000</w:t>
      </w:r>
      <w:r w:rsidR="00E65243" w:rsidRPr="00827818">
        <w:rPr>
          <w:rFonts w:ascii="Times New Roman" w:hAnsi="Times New Roman" w:cs="Times New Roman"/>
          <w:bCs/>
          <w:sz w:val="24"/>
          <w:szCs w:val="24"/>
          <w:lang w:val="sr-Cyrl-CS"/>
        </w:rPr>
        <w:t>ˮ</w:t>
      </w:r>
      <w:r w:rsidR="008A72B8" w:rsidRPr="00827818">
        <w:rPr>
          <w:rFonts w:ascii="Times New Roman" w:hAnsi="Times New Roman" w:cs="Times New Roman"/>
          <w:bCs/>
          <w:sz w:val="24"/>
          <w:szCs w:val="24"/>
          <w:lang w:val="sr-Cyrl-CS"/>
        </w:rPr>
        <w:t xml:space="preserve"> замењује се укупним процењеним финансијским средствима по</w:t>
      </w:r>
      <w:r w:rsidR="005A3B6E" w:rsidRPr="00827818">
        <w:rPr>
          <w:rFonts w:ascii="Times New Roman" w:hAnsi="Times New Roman" w:cs="Times New Roman"/>
          <w:bCs/>
          <w:sz w:val="24"/>
          <w:szCs w:val="24"/>
          <w:lang w:val="sr-Cyrl-CS"/>
        </w:rPr>
        <w:t xml:space="preserve"> изворима у 000 дин, за 2023: „-</w:t>
      </w:r>
      <w:r w:rsidR="00E65243" w:rsidRPr="00827818">
        <w:rPr>
          <w:rFonts w:ascii="Times New Roman" w:hAnsi="Times New Roman" w:cs="Times New Roman"/>
          <w:bCs/>
          <w:sz w:val="24"/>
          <w:szCs w:val="24"/>
          <w:lang w:val="sr-Cyrl-CS"/>
        </w:rPr>
        <w:t>ˮ</w:t>
      </w:r>
      <w:r w:rsidR="008A72B8" w:rsidRPr="00827818">
        <w:rPr>
          <w:rFonts w:ascii="Times New Roman" w:hAnsi="Times New Roman" w:cs="Times New Roman"/>
          <w:bCs/>
          <w:sz w:val="24"/>
          <w:szCs w:val="24"/>
          <w:lang w:val="sr-Cyrl-CS"/>
        </w:rPr>
        <w:t>; Укупна процењена финансијска средства</w:t>
      </w:r>
      <w:r w:rsidR="00E91785" w:rsidRPr="00827818">
        <w:rPr>
          <w:rFonts w:ascii="Times New Roman" w:hAnsi="Times New Roman" w:cs="Times New Roman"/>
          <w:bCs/>
          <w:sz w:val="24"/>
          <w:szCs w:val="24"/>
          <w:lang w:val="sr-Cyrl-CS"/>
        </w:rPr>
        <w:t xml:space="preserve"> по </w:t>
      </w:r>
      <w:r w:rsidR="005A3B6E" w:rsidRPr="00827818">
        <w:rPr>
          <w:rFonts w:ascii="Times New Roman" w:hAnsi="Times New Roman" w:cs="Times New Roman"/>
          <w:bCs/>
          <w:sz w:val="24"/>
          <w:szCs w:val="24"/>
          <w:lang w:val="sr-Cyrl-CS"/>
        </w:rPr>
        <w:t>изворима у 000 дин,  за 2025: „-</w:t>
      </w:r>
      <w:r w:rsidR="00E65243" w:rsidRPr="00827818">
        <w:rPr>
          <w:rFonts w:ascii="Times New Roman" w:hAnsi="Times New Roman" w:cs="Times New Roman"/>
          <w:bCs/>
          <w:sz w:val="24"/>
          <w:szCs w:val="24"/>
          <w:lang w:val="sr-Cyrl-CS"/>
        </w:rPr>
        <w:t>ˮ</w:t>
      </w:r>
      <w:r w:rsidR="008A72B8" w:rsidRPr="00827818">
        <w:rPr>
          <w:rFonts w:ascii="Times New Roman" w:hAnsi="Times New Roman" w:cs="Times New Roman"/>
          <w:bCs/>
          <w:sz w:val="24"/>
          <w:szCs w:val="24"/>
          <w:lang w:val="sr-Cyrl-CS"/>
        </w:rPr>
        <w:t xml:space="preserve"> замењује се укупним процењеним финансијским средствим</w:t>
      </w:r>
      <w:r w:rsidR="00E91785" w:rsidRPr="00827818">
        <w:rPr>
          <w:rFonts w:ascii="Times New Roman" w:hAnsi="Times New Roman" w:cs="Times New Roman"/>
          <w:bCs/>
          <w:sz w:val="24"/>
          <w:szCs w:val="24"/>
          <w:lang w:val="sr-Cyrl-CS"/>
        </w:rPr>
        <w:t>а по изворима у 000 дин, за 2025: „12.000</w:t>
      </w:r>
      <w:r w:rsidR="00E65243" w:rsidRPr="00827818">
        <w:rPr>
          <w:rFonts w:ascii="Times New Roman" w:hAnsi="Times New Roman" w:cs="Times New Roman"/>
          <w:bCs/>
          <w:sz w:val="24"/>
          <w:szCs w:val="24"/>
          <w:lang w:val="sr-Cyrl-CS"/>
        </w:rPr>
        <w:t>ˮ</w:t>
      </w:r>
      <w:r w:rsidR="008A72B8" w:rsidRPr="00827818">
        <w:rPr>
          <w:rFonts w:ascii="Times New Roman" w:hAnsi="Times New Roman" w:cs="Times New Roman"/>
          <w:bCs/>
          <w:sz w:val="24"/>
          <w:szCs w:val="24"/>
          <w:lang w:val="sr-Cyrl-CS"/>
        </w:rPr>
        <w:t>.</w:t>
      </w:r>
      <w:r w:rsidR="00D250C4" w:rsidRPr="00827818">
        <w:rPr>
          <w:rFonts w:ascii="Times New Roman" w:hAnsi="Times New Roman" w:cs="Times New Roman"/>
          <w:bCs/>
          <w:sz w:val="24"/>
          <w:szCs w:val="24"/>
          <w:lang w:val="sr-Cyrl-CS"/>
        </w:rPr>
        <w:t xml:space="preserve"> </w:t>
      </w:r>
    </w:p>
    <w:p w:rsidR="000D6B49" w:rsidRPr="00827818" w:rsidRDefault="00D250C4" w:rsidP="009376A4">
      <w:pPr>
        <w:spacing w:after="0"/>
        <w:ind w:firstLine="720"/>
        <w:jc w:val="both"/>
        <w:rPr>
          <w:rFonts w:ascii="Times New Roman" w:hAnsi="Times New Roman" w:cs="Times New Roman"/>
          <w:bCs/>
          <w:sz w:val="24"/>
          <w:szCs w:val="24"/>
          <w:lang w:val="sr-Cyrl-CS"/>
        </w:rPr>
      </w:pPr>
      <w:r w:rsidRPr="00827818">
        <w:rPr>
          <w:rFonts w:ascii="Times New Roman" w:hAnsi="Times New Roman" w:cs="Times New Roman"/>
          <w:bCs/>
          <w:sz w:val="24"/>
          <w:szCs w:val="24"/>
          <w:lang w:val="sr-Cyrl-CS"/>
        </w:rPr>
        <w:t xml:space="preserve">Активност 2.4.4: </w:t>
      </w:r>
      <w:r w:rsidR="00750984" w:rsidRPr="00827818">
        <w:rPr>
          <w:rFonts w:ascii="Times New Roman" w:hAnsi="Times New Roman" w:cs="Times New Roman"/>
          <w:bCs/>
          <w:sz w:val="24"/>
          <w:szCs w:val="24"/>
          <w:lang w:val="sr-Cyrl-CS"/>
        </w:rPr>
        <w:t>Надоградња постојећег информационог система (</w:t>
      </w:r>
      <w:r w:rsidR="00750984" w:rsidRPr="00827818">
        <w:rPr>
          <w:rFonts w:ascii="Times New Roman" w:hAnsi="Times New Roman" w:cs="Times New Roman"/>
          <w:bCs/>
          <w:i/>
          <w:sz w:val="24"/>
          <w:szCs w:val="24"/>
          <w:lang w:val="sr-Cyrl-CS"/>
        </w:rPr>
        <w:t>PDMS</w:t>
      </w:r>
      <w:r w:rsidR="00750984" w:rsidRPr="00827818">
        <w:rPr>
          <w:rFonts w:ascii="Times New Roman" w:hAnsi="Times New Roman" w:cs="Times New Roman"/>
          <w:bCs/>
          <w:sz w:val="24"/>
          <w:szCs w:val="24"/>
          <w:lang w:val="sr-Cyrl-CS"/>
        </w:rPr>
        <w:t>) развијеним модулом за управљање ризицима</w:t>
      </w:r>
      <w:r w:rsidR="00314439" w:rsidRPr="00827818">
        <w:rPr>
          <w:rFonts w:ascii="Times New Roman" w:hAnsi="Times New Roman" w:cs="Times New Roman"/>
          <w:bCs/>
          <w:sz w:val="24"/>
          <w:szCs w:val="24"/>
          <w:lang w:val="sr-Cyrl-CS"/>
        </w:rPr>
        <w:t>, укупна процењена финансијска средства по изворима у 000 дин, за 2023: „24.000*</w:t>
      </w:r>
      <w:r w:rsidR="00E65243" w:rsidRPr="00827818">
        <w:rPr>
          <w:rFonts w:ascii="Times New Roman" w:hAnsi="Times New Roman" w:cs="Times New Roman"/>
          <w:bCs/>
          <w:sz w:val="24"/>
          <w:szCs w:val="24"/>
          <w:lang w:val="sr-Cyrl-CS"/>
        </w:rPr>
        <w:t>ˮ</w:t>
      </w:r>
      <w:r w:rsidR="00314439" w:rsidRPr="00827818">
        <w:rPr>
          <w:rFonts w:ascii="Times New Roman" w:hAnsi="Times New Roman" w:cs="Times New Roman"/>
          <w:bCs/>
          <w:sz w:val="24"/>
          <w:szCs w:val="24"/>
          <w:lang w:val="sr-Cyrl-CS"/>
        </w:rPr>
        <w:t xml:space="preserve"> замењује се укупним процењеним финансијским средствима по</w:t>
      </w:r>
      <w:r w:rsidR="005A3B6E" w:rsidRPr="00827818">
        <w:rPr>
          <w:rFonts w:ascii="Times New Roman" w:hAnsi="Times New Roman" w:cs="Times New Roman"/>
          <w:bCs/>
          <w:sz w:val="24"/>
          <w:szCs w:val="24"/>
          <w:lang w:val="sr-Cyrl-CS"/>
        </w:rPr>
        <w:t xml:space="preserve"> изворима у 000 дин, за 2023: „-</w:t>
      </w:r>
      <w:r w:rsidR="00E65243" w:rsidRPr="00827818">
        <w:rPr>
          <w:rFonts w:ascii="Times New Roman" w:hAnsi="Times New Roman" w:cs="Times New Roman"/>
          <w:bCs/>
          <w:sz w:val="24"/>
          <w:szCs w:val="24"/>
          <w:lang w:val="sr-Cyrl-CS"/>
        </w:rPr>
        <w:t>ˮ</w:t>
      </w:r>
      <w:r w:rsidR="00314439" w:rsidRPr="00827818">
        <w:rPr>
          <w:rFonts w:ascii="Times New Roman" w:hAnsi="Times New Roman" w:cs="Times New Roman"/>
          <w:bCs/>
          <w:sz w:val="24"/>
          <w:szCs w:val="24"/>
          <w:lang w:val="sr-Cyrl-CS"/>
        </w:rPr>
        <w:t xml:space="preserve"> </w:t>
      </w:r>
      <w:r w:rsidR="002A3D53" w:rsidRPr="00827818">
        <w:rPr>
          <w:rFonts w:ascii="Times New Roman" w:hAnsi="Times New Roman" w:cs="Times New Roman"/>
          <w:bCs/>
          <w:sz w:val="24"/>
          <w:szCs w:val="24"/>
          <w:lang w:val="sr-Cyrl-CS"/>
        </w:rPr>
        <w:t xml:space="preserve">и </w:t>
      </w:r>
      <w:r w:rsidR="00960CF1" w:rsidRPr="00827818">
        <w:rPr>
          <w:rFonts w:ascii="Times New Roman" w:hAnsi="Times New Roman" w:cs="Times New Roman"/>
          <w:bCs/>
          <w:sz w:val="24"/>
          <w:szCs w:val="24"/>
          <w:lang w:val="sr-Cyrl-CS"/>
        </w:rPr>
        <w:t>у</w:t>
      </w:r>
      <w:r w:rsidR="00314439" w:rsidRPr="00827818">
        <w:rPr>
          <w:rFonts w:ascii="Times New Roman" w:hAnsi="Times New Roman" w:cs="Times New Roman"/>
          <w:bCs/>
          <w:sz w:val="24"/>
          <w:szCs w:val="24"/>
          <w:lang w:val="sr-Cyrl-CS"/>
        </w:rPr>
        <w:t>купна процењена финансијска средства по изво</w:t>
      </w:r>
      <w:r w:rsidR="005A3B6E" w:rsidRPr="00827818">
        <w:rPr>
          <w:rFonts w:ascii="Times New Roman" w:hAnsi="Times New Roman" w:cs="Times New Roman"/>
          <w:bCs/>
          <w:sz w:val="24"/>
          <w:szCs w:val="24"/>
          <w:lang w:val="sr-Cyrl-CS"/>
        </w:rPr>
        <w:t>рима у 000 дин,  за 2025: „-</w:t>
      </w:r>
      <w:r w:rsidR="00E65243" w:rsidRPr="00827818">
        <w:rPr>
          <w:rFonts w:ascii="Times New Roman" w:hAnsi="Times New Roman" w:cs="Times New Roman"/>
          <w:bCs/>
          <w:sz w:val="24"/>
          <w:szCs w:val="24"/>
          <w:lang w:val="sr-Cyrl-CS"/>
        </w:rPr>
        <w:t>ˮ</w:t>
      </w:r>
      <w:r w:rsidR="00314439" w:rsidRPr="00827818">
        <w:rPr>
          <w:rFonts w:ascii="Times New Roman" w:hAnsi="Times New Roman" w:cs="Times New Roman"/>
          <w:bCs/>
          <w:sz w:val="24"/>
          <w:szCs w:val="24"/>
          <w:lang w:val="sr-Cyrl-CS"/>
        </w:rPr>
        <w:t xml:space="preserve"> замењује се укупним процењеним финансијским средствима по изворима у 000 дин, за 2025: „24.000</w:t>
      </w:r>
      <w:r w:rsidR="00E65243" w:rsidRPr="00827818">
        <w:rPr>
          <w:rFonts w:ascii="Times New Roman" w:hAnsi="Times New Roman" w:cs="Times New Roman"/>
          <w:bCs/>
          <w:sz w:val="24"/>
          <w:szCs w:val="24"/>
          <w:lang w:val="sr-Cyrl-CS"/>
        </w:rPr>
        <w:t>ˮ</w:t>
      </w:r>
      <w:r w:rsidR="00314439" w:rsidRPr="00827818">
        <w:rPr>
          <w:rFonts w:ascii="Times New Roman" w:hAnsi="Times New Roman" w:cs="Times New Roman"/>
          <w:bCs/>
          <w:sz w:val="24"/>
          <w:szCs w:val="24"/>
          <w:lang w:val="sr-Cyrl-CS"/>
        </w:rPr>
        <w:t>.</w:t>
      </w:r>
    </w:p>
    <w:p w:rsidR="00A055F9" w:rsidRPr="00827818" w:rsidRDefault="00F47AA2" w:rsidP="00960CF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39</w:t>
      </w:r>
      <w:r w:rsidR="00960CF1" w:rsidRPr="00827818">
        <w:rPr>
          <w:rFonts w:ascii="Times New Roman" w:hAnsi="Times New Roman" w:cs="Times New Roman"/>
          <w:sz w:val="24"/>
          <w:szCs w:val="24"/>
          <w:lang w:val="sr-Cyrl-CS"/>
        </w:rPr>
        <w:t xml:space="preserve">. </w:t>
      </w:r>
      <w:r w:rsidR="00641E9C" w:rsidRPr="00827818">
        <w:rPr>
          <w:rFonts w:ascii="Times New Roman" w:hAnsi="Times New Roman" w:cs="Times New Roman"/>
          <w:sz w:val="24"/>
          <w:szCs w:val="24"/>
          <w:lang w:val="sr-Cyrl-CS"/>
        </w:rPr>
        <w:t>У</w:t>
      </w:r>
      <w:r w:rsidR="00784523" w:rsidRPr="00827818">
        <w:rPr>
          <w:rFonts w:ascii="Times New Roman" w:hAnsi="Times New Roman" w:cs="Times New Roman"/>
          <w:sz w:val="24"/>
          <w:szCs w:val="24"/>
          <w:lang w:val="sr-Cyrl-CS"/>
        </w:rPr>
        <w:t xml:space="preserve"> </w:t>
      </w:r>
      <w:r w:rsidR="00EC48BD" w:rsidRPr="00827818">
        <w:rPr>
          <w:rFonts w:ascii="Times New Roman" w:hAnsi="Times New Roman" w:cs="Times New Roman"/>
          <w:sz w:val="24"/>
          <w:szCs w:val="24"/>
          <w:lang w:val="sr-Cyrl-CS"/>
        </w:rPr>
        <w:t>М</w:t>
      </w:r>
      <w:r w:rsidR="00641E9C" w:rsidRPr="00827818">
        <w:rPr>
          <w:rFonts w:ascii="Times New Roman" w:hAnsi="Times New Roman" w:cs="Times New Roman"/>
          <w:sz w:val="24"/>
          <w:szCs w:val="24"/>
          <w:lang w:val="sr-Cyrl-CS"/>
        </w:rPr>
        <w:t>ер</w:t>
      </w:r>
      <w:r w:rsidR="00EC48BD" w:rsidRPr="00827818">
        <w:rPr>
          <w:rFonts w:ascii="Times New Roman" w:hAnsi="Times New Roman" w:cs="Times New Roman"/>
          <w:sz w:val="24"/>
          <w:szCs w:val="24"/>
          <w:lang w:val="sr-Cyrl-CS"/>
        </w:rPr>
        <w:t>и</w:t>
      </w:r>
      <w:r w:rsidR="00641E9C" w:rsidRPr="00827818">
        <w:rPr>
          <w:rFonts w:ascii="Times New Roman" w:hAnsi="Times New Roman" w:cs="Times New Roman"/>
          <w:sz w:val="24"/>
          <w:szCs w:val="24"/>
          <w:lang w:val="sr-Cyrl-CS"/>
        </w:rPr>
        <w:t xml:space="preserve"> 2.5: Унапређење електронског система јавних набавки, </w:t>
      </w:r>
      <w:r w:rsidR="00EE05B1" w:rsidRPr="00827818">
        <w:rPr>
          <w:rFonts w:ascii="Times New Roman" w:hAnsi="Times New Roman" w:cs="Times New Roman"/>
          <w:sz w:val="24"/>
          <w:szCs w:val="24"/>
          <w:lang w:val="sr-Cyrl-CS"/>
        </w:rPr>
        <w:t>додаје се нови показатељ</w:t>
      </w:r>
      <w:r w:rsidR="002A3D53" w:rsidRPr="00827818">
        <w:rPr>
          <w:rFonts w:ascii="Times New Roman" w:hAnsi="Times New Roman" w:cs="Times New Roman"/>
          <w:sz w:val="24"/>
          <w:szCs w:val="24"/>
          <w:lang w:val="sr-Cyrl-CS"/>
        </w:rPr>
        <w:t xml:space="preserve">, </w:t>
      </w:r>
      <w:r w:rsidR="00EE05B1" w:rsidRPr="00827818">
        <w:rPr>
          <w:rFonts w:ascii="Times New Roman" w:hAnsi="Times New Roman" w:cs="Times New Roman"/>
          <w:sz w:val="24"/>
          <w:szCs w:val="24"/>
          <w:lang w:val="sr-Cyrl-CS"/>
        </w:rPr>
        <w:t>који гласи</w:t>
      </w:r>
      <w:r w:rsidR="00641E9C" w:rsidRPr="00827818">
        <w:rPr>
          <w:rFonts w:ascii="Times New Roman" w:hAnsi="Times New Roman" w:cs="Times New Roman"/>
          <w:sz w:val="24"/>
          <w:szCs w:val="24"/>
          <w:lang w:val="sr-Cyrl-CS"/>
        </w:rPr>
        <w:t xml:space="preserve">: </w:t>
      </w:r>
      <w:r w:rsidR="002A3D53" w:rsidRPr="00827818">
        <w:rPr>
          <w:rFonts w:ascii="Times New Roman" w:hAnsi="Times New Roman" w:cs="Times New Roman"/>
          <w:sz w:val="24"/>
          <w:szCs w:val="24"/>
          <w:lang w:val="sr-Cyrl-CS"/>
        </w:rPr>
        <w:t>„</w:t>
      </w:r>
      <w:r w:rsidR="00641E9C" w:rsidRPr="00827818">
        <w:rPr>
          <w:rFonts w:ascii="Times New Roman" w:hAnsi="Times New Roman" w:cs="Times New Roman"/>
          <w:sz w:val="24"/>
          <w:szCs w:val="24"/>
          <w:lang w:val="sr-Cyrl-CS"/>
        </w:rPr>
        <w:t>База података о уговорима на Порталу</w:t>
      </w:r>
      <w:r w:rsidR="00784523" w:rsidRPr="00827818">
        <w:rPr>
          <w:rFonts w:ascii="Times New Roman" w:hAnsi="Times New Roman" w:cs="Times New Roman"/>
          <w:sz w:val="24"/>
          <w:szCs w:val="24"/>
          <w:lang w:val="sr-Cyrl-CS"/>
        </w:rPr>
        <w:t>”</w:t>
      </w:r>
      <w:r w:rsidR="00792F05" w:rsidRPr="00827818">
        <w:rPr>
          <w:rFonts w:ascii="Times New Roman" w:hAnsi="Times New Roman" w:cs="Times New Roman"/>
          <w:sz w:val="24"/>
          <w:szCs w:val="24"/>
          <w:lang w:val="sr-Cyrl-CS"/>
        </w:rPr>
        <w:t xml:space="preserve">; </w:t>
      </w:r>
      <w:r w:rsidR="00A055F9" w:rsidRPr="00827818">
        <w:rPr>
          <w:rFonts w:ascii="Times New Roman" w:hAnsi="Times New Roman" w:cs="Times New Roman"/>
          <w:sz w:val="24"/>
          <w:szCs w:val="24"/>
          <w:lang w:val="sr-Cyrl-CS"/>
        </w:rPr>
        <w:t>За наведени показатељ додају се:</w:t>
      </w:r>
      <w:r w:rsidR="00EE05B1" w:rsidRPr="00827818">
        <w:rPr>
          <w:rFonts w:ascii="Times New Roman" w:hAnsi="Times New Roman" w:cs="Times New Roman"/>
          <w:sz w:val="24"/>
          <w:szCs w:val="24"/>
          <w:lang w:val="sr-Cyrl-CS"/>
        </w:rPr>
        <w:t xml:space="preserve"> ј</w:t>
      </w:r>
      <w:r w:rsidR="00641E9C" w:rsidRPr="00827818">
        <w:rPr>
          <w:rFonts w:ascii="Times New Roman" w:hAnsi="Times New Roman" w:cs="Times New Roman"/>
          <w:sz w:val="24"/>
          <w:szCs w:val="24"/>
          <w:lang w:val="sr-Cyrl-CS"/>
        </w:rPr>
        <w:t>единица мере</w:t>
      </w:r>
      <w:r w:rsidR="00EE05B1" w:rsidRPr="00827818">
        <w:rPr>
          <w:rFonts w:ascii="Times New Roman" w:hAnsi="Times New Roman" w:cs="Times New Roman"/>
          <w:sz w:val="24"/>
          <w:szCs w:val="24"/>
          <w:lang w:val="sr-Cyrl-CS"/>
        </w:rPr>
        <w:t xml:space="preserve"> </w:t>
      </w:r>
      <w:r w:rsidR="00A055F9" w:rsidRPr="00827818">
        <w:rPr>
          <w:rFonts w:ascii="Times New Roman" w:hAnsi="Times New Roman" w:cs="Times New Roman"/>
          <w:sz w:val="24"/>
          <w:szCs w:val="24"/>
          <w:lang w:val="sr-Cyrl-CS"/>
        </w:rPr>
        <w:t>која</w:t>
      </w:r>
      <w:r w:rsidR="00264184" w:rsidRPr="00827818">
        <w:rPr>
          <w:rFonts w:ascii="Times New Roman" w:hAnsi="Times New Roman" w:cs="Times New Roman"/>
          <w:sz w:val="24"/>
          <w:szCs w:val="24"/>
          <w:lang w:val="sr-Cyrl-CS"/>
        </w:rPr>
        <w:t xml:space="preserve"> гласи</w:t>
      </w:r>
      <w:r w:rsidR="009B1BC9" w:rsidRPr="00827818">
        <w:rPr>
          <w:rFonts w:ascii="Times New Roman" w:hAnsi="Times New Roman" w:cs="Times New Roman"/>
          <w:sz w:val="24"/>
          <w:szCs w:val="24"/>
          <w:lang w:val="sr-Cyrl-CS"/>
        </w:rPr>
        <w:t xml:space="preserve">: </w:t>
      </w:r>
      <w:r w:rsidR="00641E9C" w:rsidRPr="00827818">
        <w:rPr>
          <w:rFonts w:ascii="Times New Roman" w:hAnsi="Times New Roman" w:cs="Times New Roman"/>
          <w:sz w:val="24"/>
          <w:szCs w:val="24"/>
          <w:lang w:val="sr-Cyrl-CS"/>
        </w:rPr>
        <w:t>„0 – Не постоји база, 1- Успостављена</w:t>
      </w:r>
      <w:r w:rsidR="00F362E8" w:rsidRPr="00827818">
        <w:rPr>
          <w:rFonts w:ascii="Times New Roman" w:hAnsi="Times New Roman" w:cs="Times New Roman"/>
          <w:sz w:val="24"/>
          <w:szCs w:val="24"/>
          <w:lang w:val="sr-Cyrl-CS"/>
        </w:rPr>
        <w:t xml:space="preserve"> </w:t>
      </w:r>
      <w:r w:rsidR="00641E9C" w:rsidRPr="00827818">
        <w:rPr>
          <w:rFonts w:ascii="Times New Roman" w:hAnsi="Times New Roman" w:cs="Times New Roman"/>
          <w:sz w:val="24"/>
          <w:szCs w:val="24"/>
          <w:lang w:val="sr-Cyrl-CS"/>
        </w:rPr>
        <w:t>база</w:t>
      </w:r>
      <w:r w:rsidR="00E65243" w:rsidRPr="00827818">
        <w:rPr>
          <w:rFonts w:ascii="Times New Roman" w:hAnsi="Times New Roman" w:cs="Times New Roman"/>
          <w:sz w:val="24"/>
          <w:szCs w:val="24"/>
          <w:lang w:val="sr-Cyrl-CS"/>
        </w:rPr>
        <w:t>ˮ</w:t>
      </w:r>
      <w:r w:rsidR="0060520A" w:rsidRPr="00827818">
        <w:rPr>
          <w:rFonts w:ascii="Times New Roman" w:hAnsi="Times New Roman" w:cs="Times New Roman"/>
          <w:sz w:val="24"/>
          <w:szCs w:val="24"/>
          <w:lang w:val="sr-Cyrl-CS"/>
        </w:rPr>
        <w:t xml:space="preserve">; </w:t>
      </w:r>
      <w:r w:rsidR="00EE05B1" w:rsidRPr="00827818">
        <w:rPr>
          <w:rFonts w:ascii="Times New Roman" w:hAnsi="Times New Roman" w:cs="Times New Roman"/>
          <w:sz w:val="24"/>
          <w:szCs w:val="24"/>
          <w:lang w:val="sr-Cyrl-CS"/>
        </w:rPr>
        <w:t>и</w:t>
      </w:r>
      <w:r w:rsidR="00641E9C" w:rsidRPr="00827818">
        <w:rPr>
          <w:rFonts w:ascii="Times New Roman" w:hAnsi="Times New Roman" w:cs="Times New Roman"/>
          <w:sz w:val="24"/>
          <w:szCs w:val="24"/>
          <w:lang w:val="sr-Cyrl-CS"/>
        </w:rPr>
        <w:t>звор провере</w:t>
      </w:r>
      <w:r w:rsidR="00EE05B1" w:rsidRPr="00827818">
        <w:rPr>
          <w:rFonts w:ascii="Times New Roman" w:hAnsi="Times New Roman" w:cs="Times New Roman"/>
          <w:sz w:val="24"/>
          <w:szCs w:val="24"/>
          <w:lang w:val="sr-Cyrl-CS"/>
        </w:rPr>
        <w:t xml:space="preserve"> </w:t>
      </w:r>
      <w:r w:rsidR="00A055F9" w:rsidRPr="00827818">
        <w:rPr>
          <w:rFonts w:ascii="Times New Roman" w:hAnsi="Times New Roman" w:cs="Times New Roman"/>
          <w:sz w:val="24"/>
          <w:szCs w:val="24"/>
          <w:lang w:val="sr-Cyrl-CS"/>
        </w:rPr>
        <w:t>који</w:t>
      </w:r>
      <w:r w:rsidR="00EE05B1" w:rsidRPr="00827818">
        <w:rPr>
          <w:rFonts w:ascii="Times New Roman" w:hAnsi="Times New Roman" w:cs="Times New Roman"/>
          <w:sz w:val="24"/>
          <w:szCs w:val="24"/>
          <w:lang w:val="sr-Cyrl-CS"/>
        </w:rPr>
        <w:t xml:space="preserve"> гласи</w:t>
      </w:r>
      <w:r w:rsidR="009B1BC9" w:rsidRPr="00827818">
        <w:rPr>
          <w:rFonts w:ascii="Times New Roman" w:hAnsi="Times New Roman" w:cs="Times New Roman"/>
          <w:sz w:val="24"/>
          <w:szCs w:val="24"/>
          <w:lang w:val="sr-Cyrl-CS"/>
        </w:rPr>
        <w:t xml:space="preserve">: </w:t>
      </w:r>
      <w:r w:rsidR="00264184" w:rsidRPr="00827818">
        <w:rPr>
          <w:rFonts w:ascii="Times New Roman" w:hAnsi="Times New Roman" w:cs="Times New Roman"/>
          <w:sz w:val="24"/>
          <w:szCs w:val="24"/>
          <w:lang w:val="sr-Cyrl-CS"/>
        </w:rPr>
        <w:t>„</w:t>
      </w:r>
      <w:r w:rsidR="00641E9C" w:rsidRPr="00827818">
        <w:rPr>
          <w:rFonts w:ascii="Times New Roman" w:hAnsi="Times New Roman" w:cs="Times New Roman"/>
          <w:sz w:val="24"/>
          <w:szCs w:val="24"/>
          <w:lang w:val="sr-Cyrl-CS"/>
        </w:rPr>
        <w:t>Портал јавних набавки</w:t>
      </w:r>
      <w:r w:rsidR="00E65243" w:rsidRPr="00827818">
        <w:rPr>
          <w:rFonts w:ascii="Times New Roman" w:hAnsi="Times New Roman" w:cs="Times New Roman"/>
          <w:sz w:val="24"/>
          <w:szCs w:val="24"/>
          <w:lang w:val="sr-Cyrl-CS"/>
        </w:rPr>
        <w:t>ˮ</w:t>
      </w:r>
      <w:r w:rsidR="009B1BC9" w:rsidRPr="00827818">
        <w:rPr>
          <w:rFonts w:ascii="Times New Roman" w:hAnsi="Times New Roman" w:cs="Times New Roman"/>
          <w:sz w:val="24"/>
          <w:szCs w:val="24"/>
          <w:lang w:val="sr-Cyrl-CS"/>
        </w:rPr>
        <w:t xml:space="preserve">; </w:t>
      </w:r>
      <w:r w:rsidR="00747B6C" w:rsidRPr="00827818">
        <w:rPr>
          <w:rFonts w:ascii="Times New Roman" w:hAnsi="Times New Roman" w:cs="Times New Roman"/>
          <w:sz w:val="24"/>
          <w:szCs w:val="24"/>
          <w:lang w:val="sr-Cyrl-CS"/>
        </w:rPr>
        <w:t>п</w:t>
      </w:r>
      <w:r w:rsidR="009B1BC9" w:rsidRPr="00827818">
        <w:rPr>
          <w:rFonts w:ascii="Times New Roman" w:hAnsi="Times New Roman" w:cs="Times New Roman"/>
          <w:sz w:val="24"/>
          <w:szCs w:val="24"/>
          <w:lang w:val="sr-Cyrl-CS"/>
        </w:rPr>
        <w:t>очетна вредност</w:t>
      </w:r>
      <w:r w:rsidR="00A055F9" w:rsidRPr="00827818">
        <w:rPr>
          <w:rFonts w:ascii="Times New Roman" w:hAnsi="Times New Roman" w:cs="Times New Roman"/>
          <w:sz w:val="24"/>
          <w:szCs w:val="24"/>
          <w:lang w:val="sr-Cyrl-CS"/>
        </w:rPr>
        <w:t xml:space="preserve"> која гласи</w:t>
      </w:r>
      <w:r w:rsidR="009B1BC9" w:rsidRPr="00827818">
        <w:rPr>
          <w:rFonts w:ascii="Times New Roman" w:hAnsi="Times New Roman" w:cs="Times New Roman"/>
          <w:sz w:val="24"/>
          <w:szCs w:val="24"/>
          <w:lang w:val="sr-Cyrl-CS"/>
        </w:rPr>
        <w:t>: „0</w:t>
      </w:r>
      <w:r w:rsidR="00E65243" w:rsidRPr="00827818">
        <w:rPr>
          <w:rFonts w:ascii="Times New Roman" w:hAnsi="Times New Roman" w:cs="Times New Roman"/>
          <w:sz w:val="24"/>
          <w:szCs w:val="24"/>
          <w:lang w:val="sr-Cyrl-CS"/>
        </w:rPr>
        <w:t>ˮ</w:t>
      </w:r>
      <w:r w:rsidR="009B1BC9" w:rsidRPr="00827818">
        <w:rPr>
          <w:rFonts w:ascii="Times New Roman" w:hAnsi="Times New Roman" w:cs="Times New Roman"/>
          <w:sz w:val="24"/>
          <w:szCs w:val="24"/>
          <w:lang w:val="sr-Cyrl-CS"/>
        </w:rPr>
        <w:t>; Базна година: „2022</w:t>
      </w:r>
      <w:r w:rsidR="00E65243" w:rsidRPr="00827818">
        <w:rPr>
          <w:rFonts w:ascii="Times New Roman" w:hAnsi="Times New Roman" w:cs="Times New Roman"/>
          <w:sz w:val="24"/>
          <w:szCs w:val="24"/>
          <w:lang w:val="sr-Cyrl-CS"/>
        </w:rPr>
        <w:t>ˮ</w:t>
      </w:r>
      <w:r w:rsidR="00612724" w:rsidRPr="00827818">
        <w:rPr>
          <w:rFonts w:ascii="Times New Roman" w:hAnsi="Times New Roman" w:cs="Times New Roman"/>
          <w:sz w:val="24"/>
          <w:szCs w:val="24"/>
          <w:lang w:val="sr-Cyrl-CS"/>
        </w:rPr>
        <w:t>;</w:t>
      </w:r>
      <w:r w:rsidR="009B1BC9" w:rsidRPr="00827818">
        <w:rPr>
          <w:rFonts w:ascii="Times New Roman" w:hAnsi="Times New Roman" w:cs="Times New Roman"/>
          <w:sz w:val="24"/>
          <w:szCs w:val="24"/>
          <w:lang w:val="sr-Cyrl-CS"/>
        </w:rPr>
        <w:t xml:space="preserve"> </w:t>
      </w:r>
      <w:r w:rsidR="009F0D43" w:rsidRPr="00827818">
        <w:rPr>
          <w:rFonts w:ascii="Times New Roman" w:hAnsi="Times New Roman" w:cs="Times New Roman"/>
          <w:sz w:val="24"/>
          <w:szCs w:val="24"/>
          <w:lang w:val="sr-Cyrl-CS"/>
        </w:rPr>
        <w:t>Ц</w:t>
      </w:r>
      <w:r w:rsidR="00612724" w:rsidRPr="00827818">
        <w:rPr>
          <w:rFonts w:ascii="Times New Roman" w:hAnsi="Times New Roman" w:cs="Times New Roman"/>
          <w:sz w:val="24"/>
          <w:szCs w:val="24"/>
          <w:lang w:val="sr-Cyrl-CS"/>
        </w:rPr>
        <w:t>и</w:t>
      </w:r>
      <w:r w:rsidR="00A055F9" w:rsidRPr="00827818">
        <w:rPr>
          <w:rFonts w:ascii="Times New Roman" w:hAnsi="Times New Roman" w:cs="Times New Roman"/>
          <w:sz w:val="24"/>
          <w:szCs w:val="24"/>
          <w:lang w:val="sr-Cyrl-CS"/>
        </w:rPr>
        <w:t xml:space="preserve">љана вредност за 2021: </w:t>
      </w:r>
      <w:r w:rsidR="005A3B6E" w:rsidRPr="00827818">
        <w:rPr>
          <w:rFonts w:ascii="Times New Roman" w:hAnsi="Times New Roman" w:cs="Times New Roman"/>
          <w:sz w:val="24"/>
          <w:szCs w:val="24"/>
          <w:lang w:val="sr-Cyrl-CS"/>
        </w:rPr>
        <w:t>„-</w:t>
      </w:r>
      <w:r w:rsidR="00E65243" w:rsidRPr="00827818">
        <w:rPr>
          <w:rFonts w:ascii="Times New Roman" w:hAnsi="Times New Roman" w:cs="Times New Roman"/>
          <w:sz w:val="24"/>
          <w:szCs w:val="24"/>
          <w:lang w:val="sr-Cyrl-CS"/>
        </w:rPr>
        <w:t>ˮ</w:t>
      </w:r>
      <w:r w:rsidR="009F0D43" w:rsidRPr="00827818">
        <w:rPr>
          <w:rFonts w:ascii="Times New Roman" w:hAnsi="Times New Roman" w:cs="Times New Roman"/>
          <w:sz w:val="24"/>
          <w:szCs w:val="24"/>
          <w:lang w:val="sr-Cyrl-CS"/>
        </w:rPr>
        <w:t>; Циљана</w:t>
      </w:r>
      <w:r w:rsidR="00612724" w:rsidRPr="00827818">
        <w:rPr>
          <w:rFonts w:ascii="Times New Roman" w:hAnsi="Times New Roman" w:cs="Times New Roman"/>
          <w:sz w:val="24"/>
          <w:szCs w:val="24"/>
          <w:lang w:val="sr-Cyrl-CS"/>
        </w:rPr>
        <w:t xml:space="preserve"> вр</w:t>
      </w:r>
      <w:r w:rsidR="009F0D43" w:rsidRPr="00827818">
        <w:rPr>
          <w:rFonts w:ascii="Times New Roman" w:hAnsi="Times New Roman" w:cs="Times New Roman"/>
          <w:sz w:val="24"/>
          <w:szCs w:val="24"/>
          <w:lang w:val="sr-Cyrl-CS"/>
        </w:rPr>
        <w:t xml:space="preserve">едност </w:t>
      </w:r>
      <w:r w:rsidR="00612724" w:rsidRPr="00827818">
        <w:rPr>
          <w:rFonts w:ascii="Times New Roman" w:hAnsi="Times New Roman" w:cs="Times New Roman"/>
          <w:sz w:val="24"/>
          <w:szCs w:val="24"/>
          <w:lang w:val="sr-Cyrl-CS"/>
        </w:rPr>
        <w:t>за 2022</w:t>
      </w:r>
      <w:r w:rsidR="005A3B6E" w:rsidRPr="00827818">
        <w:rPr>
          <w:rFonts w:ascii="Times New Roman" w:hAnsi="Times New Roman" w:cs="Times New Roman"/>
          <w:sz w:val="24"/>
          <w:szCs w:val="24"/>
          <w:lang w:val="sr-Cyrl-CS"/>
        </w:rPr>
        <w:t xml:space="preserve"> „-</w:t>
      </w:r>
      <w:r w:rsidR="00E65243" w:rsidRPr="00827818">
        <w:rPr>
          <w:rFonts w:ascii="Times New Roman" w:hAnsi="Times New Roman" w:cs="Times New Roman"/>
          <w:sz w:val="24"/>
          <w:szCs w:val="24"/>
          <w:lang w:val="sr-Cyrl-CS"/>
        </w:rPr>
        <w:t>ˮ</w:t>
      </w:r>
      <w:r w:rsidR="009F0D43" w:rsidRPr="00827818">
        <w:rPr>
          <w:rFonts w:ascii="Times New Roman" w:hAnsi="Times New Roman" w:cs="Times New Roman"/>
          <w:sz w:val="24"/>
          <w:szCs w:val="24"/>
          <w:lang w:val="sr-Cyrl-CS"/>
        </w:rPr>
        <w:t>; Ц</w:t>
      </w:r>
      <w:r w:rsidR="00612724" w:rsidRPr="00827818">
        <w:rPr>
          <w:rFonts w:ascii="Times New Roman" w:hAnsi="Times New Roman" w:cs="Times New Roman"/>
          <w:sz w:val="24"/>
          <w:szCs w:val="24"/>
          <w:lang w:val="sr-Cyrl-CS"/>
        </w:rPr>
        <w:t xml:space="preserve">иљане вредност за 2023: </w:t>
      </w:r>
      <w:r w:rsidR="005A3B6E" w:rsidRPr="00827818">
        <w:rPr>
          <w:rFonts w:ascii="Times New Roman" w:hAnsi="Times New Roman" w:cs="Times New Roman"/>
          <w:sz w:val="24"/>
          <w:szCs w:val="24"/>
          <w:lang w:val="sr-Cyrl-CS"/>
        </w:rPr>
        <w:t>„-</w:t>
      </w:r>
      <w:r w:rsidR="00E65243" w:rsidRPr="00827818">
        <w:rPr>
          <w:rFonts w:ascii="Times New Roman" w:hAnsi="Times New Roman" w:cs="Times New Roman"/>
          <w:sz w:val="24"/>
          <w:szCs w:val="24"/>
          <w:lang w:val="sr-Cyrl-CS"/>
        </w:rPr>
        <w:t>ˮ</w:t>
      </w:r>
      <w:r w:rsidR="00612724" w:rsidRPr="00827818">
        <w:rPr>
          <w:rFonts w:ascii="Times New Roman" w:hAnsi="Times New Roman" w:cs="Times New Roman"/>
          <w:sz w:val="24"/>
          <w:szCs w:val="24"/>
          <w:lang w:val="sr-Cyrl-CS"/>
        </w:rPr>
        <w:t xml:space="preserve">; </w:t>
      </w:r>
      <w:r w:rsidR="009F0D43" w:rsidRPr="00827818">
        <w:rPr>
          <w:rFonts w:ascii="Times New Roman" w:hAnsi="Times New Roman" w:cs="Times New Roman"/>
          <w:sz w:val="24"/>
          <w:szCs w:val="24"/>
          <w:lang w:val="sr-Cyrl-CS"/>
        </w:rPr>
        <w:t>Ц</w:t>
      </w:r>
      <w:r w:rsidR="00612724" w:rsidRPr="00827818">
        <w:rPr>
          <w:rFonts w:ascii="Times New Roman" w:hAnsi="Times New Roman" w:cs="Times New Roman"/>
          <w:sz w:val="24"/>
          <w:szCs w:val="24"/>
          <w:lang w:val="sr-Cyrl-CS"/>
        </w:rPr>
        <w:t>и</w:t>
      </w:r>
      <w:r w:rsidR="009F0D43" w:rsidRPr="00827818">
        <w:rPr>
          <w:rFonts w:ascii="Times New Roman" w:hAnsi="Times New Roman" w:cs="Times New Roman"/>
          <w:sz w:val="24"/>
          <w:szCs w:val="24"/>
          <w:lang w:val="sr-Cyrl-CS"/>
        </w:rPr>
        <w:t xml:space="preserve">љана вредност </w:t>
      </w:r>
      <w:r w:rsidR="00612724" w:rsidRPr="00827818">
        <w:rPr>
          <w:rFonts w:ascii="Times New Roman" w:hAnsi="Times New Roman" w:cs="Times New Roman"/>
          <w:sz w:val="24"/>
          <w:szCs w:val="24"/>
          <w:lang w:val="sr-Cyrl-CS"/>
        </w:rPr>
        <w:t>за 2024: „1</w:t>
      </w:r>
      <w:r w:rsidR="00E65243" w:rsidRPr="00827818">
        <w:rPr>
          <w:rFonts w:ascii="Times New Roman" w:hAnsi="Times New Roman" w:cs="Times New Roman"/>
          <w:sz w:val="24"/>
          <w:szCs w:val="24"/>
          <w:lang w:val="sr-Cyrl-CS"/>
        </w:rPr>
        <w:t>ˮ</w:t>
      </w:r>
      <w:r w:rsidR="00A055F9" w:rsidRPr="00827818">
        <w:rPr>
          <w:rFonts w:ascii="Times New Roman" w:hAnsi="Times New Roman" w:cs="Times New Roman"/>
          <w:sz w:val="24"/>
          <w:szCs w:val="24"/>
          <w:lang w:val="sr-Cyrl-CS"/>
        </w:rPr>
        <w:t xml:space="preserve"> и</w:t>
      </w:r>
      <w:r w:rsidR="009F0D43" w:rsidRPr="00827818">
        <w:rPr>
          <w:rFonts w:ascii="Times New Roman" w:hAnsi="Times New Roman" w:cs="Times New Roman"/>
          <w:sz w:val="24"/>
          <w:szCs w:val="24"/>
          <w:lang w:val="sr-Cyrl-CS"/>
        </w:rPr>
        <w:t xml:space="preserve"> Циљана</w:t>
      </w:r>
      <w:r w:rsidR="00612724" w:rsidRPr="00827818">
        <w:rPr>
          <w:rFonts w:ascii="Times New Roman" w:hAnsi="Times New Roman" w:cs="Times New Roman"/>
          <w:sz w:val="24"/>
          <w:szCs w:val="24"/>
          <w:lang w:val="sr-Cyrl-CS"/>
        </w:rPr>
        <w:t xml:space="preserve"> вред</w:t>
      </w:r>
      <w:r w:rsidR="009F0D43" w:rsidRPr="00827818">
        <w:rPr>
          <w:rFonts w:ascii="Times New Roman" w:hAnsi="Times New Roman" w:cs="Times New Roman"/>
          <w:sz w:val="24"/>
          <w:szCs w:val="24"/>
          <w:lang w:val="sr-Cyrl-CS"/>
        </w:rPr>
        <w:t>ност</w:t>
      </w:r>
      <w:r w:rsidR="00612724" w:rsidRPr="00827818">
        <w:rPr>
          <w:rFonts w:ascii="Times New Roman" w:hAnsi="Times New Roman" w:cs="Times New Roman"/>
          <w:sz w:val="24"/>
          <w:szCs w:val="24"/>
          <w:lang w:val="sr-Cyrl-CS"/>
        </w:rPr>
        <w:t xml:space="preserve"> за 2025: „1</w:t>
      </w:r>
      <w:r w:rsidR="00E65243" w:rsidRPr="00827818">
        <w:rPr>
          <w:rFonts w:ascii="Times New Roman" w:hAnsi="Times New Roman" w:cs="Times New Roman"/>
          <w:sz w:val="24"/>
          <w:szCs w:val="24"/>
          <w:lang w:val="sr-Cyrl-CS"/>
        </w:rPr>
        <w:t>ˮ</w:t>
      </w:r>
      <w:r w:rsidR="00612724" w:rsidRPr="00827818">
        <w:rPr>
          <w:rFonts w:ascii="Times New Roman" w:hAnsi="Times New Roman" w:cs="Times New Roman"/>
          <w:sz w:val="24"/>
          <w:szCs w:val="24"/>
          <w:lang w:val="sr-Cyrl-CS"/>
        </w:rPr>
        <w:t>.</w:t>
      </w:r>
      <w:r w:rsidR="005E5FB4" w:rsidRPr="00827818">
        <w:rPr>
          <w:rFonts w:ascii="Times New Roman" w:hAnsi="Times New Roman" w:cs="Times New Roman"/>
          <w:sz w:val="24"/>
          <w:szCs w:val="24"/>
          <w:lang w:val="sr-Cyrl-CS"/>
        </w:rPr>
        <w:t xml:space="preserve"> </w:t>
      </w:r>
    </w:p>
    <w:p w:rsidR="00DE6AB5" w:rsidRPr="00827818" w:rsidRDefault="005E5FB4" w:rsidP="007D3489">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У оквиру активности 2.5.1 Надоградња Портала јавних набавки новим функционалностима, у колони укупна процењена финансијска средства по изворима у 000 дин:  у делу „Буџет РС</w:t>
      </w:r>
      <w:r w:rsidR="00264184" w:rsidRPr="00827818">
        <w:rPr>
          <w:rFonts w:ascii="Times New Roman" w:hAnsi="Times New Roman" w:cs="Times New Roman"/>
          <w:sz w:val="24"/>
          <w:szCs w:val="24"/>
          <w:lang w:val="sr-Cyrl-CS"/>
        </w:rPr>
        <w:t>”</w:t>
      </w:r>
      <w:r w:rsidR="0008757A" w:rsidRPr="00827818">
        <w:rPr>
          <w:rFonts w:ascii="Times New Roman" w:hAnsi="Times New Roman" w:cs="Times New Roman"/>
          <w:sz w:val="24"/>
          <w:szCs w:val="24"/>
          <w:lang w:val="sr-Cyrl-CS"/>
        </w:rPr>
        <w:t xml:space="preserve"> - за 2022.</w:t>
      </w:r>
      <w:r w:rsidR="00DB27C7" w:rsidRPr="00827818">
        <w:rPr>
          <w:rFonts w:ascii="Times New Roman" w:hAnsi="Times New Roman" w:cs="Times New Roman"/>
          <w:sz w:val="24"/>
          <w:szCs w:val="24"/>
          <w:lang w:val="sr-Cyrl-CS"/>
        </w:rPr>
        <w:t xml:space="preserve"> брише се</w:t>
      </w:r>
      <w:r w:rsidR="00657C17">
        <w:rPr>
          <w:rFonts w:ascii="Times New Roman" w:hAnsi="Times New Roman" w:cs="Times New Roman"/>
          <w:sz w:val="24"/>
          <w:szCs w:val="24"/>
          <w:lang w:val="sr-Cyrl-CS"/>
        </w:rPr>
        <w:t>:</w:t>
      </w:r>
      <w:r w:rsidRPr="00827818">
        <w:rPr>
          <w:rFonts w:ascii="Times New Roman" w:hAnsi="Times New Roman" w:cs="Times New Roman"/>
          <w:sz w:val="24"/>
          <w:szCs w:val="24"/>
          <w:lang w:val="sr-Cyrl-CS"/>
        </w:rPr>
        <w:t xml:space="preserve"> „</w:t>
      </w:r>
      <w:r w:rsidR="00DB27C7" w:rsidRPr="00827818">
        <w:rPr>
          <w:rFonts w:ascii="Times New Roman" w:hAnsi="Times New Roman" w:cs="Times New Roman"/>
          <w:sz w:val="24"/>
          <w:szCs w:val="24"/>
          <w:lang w:val="sr-Cyrl-CS"/>
        </w:rPr>
        <w:t>3.6</w:t>
      </w:r>
      <w:r w:rsidRPr="00827818">
        <w:rPr>
          <w:rFonts w:ascii="Times New Roman" w:hAnsi="Times New Roman" w:cs="Times New Roman"/>
          <w:sz w:val="24"/>
          <w:szCs w:val="24"/>
          <w:lang w:val="sr-Cyrl-CS"/>
        </w:rPr>
        <w:t>00*ˮ</w:t>
      </w:r>
      <w:r w:rsidR="00264184" w:rsidRPr="00827818">
        <w:rPr>
          <w:rFonts w:ascii="Times New Roman" w:hAnsi="Times New Roman" w:cs="Times New Roman"/>
          <w:sz w:val="24"/>
          <w:szCs w:val="24"/>
          <w:lang w:val="sr-Cyrl-CS"/>
        </w:rPr>
        <w:t xml:space="preserve"> и додаје се</w:t>
      </w:r>
      <w:r w:rsidR="00657C17">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w:t>
      </w:r>
      <w:r w:rsidR="00264184" w:rsidRPr="00827818">
        <w:rPr>
          <w:rFonts w:ascii="Times New Roman" w:hAnsi="Times New Roman" w:cs="Times New Roman"/>
          <w:bCs/>
          <w:sz w:val="24"/>
          <w:szCs w:val="24"/>
          <w:lang w:val="sr-Cyrl-CS"/>
        </w:rPr>
        <w:t>”</w:t>
      </w:r>
      <w:r w:rsidRPr="00827818">
        <w:rPr>
          <w:rFonts w:ascii="Times New Roman" w:hAnsi="Times New Roman" w:cs="Times New Roman"/>
          <w:sz w:val="24"/>
          <w:szCs w:val="24"/>
          <w:lang w:val="sr-Cyrl-CS"/>
        </w:rPr>
        <w:t xml:space="preserve">; </w:t>
      </w:r>
      <w:r w:rsidR="0008757A" w:rsidRPr="00827818">
        <w:rPr>
          <w:rFonts w:ascii="Times New Roman" w:hAnsi="Times New Roman" w:cs="Times New Roman"/>
          <w:sz w:val="24"/>
          <w:szCs w:val="24"/>
          <w:lang w:val="sr-Cyrl-CS"/>
        </w:rPr>
        <w:t>за 2023</w:t>
      </w:r>
      <w:r w:rsidR="00264184" w:rsidRPr="00827818">
        <w:rPr>
          <w:rFonts w:ascii="Times New Roman" w:hAnsi="Times New Roman" w:cs="Times New Roman"/>
          <w:sz w:val="24"/>
          <w:szCs w:val="24"/>
          <w:lang w:val="sr-Cyrl-CS"/>
        </w:rPr>
        <w:t>.</w:t>
      </w:r>
      <w:r w:rsidRPr="00827818">
        <w:rPr>
          <w:rFonts w:ascii="Times New Roman" w:hAnsi="Times New Roman" w:cs="Times New Roman"/>
          <w:sz w:val="24"/>
          <w:szCs w:val="24"/>
          <w:lang w:val="sr-Cyrl-CS"/>
        </w:rPr>
        <w:t xml:space="preserve"> </w:t>
      </w:r>
      <w:r w:rsidR="00DB27C7" w:rsidRPr="00827818">
        <w:rPr>
          <w:rFonts w:ascii="Times New Roman" w:hAnsi="Times New Roman" w:cs="Times New Roman"/>
          <w:sz w:val="24"/>
          <w:szCs w:val="24"/>
          <w:lang w:val="sr-Cyrl-CS"/>
        </w:rPr>
        <w:t>брише се</w:t>
      </w:r>
      <w:r w:rsidR="00657C17">
        <w:rPr>
          <w:rFonts w:ascii="Times New Roman" w:hAnsi="Times New Roman" w:cs="Times New Roman"/>
          <w:sz w:val="24"/>
          <w:szCs w:val="24"/>
          <w:lang w:val="sr-Cyrl-CS"/>
        </w:rPr>
        <w:t>:</w:t>
      </w:r>
      <w:r w:rsidR="00DB27C7" w:rsidRPr="00827818">
        <w:rPr>
          <w:rFonts w:ascii="Times New Roman" w:hAnsi="Times New Roman" w:cs="Times New Roman"/>
          <w:sz w:val="24"/>
          <w:szCs w:val="24"/>
          <w:lang w:val="sr-Cyrl-CS"/>
        </w:rPr>
        <w:t xml:space="preserve">  </w:t>
      </w:r>
      <w:r w:rsidR="00DB27C7" w:rsidRPr="00827818">
        <w:rPr>
          <w:rFonts w:ascii="Times New Roman" w:hAnsi="Times New Roman" w:cs="Times New Roman"/>
          <w:sz w:val="24"/>
          <w:szCs w:val="24"/>
          <w:lang w:val="sr-Cyrl-CS"/>
        </w:rPr>
        <w:lastRenderedPageBreak/>
        <w:t>„3.6</w:t>
      </w:r>
      <w:r w:rsidRPr="00827818">
        <w:rPr>
          <w:rFonts w:ascii="Times New Roman" w:hAnsi="Times New Roman" w:cs="Times New Roman"/>
          <w:sz w:val="24"/>
          <w:szCs w:val="24"/>
          <w:lang w:val="sr-Cyrl-CS"/>
        </w:rPr>
        <w:t>00*ˮ</w:t>
      </w:r>
      <w:r w:rsidR="00264184" w:rsidRPr="00827818">
        <w:rPr>
          <w:rFonts w:ascii="Times New Roman" w:hAnsi="Times New Roman" w:cs="Times New Roman"/>
          <w:sz w:val="24"/>
          <w:szCs w:val="24"/>
          <w:lang w:val="sr-Cyrl-CS"/>
        </w:rPr>
        <w:t xml:space="preserve"> и додаје се</w:t>
      </w:r>
      <w:r w:rsidR="00657C17">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w:t>
      </w:r>
      <w:r w:rsidR="00264184" w:rsidRPr="00827818">
        <w:rPr>
          <w:rFonts w:ascii="Times New Roman" w:hAnsi="Times New Roman" w:cs="Times New Roman"/>
          <w:bCs/>
          <w:sz w:val="24"/>
          <w:szCs w:val="24"/>
          <w:lang w:val="sr-Cyrl-CS"/>
        </w:rPr>
        <w:t>”</w:t>
      </w:r>
      <w:r w:rsidR="0008757A" w:rsidRPr="00827818">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за 2024.</w:t>
      </w:r>
      <w:r w:rsidRPr="00827818">
        <w:rPr>
          <w:rFonts w:ascii="Times New Roman" w:hAnsi="Times New Roman" w:cs="Times New Roman"/>
          <w:sz w:val="24"/>
          <w:szCs w:val="24"/>
          <w:lang w:val="sr-Cyrl-CS"/>
        </w:rPr>
        <w:t xml:space="preserve"> </w:t>
      </w:r>
      <w:r w:rsidR="00DB27C7" w:rsidRPr="00827818">
        <w:rPr>
          <w:rFonts w:ascii="Times New Roman" w:hAnsi="Times New Roman" w:cs="Times New Roman"/>
          <w:sz w:val="24"/>
          <w:szCs w:val="24"/>
          <w:lang w:val="sr-Cyrl-CS"/>
        </w:rPr>
        <w:t>брише се</w:t>
      </w:r>
      <w:r w:rsidR="00657C17">
        <w:rPr>
          <w:rFonts w:ascii="Times New Roman" w:hAnsi="Times New Roman" w:cs="Times New Roman"/>
          <w:sz w:val="24"/>
          <w:szCs w:val="24"/>
          <w:lang w:val="sr-Cyrl-CS"/>
        </w:rPr>
        <w:t>:</w:t>
      </w:r>
      <w:r w:rsidR="00DB27C7" w:rsidRPr="00827818">
        <w:rPr>
          <w:rFonts w:ascii="Times New Roman" w:hAnsi="Times New Roman" w:cs="Times New Roman"/>
          <w:sz w:val="24"/>
          <w:szCs w:val="24"/>
          <w:lang w:val="sr-Cyrl-CS"/>
        </w:rPr>
        <w:t xml:space="preserve"> „3.6</w:t>
      </w:r>
      <w:r w:rsidRPr="00827818">
        <w:rPr>
          <w:rFonts w:ascii="Times New Roman" w:hAnsi="Times New Roman" w:cs="Times New Roman"/>
          <w:sz w:val="24"/>
          <w:szCs w:val="24"/>
          <w:lang w:val="sr-Cyrl-CS"/>
        </w:rPr>
        <w:t>00*ˮ</w:t>
      </w:r>
      <w:r w:rsidR="00264184" w:rsidRPr="00827818">
        <w:rPr>
          <w:rFonts w:ascii="Times New Roman" w:hAnsi="Times New Roman" w:cs="Times New Roman"/>
          <w:sz w:val="24"/>
          <w:szCs w:val="24"/>
          <w:lang w:val="sr-Cyrl-CS"/>
        </w:rPr>
        <w:t xml:space="preserve"> и додаје се</w:t>
      </w:r>
      <w:r w:rsidR="00657C17">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w:t>
      </w:r>
      <w:r w:rsidR="00264184" w:rsidRPr="00827818">
        <w:rPr>
          <w:rFonts w:ascii="Times New Roman" w:hAnsi="Times New Roman" w:cs="Times New Roman"/>
          <w:bCs/>
          <w:sz w:val="24"/>
          <w:szCs w:val="24"/>
          <w:lang w:val="sr-Cyrl-CS"/>
        </w:rPr>
        <w:t>”</w:t>
      </w:r>
      <w:r w:rsidR="0008757A" w:rsidRPr="00827818">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за 2025.</w:t>
      </w:r>
      <w:r w:rsidRPr="00827818">
        <w:rPr>
          <w:rFonts w:ascii="Times New Roman" w:hAnsi="Times New Roman" w:cs="Times New Roman"/>
          <w:sz w:val="24"/>
          <w:szCs w:val="24"/>
          <w:lang w:val="sr-Cyrl-CS"/>
        </w:rPr>
        <w:t xml:space="preserve"> </w:t>
      </w:r>
      <w:r w:rsidR="00DB27C7" w:rsidRPr="00827818">
        <w:rPr>
          <w:rFonts w:ascii="Times New Roman" w:hAnsi="Times New Roman" w:cs="Times New Roman"/>
          <w:sz w:val="24"/>
          <w:szCs w:val="24"/>
          <w:lang w:val="sr-Cyrl-CS"/>
        </w:rPr>
        <w:t>брише се</w:t>
      </w:r>
      <w:r w:rsidR="00657C17">
        <w:rPr>
          <w:rFonts w:ascii="Times New Roman" w:hAnsi="Times New Roman" w:cs="Times New Roman"/>
          <w:sz w:val="24"/>
          <w:szCs w:val="24"/>
          <w:lang w:val="sr-Cyrl-CS"/>
        </w:rPr>
        <w:t>:</w:t>
      </w:r>
      <w:r w:rsidR="00DB27C7"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w:t>
      </w:r>
      <w:r w:rsidR="00DB27C7" w:rsidRPr="00827818">
        <w:rPr>
          <w:rFonts w:ascii="Times New Roman" w:hAnsi="Times New Roman" w:cs="Times New Roman"/>
          <w:sz w:val="24"/>
          <w:szCs w:val="24"/>
          <w:lang w:val="sr-Cyrl-CS"/>
        </w:rPr>
        <w:t>3.6</w:t>
      </w:r>
      <w:r w:rsidRPr="00827818">
        <w:rPr>
          <w:rFonts w:ascii="Times New Roman" w:hAnsi="Times New Roman" w:cs="Times New Roman"/>
          <w:sz w:val="24"/>
          <w:szCs w:val="24"/>
          <w:lang w:val="sr-Cyrl-CS"/>
        </w:rPr>
        <w:t>00*ˮ</w:t>
      </w:r>
      <w:r w:rsidR="00264184" w:rsidRPr="00827818">
        <w:rPr>
          <w:rFonts w:ascii="Times New Roman" w:hAnsi="Times New Roman" w:cs="Times New Roman"/>
          <w:sz w:val="24"/>
          <w:szCs w:val="24"/>
          <w:lang w:val="sr-Cyrl-CS"/>
        </w:rPr>
        <w:t xml:space="preserve"> и додаје се</w:t>
      </w:r>
      <w:r w:rsidR="00657C17">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w:t>
      </w:r>
      <w:r w:rsidR="00264184" w:rsidRPr="00827818">
        <w:rPr>
          <w:rFonts w:ascii="Times New Roman" w:hAnsi="Times New Roman" w:cs="Times New Roman"/>
          <w:bCs/>
          <w:sz w:val="24"/>
          <w:szCs w:val="24"/>
          <w:lang w:val="sr-Cyrl-CS"/>
        </w:rPr>
        <w:t>”</w:t>
      </w:r>
      <w:r w:rsidR="00DB27C7" w:rsidRPr="00827818">
        <w:rPr>
          <w:rFonts w:ascii="Times New Roman" w:hAnsi="Times New Roman" w:cs="Times New Roman"/>
          <w:sz w:val="24"/>
          <w:szCs w:val="24"/>
          <w:lang w:val="sr-Cyrl-CS"/>
        </w:rPr>
        <w:t>. У делу „Међународна помоћ - ИПА 2013 (ГИЗ) „Подршка даљем унапређењу система јавних набавки у Србиј</w:t>
      </w:r>
      <w:r w:rsidR="00264184" w:rsidRPr="00827818">
        <w:rPr>
          <w:rFonts w:ascii="Times New Roman" w:hAnsi="Times New Roman" w:cs="Times New Roman"/>
          <w:sz w:val="24"/>
          <w:szCs w:val="24"/>
          <w:lang w:val="sr-Cyrl-CS"/>
        </w:rPr>
        <w:t>и”, донаторска помоћ”</w:t>
      </w:r>
      <w:r w:rsidR="0008757A" w:rsidRPr="00827818">
        <w:rPr>
          <w:rFonts w:ascii="Times New Roman" w:hAnsi="Times New Roman" w:cs="Times New Roman"/>
          <w:sz w:val="24"/>
          <w:szCs w:val="24"/>
          <w:lang w:val="sr-Cyrl-CS"/>
        </w:rPr>
        <w:t xml:space="preserve"> – за 2022.</w:t>
      </w:r>
      <w:r w:rsidR="00DB27C7" w:rsidRPr="00827818">
        <w:rPr>
          <w:rFonts w:ascii="Times New Roman" w:hAnsi="Times New Roman" w:cs="Times New Roman"/>
          <w:sz w:val="24"/>
          <w:szCs w:val="24"/>
          <w:lang w:val="sr-Cyrl-CS"/>
        </w:rPr>
        <w:t xml:space="preserve"> брише се</w:t>
      </w:r>
      <w:r w:rsidR="00657C17">
        <w:rPr>
          <w:rFonts w:ascii="Times New Roman" w:hAnsi="Times New Roman" w:cs="Times New Roman"/>
          <w:sz w:val="24"/>
          <w:szCs w:val="24"/>
          <w:lang w:val="sr-Cyrl-CS"/>
        </w:rPr>
        <w:t>:</w:t>
      </w:r>
      <w:r w:rsidR="00DB27C7" w:rsidRPr="00827818">
        <w:rPr>
          <w:rFonts w:ascii="Times New Roman" w:hAnsi="Times New Roman" w:cs="Times New Roman"/>
          <w:sz w:val="24"/>
          <w:szCs w:val="24"/>
          <w:lang w:val="sr-Cyrl-CS"/>
        </w:rPr>
        <w:t xml:space="preserve"> „36.000*ˮ</w:t>
      </w:r>
      <w:r w:rsidR="00264184" w:rsidRPr="00827818">
        <w:rPr>
          <w:rFonts w:ascii="Times New Roman" w:hAnsi="Times New Roman" w:cs="Times New Roman"/>
          <w:sz w:val="24"/>
          <w:szCs w:val="24"/>
          <w:lang w:val="sr-Cyrl-CS"/>
        </w:rPr>
        <w:t xml:space="preserve"> и додаје се</w:t>
      </w:r>
      <w:r w:rsidR="00657C17">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„1.920</w:t>
      </w:r>
      <w:r w:rsidR="00264184" w:rsidRPr="00827818">
        <w:rPr>
          <w:rFonts w:ascii="Times New Roman" w:hAnsi="Times New Roman" w:cs="Times New Roman"/>
          <w:bCs/>
          <w:sz w:val="24"/>
          <w:szCs w:val="24"/>
          <w:lang w:val="sr-Cyrl-CS"/>
        </w:rPr>
        <w:t>”</w:t>
      </w:r>
      <w:r w:rsidR="0008757A" w:rsidRPr="00827818">
        <w:rPr>
          <w:rFonts w:ascii="Times New Roman" w:hAnsi="Times New Roman" w:cs="Times New Roman"/>
          <w:sz w:val="24"/>
          <w:szCs w:val="24"/>
          <w:lang w:val="sr-Cyrl-CS"/>
        </w:rPr>
        <w:t>; за 2023.</w:t>
      </w:r>
      <w:r w:rsidR="00DB27C7" w:rsidRPr="00827818">
        <w:rPr>
          <w:rFonts w:ascii="Times New Roman" w:hAnsi="Times New Roman" w:cs="Times New Roman"/>
          <w:sz w:val="24"/>
          <w:szCs w:val="24"/>
          <w:lang w:val="sr-Cyrl-CS"/>
        </w:rPr>
        <w:t xml:space="preserve"> брише се</w:t>
      </w:r>
      <w:r w:rsidR="00657C17">
        <w:rPr>
          <w:rFonts w:ascii="Times New Roman" w:hAnsi="Times New Roman" w:cs="Times New Roman"/>
          <w:sz w:val="24"/>
          <w:szCs w:val="24"/>
          <w:lang w:val="sr-Cyrl-CS"/>
        </w:rPr>
        <w:t>:</w:t>
      </w:r>
      <w:r w:rsidR="00DB27C7" w:rsidRPr="00827818">
        <w:rPr>
          <w:rFonts w:ascii="Times New Roman" w:hAnsi="Times New Roman" w:cs="Times New Roman"/>
          <w:sz w:val="24"/>
          <w:szCs w:val="24"/>
          <w:lang w:val="sr-Cyrl-CS"/>
        </w:rPr>
        <w:t xml:space="preserve"> „36.000*ˮ</w:t>
      </w:r>
      <w:r w:rsidR="00A055F9" w:rsidRPr="00827818">
        <w:rPr>
          <w:rFonts w:ascii="Times New Roman" w:hAnsi="Times New Roman" w:cs="Times New Roman"/>
          <w:sz w:val="24"/>
          <w:szCs w:val="24"/>
          <w:lang w:val="sr-Cyrl-CS"/>
        </w:rPr>
        <w:t xml:space="preserve"> </w:t>
      </w:r>
      <w:r w:rsidR="00264184" w:rsidRPr="00827818">
        <w:rPr>
          <w:rFonts w:ascii="Times New Roman" w:hAnsi="Times New Roman" w:cs="Times New Roman"/>
          <w:sz w:val="24"/>
          <w:szCs w:val="24"/>
          <w:lang w:val="sr-Cyrl-CS"/>
        </w:rPr>
        <w:t>и додаје се</w:t>
      </w:r>
      <w:r w:rsidR="00657C17">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„1.920</w:t>
      </w:r>
      <w:r w:rsidR="00264184" w:rsidRPr="00827818">
        <w:rPr>
          <w:rFonts w:ascii="Times New Roman" w:hAnsi="Times New Roman" w:cs="Times New Roman"/>
          <w:bCs/>
          <w:sz w:val="24"/>
          <w:szCs w:val="24"/>
          <w:lang w:val="sr-Cyrl-CS"/>
        </w:rPr>
        <w:t>”</w:t>
      </w:r>
      <w:r w:rsidR="0008757A" w:rsidRPr="00827818">
        <w:rPr>
          <w:rFonts w:ascii="Times New Roman" w:hAnsi="Times New Roman" w:cs="Times New Roman"/>
          <w:sz w:val="24"/>
          <w:szCs w:val="24"/>
          <w:lang w:val="sr-Cyrl-CS"/>
        </w:rPr>
        <w:t>; за 2024.</w:t>
      </w:r>
      <w:r w:rsidR="00DB27C7" w:rsidRPr="00827818">
        <w:rPr>
          <w:rFonts w:ascii="Times New Roman" w:hAnsi="Times New Roman" w:cs="Times New Roman"/>
          <w:sz w:val="24"/>
          <w:szCs w:val="24"/>
          <w:lang w:val="sr-Cyrl-CS"/>
        </w:rPr>
        <w:t xml:space="preserve"> брише се</w:t>
      </w:r>
      <w:r w:rsidR="00657C17">
        <w:rPr>
          <w:rFonts w:ascii="Times New Roman" w:hAnsi="Times New Roman" w:cs="Times New Roman"/>
          <w:sz w:val="24"/>
          <w:szCs w:val="24"/>
          <w:lang w:val="sr-Cyrl-CS"/>
        </w:rPr>
        <w:t>:</w:t>
      </w:r>
      <w:r w:rsidR="00DB27C7" w:rsidRPr="00827818">
        <w:rPr>
          <w:rFonts w:ascii="Times New Roman" w:hAnsi="Times New Roman" w:cs="Times New Roman"/>
          <w:sz w:val="24"/>
          <w:szCs w:val="24"/>
          <w:lang w:val="sr-Cyrl-CS"/>
        </w:rPr>
        <w:t xml:space="preserve"> „36.000*ˮ</w:t>
      </w:r>
      <w:r w:rsidR="00264184" w:rsidRPr="00827818">
        <w:rPr>
          <w:rFonts w:ascii="Times New Roman" w:hAnsi="Times New Roman" w:cs="Times New Roman"/>
          <w:sz w:val="24"/>
          <w:szCs w:val="24"/>
          <w:lang w:val="sr-Cyrl-CS"/>
        </w:rPr>
        <w:t>и додаје се</w:t>
      </w:r>
      <w:r w:rsidR="00657C17">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„1.920</w:t>
      </w:r>
      <w:r w:rsidR="00264184" w:rsidRPr="00827818">
        <w:rPr>
          <w:rFonts w:ascii="Times New Roman" w:hAnsi="Times New Roman" w:cs="Times New Roman"/>
          <w:bCs/>
          <w:sz w:val="24"/>
          <w:szCs w:val="24"/>
          <w:lang w:val="sr-Cyrl-CS"/>
        </w:rPr>
        <w:t>”</w:t>
      </w:r>
      <w:r w:rsidR="0008757A" w:rsidRPr="00827818">
        <w:rPr>
          <w:rFonts w:ascii="Times New Roman" w:hAnsi="Times New Roman" w:cs="Times New Roman"/>
          <w:sz w:val="24"/>
          <w:szCs w:val="24"/>
          <w:lang w:val="sr-Cyrl-CS"/>
        </w:rPr>
        <w:t>; за 2025.</w:t>
      </w:r>
      <w:r w:rsidR="00DB27C7" w:rsidRPr="00827818">
        <w:rPr>
          <w:rFonts w:ascii="Times New Roman" w:hAnsi="Times New Roman" w:cs="Times New Roman"/>
          <w:sz w:val="24"/>
          <w:szCs w:val="24"/>
          <w:lang w:val="sr-Cyrl-CS"/>
        </w:rPr>
        <w:t xml:space="preserve"> брише се</w:t>
      </w:r>
      <w:r w:rsidR="00657C17">
        <w:rPr>
          <w:rFonts w:ascii="Times New Roman" w:hAnsi="Times New Roman" w:cs="Times New Roman"/>
          <w:sz w:val="24"/>
          <w:szCs w:val="24"/>
          <w:lang w:val="sr-Cyrl-CS"/>
        </w:rPr>
        <w:t>:</w:t>
      </w:r>
      <w:r w:rsidR="00DB27C7" w:rsidRPr="00827818">
        <w:rPr>
          <w:rFonts w:ascii="Times New Roman" w:hAnsi="Times New Roman" w:cs="Times New Roman"/>
          <w:sz w:val="24"/>
          <w:szCs w:val="24"/>
          <w:lang w:val="sr-Cyrl-CS"/>
        </w:rPr>
        <w:t xml:space="preserve"> „36.000*ˮ</w:t>
      </w:r>
      <w:r w:rsidR="00264184" w:rsidRPr="00827818">
        <w:rPr>
          <w:rFonts w:ascii="Times New Roman" w:hAnsi="Times New Roman" w:cs="Times New Roman"/>
          <w:sz w:val="24"/>
          <w:szCs w:val="24"/>
          <w:lang w:val="sr-Cyrl-CS"/>
        </w:rPr>
        <w:t xml:space="preserve"> и додаје се</w:t>
      </w:r>
      <w:r w:rsidR="00657C17">
        <w:rPr>
          <w:rFonts w:ascii="Times New Roman" w:hAnsi="Times New Roman" w:cs="Times New Roman"/>
          <w:sz w:val="24"/>
          <w:szCs w:val="24"/>
          <w:lang w:val="sr-Cyrl-CS"/>
        </w:rPr>
        <w:t>:</w:t>
      </w:r>
      <w:r w:rsidR="00264184" w:rsidRPr="00827818">
        <w:rPr>
          <w:rFonts w:ascii="Times New Roman" w:hAnsi="Times New Roman" w:cs="Times New Roman"/>
          <w:sz w:val="24"/>
          <w:szCs w:val="24"/>
          <w:lang w:val="sr-Cyrl-CS"/>
        </w:rPr>
        <w:t xml:space="preserve"> „1.920</w:t>
      </w:r>
      <w:r w:rsidR="00264184" w:rsidRPr="00827818">
        <w:rPr>
          <w:rFonts w:ascii="Times New Roman" w:hAnsi="Times New Roman" w:cs="Times New Roman"/>
          <w:bCs/>
          <w:sz w:val="24"/>
          <w:szCs w:val="24"/>
          <w:lang w:val="sr-Cyrl-CS"/>
        </w:rPr>
        <w:t>”</w:t>
      </w:r>
      <w:r w:rsidR="00DB27C7" w:rsidRPr="00827818">
        <w:rPr>
          <w:rFonts w:ascii="Times New Roman" w:hAnsi="Times New Roman" w:cs="Times New Roman"/>
          <w:sz w:val="24"/>
          <w:szCs w:val="24"/>
          <w:lang w:val="sr-Cyrl-CS"/>
        </w:rPr>
        <w:t xml:space="preserve">. </w:t>
      </w:r>
      <w:r w:rsidR="00264184" w:rsidRPr="00827818">
        <w:rPr>
          <w:rFonts w:ascii="Times New Roman" w:hAnsi="Times New Roman" w:cs="Times New Roman"/>
          <w:sz w:val="24"/>
          <w:szCs w:val="24"/>
          <w:lang w:val="sr-Cyrl-CS"/>
        </w:rPr>
        <w:t xml:space="preserve"> </w:t>
      </w:r>
    </w:p>
    <w:p w:rsidR="0099400F" w:rsidRPr="00827818" w:rsidRDefault="00F47AA2" w:rsidP="007D3489">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40</w:t>
      </w:r>
      <w:r w:rsidR="007D3489" w:rsidRPr="00827818">
        <w:rPr>
          <w:rFonts w:ascii="Times New Roman" w:hAnsi="Times New Roman" w:cs="Times New Roman"/>
          <w:sz w:val="24"/>
          <w:szCs w:val="24"/>
          <w:lang w:val="sr-Cyrl-CS"/>
        </w:rPr>
        <w:t xml:space="preserve">. </w:t>
      </w:r>
      <w:r w:rsidR="0099400F" w:rsidRPr="00827818">
        <w:rPr>
          <w:rFonts w:ascii="Times New Roman" w:hAnsi="Times New Roman" w:cs="Times New Roman"/>
          <w:sz w:val="24"/>
          <w:szCs w:val="24"/>
          <w:lang w:val="sr-Cyrl-CS"/>
        </w:rPr>
        <w:t xml:space="preserve">У оквиру Посебног </w:t>
      </w:r>
      <w:r w:rsidR="002C4655" w:rsidRPr="00827818">
        <w:rPr>
          <w:rFonts w:ascii="Times New Roman" w:hAnsi="Times New Roman" w:cs="Times New Roman"/>
          <w:sz w:val="24"/>
          <w:szCs w:val="24"/>
          <w:lang w:val="sr-Cyrl-CS"/>
        </w:rPr>
        <w:t>циља III:</w:t>
      </w:r>
      <w:r w:rsidR="005D1507" w:rsidRPr="00827818">
        <w:rPr>
          <w:rFonts w:ascii="Times New Roman" w:hAnsi="Times New Roman" w:cs="Times New Roman"/>
          <w:sz w:val="24"/>
          <w:szCs w:val="24"/>
          <w:lang w:val="sr-Cyrl-CS"/>
        </w:rPr>
        <w:t xml:space="preserve"> </w:t>
      </w:r>
      <w:r w:rsidR="0099400F" w:rsidRPr="00827818">
        <w:rPr>
          <w:rFonts w:ascii="Times New Roman" w:hAnsi="Times New Roman" w:cs="Times New Roman"/>
          <w:sz w:val="24"/>
          <w:szCs w:val="24"/>
          <w:lang w:val="sr-Cyrl-CS"/>
        </w:rPr>
        <w:t>Унапређење буџетске дисциплине и транспарентније коришћење јавних средстава, у Мери 3.1: Формирање базе за јачање институционалних и административних капацитета Канцеларије за ревизију система управљања средствима ЕУ који омогућују делотворну ревизију система контроле ЕУ, у оквиру показатеља на нивоу мере (показатеља резултата): циљ</w:t>
      </w:r>
      <w:r w:rsidR="005D1507" w:rsidRPr="00827818">
        <w:rPr>
          <w:rFonts w:ascii="Times New Roman" w:hAnsi="Times New Roman" w:cs="Times New Roman"/>
          <w:sz w:val="24"/>
          <w:szCs w:val="24"/>
          <w:lang w:val="sr-Cyrl-CS"/>
        </w:rPr>
        <w:t>ана вредност за 2024</w:t>
      </w:r>
      <w:r w:rsidR="00657C17">
        <w:rPr>
          <w:rFonts w:ascii="Times New Roman" w:hAnsi="Times New Roman" w:cs="Times New Roman"/>
          <w:sz w:val="24"/>
          <w:szCs w:val="24"/>
          <w:lang w:val="sr-Cyrl-CS"/>
        </w:rPr>
        <w:t xml:space="preserve">. годину „4” замењује се бројем: </w:t>
      </w:r>
      <w:r w:rsidR="005D1507" w:rsidRPr="00827818">
        <w:rPr>
          <w:rFonts w:ascii="Times New Roman" w:hAnsi="Times New Roman" w:cs="Times New Roman"/>
          <w:sz w:val="24"/>
          <w:szCs w:val="24"/>
          <w:lang w:val="sr-Cyrl-CS"/>
        </w:rPr>
        <w:t>„5”</w:t>
      </w:r>
      <w:r w:rsidR="0099400F" w:rsidRPr="00827818">
        <w:rPr>
          <w:rFonts w:ascii="Times New Roman" w:hAnsi="Times New Roman" w:cs="Times New Roman"/>
          <w:sz w:val="24"/>
          <w:szCs w:val="24"/>
          <w:lang w:val="sr-Cyrl-CS"/>
        </w:rPr>
        <w:t xml:space="preserve"> и циљ</w:t>
      </w:r>
      <w:r w:rsidR="005D1507" w:rsidRPr="00827818">
        <w:rPr>
          <w:rFonts w:ascii="Times New Roman" w:hAnsi="Times New Roman" w:cs="Times New Roman"/>
          <w:sz w:val="24"/>
          <w:szCs w:val="24"/>
          <w:lang w:val="sr-Cyrl-CS"/>
        </w:rPr>
        <w:t>ана вредност за 2025. годину „3” замењује се бројем</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„4”</w:t>
      </w:r>
      <w:r w:rsidR="0099400F" w:rsidRPr="00827818">
        <w:rPr>
          <w:rFonts w:ascii="Times New Roman" w:hAnsi="Times New Roman" w:cs="Times New Roman"/>
          <w:sz w:val="24"/>
          <w:szCs w:val="24"/>
          <w:lang w:val="sr-Cyrl-CS"/>
        </w:rPr>
        <w:t>.</w:t>
      </w:r>
    </w:p>
    <w:p w:rsidR="00626FF1" w:rsidRPr="00827818" w:rsidRDefault="00F47AA2" w:rsidP="00626FF1">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41</w:t>
      </w:r>
      <w:r w:rsidR="00C94044" w:rsidRPr="00827818">
        <w:rPr>
          <w:rFonts w:ascii="Times New Roman" w:hAnsi="Times New Roman" w:cs="Times New Roman"/>
          <w:sz w:val="24"/>
          <w:szCs w:val="24"/>
          <w:lang w:val="sr-Cyrl-CS"/>
        </w:rPr>
        <w:t>. Активност</w:t>
      </w:r>
      <w:r w:rsidR="00D30787" w:rsidRPr="00827818">
        <w:rPr>
          <w:rFonts w:ascii="Times New Roman" w:hAnsi="Times New Roman" w:cs="Times New Roman"/>
          <w:sz w:val="24"/>
          <w:szCs w:val="24"/>
          <w:lang w:val="sr-Cyrl-CS"/>
        </w:rPr>
        <w:t xml:space="preserve"> 3.1.1 Јачање законодавног оквира за реинституционализацију Канцеларије за ревизију система управљања средствима ЕУ – усвајање </w:t>
      </w:r>
      <w:r w:rsidR="005D1507" w:rsidRPr="00827818">
        <w:rPr>
          <w:rFonts w:ascii="Times New Roman" w:hAnsi="Times New Roman" w:cs="Times New Roman"/>
          <w:sz w:val="24"/>
          <w:szCs w:val="24"/>
          <w:lang w:val="sr-Cyrl-CS"/>
        </w:rPr>
        <w:t>и спровођење нове правне основе</w:t>
      </w:r>
      <w:r w:rsidR="00DC3920" w:rsidRPr="00827818">
        <w:rPr>
          <w:rFonts w:ascii="Times New Roman" w:hAnsi="Times New Roman" w:cs="Times New Roman"/>
          <w:sz w:val="24"/>
          <w:szCs w:val="24"/>
          <w:lang w:val="sr-Cyrl-CS"/>
        </w:rPr>
        <w:t>,</w:t>
      </w:r>
      <w:r w:rsidR="00D30787" w:rsidRPr="00827818">
        <w:rPr>
          <w:rFonts w:ascii="Times New Roman" w:hAnsi="Times New Roman" w:cs="Times New Roman"/>
          <w:sz w:val="24"/>
          <w:szCs w:val="24"/>
          <w:lang w:val="sr-Cyrl-CS"/>
        </w:rPr>
        <w:t xml:space="preserve"> </w:t>
      </w:r>
      <w:r w:rsidR="005011E7" w:rsidRPr="00827818">
        <w:rPr>
          <w:rFonts w:ascii="Times New Roman" w:hAnsi="Times New Roman" w:cs="Times New Roman"/>
          <w:sz w:val="24"/>
          <w:szCs w:val="24"/>
          <w:lang w:val="sr-Cyrl-CS"/>
        </w:rPr>
        <w:t>брише се.</w:t>
      </w:r>
    </w:p>
    <w:p w:rsidR="00D30787" w:rsidRPr="00827818" w:rsidRDefault="00F47AA2" w:rsidP="00626FF1">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42</w:t>
      </w:r>
      <w:r w:rsidR="00626FF1" w:rsidRPr="00827818">
        <w:rPr>
          <w:rFonts w:ascii="Times New Roman" w:hAnsi="Times New Roman" w:cs="Times New Roman"/>
          <w:sz w:val="24"/>
          <w:szCs w:val="24"/>
          <w:lang w:val="sr-Cyrl-CS"/>
        </w:rPr>
        <w:t xml:space="preserve">. </w:t>
      </w:r>
      <w:r w:rsidR="00D30787" w:rsidRPr="00827818">
        <w:rPr>
          <w:rFonts w:ascii="Times New Roman" w:hAnsi="Times New Roman" w:cs="Times New Roman"/>
          <w:sz w:val="24"/>
          <w:szCs w:val="24"/>
          <w:lang w:val="sr-Cyrl-CS"/>
        </w:rPr>
        <w:t xml:space="preserve">У </w:t>
      </w:r>
      <w:r w:rsidR="00617D90" w:rsidRPr="00827818">
        <w:rPr>
          <w:rFonts w:ascii="Times New Roman" w:hAnsi="Times New Roman" w:cs="Times New Roman"/>
          <w:sz w:val="24"/>
          <w:szCs w:val="24"/>
          <w:lang w:val="sr-Cyrl-CS"/>
        </w:rPr>
        <w:t xml:space="preserve">оквиру </w:t>
      </w:r>
      <w:r w:rsidR="00DC3920" w:rsidRPr="00827818">
        <w:rPr>
          <w:rFonts w:ascii="Times New Roman" w:hAnsi="Times New Roman" w:cs="Times New Roman"/>
          <w:sz w:val="24"/>
          <w:szCs w:val="24"/>
          <w:lang w:val="sr-Cyrl-CS"/>
        </w:rPr>
        <w:t>активности 3.1.2</w:t>
      </w:r>
      <w:r w:rsidR="00D30787" w:rsidRPr="00827818">
        <w:rPr>
          <w:rFonts w:ascii="Times New Roman" w:hAnsi="Times New Roman" w:cs="Times New Roman"/>
          <w:sz w:val="24"/>
          <w:szCs w:val="24"/>
          <w:lang w:val="sr-Cyrl-CS"/>
        </w:rPr>
        <w:t xml:space="preserve"> Развијање политике задржавања кадрова како би се осигурали адекватни и стабилни административни капацитети Канцеларије, рок за </w:t>
      </w:r>
      <w:r w:rsidR="005D1507" w:rsidRPr="00827818">
        <w:rPr>
          <w:rFonts w:ascii="Times New Roman" w:hAnsi="Times New Roman" w:cs="Times New Roman"/>
          <w:sz w:val="24"/>
          <w:szCs w:val="24"/>
          <w:lang w:val="sr-Cyrl-CS"/>
        </w:rPr>
        <w:t>завршетак активности</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„Q4 2022” замењује се роком</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„Q4 2025”</w:t>
      </w:r>
      <w:r w:rsidR="00D30787" w:rsidRPr="00827818">
        <w:rPr>
          <w:rFonts w:ascii="Times New Roman" w:hAnsi="Times New Roman" w:cs="Times New Roman"/>
          <w:sz w:val="24"/>
          <w:szCs w:val="24"/>
          <w:lang w:val="sr-Cyrl-CS"/>
        </w:rPr>
        <w:t>. У колони укупна процењена финансијска средства по изворима у 000 дин:  бришу се</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„буџетска средства”</w:t>
      </w:r>
      <w:r w:rsidR="004E7DE3" w:rsidRPr="00827818">
        <w:rPr>
          <w:rFonts w:ascii="Times New Roman" w:hAnsi="Times New Roman" w:cs="Times New Roman"/>
          <w:sz w:val="24"/>
          <w:szCs w:val="24"/>
          <w:lang w:val="sr-Cyrl-CS"/>
        </w:rPr>
        <w:t>, брише се веза са прогр</w:t>
      </w:r>
      <w:r w:rsidR="005D1507" w:rsidRPr="00827818">
        <w:rPr>
          <w:rFonts w:ascii="Times New Roman" w:hAnsi="Times New Roman" w:cs="Times New Roman"/>
          <w:sz w:val="24"/>
          <w:szCs w:val="24"/>
          <w:lang w:val="sr-Cyrl-CS"/>
        </w:rPr>
        <w:t>амским буџетом (ПР-ПА-ПЈ) „2301”</w:t>
      </w:r>
      <w:r w:rsidR="004E7DE3" w:rsidRPr="00827818">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 за 2022.</w:t>
      </w:r>
      <w:r w:rsidR="00D30787" w:rsidRPr="00827818">
        <w:rPr>
          <w:rFonts w:ascii="Times New Roman" w:hAnsi="Times New Roman" w:cs="Times New Roman"/>
          <w:sz w:val="24"/>
          <w:szCs w:val="24"/>
          <w:lang w:val="sr-Cyrl-CS"/>
        </w:rPr>
        <w:t xml:space="preserve"> брише се</w:t>
      </w:r>
      <w:r w:rsidR="00657C17">
        <w:rPr>
          <w:rFonts w:ascii="Times New Roman" w:hAnsi="Times New Roman" w:cs="Times New Roman"/>
          <w:sz w:val="24"/>
          <w:szCs w:val="24"/>
          <w:lang w:val="sr-Cyrl-CS"/>
        </w:rPr>
        <w:t>:</w:t>
      </w:r>
      <w:r w:rsidR="00D30787" w:rsidRPr="00827818">
        <w:rPr>
          <w:rFonts w:ascii="Times New Roman" w:hAnsi="Times New Roman" w:cs="Times New Roman"/>
          <w:sz w:val="24"/>
          <w:szCs w:val="24"/>
          <w:lang w:val="sr-Cyrl-CS"/>
        </w:rPr>
        <w:t xml:space="preserve">  „13.240ˮ, за 2023.</w:t>
      </w:r>
      <w:r w:rsidR="005D1507" w:rsidRPr="00827818">
        <w:rPr>
          <w:rFonts w:ascii="Times New Roman" w:hAnsi="Times New Roman" w:cs="Times New Roman"/>
          <w:sz w:val="24"/>
          <w:szCs w:val="24"/>
          <w:lang w:val="sr-Cyrl-CS"/>
        </w:rPr>
        <w:t xml:space="preserve"> брише се</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„23.276”, за 2024. брише се</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„7.932”</w:t>
      </w:r>
      <w:r w:rsidR="00D30787" w:rsidRPr="00827818">
        <w:rPr>
          <w:rFonts w:ascii="Times New Roman" w:hAnsi="Times New Roman" w:cs="Times New Roman"/>
          <w:sz w:val="24"/>
          <w:szCs w:val="24"/>
          <w:lang w:val="sr-Cyrl-CS"/>
        </w:rPr>
        <w:t>, у оквиру колоне извор финансирања брише се ИПА (неалоцирана средства). У колони  укупна процењена финансијска средства у 000 дин за 2021. брише се</w:t>
      </w:r>
      <w:r w:rsidR="00657C17">
        <w:rPr>
          <w:rFonts w:ascii="Times New Roman" w:hAnsi="Times New Roman" w:cs="Times New Roman"/>
          <w:sz w:val="24"/>
          <w:szCs w:val="24"/>
          <w:lang w:val="sr-Cyrl-CS"/>
        </w:rPr>
        <w:t>:</w:t>
      </w:r>
      <w:r w:rsidR="00D30787" w:rsidRPr="00827818">
        <w:rPr>
          <w:rFonts w:ascii="Times New Roman" w:hAnsi="Times New Roman" w:cs="Times New Roman"/>
          <w:sz w:val="24"/>
          <w:szCs w:val="24"/>
          <w:lang w:val="sr-Cyrl-CS"/>
        </w:rPr>
        <w:t xml:space="preserve"> „23.600</w:t>
      </w:r>
      <w:r w:rsidR="005D1507" w:rsidRPr="00827818">
        <w:rPr>
          <w:rFonts w:ascii="Times New Roman" w:hAnsi="Times New Roman" w:cs="Times New Roman"/>
          <w:sz w:val="24"/>
          <w:szCs w:val="24"/>
          <w:lang w:val="sr-Cyrl-CS"/>
        </w:rPr>
        <w:t>”, и за 2022. брише се</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„11.800”</w:t>
      </w:r>
      <w:r w:rsidR="00D30787" w:rsidRPr="00827818">
        <w:rPr>
          <w:rFonts w:ascii="Times New Roman" w:hAnsi="Times New Roman" w:cs="Times New Roman"/>
          <w:sz w:val="24"/>
          <w:szCs w:val="24"/>
          <w:lang w:val="sr-Cyrl-CS"/>
        </w:rPr>
        <w:t>.</w:t>
      </w:r>
    </w:p>
    <w:p w:rsidR="00F650FC" w:rsidRPr="00827818" w:rsidRDefault="00F47AA2" w:rsidP="00F650FC">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43</w:t>
      </w:r>
      <w:r w:rsidR="00D6650C" w:rsidRPr="00827818">
        <w:rPr>
          <w:rFonts w:ascii="Times New Roman" w:hAnsi="Times New Roman" w:cs="Times New Roman"/>
          <w:sz w:val="24"/>
          <w:szCs w:val="24"/>
          <w:lang w:val="sr-Cyrl-CS"/>
        </w:rPr>
        <w:t xml:space="preserve">. </w:t>
      </w:r>
      <w:r w:rsidR="00D30787" w:rsidRPr="00827818">
        <w:rPr>
          <w:rFonts w:ascii="Times New Roman" w:hAnsi="Times New Roman" w:cs="Times New Roman"/>
          <w:sz w:val="24"/>
          <w:szCs w:val="24"/>
          <w:lang w:val="sr-Cyrl-CS"/>
        </w:rPr>
        <w:t xml:space="preserve">У </w:t>
      </w:r>
      <w:r w:rsidR="00617D90" w:rsidRPr="00827818">
        <w:rPr>
          <w:rFonts w:ascii="Times New Roman" w:hAnsi="Times New Roman" w:cs="Times New Roman"/>
          <w:sz w:val="24"/>
          <w:szCs w:val="24"/>
          <w:lang w:val="sr-Cyrl-CS"/>
        </w:rPr>
        <w:t xml:space="preserve">оквиру </w:t>
      </w:r>
      <w:r w:rsidR="00D343DA" w:rsidRPr="00827818">
        <w:rPr>
          <w:rFonts w:ascii="Times New Roman" w:hAnsi="Times New Roman" w:cs="Times New Roman"/>
          <w:sz w:val="24"/>
          <w:szCs w:val="24"/>
          <w:lang w:val="sr-Cyrl-CS"/>
        </w:rPr>
        <w:t>активности 3.1.</w:t>
      </w:r>
      <w:r w:rsidR="00657C17">
        <w:rPr>
          <w:rFonts w:ascii="Times New Roman" w:hAnsi="Times New Roman" w:cs="Times New Roman"/>
          <w:sz w:val="24"/>
          <w:szCs w:val="24"/>
          <w:lang w:val="sr-Cyrl-CS"/>
        </w:rPr>
        <w:t>3</w:t>
      </w:r>
      <w:r w:rsidR="00D30787" w:rsidRPr="00827818">
        <w:rPr>
          <w:rFonts w:ascii="Times New Roman" w:hAnsi="Times New Roman" w:cs="Times New Roman"/>
          <w:sz w:val="24"/>
          <w:szCs w:val="24"/>
          <w:lang w:val="sr-Cyrl-CS"/>
        </w:rPr>
        <w:t xml:space="preserve">  Јачање капацитета Канцеларије за ревизију система управљања средствима ЕУ како би се осигурала ефикасан систем контроле и ревизија ЕУ средстава у складу са законодавним оквиром ЕУ, извор ф</w:t>
      </w:r>
      <w:r w:rsidR="005D1507" w:rsidRPr="00827818">
        <w:rPr>
          <w:rFonts w:ascii="Times New Roman" w:hAnsi="Times New Roman" w:cs="Times New Roman"/>
          <w:sz w:val="24"/>
          <w:szCs w:val="24"/>
          <w:lang w:val="sr-Cyrl-CS"/>
        </w:rPr>
        <w:t>инансирања: „Донаторска средства” замењује се речима: „ИПА 2021”</w:t>
      </w:r>
      <w:r w:rsidR="00617D90" w:rsidRPr="00827818">
        <w:rPr>
          <w:rFonts w:ascii="Times New Roman" w:hAnsi="Times New Roman" w:cs="Times New Roman"/>
          <w:sz w:val="24"/>
          <w:szCs w:val="24"/>
          <w:lang w:val="sr-Cyrl-CS"/>
        </w:rPr>
        <w:t>;</w:t>
      </w:r>
      <w:r w:rsidR="00D30787" w:rsidRPr="00827818">
        <w:rPr>
          <w:rFonts w:ascii="Times New Roman" w:hAnsi="Times New Roman" w:cs="Times New Roman"/>
          <w:sz w:val="24"/>
          <w:szCs w:val="24"/>
          <w:lang w:val="sr-Cyrl-CS"/>
        </w:rPr>
        <w:t xml:space="preserve"> </w:t>
      </w:r>
      <w:r w:rsidR="00617D90" w:rsidRPr="00827818">
        <w:rPr>
          <w:rFonts w:ascii="Times New Roman" w:hAnsi="Times New Roman" w:cs="Times New Roman"/>
          <w:sz w:val="24"/>
          <w:szCs w:val="24"/>
          <w:lang w:val="sr-Cyrl-CS"/>
        </w:rPr>
        <w:t xml:space="preserve">за </w:t>
      </w:r>
      <w:r w:rsidR="00D30787" w:rsidRPr="00827818">
        <w:rPr>
          <w:rFonts w:ascii="Times New Roman" w:hAnsi="Times New Roman" w:cs="Times New Roman"/>
          <w:sz w:val="24"/>
          <w:szCs w:val="24"/>
          <w:lang w:val="sr-Cyrl-CS"/>
        </w:rPr>
        <w:t>укупна процењена финансијска средства у 00</w:t>
      </w:r>
      <w:r w:rsidR="005D1507" w:rsidRPr="00827818">
        <w:rPr>
          <w:rFonts w:ascii="Times New Roman" w:hAnsi="Times New Roman" w:cs="Times New Roman"/>
          <w:sz w:val="24"/>
          <w:szCs w:val="24"/>
          <w:lang w:val="sr-Cyrl-CS"/>
        </w:rPr>
        <w:t>0 дин за 2022. брише се</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„29.500”, у 2023. брише се</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„29.500”, у 2024. износ</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„29.500”</w:t>
      </w:r>
      <w:r w:rsidR="00617D90" w:rsidRPr="00827818">
        <w:rPr>
          <w:rFonts w:ascii="Times New Roman" w:hAnsi="Times New Roman" w:cs="Times New Roman"/>
          <w:sz w:val="24"/>
          <w:szCs w:val="24"/>
          <w:lang w:val="sr-Cyrl-CS"/>
        </w:rPr>
        <w:t xml:space="preserve"> </w:t>
      </w:r>
      <w:r w:rsidR="005D1507" w:rsidRPr="00827818">
        <w:rPr>
          <w:rFonts w:ascii="Times New Roman" w:hAnsi="Times New Roman" w:cs="Times New Roman"/>
          <w:sz w:val="24"/>
          <w:szCs w:val="24"/>
          <w:lang w:val="sr-Cyrl-CS"/>
        </w:rPr>
        <w:t>замењује се износом</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„29.375”</w:t>
      </w:r>
      <w:r w:rsidR="00D30787" w:rsidRPr="00827818">
        <w:rPr>
          <w:rFonts w:ascii="Times New Roman" w:hAnsi="Times New Roman" w:cs="Times New Roman"/>
          <w:sz w:val="24"/>
          <w:szCs w:val="24"/>
          <w:lang w:val="sr-Cyrl-CS"/>
        </w:rPr>
        <w:t xml:space="preserve"> </w:t>
      </w:r>
      <w:r w:rsidR="005D1507" w:rsidRPr="00827818">
        <w:rPr>
          <w:rFonts w:ascii="Times New Roman" w:hAnsi="Times New Roman" w:cs="Times New Roman"/>
          <w:sz w:val="24"/>
          <w:szCs w:val="24"/>
          <w:lang w:val="sr-Cyrl-CS"/>
        </w:rPr>
        <w:t xml:space="preserve">и </w:t>
      </w:r>
      <w:r w:rsidR="00D30787" w:rsidRPr="00827818">
        <w:rPr>
          <w:rFonts w:ascii="Times New Roman" w:hAnsi="Times New Roman" w:cs="Times New Roman"/>
          <w:sz w:val="24"/>
          <w:szCs w:val="24"/>
          <w:lang w:val="sr-Cyrl-CS"/>
        </w:rPr>
        <w:t>у 2025. брише се износ</w:t>
      </w:r>
      <w:r w:rsidR="00657C17">
        <w:rPr>
          <w:rFonts w:ascii="Times New Roman" w:hAnsi="Times New Roman" w:cs="Times New Roman"/>
          <w:sz w:val="24"/>
          <w:szCs w:val="24"/>
          <w:lang w:val="sr-Cyrl-CS"/>
        </w:rPr>
        <w:t>:</w:t>
      </w:r>
      <w:r w:rsidR="005D1507" w:rsidRPr="00827818">
        <w:rPr>
          <w:rFonts w:ascii="Times New Roman" w:hAnsi="Times New Roman" w:cs="Times New Roman"/>
          <w:sz w:val="24"/>
          <w:szCs w:val="24"/>
          <w:lang w:val="sr-Cyrl-CS"/>
        </w:rPr>
        <w:t xml:space="preserve"> „29.500”</w:t>
      </w:r>
      <w:r w:rsidR="00D30787" w:rsidRPr="00827818">
        <w:rPr>
          <w:rFonts w:ascii="Times New Roman" w:hAnsi="Times New Roman" w:cs="Times New Roman"/>
          <w:sz w:val="24"/>
          <w:szCs w:val="24"/>
          <w:lang w:val="sr-Cyrl-CS"/>
        </w:rPr>
        <w:t>.</w:t>
      </w:r>
    </w:p>
    <w:p w:rsidR="004E46BA" w:rsidRPr="00827818" w:rsidRDefault="00F47AA2" w:rsidP="00F650FC">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44</w:t>
      </w:r>
      <w:r w:rsidR="00F650FC" w:rsidRPr="00827818">
        <w:rPr>
          <w:rFonts w:ascii="Times New Roman" w:hAnsi="Times New Roman" w:cs="Times New Roman"/>
          <w:sz w:val="24"/>
          <w:szCs w:val="24"/>
          <w:lang w:val="sr-Cyrl-CS"/>
        </w:rPr>
        <w:t xml:space="preserve">. </w:t>
      </w:r>
      <w:r w:rsidR="004E46BA" w:rsidRPr="00827818">
        <w:rPr>
          <w:rFonts w:ascii="Times New Roman" w:hAnsi="Times New Roman" w:cs="Times New Roman"/>
          <w:sz w:val="24"/>
          <w:szCs w:val="24"/>
          <w:lang w:val="sr-Cyrl-CS"/>
        </w:rPr>
        <w:t xml:space="preserve">У Мери 3.2: Јачање система за ефикасније и ефективније управљање средствима ЕУ, у показатељу: </w:t>
      </w:r>
      <w:r w:rsidR="005672D2"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Извршене провере на лицу места код корисника јавних средстава</w:t>
      </w:r>
      <w:r w:rsidR="00FD0F9C"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 циљана вредност за 2023: „12</w:t>
      </w:r>
      <w:r w:rsidR="00FD0F9C"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 xml:space="preserve">  замењује се циљаном вредношћу за 2023: „6</w:t>
      </w:r>
      <w:r w:rsidR="00FD0F9C"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 Циљана вредност за 2024: „12</w:t>
      </w:r>
      <w:r w:rsidR="00FD0F9C"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 xml:space="preserve">  замењује се циљаном вредношћу за 2024: „6</w:t>
      </w:r>
      <w:r w:rsidR="00FD0F9C"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 xml:space="preserve"> </w:t>
      </w:r>
      <w:r w:rsidR="00FD0F9C" w:rsidRPr="00827818">
        <w:rPr>
          <w:rFonts w:ascii="Times New Roman" w:hAnsi="Times New Roman" w:cs="Times New Roman"/>
          <w:sz w:val="24"/>
          <w:szCs w:val="24"/>
          <w:lang w:val="sr-Cyrl-CS"/>
        </w:rPr>
        <w:t xml:space="preserve">и </w:t>
      </w:r>
      <w:r w:rsidR="004E46BA" w:rsidRPr="00827818">
        <w:rPr>
          <w:rFonts w:ascii="Times New Roman" w:hAnsi="Times New Roman" w:cs="Times New Roman"/>
          <w:sz w:val="24"/>
          <w:szCs w:val="24"/>
          <w:lang w:val="sr-Cyrl-CS"/>
        </w:rPr>
        <w:t>Циљана вредност за 2025: „12”  замењује се циљаном вредношћу за 2025: „6</w:t>
      </w:r>
      <w:r w:rsidR="00FD0F9C"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w:t>
      </w:r>
    </w:p>
    <w:p w:rsidR="00751DB9" w:rsidRPr="00827818" w:rsidRDefault="00F47AA2" w:rsidP="00775D96">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45</w:t>
      </w:r>
      <w:r w:rsidR="00775D96" w:rsidRPr="00827818">
        <w:rPr>
          <w:rFonts w:ascii="Times New Roman" w:hAnsi="Times New Roman" w:cs="Times New Roman"/>
          <w:sz w:val="24"/>
          <w:szCs w:val="24"/>
          <w:lang w:val="sr-Cyrl-CS"/>
        </w:rPr>
        <w:t xml:space="preserve">. </w:t>
      </w:r>
      <w:r w:rsidR="00B40617" w:rsidRPr="00827818">
        <w:rPr>
          <w:rFonts w:ascii="Times New Roman" w:hAnsi="Times New Roman" w:cs="Times New Roman"/>
          <w:sz w:val="24"/>
          <w:szCs w:val="24"/>
          <w:lang w:val="sr-Cyrl-CS"/>
        </w:rPr>
        <w:t xml:space="preserve">У </w:t>
      </w:r>
      <w:r w:rsidR="001A25E8" w:rsidRPr="00827818">
        <w:rPr>
          <w:rFonts w:ascii="Times New Roman" w:hAnsi="Times New Roman" w:cs="Times New Roman"/>
          <w:sz w:val="24"/>
          <w:szCs w:val="24"/>
          <w:lang w:val="sr-Cyrl-CS"/>
        </w:rPr>
        <w:t>М</w:t>
      </w:r>
      <w:r w:rsidR="00B40617" w:rsidRPr="00827818">
        <w:rPr>
          <w:rFonts w:ascii="Times New Roman" w:hAnsi="Times New Roman" w:cs="Times New Roman"/>
          <w:sz w:val="24"/>
          <w:szCs w:val="24"/>
          <w:lang w:val="sr-Cyrl-CS"/>
        </w:rPr>
        <w:t>ер</w:t>
      </w:r>
      <w:r w:rsidR="001A25E8" w:rsidRPr="00827818">
        <w:rPr>
          <w:rFonts w:ascii="Times New Roman" w:hAnsi="Times New Roman" w:cs="Times New Roman"/>
          <w:sz w:val="24"/>
          <w:szCs w:val="24"/>
          <w:lang w:val="sr-Cyrl-CS"/>
        </w:rPr>
        <w:t>и</w:t>
      </w:r>
      <w:r w:rsidR="00B40617" w:rsidRPr="00827818">
        <w:rPr>
          <w:rFonts w:ascii="Times New Roman" w:hAnsi="Times New Roman" w:cs="Times New Roman"/>
          <w:sz w:val="24"/>
          <w:szCs w:val="24"/>
          <w:lang w:val="sr-Cyrl-CS"/>
        </w:rPr>
        <w:t xml:space="preserve"> 3.2:</w:t>
      </w:r>
      <w:r w:rsidR="00321CD0" w:rsidRPr="00827818">
        <w:rPr>
          <w:rFonts w:ascii="Times New Roman" w:hAnsi="Times New Roman" w:cs="Times New Roman"/>
          <w:sz w:val="24"/>
          <w:szCs w:val="24"/>
          <w:lang w:val="sr-Cyrl-CS"/>
        </w:rPr>
        <w:t xml:space="preserve"> </w:t>
      </w:r>
      <w:r w:rsidR="00B40617" w:rsidRPr="00827818">
        <w:rPr>
          <w:rFonts w:ascii="Times New Roman" w:hAnsi="Times New Roman" w:cs="Times New Roman"/>
          <w:sz w:val="24"/>
          <w:szCs w:val="24"/>
          <w:lang w:val="sr-Cyrl-CS"/>
        </w:rPr>
        <w:t>Јачање система за ефикасније и</w:t>
      </w:r>
      <w:r w:rsidR="004632C3" w:rsidRPr="00827818">
        <w:rPr>
          <w:rFonts w:ascii="Times New Roman" w:hAnsi="Times New Roman" w:cs="Times New Roman"/>
          <w:sz w:val="24"/>
          <w:szCs w:val="24"/>
          <w:lang w:val="sr-Cyrl-CS"/>
        </w:rPr>
        <w:t xml:space="preserve"> </w:t>
      </w:r>
      <w:r w:rsidR="00B40617" w:rsidRPr="00827818">
        <w:rPr>
          <w:rFonts w:ascii="Times New Roman" w:hAnsi="Times New Roman" w:cs="Times New Roman"/>
          <w:sz w:val="24"/>
          <w:szCs w:val="24"/>
          <w:lang w:val="sr-Cyrl-CS"/>
        </w:rPr>
        <w:t>ефективније управљање средствима ЕУ,</w:t>
      </w:r>
      <w:r w:rsidR="004632C3" w:rsidRPr="00827818">
        <w:rPr>
          <w:rFonts w:ascii="Times New Roman" w:hAnsi="Times New Roman" w:cs="Times New Roman"/>
          <w:sz w:val="24"/>
          <w:szCs w:val="24"/>
          <w:lang w:val="sr-Cyrl-CS"/>
        </w:rPr>
        <w:t xml:space="preserve"> </w:t>
      </w:r>
      <w:r w:rsidR="00321CD0" w:rsidRPr="00827818">
        <w:rPr>
          <w:rFonts w:ascii="Times New Roman" w:hAnsi="Times New Roman" w:cs="Times New Roman"/>
          <w:sz w:val="24"/>
          <w:szCs w:val="24"/>
          <w:lang w:val="sr-Cyrl-CS"/>
        </w:rPr>
        <w:t xml:space="preserve">у оквиру </w:t>
      </w:r>
      <w:r w:rsidR="00881B98" w:rsidRPr="00827818">
        <w:rPr>
          <w:rFonts w:ascii="Times New Roman" w:hAnsi="Times New Roman" w:cs="Times New Roman"/>
          <w:sz w:val="24"/>
          <w:szCs w:val="24"/>
          <w:lang w:val="sr-Cyrl-CS"/>
        </w:rPr>
        <w:t>a</w:t>
      </w:r>
      <w:r w:rsidR="00321CD0" w:rsidRPr="00827818">
        <w:rPr>
          <w:rFonts w:ascii="Times New Roman" w:hAnsi="Times New Roman" w:cs="Times New Roman"/>
          <w:sz w:val="24"/>
          <w:szCs w:val="24"/>
          <w:lang w:val="sr-Cyrl-CS"/>
        </w:rPr>
        <w:t>ктивности 3.2.4</w:t>
      </w:r>
      <w:r w:rsidR="00B40617" w:rsidRPr="00827818">
        <w:rPr>
          <w:rFonts w:ascii="Times New Roman" w:hAnsi="Times New Roman" w:cs="Times New Roman"/>
          <w:sz w:val="24"/>
          <w:szCs w:val="24"/>
          <w:lang w:val="sr-Cyrl-CS"/>
        </w:rPr>
        <w:t xml:space="preserve"> </w:t>
      </w:r>
      <w:r w:rsidR="00321CD0" w:rsidRPr="00827818">
        <w:rPr>
          <w:rFonts w:ascii="Times New Roman" w:hAnsi="Times New Roman" w:cs="Times New Roman"/>
          <w:sz w:val="24"/>
          <w:szCs w:val="24"/>
          <w:lang w:val="sr-Cyrl-CS"/>
        </w:rPr>
        <w:t>„</w:t>
      </w:r>
      <w:r w:rsidR="00B40617" w:rsidRPr="00827818">
        <w:rPr>
          <w:rFonts w:ascii="Times New Roman" w:hAnsi="Times New Roman" w:cs="Times New Roman"/>
          <w:sz w:val="24"/>
          <w:szCs w:val="24"/>
          <w:lang w:val="sr-Cyrl-CS"/>
        </w:rPr>
        <w:t>Унапређење информационог система намењеног подршци пословним процесима за управљање системом и спровођењу уговора и коришћењу средстава</w:t>
      </w:r>
      <w:r w:rsidR="00FD0F9C" w:rsidRPr="00827818">
        <w:rPr>
          <w:rFonts w:ascii="Times New Roman" w:hAnsi="Times New Roman" w:cs="Times New Roman"/>
          <w:sz w:val="24"/>
          <w:szCs w:val="24"/>
          <w:lang w:val="sr-Cyrl-CS"/>
        </w:rPr>
        <w:t>”</w:t>
      </w:r>
      <w:r w:rsidR="00B40617" w:rsidRPr="00827818">
        <w:rPr>
          <w:rFonts w:ascii="Times New Roman" w:hAnsi="Times New Roman" w:cs="Times New Roman"/>
          <w:sz w:val="24"/>
          <w:szCs w:val="24"/>
          <w:lang w:val="sr-Cyrl-CS"/>
        </w:rPr>
        <w:t xml:space="preserve"> </w:t>
      </w:r>
      <w:r w:rsidR="00321CD0" w:rsidRPr="00827818">
        <w:rPr>
          <w:rFonts w:ascii="Times New Roman" w:hAnsi="Times New Roman" w:cs="Times New Roman"/>
          <w:sz w:val="24"/>
          <w:szCs w:val="24"/>
          <w:lang w:val="sr-Cyrl-CS"/>
        </w:rPr>
        <w:t>м</w:t>
      </w:r>
      <w:r w:rsidR="00467B62" w:rsidRPr="00827818">
        <w:rPr>
          <w:rFonts w:ascii="Times New Roman" w:hAnsi="Times New Roman" w:cs="Times New Roman"/>
          <w:sz w:val="24"/>
          <w:szCs w:val="24"/>
          <w:lang w:val="sr-Cyrl-CS"/>
        </w:rPr>
        <w:t>ења се институција одговорна за спровођење тако да гласи: „Сектор за управљање средствима ЕУ</w:t>
      </w:r>
      <w:r w:rsidR="00E65243" w:rsidRPr="00827818">
        <w:rPr>
          <w:rFonts w:ascii="Times New Roman" w:hAnsi="Times New Roman" w:cs="Times New Roman"/>
          <w:sz w:val="24"/>
          <w:szCs w:val="24"/>
          <w:lang w:val="sr-Cyrl-CS"/>
        </w:rPr>
        <w:t>ˮ</w:t>
      </w:r>
      <w:r w:rsidR="00467B62" w:rsidRPr="00827818">
        <w:rPr>
          <w:rFonts w:ascii="Times New Roman" w:hAnsi="Times New Roman" w:cs="Times New Roman"/>
          <w:sz w:val="24"/>
          <w:szCs w:val="24"/>
          <w:lang w:val="sr-Cyrl-CS"/>
        </w:rPr>
        <w:t>.</w:t>
      </w:r>
      <w:r w:rsidR="00321CD0" w:rsidRPr="00827818">
        <w:rPr>
          <w:rFonts w:ascii="Times New Roman" w:hAnsi="Times New Roman" w:cs="Times New Roman"/>
          <w:sz w:val="24"/>
          <w:szCs w:val="24"/>
          <w:lang w:val="sr-Cyrl-CS"/>
        </w:rPr>
        <w:t xml:space="preserve"> </w:t>
      </w:r>
      <w:r w:rsidR="00467B62" w:rsidRPr="00827818">
        <w:rPr>
          <w:rFonts w:ascii="Times New Roman" w:hAnsi="Times New Roman" w:cs="Times New Roman"/>
          <w:sz w:val="24"/>
          <w:szCs w:val="24"/>
          <w:lang w:val="sr-Cyrl-CS"/>
        </w:rPr>
        <w:t>И</w:t>
      </w:r>
      <w:r w:rsidR="001A25E8" w:rsidRPr="00827818">
        <w:rPr>
          <w:rFonts w:ascii="Times New Roman" w:hAnsi="Times New Roman" w:cs="Times New Roman"/>
          <w:sz w:val="24"/>
          <w:szCs w:val="24"/>
          <w:lang w:val="sr-Cyrl-CS"/>
        </w:rPr>
        <w:t>звор фи</w:t>
      </w:r>
      <w:r w:rsidR="002004F5" w:rsidRPr="00827818">
        <w:rPr>
          <w:rFonts w:ascii="Times New Roman" w:hAnsi="Times New Roman" w:cs="Times New Roman"/>
          <w:sz w:val="24"/>
          <w:szCs w:val="24"/>
          <w:lang w:val="sr-Cyrl-CS"/>
        </w:rPr>
        <w:t>нансирања „Донаторска средства</w:t>
      </w:r>
      <w:r w:rsidR="00E65243" w:rsidRPr="00827818">
        <w:rPr>
          <w:rFonts w:ascii="Times New Roman" w:hAnsi="Times New Roman" w:cs="Times New Roman"/>
          <w:sz w:val="24"/>
          <w:szCs w:val="24"/>
          <w:lang w:val="sr-Cyrl-CS"/>
        </w:rPr>
        <w:t>ˮ</w:t>
      </w:r>
      <w:r w:rsidR="001A25E8" w:rsidRPr="00827818">
        <w:rPr>
          <w:rFonts w:ascii="Times New Roman" w:hAnsi="Times New Roman" w:cs="Times New Roman"/>
          <w:sz w:val="24"/>
          <w:szCs w:val="24"/>
          <w:lang w:val="sr-Cyrl-CS"/>
        </w:rPr>
        <w:t xml:space="preserve"> замењује се извором финансирања: </w:t>
      </w:r>
      <w:r w:rsidR="00B40617" w:rsidRPr="00827818">
        <w:rPr>
          <w:rFonts w:ascii="Times New Roman" w:hAnsi="Times New Roman" w:cs="Times New Roman"/>
          <w:sz w:val="24"/>
          <w:szCs w:val="24"/>
          <w:lang w:val="sr-Cyrl-CS"/>
        </w:rPr>
        <w:t>„</w:t>
      </w:r>
      <w:r w:rsidR="00881B98" w:rsidRPr="00827818">
        <w:rPr>
          <w:rFonts w:ascii="Times New Roman" w:hAnsi="Times New Roman" w:cs="Times New Roman"/>
          <w:sz w:val="24"/>
          <w:szCs w:val="24"/>
          <w:lang w:val="sr-Cyrl-CS"/>
        </w:rPr>
        <w:t>Б</w:t>
      </w:r>
      <w:r w:rsidR="00B40617" w:rsidRPr="00827818">
        <w:rPr>
          <w:rFonts w:ascii="Times New Roman" w:hAnsi="Times New Roman" w:cs="Times New Roman"/>
          <w:sz w:val="24"/>
          <w:szCs w:val="24"/>
          <w:lang w:val="sr-Cyrl-CS"/>
        </w:rPr>
        <w:t>уџетска средства</w:t>
      </w:r>
      <w:r w:rsidR="00E65243" w:rsidRPr="00827818">
        <w:rPr>
          <w:rFonts w:ascii="Times New Roman" w:hAnsi="Times New Roman" w:cs="Times New Roman"/>
          <w:sz w:val="24"/>
          <w:szCs w:val="24"/>
          <w:lang w:val="sr-Cyrl-CS"/>
        </w:rPr>
        <w:t>ˮ</w:t>
      </w:r>
      <w:r w:rsidR="004632C3" w:rsidRPr="00827818">
        <w:rPr>
          <w:rFonts w:ascii="Times New Roman" w:hAnsi="Times New Roman" w:cs="Times New Roman"/>
          <w:sz w:val="24"/>
          <w:szCs w:val="24"/>
          <w:lang w:val="sr-Cyrl-CS"/>
        </w:rPr>
        <w:t>.</w:t>
      </w:r>
      <w:r w:rsidR="00B40617" w:rsidRPr="00827818">
        <w:rPr>
          <w:rFonts w:ascii="Times New Roman" w:hAnsi="Times New Roman" w:cs="Times New Roman"/>
          <w:sz w:val="24"/>
          <w:szCs w:val="24"/>
          <w:lang w:val="sr-Cyrl-CS"/>
        </w:rPr>
        <w:t xml:space="preserve"> </w:t>
      </w:r>
    </w:p>
    <w:p w:rsidR="004E2905" w:rsidRPr="00827818" w:rsidRDefault="00F47AA2" w:rsidP="001845F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46</w:t>
      </w:r>
      <w:r w:rsidR="001845F0" w:rsidRPr="00827818">
        <w:rPr>
          <w:rFonts w:ascii="Times New Roman" w:hAnsi="Times New Roman" w:cs="Times New Roman"/>
          <w:sz w:val="24"/>
          <w:szCs w:val="24"/>
          <w:lang w:val="sr-Cyrl-CS"/>
        </w:rPr>
        <w:t xml:space="preserve">. </w:t>
      </w:r>
      <w:r w:rsidR="00B40617" w:rsidRPr="00827818">
        <w:rPr>
          <w:rFonts w:ascii="Times New Roman" w:hAnsi="Times New Roman" w:cs="Times New Roman"/>
          <w:sz w:val="24"/>
          <w:szCs w:val="24"/>
          <w:lang w:val="sr-Cyrl-CS"/>
        </w:rPr>
        <w:t xml:space="preserve">У </w:t>
      </w:r>
      <w:r w:rsidR="00DB2D9F" w:rsidRPr="00827818">
        <w:rPr>
          <w:rFonts w:ascii="Times New Roman" w:hAnsi="Times New Roman" w:cs="Times New Roman"/>
          <w:sz w:val="24"/>
          <w:szCs w:val="24"/>
          <w:lang w:val="sr-Cyrl-CS"/>
        </w:rPr>
        <w:t>М</w:t>
      </w:r>
      <w:r w:rsidR="00CD6298" w:rsidRPr="00827818">
        <w:rPr>
          <w:rFonts w:ascii="Times New Roman" w:hAnsi="Times New Roman" w:cs="Times New Roman"/>
          <w:sz w:val="24"/>
          <w:szCs w:val="24"/>
          <w:lang w:val="sr-Cyrl-CS"/>
        </w:rPr>
        <w:t>ер</w:t>
      </w:r>
      <w:r w:rsidR="00DB2D9F" w:rsidRPr="00827818">
        <w:rPr>
          <w:rFonts w:ascii="Times New Roman" w:hAnsi="Times New Roman" w:cs="Times New Roman"/>
          <w:sz w:val="24"/>
          <w:szCs w:val="24"/>
          <w:lang w:val="sr-Cyrl-CS"/>
        </w:rPr>
        <w:t>и</w:t>
      </w:r>
      <w:r w:rsidR="00CD6298" w:rsidRPr="00827818">
        <w:rPr>
          <w:rFonts w:ascii="Times New Roman" w:hAnsi="Times New Roman" w:cs="Times New Roman"/>
          <w:sz w:val="24"/>
          <w:szCs w:val="24"/>
          <w:lang w:val="sr-Cyrl-CS"/>
        </w:rPr>
        <w:t xml:space="preserve"> 3.3</w:t>
      </w:r>
      <w:r w:rsidR="00DB2D9F" w:rsidRPr="00827818">
        <w:rPr>
          <w:rFonts w:ascii="Times New Roman" w:hAnsi="Times New Roman" w:cs="Times New Roman"/>
          <w:sz w:val="24"/>
          <w:szCs w:val="24"/>
          <w:lang w:val="sr-Cyrl-CS"/>
        </w:rPr>
        <w:t>:</w:t>
      </w:r>
      <w:r w:rsidR="00CD6298" w:rsidRPr="00827818">
        <w:rPr>
          <w:rFonts w:ascii="Times New Roman" w:hAnsi="Times New Roman" w:cs="Times New Roman"/>
          <w:sz w:val="24"/>
          <w:szCs w:val="24"/>
          <w:lang w:val="sr-Cyrl-CS"/>
        </w:rPr>
        <w:t xml:space="preserve"> Повећање ефикасности и ефективности инспекцијске контроле</w:t>
      </w:r>
      <w:r w:rsidR="00DB2D9F" w:rsidRPr="00827818">
        <w:rPr>
          <w:rFonts w:ascii="Times New Roman" w:hAnsi="Times New Roman" w:cs="Times New Roman"/>
          <w:sz w:val="24"/>
          <w:szCs w:val="24"/>
          <w:lang w:val="sr-Cyrl-CS"/>
        </w:rPr>
        <w:t xml:space="preserve">, у показатељу: </w:t>
      </w:r>
      <w:r w:rsidR="00EA5298" w:rsidRPr="00827818">
        <w:rPr>
          <w:rFonts w:ascii="Times New Roman" w:hAnsi="Times New Roman" w:cs="Times New Roman"/>
          <w:sz w:val="24"/>
          <w:szCs w:val="24"/>
          <w:lang w:val="sr-Cyrl-CS"/>
        </w:rPr>
        <w:t>„</w:t>
      </w:r>
      <w:r w:rsidR="00DB2D9F" w:rsidRPr="00827818">
        <w:rPr>
          <w:rFonts w:ascii="Times New Roman" w:hAnsi="Times New Roman" w:cs="Times New Roman"/>
          <w:sz w:val="24"/>
          <w:szCs w:val="24"/>
          <w:lang w:val="sr-Cyrl-CS"/>
        </w:rPr>
        <w:t>Укупан број извршених инспекцијских контрола</w:t>
      </w:r>
      <w:r w:rsidR="00FD0F9C" w:rsidRPr="00827818">
        <w:rPr>
          <w:rFonts w:ascii="Times New Roman" w:hAnsi="Times New Roman" w:cs="Times New Roman"/>
          <w:sz w:val="24"/>
          <w:szCs w:val="24"/>
          <w:lang w:val="sr-Cyrl-CS"/>
        </w:rPr>
        <w:t>”</w:t>
      </w:r>
      <w:r w:rsidR="00DB2D9F" w:rsidRPr="00827818">
        <w:rPr>
          <w:rFonts w:ascii="Times New Roman" w:hAnsi="Times New Roman" w:cs="Times New Roman"/>
          <w:sz w:val="24"/>
          <w:szCs w:val="24"/>
          <w:lang w:val="sr-Cyrl-CS"/>
        </w:rPr>
        <w:t xml:space="preserve">, </w:t>
      </w:r>
      <w:r w:rsidR="002004F5" w:rsidRPr="00827818">
        <w:rPr>
          <w:rFonts w:ascii="Times New Roman" w:hAnsi="Times New Roman" w:cs="Times New Roman"/>
          <w:sz w:val="24"/>
          <w:szCs w:val="24"/>
          <w:lang w:val="sr-Cyrl-CS"/>
        </w:rPr>
        <w:t>циљана</w:t>
      </w:r>
      <w:r w:rsidR="00DB2D9F" w:rsidRPr="00827818">
        <w:rPr>
          <w:rFonts w:ascii="Times New Roman" w:hAnsi="Times New Roman" w:cs="Times New Roman"/>
          <w:sz w:val="24"/>
          <w:szCs w:val="24"/>
          <w:lang w:val="sr-Cyrl-CS"/>
        </w:rPr>
        <w:t xml:space="preserve"> в</w:t>
      </w:r>
      <w:r w:rsidR="002004F5" w:rsidRPr="00827818">
        <w:rPr>
          <w:rFonts w:ascii="Times New Roman" w:hAnsi="Times New Roman" w:cs="Times New Roman"/>
          <w:sz w:val="24"/>
          <w:szCs w:val="24"/>
          <w:lang w:val="sr-Cyrl-CS"/>
        </w:rPr>
        <w:t>редност</w:t>
      </w:r>
      <w:r w:rsidR="00DB2D9F" w:rsidRPr="00827818">
        <w:rPr>
          <w:rFonts w:ascii="Times New Roman" w:hAnsi="Times New Roman" w:cs="Times New Roman"/>
          <w:sz w:val="24"/>
          <w:szCs w:val="24"/>
          <w:lang w:val="sr-Cyrl-CS"/>
        </w:rPr>
        <w:t xml:space="preserve"> за 2023: „54</w:t>
      </w:r>
      <w:r w:rsidR="00E65243" w:rsidRPr="00827818">
        <w:rPr>
          <w:rFonts w:ascii="Times New Roman" w:hAnsi="Times New Roman" w:cs="Times New Roman"/>
          <w:sz w:val="24"/>
          <w:szCs w:val="24"/>
          <w:lang w:val="sr-Cyrl-CS"/>
        </w:rPr>
        <w:t>ˮ</w:t>
      </w:r>
      <w:r w:rsidR="00DB2D9F" w:rsidRPr="00827818">
        <w:rPr>
          <w:rFonts w:ascii="Times New Roman" w:hAnsi="Times New Roman" w:cs="Times New Roman"/>
          <w:sz w:val="24"/>
          <w:szCs w:val="24"/>
          <w:lang w:val="sr-Cyrl-CS"/>
        </w:rPr>
        <w:t xml:space="preserve">  замењује се </w:t>
      </w:r>
      <w:r w:rsidR="002004F5" w:rsidRPr="00827818">
        <w:rPr>
          <w:rFonts w:ascii="Times New Roman" w:hAnsi="Times New Roman" w:cs="Times New Roman"/>
          <w:sz w:val="24"/>
          <w:szCs w:val="24"/>
          <w:lang w:val="sr-Cyrl-CS"/>
        </w:rPr>
        <w:t xml:space="preserve">циљаном </w:t>
      </w:r>
      <w:r w:rsidR="00DB2D9F" w:rsidRPr="00827818">
        <w:rPr>
          <w:rFonts w:ascii="Times New Roman" w:hAnsi="Times New Roman" w:cs="Times New Roman"/>
          <w:sz w:val="24"/>
          <w:szCs w:val="24"/>
          <w:lang w:val="sr-Cyrl-CS"/>
        </w:rPr>
        <w:t>вредношћу</w:t>
      </w:r>
      <w:r w:rsidR="002004F5" w:rsidRPr="00827818">
        <w:rPr>
          <w:rFonts w:ascii="Times New Roman" w:hAnsi="Times New Roman" w:cs="Times New Roman"/>
          <w:sz w:val="24"/>
          <w:szCs w:val="24"/>
          <w:lang w:val="sr-Cyrl-CS"/>
        </w:rPr>
        <w:t xml:space="preserve"> за 2023</w:t>
      </w:r>
      <w:r w:rsidR="00DB2D9F" w:rsidRPr="00827818">
        <w:rPr>
          <w:rFonts w:ascii="Times New Roman" w:hAnsi="Times New Roman" w:cs="Times New Roman"/>
          <w:sz w:val="24"/>
          <w:szCs w:val="24"/>
          <w:lang w:val="sr-Cyrl-CS"/>
        </w:rPr>
        <w:t>: „55</w:t>
      </w:r>
      <w:r w:rsidR="00E65243" w:rsidRPr="00827818">
        <w:rPr>
          <w:rFonts w:ascii="Times New Roman" w:hAnsi="Times New Roman" w:cs="Times New Roman"/>
          <w:sz w:val="24"/>
          <w:szCs w:val="24"/>
          <w:lang w:val="sr-Cyrl-CS"/>
        </w:rPr>
        <w:t>ˮ</w:t>
      </w:r>
      <w:r w:rsidR="00616D0B" w:rsidRPr="00827818">
        <w:rPr>
          <w:rFonts w:ascii="Times New Roman" w:hAnsi="Times New Roman" w:cs="Times New Roman"/>
          <w:sz w:val="24"/>
          <w:szCs w:val="24"/>
          <w:lang w:val="sr-Cyrl-CS"/>
        </w:rPr>
        <w:t>; ц</w:t>
      </w:r>
      <w:r w:rsidR="002004F5" w:rsidRPr="00827818">
        <w:rPr>
          <w:rFonts w:ascii="Times New Roman" w:hAnsi="Times New Roman" w:cs="Times New Roman"/>
          <w:sz w:val="24"/>
          <w:szCs w:val="24"/>
          <w:lang w:val="sr-Cyrl-CS"/>
        </w:rPr>
        <w:t>иљана вредност</w:t>
      </w:r>
      <w:r w:rsidR="00DB2D9F" w:rsidRPr="00827818">
        <w:rPr>
          <w:rFonts w:ascii="Times New Roman" w:hAnsi="Times New Roman" w:cs="Times New Roman"/>
          <w:sz w:val="24"/>
          <w:szCs w:val="24"/>
          <w:lang w:val="sr-Cyrl-CS"/>
        </w:rPr>
        <w:t xml:space="preserve"> за 2024: „56</w:t>
      </w:r>
      <w:r w:rsidR="00E65243" w:rsidRPr="00827818">
        <w:rPr>
          <w:rFonts w:ascii="Times New Roman" w:hAnsi="Times New Roman" w:cs="Times New Roman"/>
          <w:sz w:val="24"/>
          <w:szCs w:val="24"/>
          <w:lang w:val="sr-Cyrl-CS"/>
        </w:rPr>
        <w:t>ˮ</w:t>
      </w:r>
      <w:r w:rsidR="00DB2D9F" w:rsidRPr="00827818">
        <w:rPr>
          <w:rFonts w:ascii="Times New Roman" w:hAnsi="Times New Roman" w:cs="Times New Roman"/>
          <w:sz w:val="24"/>
          <w:szCs w:val="24"/>
          <w:lang w:val="sr-Cyrl-CS"/>
        </w:rPr>
        <w:t xml:space="preserve">  замењује се </w:t>
      </w:r>
      <w:r w:rsidR="002004F5" w:rsidRPr="00827818">
        <w:rPr>
          <w:rFonts w:ascii="Times New Roman" w:hAnsi="Times New Roman" w:cs="Times New Roman"/>
          <w:sz w:val="24"/>
          <w:szCs w:val="24"/>
          <w:lang w:val="sr-Cyrl-CS"/>
        </w:rPr>
        <w:t xml:space="preserve">циљаном </w:t>
      </w:r>
      <w:r w:rsidR="00DB2D9F" w:rsidRPr="00827818">
        <w:rPr>
          <w:rFonts w:ascii="Times New Roman" w:hAnsi="Times New Roman" w:cs="Times New Roman"/>
          <w:sz w:val="24"/>
          <w:szCs w:val="24"/>
          <w:lang w:val="sr-Cyrl-CS"/>
        </w:rPr>
        <w:t>вредношћу</w:t>
      </w:r>
      <w:r w:rsidR="002004F5" w:rsidRPr="00827818">
        <w:rPr>
          <w:rFonts w:ascii="Times New Roman" w:hAnsi="Times New Roman" w:cs="Times New Roman"/>
          <w:sz w:val="24"/>
          <w:szCs w:val="24"/>
          <w:lang w:val="sr-Cyrl-CS"/>
        </w:rPr>
        <w:t xml:space="preserve"> за 2024</w:t>
      </w:r>
      <w:r w:rsidR="00DB2D9F" w:rsidRPr="00827818">
        <w:rPr>
          <w:rFonts w:ascii="Times New Roman" w:hAnsi="Times New Roman" w:cs="Times New Roman"/>
          <w:sz w:val="24"/>
          <w:szCs w:val="24"/>
          <w:lang w:val="sr-Cyrl-CS"/>
        </w:rPr>
        <w:t>: „80</w:t>
      </w:r>
      <w:r w:rsidR="00E65243" w:rsidRPr="00827818">
        <w:rPr>
          <w:rFonts w:ascii="Times New Roman" w:hAnsi="Times New Roman" w:cs="Times New Roman"/>
          <w:sz w:val="24"/>
          <w:szCs w:val="24"/>
          <w:lang w:val="sr-Cyrl-CS"/>
        </w:rPr>
        <w:t>ˮ</w:t>
      </w:r>
      <w:r w:rsidR="001845F0" w:rsidRPr="00827818">
        <w:rPr>
          <w:rFonts w:ascii="Times New Roman" w:hAnsi="Times New Roman" w:cs="Times New Roman"/>
          <w:sz w:val="24"/>
          <w:szCs w:val="24"/>
          <w:lang w:val="sr-Cyrl-CS"/>
        </w:rPr>
        <w:t xml:space="preserve"> </w:t>
      </w:r>
      <w:r w:rsidR="00FD0F9C" w:rsidRPr="00827818">
        <w:rPr>
          <w:rFonts w:ascii="Times New Roman" w:hAnsi="Times New Roman" w:cs="Times New Roman"/>
          <w:sz w:val="24"/>
          <w:szCs w:val="24"/>
          <w:lang w:val="sr-Cyrl-CS"/>
        </w:rPr>
        <w:t xml:space="preserve">и </w:t>
      </w:r>
      <w:r w:rsidR="00616D0B" w:rsidRPr="00827818">
        <w:rPr>
          <w:rFonts w:ascii="Times New Roman" w:hAnsi="Times New Roman" w:cs="Times New Roman"/>
          <w:sz w:val="24"/>
          <w:szCs w:val="24"/>
          <w:lang w:val="sr-Cyrl-CS"/>
        </w:rPr>
        <w:t>ц</w:t>
      </w:r>
      <w:r w:rsidR="002004F5" w:rsidRPr="00827818">
        <w:rPr>
          <w:rFonts w:ascii="Times New Roman" w:hAnsi="Times New Roman" w:cs="Times New Roman"/>
          <w:sz w:val="24"/>
          <w:szCs w:val="24"/>
          <w:lang w:val="sr-Cyrl-CS"/>
        </w:rPr>
        <w:t>иљана</w:t>
      </w:r>
      <w:r w:rsidR="00DB2D9F" w:rsidRPr="00827818">
        <w:rPr>
          <w:rFonts w:ascii="Times New Roman" w:hAnsi="Times New Roman" w:cs="Times New Roman"/>
          <w:sz w:val="24"/>
          <w:szCs w:val="24"/>
          <w:lang w:val="sr-Cyrl-CS"/>
        </w:rPr>
        <w:t xml:space="preserve"> вредност за 2025: „58</w:t>
      </w:r>
      <w:r w:rsidR="00E65243" w:rsidRPr="00827818">
        <w:rPr>
          <w:rFonts w:ascii="Times New Roman" w:hAnsi="Times New Roman" w:cs="Times New Roman"/>
          <w:sz w:val="24"/>
          <w:szCs w:val="24"/>
          <w:lang w:val="sr-Cyrl-CS"/>
        </w:rPr>
        <w:t>ˮ</w:t>
      </w:r>
      <w:r w:rsidR="00DB2D9F" w:rsidRPr="00827818">
        <w:rPr>
          <w:rFonts w:ascii="Times New Roman" w:hAnsi="Times New Roman" w:cs="Times New Roman"/>
          <w:sz w:val="24"/>
          <w:szCs w:val="24"/>
          <w:lang w:val="sr-Cyrl-CS"/>
        </w:rPr>
        <w:t xml:space="preserve">  замењује се </w:t>
      </w:r>
      <w:r w:rsidR="002004F5" w:rsidRPr="00827818">
        <w:rPr>
          <w:rFonts w:ascii="Times New Roman" w:hAnsi="Times New Roman" w:cs="Times New Roman"/>
          <w:sz w:val="24"/>
          <w:szCs w:val="24"/>
          <w:lang w:val="sr-Cyrl-CS"/>
        </w:rPr>
        <w:t xml:space="preserve">циљаном </w:t>
      </w:r>
      <w:r w:rsidR="00DB2D9F" w:rsidRPr="00827818">
        <w:rPr>
          <w:rFonts w:ascii="Times New Roman" w:hAnsi="Times New Roman" w:cs="Times New Roman"/>
          <w:sz w:val="24"/>
          <w:szCs w:val="24"/>
          <w:lang w:val="sr-Cyrl-CS"/>
        </w:rPr>
        <w:t>вредношћу</w:t>
      </w:r>
      <w:r w:rsidR="002004F5" w:rsidRPr="00827818">
        <w:rPr>
          <w:rFonts w:ascii="Times New Roman" w:hAnsi="Times New Roman" w:cs="Times New Roman"/>
          <w:sz w:val="24"/>
          <w:szCs w:val="24"/>
          <w:lang w:val="sr-Cyrl-CS"/>
        </w:rPr>
        <w:t xml:space="preserve"> за 2025</w:t>
      </w:r>
      <w:r w:rsidR="00DB2D9F" w:rsidRPr="00827818">
        <w:rPr>
          <w:rFonts w:ascii="Times New Roman" w:hAnsi="Times New Roman" w:cs="Times New Roman"/>
          <w:sz w:val="24"/>
          <w:szCs w:val="24"/>
          <w:lang w:val="sr-Cyrl-CS"/>
        </w:rPr>
        <w:t>: „85</w:t>
      </w:r>
      <w:r w:rsidR="00E65243" w:rsidRPr="00827818">
        <w:rPr>
          <w:rFonts w:ascii="Times New Roman" w:hAnsi="Times New Roman" w:cs="Times New Roman"/>
          <w:sz w:val="24"/>
          <w:szCs w:val="24"/>
          <w:lang w:val="sr-Cyrl-CS"/>
        </w:rPr>
        <w:t>ˮ</w:t>
      </w:r>
      <w:r w:rsidR="00DB2D9F" w:rsidRPr="00827818">
        <w:rPr>
          <w:rFonts w:ascii="Times New Roman" w:hAnsi="Times New Roman" w:cs="Times New Roman"/>
          <w:sz w:val="24"/>
          <w:szCs w:val="24"/>
          <w:lang w:val="sr-Cyrl-CS"/>
        </w:rPr>
        <w:t>.</w:t>
      </w:r>
    </w:p>
    <w:p w:rsidR="00CB0E64" w:rsidRPr="00827818" w:rsidRDefault="00F47AA2" w:rsidP="00616D0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47</w:t>
      </w:r>
      <w:r w:rsidR="00616D0B" w:rsidRPr="00827818">
        <w:rPr>
          <w:rFonts w:ascii="Times New Roman" w:hAnsi="Times New Roman" w:cs="Times New Roman"/>
          <w:sz w:val="24"/>
          <w:szCs w:val="24"/>
          <w:lang w:val="sr-Cyrl-CS"/>
        </w:rPr>
        <w:t xml:space="preserve">. </w:t>
      </w:r>
      <w:r w:rsidR="00B40617" w:rsidRPr="00827818">
        <w:rPr>
          <w:rFonts w:ascii="Times New Roman" w:hAnsi="Times New Roman" w:cs="Times New Roman"/>
          <w:sz w:val="24"/>
          <w:szCs w:val="24"/>
          <w:lang w:val="sr-Cyrl-CS"/>
        </w:rPr>
        <w:t xml:space="preserve">У </w:t>
      </w:r>
      <w:r w:rsidR="00DB2D9F" w:rsidRPr="00827818">
        <w:rPr>
          <w:rFonts w:ascii="Times New Roman" w:hAnsi="Times New Roman" w:cs="Times New Roman"/>
          <w:sz w:val="24"/>
          <w:szCs w:val="24"/>
          <w:lang w:val="sr-Cyrl-CS"/>
        </w:rPr>
        <w:t>М</w:t>
      </w:r>
      <w:r w:rsidR="00CB0E64" w:rsidRPr="00827818">
        <w:rPr>
          <w:rFonts w:ascii="Times New Roman" w:hAnsi="Times New Roman" w:cs="Times New Roman"/>
          <w:sz w:val="24"/>
          <w:szCs w:val="24"/>
          <w:lang w:val="sr-Cyrl-CS"/>
        </w:rPr>
        <w:t>ер</w:t>
      </w:r>
      <w:r w:rsidR="00DB2D9F" w:rsidRPr="00827818">
        <w:rPr>
          <w:rFonts w:ascii="Times New Roman" w:hAnsi="Times New Roman" w:cs="Times New Roman"/>
          <w:sz w:val="24"/>
          <w:szCs w:val="24"/>
          <w:lang w:val="sr-Cyrl-CS"/>
        </w:rPr>
        <w:t>и</w:t>
      </w:r>
      <w:r w:rsidR="00CB0E64" w:rsidRPr="00827818">
        <w:rPr>
          <w:rFonts w:ascii="Times New Roman" w:hAnsi="Times New Roman" w:cs="Times New Roman"/>
          <w:sz w:val="24"/>
          <w:szCs w:val="24"/>
          <w:lang w:val="sr-Cyrl-CS"/>
        </w:rPr>
        <w:t xml:space="preserve"> 3.3</w:t>
      </w:r>
      <w:r w:rsidR="00DB2D9F" w:rsidRPr="00827818">
        <w:rPr>
          <w:rFonts w:ascii="Times New Roman" w:hAnsi="Times New Roman" w:cs="Times New Roman"/>
          <w:sz w:val="24"/>
          <w:szCs w:val="24"/>
          <w:lang w:val="sr-Cyrl-CS"/>
        </w:rPr>
        <w:t>:</w:t>
      </w:r>
      <w:r w:rsidR="00CB0E64" w:rsidRPr="00827818">
        <w:rPr>
          <w:rFonts w:ascii="Times New Roman" w:hAnsi="Times New Roman" w:cs="Times New Roman"/>
          <w:sz w:val="24"/>
          <w:szCs w:val="24"/>
          <w:lang w:val="sr-Cyrl-CS"/>
        </w:rPr>
        <w:t xml:space="preserve"> Повећање ефикасности и ефективности инспекцијске контроле</w:t>
      </w:r>
      <w:r w:rsidR="00DB2D9F" w:rsidRPr="00827818">
        <w:rPr>
          <w:rFonts w:ascii="Times New Roman" w:hAnsi="Times New Roman" w:cs="Times New Roman"/>
          <w:sz w:val="24"/>
          <w:szCs w:val="24"/>
          <w:lang w:val="sr-Cyrl-CS"/>
        </w:rPr>
        <w:t xml:space="preserve">, у показатељу: </w:t>
      </w:r>
      <w:r w:rsidR="00EA5298" w:rsidRPr="00827818">
        <w:rPr>
          <w:rFonts w:ascii="Times New Roman" w:hAnsi="Times New Roman" w:cs="Times New Roman"/>
          <w:sz w:val="24"/>
          <w:szCs w:val="24"/>
          <w:lang w:val="sr-Cyrl-CS"/>
        </w:rPr>
        <w:t>„</w:t>
      </w:r>
      <w:r w:rsidR="00DB2D9F" w:rsidRPr="00827818">
        <w:rPr>
          <w:rFonts w:ascii="Times New Roman" w:hAnsi="Times New Roman" w:cs="Times New Roman"/>
          <w:sz w:val="24"/>
          <w:szCs w:val="24"/>
          <w:lang w:val="sr-Cyrl-CS"/>
        </w:rPr>
        <w:t>Проценат планираних контрола у односу на број примљених представки, пријава и захтева за контролу</w:t>
      </w:r>
      <w:r w:rsidR="00FD0F9C" w:rsidRPr="00827818">
        <w:rPr>
          <w:rFonts w:ascii="Times New Roman" w:hAnsi="Times New Roman" w:cs="Times New Roman"/>
          <w:sz w:val="24"/>
          <w:szCs w:val="24"/>
          <w:lang w:val="sr-Cyrl-CS"/>
        </w:rPr>
        <w:t>”</w:t>
      </w:r>
      <w:r w:rsidR="0016681C" w:rsidRPr="00827818">
        <w:rPr>
          <w:rFonts w:ascii="Times New Roman" w:hAnsi="Times New Roman" w:cs="Times New Roman"/>
          <w:sz w:val="24"/>
          <w:szCs w:val="24"/>
          <w:lang w:val="sr-Cyrl-CS"/>
        </w:rPr>
        <w:t>,</w:t>
      </w:r>
      <w:r w:rsidR="00DB2D9F" w:rsidRPr="00827818">
        <w:rPr>
          <w:rFonts w:ascii="Times New Roman" w:hAnsi="Times New Roman" w:cs="Times New Roman"/>
          <w:sz w:val="24"/>
          <w:szCs w:val="24"/>
          <w:lang w:val="sr-Cyrl-CS"/>
        </w:rPr>
        <w:t xml:space="preserve"> </w:t>
      </w:r>
      <w:r w:rsidR="00F10031" w:rsidRPr="00827818">
        <w:rPr>
          <w:rFonts w:ascii="Times New Roman" w:hAnsi="Times New Roman" w:cs="Times New Roman"/>
          <w:sz w:val="24"/>
          <w:szCs w:val="24"/>
          <w:lang w:val="sr-Cyrl-CS"/>
        </w:rPr>
        <w:t>циљана</w:t>
      </w:r>
      <w:r w:rsidR="0016681C" w:rsidRPr="00827818">
        <w:rPr>
          <w:rFonts w:ascii="Times New Roman" w:hAnsi="Times New Roman" w:cs="Times New Roman"/>
          <w:sz w:val="24"/>
          <w:szCs w:val="24"/>
          <w:lang w:val="sr-Cyrl-CS"/>
        </w:rPr>
        <w:t xml:space="preserve"> </w:t>
      </w:r>
      <w:r w:rsidR="00F10031" w:rsidRPr="00827818">
        <w:rPr>
          <w:rFonts w:ascii="Times New Roman" w:hAnsi="Times New Roman" w:cs="Times New Roman"/>
          <w:sz w:val="24"/>
          <w:szCs w:val="24"/>
          <w:lang w:val="sr-Cyrl-CS"/>
        </w:rPr>
        <w:t>вредност</w:t>
      </w:r>
      <w:r w:rsidR="0016681C" w:rsidRPr="00827818">
        <w:rPr>
          <w:rFonts w:ascii="Times New Roman" w:hAnsi="Times New Roman" w:cs="Times New Roman"/>
          <w:sz w:val="24"/>
          <w:szCs w:val="24"/>
          <w:lang w:val="sr-Cyrl-CS"/>
        </w:rPr>
        <w:t xml:space="preserve"> за 2024: „25%</w:t>
      </w:r>
      <w:r w:rsidR="00E65243" w:rsidRPr="00827818">
        <w:rPr>
          <w:rFonts w:ascii="Times New Roman" w:hAnsi="Times New Roman" w:cs="Times New Roman"/>
          <w:sz w:val="24"/>
          <w:szCs w:val="24"/>
          <w:lang w:val="sr-Cyrl-CS"/>
        </w:rPr>
        <w:t>ˮ</w:t>
      </w:r>
      <w:r w:rsidR="0016681C" w:rsidRPr="00827818">
        <w:rPr>
          <w:rFonts w:ascii="Times New Roman" w:hAnsi="Times New Roman" w:cs="Times New Roman"/>
          <w:sz w:val="24"/>
          <w:szCs w:val="24"/>
          <w:lang w:val="sr-Cyrl-CS"/>
        </w:rPr>
        <w:t xml:space="preserve">  замењује се </w:t>
      </w:r>
      <w:r w:rsidR="00F10031" w:rsidRPr="00827818">
        <w:rPr>
          <w:rFonts w:ascii="Times New Roman" w:hAnsi="Times New Roman" w:cs="Times New Roman"/>
          <w:sz w:val="24"/>
          <w:szCs w:val="24"/>
          <w:lang w:val="sr-Cyrl-CS"/>
        </w:rPr>
        <w:t xml:space="preserve">циљаном </w:t>
      </w:r>
      <w:r w:rsidR="0016681C" w:rsidRPr="00827818">
        <w:rPr>
          <w:rFonts w:ascii="Times New Roman" w:hAnsi="Times New Roman" w:cs="Times New Roman"/>
          <w:sz w:val="24"/>
          <w:szCs w:val="24"/>
          <w:lang w:val="sr-Cyrl-CS"/>
        </w:rPr>
        <w:t>вредношћу</w:t>
      </w:r>
      <w:r w:rsidR="00F10031" w:rsidRPr="00827818">
        <w:rPr>
          <w:rFonts w:ascii="Times New Roman" w:hAnsi="Times New Roman" w:cs="Times New Roman"/>
          <w:sz w:val="24"/>
          <w:szCs w:val="24"/>
          <w:lang w:val="sr-Cyrl-CS"/>
        </w:rPr>
        <w:t xml:space="preserve"> за 2024</w:t>
      </w:r>
      <w:r w:rsidR="0016681C" w:rsidRPr="00827818">
        <w:rPr>
          <w:rFonts w:ascii="Times New Roman" w:hAnsi="Times New Roman" w:cs="Times New Roman"/>
          <w:sz w:val="24"/>
          <w:szCs w:val="24"/>
          <w:lang w:val="sr-Cyrl-CS"/>
        </w:rPr>
        <w:t xml:space="preserve">: „30% </w:t>
      </w:r>
      <w:r w:rsidR="00FD0F9C" w:rsidRPr="00827818">
        <w:rPr>
          <w:rFonts w:ascii="Times New Roman" w:hAnsi="Times New Roman" w:cs="Times New Roman"/>
          <w:sz w:val="24"/>
          <w:szCs w:val="24"/>
          <w:lang w:val="sr-Cyrl-CS"/>
        </w:rPr>
        <w:t xml:space="preserve">и </w:t>
      </w:r>
      <w:r w:rsidR="001E1940" w:rsidRPr="00827818">
        <w:rPr>
          <w:rFonts w:ascii="Times New Roman" w:hAnsi="Times New Roman" w:cs="Times New Roman"/>
          <w:sz w:val="24"/>
          <w:szCs w:val="24"/>
          <w:lang w:val="sr-Cyrl-CS"/>
        </w:rPr>
        <w:t>ц</w:t>
      </w:r>
      <w:r w:rsidR="00F10031" w:rsidRPr="00827818">
        <w:rPr>
          <w:rFonts w:ascii="Times New Roman" w:hAnsi="Times New Roman" w:cs="Times New Roman"/>
          <w:sz w:val="24"/>
          <w:szCs w:val="24"/>
          <w:lang w:val="sr-Cyrl-CS"/>
        </w:rPr>
        <w:t>иљана</w:t>
      </w:r>
      <w:r w:rsidR="0016681C" w:rsidRPr="00827818">
        <w:rPr>
          <w:rFonts w:ascii="Times New Roman" w:hAnsi="Times New Roman" w:cs="Times New Roman"/>
          <w:sz w:val="24"/>
          <w:szCs w:val="24"/>
          <w:lang w:val="sr-Cyrl-CS"/>
        </w:rPr>
        <w:t xml:space="preserve"> вредност за 2025: „30%</w:t>
      </w:r>
      <w:r w:rsidR="00E65243" w:rsidRPr="00827818">
        <w:rPr>
          <w:rFonts w:ascii="Times New Roman" w:hAnsi="Times New Roman" w:cs="Times New Roman"/>
          <w:sz w:val="24"/>
          <w:szCs w:val="24"/>
          <w:lang w:val="sr-Cyrl-CS"/>
        </w:rPr>
        <w:t>ˮ</w:t>
      </w:r>
      <w:r w:rsidR="0016681C" w:rsidRPr="00827818">
        <w:rPr>
          <w:rFonts w:ascii="Times New Roman" w:hAnsi="Times New Roman" w:cs="Times New Roman"/>
          <w:sz w:val="24"/>
          <w:szCs w:val="24"/>
          <w:lang w:val="sr-Cyrl-CS"/>
        </w:rPr>
        <w:t xml:space="preserve">  замењује се </w:t>
      </w:r>
      <w:r w:rsidR="00F10031" w:rsidRPr="00827818">
        <w:rPr>
          <w:rFonts w:ascii="Times New Roman" w:hAnsi="Times New Roman" w:cs="Times New Roman"/>
          <w:sz w:val="24"/>
          <w:szCs w:val="24"/>
          <w:lang w:val="sr-Cyrl-CS"/>
        </w:rPr>
        <w:t xml:space="preserve">циљаном </w:t>
      </w:r>
      <w:r w:rsidR="0016681C" w:rsidRPr="00827818">
        <w:rPr>
          <w:rFonts w:ascii="Times New Roman" w:hAnsi="Times New Roman" w:cs="Times New Roman"/>
          <w:sz w:val="24"/>
          <w:szCs w:val="24"/>
          <w:lang w:val="sr-Cyrl-CS"/>
        </w:rPr>
        <w:t>вредношћу</w:t>
      </w:r>
      <w:r w:rsidR="00F10031" w:rsidRPr="00827818">
        <w:rPr>
          <w:rFonts w:ascii="Times New Roman" w:hAnsi="Times New Roman" w:cs="Times New Roman"/>
          <w:sz w:val="24"/>
          <w:szCs w:val="24"/>
          <w:lang w:val="sr-Cyrl-CS"/>
        </w:rPr>
        <w:t xml:space="preserve"> за 2025</w:t>
      </w:r>
      <w:r w:rsidR="0016681C" w:rsidRPr="00827818">
        <w:rPr>
          <w:rFonts w:ascii="Times New Roman" w:hAnsi="Times New Roman" w:cs="Times New Roman"/>
          <w:sz w:val="24"/>
          <w:szCs w:val="24"/>
          <w:lang w:val="sr-Cyrl-CS"/>
        </w:rPr>
        <w:t>: „33%</w:t>
      </w:r>
      <w:r w:rsidR="00E65243" w:rsidRPr="00827818">
        <w:rPr>
          <w:rFonts w:ascii="Times New Roman" w:hAnsi="Times New Roman" w:cs="Times New Roman"/>
          <w:sz w:val="24"/>
          <w:szCs w:val="24"/>
          <w:lang w:val="sr-Cyrl-CS"/>
        </w:rPr>
        <w:t>ˮ</w:t>
      </w:r>
      <w:r w:rsidR="0016681C" w:rsidRPr="00827818">
        <w:rPr>
          <w:rFonts w:ascii="Times New Roman" w:hAnsi="Times New Roman" w:cs="Times New Roman"/>
          <w:sz w:val="24"/>
          <w:szCs w:val="24"/>
          <w:lang w:val="sr-Cyrl-CS"/>
        </w:rPr>
        <w:t>.</w:t>
      </w:r>
    </w:p>
    <w:p w:rsidR="004E46BA" w:rsidRPr="00827818" w:rsidRDefault="00F47AA2" w:rsidP="00E604FD">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48</w:t>
      </w:r>
      <w:r w:rsidR="00E604FD" w:rsidRPr="00827818">
        <w:rPr>
          <w:rFonts w:ascii="Times New Roman" w:hAnsi="Times New Roman" w:cs="Times New Roman"/>
          <w:sz w:val="24"/>
          <w:szCs w:val="24"/>
          <w:lang w:val="sr-Cyrl-CS"/>
        </w:rPr>
        <w:t xml:space="preserve">. </w:t>
      </w:r>
      <w:r w:rsidR="00B40617" w:rsidRPr="00827818">
        <w:rPr>
          <w:rFonts w:ascii="Times New Roman" w:hAnsi="Times New Roman" w:cs="Times New Roman"/>
          <w:sz w:val="24"/>
          <w:szCs w:val="24"/>
          <w:lang w:val="sr-Cyrl-CS"/>
        </w:rPr>
        <w:t xml:space="preserve">У </w:t>
      </w:r>
      <w:r w:rsidR="00B433B0" w:rsidRPr="00827818">
        <w:rPr>
          <w:rFonts w:ascii="Times New Roman" w:hAnsi="Times New Roman" w:cs="Times New Roman"/>
          <w:sz w:val="24"/>
          <w:szCs w:val="24"/>
          <w:lang w:val="sr-Cyrl-CS"/>
        </w:rPr>
        <w:t>М</w:t>
      </w:r>
      <w:r w:rsidR="00CB0E64" w:rsidRPr="00827818">
        <w:rPr>
          <w:rFonts w:ascii="Times New Roman" w:hAnsi="Times New Roman" w:cs="Times New Roman"/>
          <w:sz w:val="24"/>
          <w:szCs w:val="24"/>
          <w:lang w:val="sr-Cyrl-CS"/>
        </w:rPr>
        <w:t>ер</w:t>
      </w:r>
      <w:r w:rsidR="00B433B0" w:rsidRPr="00827818">
        <w:rPr>
          <w:rFonts w:ascii="Times New Roman" w:hAnsi="Times New Roman" w:cs="Times New Roman"/>
          <w:sz w:val="24"/>
          <w:szCs w:val="24"/>
          <w:lang w:val="sr-Cyrl-CS"/>
        </w:rPr>
        <w:t>и</w:t>
      </w:r>
      <w:r w:rsidR="00CB0E64" w:rsidRPr="00827818">
        <w:rPr>
          <w:rFonts w:ascii="Times New Roman" w:hAnsi="Times New Roman" w:cs="Times New Roman"/>
          <w:sz w:val="24"/>
          <w:szCs w:val="24"/>
          <w:lang w:val="sr-Cyrl-CS"/>
        </w:rPr>
        <w:t xml:space="preserve"> 3.3</w:t>
      </w:r>
      <w:r w:rsidR="00B433B0" w:rsidRPr="00827818">
        <w:rPr>
          <w:rFonts w:ascii="Times New Roman" w:hAnsi="Times New Roman" w:cs="Times New Roman"/>
          <w:sz w:val="24"/>
          <w:szCs w:val="24"/>
          <w:lang w:val="sr-Cyrl-CS"/>
        </w:rPr>
        <w:t>:</w:t>
      </w:r>
      <w:r w:rsidR="00CB0E64" w:rsidRPr="00827818">
        <w:rPr>
          <w:rFonts w:ascii="Times New Roman" w:hAnsi="Times New Roman" w:cs="Times New Roman"/>
          <w:sz w:val="24"/>
          <w:szCs w:val="24"/>
          <w:lang w:val="sr-Cyrl-CS"/>
        </w:rPr>
        <w:t xml:space="preserve"> Повећање ефикасности и ефективности инспекцијске контроле,</w:t>
      </w:r>
      <w:r w:rsidR="00B40617" w:rsidRPr="00827818">
        <w:rPr>
          <w:rFonts w:ascii="Times New Roman" w:hAnsi="Times New Roman" w:cs="Times New Roman"/>
          <w:sz w:val="24"/>
          <w:szCs w:val="24"/>
          <w:lang w:val="sr-Cyrl-CS"/>
        </w:rPr>
        <w:t xml:space="preserve"> назив активности 3.3.3</w:t>
      </w:r>
      <w:r w:rsidR="00983E1C" w:rsidRPr="00827818">
        <w:rPr>
          <w:rFonts w:ascii="Times New Roman" w:hAnsi="Times New Roman" w:cs="Times New Roman"/>
          <w:sz w:val="24"/>
          <w:szCs w:val="24"/>
          <w:lang w:val="sr-Cyrl-CS"/>
        </w:rPr>
        <w:t>:</w:t>
      </w:r>
      <w:r w:rsidR="00CB0E64" w:rsidRPr="00827818">
        <w:rPr>
          <w:rFonts w:ascii="Times New Roman" w:hAnsi="Times New Roman" w:cs="Times New Roman"/>
          <w:sz w:val="24"/>
          <w:szCs w:val="24"/>
          <w:lang w:val="sr-Cyrl-CS"/>
        </w:rPr>
        <w:t xml:space="preserve"> </w:t>
      </w:r>
      <w:r w:rsidR="00F10031" w:rsidRPr="00827818">
        <w:rPr>
          <w:rFonts w:ascii="Times New Roman" w:hAnsi="Times New Roman" w:cs="Times New Roman"/>
          <w:sz w:val="24"/>
          <w:szCs w:val="24"/>
          <w:lang w:val="sr-Cyrl-CS"/>
        </w:rPr>
        <w:t>„</w:t>
      </w:r>
      <w:r w:rsidR="00B40617" w:rsidRPr="00827818">
        <w:rPr>
          <w:rFonts w:ascii="Times New Roman" w:hAnsi="Times New Roman" w:cs="Times New Roman"/>
          <w:sz w:val="24"/>
          <w:szCs w:val="24"/>
          <w:lang w:val="sr-Cyrl-CS"/>
        </w:rPr>
        <w:t>Обезбеђивање потребног броја инспектора – 38 у 2025</w:t>
      </w:r>
      <w:r w:rsidR="00E65243" w:rsidRPr="00827818">
        <w:rPr>
          <w:rFonts w:ascii="Times New Roman" w:hAnsi="Times New Roman" w:cs="Times New Roman"/>
          <w:sz w:val="24"/>
          <w:szCs w:val="24"/>
          <w:lang w:val="sr-Cyrl-CS"/>
        </w:rPr>
        <w:t>ˮ</w:t>
      </w:r>
      <w:r w:rsidR="00983E1C" w:rsidRPr="00827818">
        <w:rPr>
          <w:rFonts w:ascii="Times New Roman" w:hAnsi="Times New Roman" w:cs="Times New Roman"/>
          <w:sz w:val="24"/>
          <w:szCs w:val="24"/>
          <w:lang w:val="sr-Cyrl-CS"/>
        </w:rPr>
        <w:t xml:space="preserve">, замењује се називом: </w:t>
      </w:r>
      <w:r w:rsidR="00CB0E64" w:rsidRPr="00827818">
        <w:rPr>
          <w:rFonts w:ascii="Times New Roman" w:hAnsi="Times New Roman" w:cs="Times New Roman"/>
          <w:sz w:val="24"/>
          <w:szCs w:val="24"/>
          <w:lang w:val="sr-Cyrl-CS"/>
        </w:rPr>
        <w:t>„Обезбеђивање потребног броја инспектора – 50 у 2025. години</w:t>
      </w:r>
      <w:r w:rsidR="00E65243" w:rsidRPr="00827818">
        <w:rPr>
          <w:rFonts w:ascii="Times New Roman" w:hAnsi="Times New Roman" w:cs="Times New Roman"/>
          <w:sz w:val="24"/>
          <w:szCs w:val="24"/>
          <w:lang w:val="sr-Cyrl-CS"/>
        </w:rPr>
        <w:t>ˮ</w:t>
      </w:r>
      <w:r w:rsidR="00983E1C" w:rsidRPr="00827818">
        <w:rPr>
          <w:rFonts w:ascii="Times New Roman" w:hAnsi="Times New Roman" w:cs="Times New Roman"/>
          <w:sz w:val="24"/>
          <w:szCs w:val="24"/>
          <w:lang w:val="sr-Cyrl-CS"/>
        </w:rPr>
        <w:t>;</w:t>
      </w:r>
      <w:r w:rsidR="00CB0E64" w:rsidRPr="00827818">
        <w:rPr>
          <w:rFonts w:ascii="Times New Roman" w:hAnsi="Times New Roman" w:cs="Times New Roman"/>
          <w:sz w:val="24"/>
          <w:szCs w:val="24"/>
          <w:lang w:val="sr-Cyrl-CS"/>
        </w:rPr>
        <w:t xml:space="preserve"> </w:t>
      </w:r>
      <w:r w:rsidR="00F47148" w:rsidRPr="00827818">
        <w:rPr>
          <w:rFonts w:ascii="Times New Roman" w:hAnsi="Times New Roman" w:cs="Times New Roman"/>
          <w:sz w:val="24"/>
          <w:szCs w:val="24"/>
          <w:lang w:val="sr-Cyrl-CS"/>
        </w:rPr>
        <w:t>Укупна процењена финансијска средства по изворима у 000 дин, за 2023: „16.738</w:t>
      </w:r>
      <w:r w:rsidR="00E65243" w:rsidRPr="00827818">
        <w:rPr>
          <w:rFonts w:ascii="Times New Roman" w:hAnsi="Times New Roman" w:cs="Times New Roman"/>
          <w:sz w:val="24"/>
          <w:szCs w:val="24"/>
          <w:lang w:val="sr-Cyrl-CS"/>
        </w:rPr>
        <w:t>ˮ</w:t>
      </w:r>
      <w:r w:rsidR="00F47148" w:rsidRPr="00827818">
        <w:rPr>
          <w:rFonts w:ascii="Times New Roman" w:hAnsi="Times New Roman" w:cs="Times New Roman"/>
          <w:sz w:val="24"/>
          <w:szCs w:val="24"/>
          <w:lang w:val="sr-Cyrl-CS"/>
        </w:rPr>
        <w:t xml:space="preserve"> замењује се укупним процењеним финансијским средствима по изворима у 000 дин, за 2023: „</w:t>
      </w:r>
      <w:r w:rsidR="004E46BA" w:rsidRPr="00827818">
        <w:rPr>
          <w:rFonts w:ascii="Times New Roman" w:hAnsi="Times New Roman" w:cs="Times New Roman"/>
          <w:sz w:val="24"/>
          <w:szCs w:val="24"/>
          <w:lang w:val="sr-Cyrl-CS"/>
        </w:rPr>
        <w:t>55</w:t>
      </w:r>
      <w:r w:rsidR="00F47148"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651</w:t>
      </w:r>
      <w:r w:rsidR="00E65243" w:rsidRPr="00827818">
        <w:rPr>
          <w:rFonts w:ascii="Times New Roman" w:hAnsi="Times New Roman" w:cs="Times New Roman"/>
          <w:sz w:val="24"/>
          <w:szCs w:val="24"/>
          <w:lang w:val="sr-Cyrl-CS"/>
        </w:rPr>
        <w:t>ˮ</w:t>
      </w:r>
      <w:r w:rsidR="00F47148" w:rsidRPr="00827818">
        <w:rPr>
          <w:rFonts w:ascii="Times New Roman" w:hAnsi="Times New Roman" w:cs="Times New Roman"/>
          <w:sz w:val="24"/>
          <w:szCs w:val="24"/>
          <w:lang w:val="sr-Cyrl-CS"/>
        </w:rPr>
        <w:t>; Укупна процењена финансијска средства по изворима у 000 дин, за 2024: „(-)</w:t>
      </w:r>
      <w:r w:rsidR="00E65243" w:rsidRPr="00827818">
        <w:rPr>
          <w:rFonts w:ascii="Times New Roman" w:hAnsi="Times New Roman" w:cs="Times New Roman"/>
          <w:sz w:val="24"/>
          <w:szCs w:val="24"/>
          <w:lang w:val="sr-Cyrl-CS"/>
        </w:rPr>
        <w:t>ˮ</w:t>
      </w:r>
      <w:r w:rsidR="00F47148" w:rsidRPr="00827818">
        <w:rPr>
          <w:rFonts w:ascii="Times New Roman" w:hAnsi="Times New Roman" w:cs="Times New Roman"/>
          <w:sz w:val="24"/>
          <w:szCs w:val="24"/>
          <w:lang w:val="sr-Cyrl-CS"/>
        </w:rPr>
        <w:t xml:space="preserve"> замењује се укупним процењеним финансијским средствима по изворима у 000 дин, за 2024: „</w:t>
      </w:r>
      <w:r w:rsidR="004E46BA" w:rsidRPr="00827818">
        <w:rPr>
          <w:rFonts w:ascii="Times New Roman" w:hAnsi="Times New Roman" w:cs="Times New Roman"/>
          <w:sz w:val="24"/>
          <w:szCs w:val="24"/>
          <w:lang w:val="sr-Cyrl-CS"/>
        </w:rPr>
        <w:t>61</w:t>
      </w:r>
      <w:r w:rsidR="00F47148" w:rsidRPr="00827818">
        <w:rPr>
          <w:rFonts w:ascii="Times New Roman" w:hAnsi="Times New Roman" w:cs="Times New Roman"/>
          <w:sz w:val="24"/>
          <w:szCs w:val="24"/>
          <w:lang w:val="sr-Cyrl-CS"/>
        </w:rPr>
        <w:t>.</w:t>
      </w:r>
      <w:r w:rsidR="004E46BA" w:rsidRPr="00827818">
        <w:rPr>
          <w:rFonts w:ascii="Times New Roman" w:hAnsi="Times New Roman" w:cs="Times New Roman"/>
          <w:sz w:val="24"/>
          <w:szCs w:val="24"/>
          <w:lang w:val="sr-Cyrl-CS"/>
        </w:rPr>
        <w:t>408</w:t>
      </w:r>
      <w:r w:rsidR="00E65243" w:rsidRPr="00827818">
        <w:rPr>
          <w:rFonts w:ascii="Times New Roman" w:hAnsi="Times New Roman" w:cs="Times New Roman"/>
          <w:sz w:val="24"/>
          <w:szCs w:val="24"/>
          <w:lang w:val="sr-Cyrl-CS"/>
        </w:rPr>
        <w:t>ˮ</w:t>
      </w:r>
      <w:r w:rsidR="004E46BA" w:rsidRPr="00827818">
        <w:rPr>
          <w:rFonts w:ascii="Times New Roman" w:hAnsi="Times New Roman" w:cs="Times New Roman"/>
          <w:sz w:val="24"/>
          <w:szCs w:val="24"/>
          <w:lang w:val="sr-Cyrl-CS"/>
        </w:rPr>
        <w:t xml:space="preserve"> и додају се укупна процењена финансијска средства по изворима у 000 дин, за 202</w:t>
      </w:r>
      <w:r w:rsidR="00FD0F9C" w:rsidRPr="00827818">
        <w:rPr>
          <w:rFonts w:ascii="Times New Roman" w:hAnsi="Times New Roman" w:cs="Times New Roman"/>
          <w:sz w:val="24"/>
          <w:szCs w:val="24"/>
          <w:lang w:val="sr-Cyrl-CS"/>
        </w:rPr>
        <w:t>5. и гласе „71.003”</w:t>
      </w:r>
      <w:r w:rsidR="009C77FC" w:rsidRPr="00827818">
        <w:rPr>
          <w:rFonts w:ascii="Times New Roman" w:hAnsi="Times New Roman" w:cs="Times New Roman"/>
          <w:sz w:val="24"/>
          <w:szCs w:val="24"/>
          <w:lang w:val="sr-Cyrl-CS"/>
        </w:rPr>
        <w:t>.</w:t>
      </w:r>
      <w:r w:rsidR="00FD0F9C" w:rsidRPr="00827818">
        <w:rPr>
          <w:rFonts w:ascii="Times New Roman" w:hAnsi="Times New Roman" w:cs="Times New Roman"/>
          <w:sz w:val="24"/>
          <w:szCs w:val="24"/>
          <w:lang w:val="sr-Cyrl-CS"/>
        </w:rPr>
        <w:t xml:space="preserve"> </w:t>
      </w:r>
    </w:p>
    <w:p w:rsidR="000E5BA1" w:rsidRPr="00827818" w:rsidRDefault="00F47AA2" w:rsidP="006048B3">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49</w:t>
      </w:r>
      <w:r w:rsidR="006048B3" w:rsidRPr="00827818">
        <w:rPr>
          <w:rFonts w:ascii="Times New Roman" w:hAnsi="Times New Roman" w:cs="Times New Roman"/>
          <w:sz w:val="24"/>
          <w:szCs w:val="24"/>
          <w:lang w:val="sr-Cyrl-CS"/>
        </w:rPr>
        <w:t>.</w:t>
      </w:r>
      <w:r w:rsidR="00F0741A"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F47148" w:rsidRPr="00827818">
        <w:rPr>
          <w:rFonts w:ascii="Times New Roman" w:hAnsi="Times New Roman" w:cs="Times New Roman"/>
          <w:sz w:val="24"/>
          <w:szCs w:val="24"/>
          <w:lang w:val="sr-Cyrl-CS"/>
        </w:rPr>
        <w:t xml:space="preserve">оквиру </w:t>
      </w:r>
      <w:r w:rsidR="000E5BA1" w:rsidRPr="00827818">
        <w:rPr>
          <w:rFonts w:ascii="Times New Roman" w:hAnsi="Times New Roman" w:cs="Times New Roman"/>
          <w:sz w:val="24"/>
          <w:szCs w:val="24"/>
          <w:lang w:val="sr-Cyrl-CS"/>
        </w:rPr>
        <w:t>Посебн</w:t>
      </w:r>
      <w:r w:rsidR="00F47148" w:rsidRPr="00827818">
        <w:rPr>
          <w:rFonts w:ascii="Times New Roman" w:hAnsi="Times New Roman" w:cs="Times New Roman"/>
          <w:sz w:val="24"/>
          <w:szCs w:val="24"/>
          <w:lang w:val="sr-Cyrl-CS"/>
        </w:rPr>
        <w:t>ог</w:t>
      </w:r>
      <w:r w:rsidR="000E5BA1" w:rsidRPr="00827818">
        <w:rPr>
          <w:rFonts w:ascii="Times New Roman" w:hAnsi="Times New Roman" w:cs="Times New Roman"/>
          <w:sz w:val="24"/>
          <w:szCs w:val="24"/>
          <w:lang w:val="sr-Cyrl-CS"/>
        </w:rPr>
        <w:t xml:space="preserve"> циљ</w:t>
      </w:r>
      <w:r w:rsidR="00F47148" w:rsidRPr="00827818">
        <w:rPr>
          <w:rFonts w:ascii="Times New Roman" w:hAnsi="Times New Roman" w:cs="Times New Roman"/>
          <w:sz w:val="24"/>
          <w:szCs w:val="24"/>
          <w:lang w:val="sr-Cyrl-CS"/>
        </w:rPr>
        <w:t>а</w:t>
      </w:r>
      <w:r w:rsidR="005944CD" w:rsidRPr="00827818">
        <w:rPr>
          <w:rFonts w:ascii="Times New Roman" w:hAnsi="Times New Roman" w:cs="Times New Roman"/>
          <w:sz w:val="24"/>
          <w:szCs w:val="24"/>
          <w:lang w:val="sr-Cyrl-CS"/>
        </w:rPr>
        <w:t xml:space="preserve"> IV</w:t>
      </w:r>
      <w:r w:rsidR="00FD0F9C"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Унапређење примене система интерне финансијске контроле у јавном сектору,</w:t>
      </w:r>
      <w:r w:rsidR="00F47148"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F47148" w:rsidRPr="00827818">
        <w:rPr>
          <w:rFonts w:ascii="Times New Roman" w:hAnsi="Times New Roman" w:cs="Times New Roman"/>
          <w:bCs/>
          <w:sz w:val="24"/>
          <w:szCs w:val="24"/>
          <w:lang w:val="sr-Cyrl-CS"/>
        </w:rPr>
        <w:t>М</w:t>
      </w:r>
      <w:r w:rsidR="000E5BA1" w:rsidRPr="00827818">
        <w:rPr>
          <w:rFonts w:ascii="Times New Roman" w:hAnsi="Times New Roman" w:cs="Times New Roman"/>
          <w:bCs/>
          <w:sz w:val="24"/>
          <w:szCs w:val="24"/>
          <w:lang w:val="sr-Cyrl-CS"/>
        </w:rPr>
        <w:t>ер</w:t>
      </w:r>
      <w:r w:rsidR="00F47148" w:rsidRPr="00827818">
        <w:rPr>
          <w:rFonts w:ascii="Times New Roman" w:hAnsi="Times New Roman" w:cs="Times New Roman"/>
          <w:bCs/>
          <w:sz w:val="24"/>
          <w:szCs w:val="24"/>
          <w:lang w:val="sr-Cyrl-CS"/>
        </w:rPr>
        <w:t>и</w:t>
      </w:r>
      <w:r w:rsidR="000E5BA1" w:rsidRPr="00827818">
        <w:rPr>
          <w:rFonts w:ascii="Times New Roman" w:hAnsi="Times New Roman" w:cs="Times New Roman"/>
          <w:bCs/>
          <w:sz w:val="24"/>
          <w:szCs w:val="24"/>
          <w:lang w:val="sr-Cyrl-CS"/>
        </w:rPr>
        <w:t xml:space="preserve"> 4.1: Унапређење система ФУК-а у институцијама јавног сектора</w:t>
      </w:r>
      <w:r w:rsidR="00F276B1" w:rsidRPr="00827818">
        <w:rPr>
          <w:rFonts w:ascii="Times New Roman" w:hAnsi="Times New Roman" w:cs="Times New Roman"/>
          <w:bCs/>
          <w:sz w:val="24"/>
          <w:szCs w:val="24"/>
          <w:lang w:val="sr-Cyrl-CS"/>
        </w:rPr>
        <w:t>,</w:t>
      </w:r>
      <w:r w:rsidR="00712B99" w:rsidRPr="00827818">
        <w:rPr>
          <w:rFonts w:ascii="Times New Roman" w:hAnsi="Times New Roman" w:cs="Times New Roman"/>
          <w:bCs/>
          <w:sz w:val="24"/>
          <w:szCs w:val="24"/>
          <w:lang w:val="sr-Cyrl-CS"/>
        </w:rPr>
        <w:t xml:space="preserve"> </w:t>
      </w:r>
      <w:r w:rsidR="00F276B1" w:rsidRPr="00827818">
        <w:rPr>
          <w:rFonts w:ascii="Times New Roman" w:hAnsi="Times New Roman" w:cs="Times New Roman"/>
          <w:sz w:val="24"/>
          <w:szCs w:val="24"/>
          <w:lang w:val="sr-Cyrl-CS"/>
        </w:rPr>
        <w:t>пок</w:t>
      </w:r>
      <w:r w:rsidR="005944CD" w:rsidRPr="00827818">
        <w:rPr>
          <w:rFonts w:ascii="Times New Roman" w:hAnsi="Times New Roman" w:cs="Times New Roman"/>
          <w:sz w:val="24"/>
          <w:szCs w:val="24"/>
          <w:lang w:val="sr-Cyrl-CS"/>
        </w:rPr>
        <w:t>а</w:t>
      </w:r>
      <w:r w:rsidR="00F276B1" w:rsidRPr="00827818">
        <w:rPr>
          <w:rFonts w:ascii="Times New Roman" w:hAnsi="Times New Roman" w:cs="Times New Roman"/>
          <w:sz w:val="24"/>
          <w:szCs w:val="24"/>
          <w:lang w:val="sr-Cyrl-CS"/>
        </w:rPr>
        <w:t>затељ:</w:t>
      </w:r>
      <w:r w:rsidR="000E5BA1" w:rsidRPr="00827818">
        <w:rPr>
          <w:rFonts w:ascii="Times New Roman" w:hAnsi="Times New Roman" w:cs="Times New Roman"/>
          <w:sz w:val="24"/>
          <w:szCs w:val="24"/>
          <w:lang w:val="sr-Cyrl-CS"/>
        </w:rPr>
        <w:t xml:space="preserve"> </w:t>
      </w:r>
      <w:r w:rsidR="00086BA5"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Просечна оцена приоритетне групе КЈС  који ажурирају Регистар ризика (обављају процену ризика и преглед адекватности мера бар једном годишње)</w:t>
      </w:r>
      <w:r w:rsidR="00FD0F9C" w:rsidRPr="00827818">
        <w:rPr>
          <w:rFonts w:ascii="Times New Roman" w:hAnsi="Times New Roman" w:cs="Times New Roman"/>
          <w:sz w:val="24"/>
          <w:szCs w:val="24"/>
          <w:lang w:val="sr-Cyrl-CS"/>
        </w:rPr>
        <w:t>”</w:t>
      </w:r>
      <w:r w:rsidR="00086BA5" w:rsidRPr="00827818">
        <w:rPr>
          <w:rFonts w:ascii="Times New Roman" w:hAnsi="Times New Roman" w:cs="Times New Roman"/>
          <w:sz w:val="24"/>
          <w:szCs w:val="24"/>
          <w:lang w:val="sr-Cyrl-CS"/>
        </w:rPr>
        <w:t xml:space="preserve"> </w:t>
      </w:r>
      <w:r w:rsidR="00AF2022" w:rsidRPr="00827818">
        <w:rPr>
          <w:rFonts w:ascii="Times New Roman" w:hAnsi="Times New Roman" w:cs="Times New Roman"/>
          <w:sz w:val="24"/>
          <w:szCs w:val="24"/>
          <w:lang w:val="sr-Cyrl-CS"/>
        </w:rPr>
        <w:t>бришу</w:t>
      </w:r>
      <w:r w:rsidR="00086BA5" w:rsidRPr="00827818">
        <w:rPr>
          <w:rFonts w:ascii="Times New Roman" w:hAnsi="Times New Roman" w:cs="Times New Roman"/>
          <w:sz w:val="24"/>
          <w:szCs w:val="24"/>
          <w:lang w:val="sr-Cyrl-CS"/>
        </w:rPr>
        <w:t xml:space="preserve"> се</w:t>
      </w:r>
      <w:r w:rsidR="00AF2022" w:rsidRPr="00827818">
        <w:rPr>
          <w:rFonts w:ascii="Times New Roman" w:hAnsi="Times New Roman" w:cs="Times New Roman"/>
          <w:sz w:val="24"/>
          <w:szCs w:val="24"/>
          <w:lang w:val="sr-Cyrl-CS"/>
        </w:rPr>
        <w:t>: п</w:t>
      </w:r>
      <w:r w:rsidR="00F276B1" w:rsidRPr="00827818">
        <w:rPr>
          <w:rFonts w:ascii="Times New Roman" w:hAnsi="Times New Roman" w:cs="Times New Roman"/>
          <w:sz w:val="24"/>
          <w:szCs w:val="24"/>
          <w:lang w:val="sr-Cyrl-CS"/>
        </w:rPr>
        <w:t>оказатељ:</w:t>
      </w:r>
      <w:r w:rsidR="000E5BA1" w:rsidRPr="00827818">
        <w:rPr>
          <w:rFonts w:ascii="Times New Roman" w:hAnsi="Times New Roman" w:cs="Times New Roman"/>
          <w:sz w:val="24"/>
          <w:szCs w:val="24"/>
          <w:lang w:val="sr-Cyrl-CS"/>
        </w:rPr>
        <w:t xml:space="preserve"> </w:t>
      </w:r>
      <w:r w:rsidR="00EC15FC"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Просечна оцена приоритетне групе КЈС  код које руководиоци доносе одлуке у функцији управљања идентификованим ризицима (у вези реакције на ризик: прихватање, избегавање, умањивање или подела ризика)</w:t>
      </w:r>
      <w:r w:rsidR="00FD0F9C" w:rsidRPr="00827818">
        <w:rPr>
          <w:rFonts w:ascii="Times New Roman" w:hAnsi="Times New Roman" w:cs="Times New Roman"/>
          <w:sz w:val="24"/>
          <w:szCs w:val="24"/>
          <w:lang w:val="sr-Cyrl-CS"/>
        </w:rPr>
        <w:t>”</w:t>
      </w:r>
      <w:r w:rsidR="00EC15FC" w:rsidRPr="00827818">
        <w:rPr>
          <w:rFonts w:ascii="Times New Roman" w:hAnsi="Times New Roman" w:cs="Times New Roman"/>
          <w:sz w:val="24"/>
          <w:szCs w:val="24"/>
          <w:lang w:val="sr-Cyrl-CS"/>
        </w:rPr>
        <w:t xml:space="preserve"> </w:t>
      </w:r>
      <w:r w:rsidR="00AF2022"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w:t>
      </w:r>
      <w:r w:rsidR="00AF2022" w:rsidRPr="00827818">
        <w:rPr>
          <w:rFonts w:ascii="Times New Roman" w:hAnsi="Times New Roman" w:cs="Times New Roman"/>
          <w:sz w:val="24"/>
          <w:szCs w:val="24"/>
          <w:lang w:val="sr-Cyrl-CS"/>
        </w:rPr>
        <w:t>п</w:t>
      </w:r>
      <w:r w:rsidR="000E5BA1" w:rsidRPr="00827818">
        <w:rPr>
          <w:rFonts w:ascii="Times New Roman" w:hAnsi="Times New Roman" w:cs="Times New Roman"/>
          <w:sz w:val="24"/>
          <w:szCs w:val="24"/>
          <w:lang w:val="sr-Cyrl-CS"/>
        </w:rPr>
        <w:t xml:space="preserve">оказатељ: </w:t>
      </w:r>
      <w:r w:rsidR="00EC15FC"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Просечна оцена приоритетне групе КЈС  који извештавају руководство о ризицима</w:t>
      </w:r>
      <w:r w:rsidR="00D8374A" w:rsidRPr="00827818">
        <w:rPr>
          <w:rFonts w:ascii="Times New Roman" w:hAnsi="Times New Roman" w:cs="Times New Roman"/>
          <w:sz w:val="24"/>
          <w:szCs w:val="24"/>
          <w:lang w:val="sr-Cyrl-CS"/>
        </w:rPr>
        <w:t>”</w:t>
      </w:r>
      <w:r w:rsidR="00EC15FC" w:rsidRPr="00827818">
        <w:rPr>
          <w:rFonts w:ascii="Times New Roman" w:hAnsi="Times New Roman" w:cs="Times New Roman"/>
          <w:sz w:val="24"/>
          <w:szCs w:val="24"/>
          <w:lang w:val="sr-Cyrl-CS"/>
        </w:rPr>
        <w:t xml:space="preserve">. </w:t>
      </w:r>
    </w:p>
    <w:p w:rsidR="00507F6E" w:rsidRPr="00827818" w:rsidRDefault="00F47AA2" w:rsidP="00507F6E">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50</w:t>
      </w:r>
      <w:r w:rsidR="00507F6E"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7E4B76"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7E4B76"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4.1: Унапређење система ФУК-а у институцијама јавног сектора, </w:t>
      </w:r>
      <w:r w:rsidR="005944CD" w:rsidRPr="00827818">
        <w:rPr>
          <w:rFonts w:ascii="Times New Roman" w:hAnsi="Times New Roman" w:cs="Times New Roman"/>
          <w:sz w:val="24"/>
          <w:szCs w:val="24"/>
          <w:lang w:val="sr-Cyrl-CS"/>
        </w:rPr>
        <w:t>назив а</w:t>
      </w:r>
      <w:r w:rsidR="00101BB7" w:rsidRPr="00827818">
        <w:rPr>
          <w:rFonts w:ascii="Times New Roman" w:hAnsi="Times New Roman" w:cs="Times New Roman"/>
          <w:sz w:val="24"/>
          <w:szCs w:val="24"/>
          <w:lang w:val="sr-Cyrl-CS"/>
        </w:rPr>
        <w:t xml:space="preserve">ктивности </w:t>
      </w:r>
      <w:r w:rsidR="000E5BA1" w:rsidRPr="00827818">
        <w:rPr>
          <w:rFonts w:ascii="Times New Roman" w:hAnsi="Times New Roman" w:cs="Times New Roman"/>
          <w:sz w:val="24"/>
          <w:szCs w:val="24"/>
          <w:lang w:val="sr-Cyrl-CS"/>
        </w:rPr>
        <w:t>4.1.1</w:t>
      </w:r>
      <w:r w:rsidR="00101BB7"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Сарадња са Сектором буџета у вези са унапређењем управљања учинком организације (веза са Стратегијом РЈУ, мера 4.1.2)</w:t>
      </w:r>
      <w:r w:rsidR="00101BB7" w:rsidRPr="00827818">
        <w:rPr>
          <w:rFonts w:ascii="Times New Roman" w:hAnsi="Times New Roman" w:cs="Times New Roman"/>
          <w:sz w:val="24"/>
          <w:szCs w:val="24"/>
          <w:lang w:val="sr-Cyrl-CS"/>
        </w:rPr>
        <w:t xml:space="preserve"> замењује се називом</w:t>
      </w:r>
      <w:r w:rsidR="000E5BA1" w:rsidRPr="00827818">
        <w:rPr>
          <w:rFonts w:ascii="Times New Roman" w:hAnsi="Times New Roman" w:cs="Times New Roman"/>
          <w:sz w:val="24"/>
          <w:szCs w:val="24"/>
          <w:lang w:val="sr-Cyrl-CS"/>
        </w:rPr>
        <w:t>: „Сарадња ЦЈХ са Сектором буџета у вези са унапређењем управљања учинком организације (хоризонтална ревизија остварења циљева програмског буџета)</w:t>
      </w:r>
      <w:r w:rsidR="00E65243" w:rsidRPr="00827818">
        <w:rPr>
          <w:rFonts w:ascii="Times New Roman" w:hAnsi="Times New Roman" w:cs="Times New Roman"/>
          <w:sz w:val="24"/>
          <w:szCs w:val="24"/>
          <w:lang w:val="sr-Cyrl-CS"/>
        </w:rPr>
        <w:t>ˮ</w:t>
      </w:r>
      <w:r w:rsidR="00197C9E" w:rsidRPr="00827818">
        <w:rPr>
          <w:rFonts w:ascii="Times New Roman" w:hAnsi="Times New Roman" w:cs="Times New Roman"/>
          <w:sz w:val="24"/>
          <w:szCs w:val="24"/>
          <w:lang w:val="sr-Cyrl-CS"/>
        </w:rPr>
        <w:t>;</w:t>
      </w:r>
      <w:r w:rsidR="00712B99" w:rsidRPr="00827818">
        <w:rPr>
          <w:rFonts w:ascii="Times New Roman" w:hAnsi="Times New Roman" w:cs="Times New Roman"/>
          <w:sz w:val="24"/>
          <w:szCs w:val="24"/>
          <w:lang w:val="sr-Cyrl-CS"/>
        </w:rPr>
        <w:t xml:space="preserve"> </w:t>
      </w:r>
      <w:r w:rsidR="00B4404B" w:rsidRPr="00827818">
        <w:rPr>
          <w:rFonts w:ascii="Times New Roman" w:hAnsi="Times New Roman" w:cs="Times New Roman"/>
          <w:sz w:val="24"/>
          <w:szCs w:val="24"/>
          <w:lang w:val="sr-Cyrl-CS"/>
        </w:rPr>
        <w:t>Колона</w:t>
      </w:r>
      <w:r w:rsidR="0082786B" w:rsidRPr="00827818">
        <w:rPr>
          <w:rFonts w:ascii="Times New Roman" w:hAnsi="Times New Roman" w:cs="Times New Roman"/>
          <w:sz w:val="24"/>
          <w:szCs w:val="24"/>
          <w:lang w:val="sr-Cyrl-CS"/>
        </w:rPr>
        <w:t xml:space="preserve"> </w:t>
      </w:r>
      <w:r w:rsidR="00712B99"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нституциј</w:t>
      </w:r>
      <w:r w:rsidR="00B4404B" w:rsidRPr="00827818">
        <w:rPr>
          <w:rFonts w:ascii="Times New Roman" w:hAnsi="Times New Roman" w:cs="Times New Roman"/>
          <w:sz w:val="24"/>
          <w:szCs w:val="24"/>
          <w:lang w:val="sr-Cyrl-CS"/>
        </w:rPr>
        <w:t>а</w:t>
      </w:r>
      <w:r w:rsidR="000E5BA1" w:rsidRPr="00827818">
        <w:rPr>
          <w:rFonts w:ascii="Times New Roman" w:hAnsi="Times New Roman" w:cs="Times New Roman"/>
          <w:sz w:val="24"/>
          <w:szCs w:val="24"/>
          <w:lang w:val="sr-Cyrl-CS"/>
        </w:rPr>
        <w:t xml:space="preserve"> одговорн</w:t>
      </w:r>
      <w:r w:rsidR="00B4404B" w:rsidRPr="00827818">
        <w:rPr>
          <w:rFonts w:ascii="Times New Roman" w:hAnsi="Times New Roman" w:cs="Times New Roman"/>
          <w:sz w:val="24"/>
          <w:szCs w:val="24"/>
          <w:lang w:val="sr-Cyrl-CS"/>
        </w:rPr>
        <w:t>а</w:t>
      </w:r>
      <w:r w:rsidR="000E5BA1" w:rsidRPr="00827818">
        <w:rPr>
          <w:rFonts w:ascii="Times New Roman" w:hAnsi="Times New Roman" w:cs="Times New Roman"/>
          <w:sz w:val="24"/>
          <w:szCs w:val="24"/>
          <w:lang w:val="sr-Cyrl-CS"/>
        </w:rPr>
        <w:t xml:space="preserve"> за спровођење </w:t>
      </w:r>
      <w:r w:rsidR="00B4404B" w:rsidRPr="00827818">
        <w:rPr>
          <w:rFonts w:ascii="Times New Roman" w:hAnsi="Times New Roman" w:cs="Times New Roman"/>
          <w:sz w:val="24"/>
          <w:szCs w:val="24"/>
          <w:lang w:val="sr-Cyrl-CS"/>
        </w:rPr>
        <w:t>мења се и гласи „Министарство финансиј</w:t>
      </w:r>
      <w:r w:rsidR="00D8374A" w:rsidRPr="00827818">
        <w:rPr>
          <w:rFonts w:ascii="Times New Roman" w:hAnsi="Times New Roman" w:cs="Times New Roman"/>
          <w:sz w:val="24"/>
          <w:szCs w:val="24"/>
          <w:lang w:val="sr-Cyrl-CS"/>
        </w:rPr>
        <w:t>а”</w:t>
      </w:r>
      <w:r w:rsidR="00C557B4"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82786B" w:rsidRPr="00827818">
        <w:rPr>
          <w:rFonts w:ascii="Times New Roman" w:hAnsi="Times New Roman" w:cs="Times New Roman"/>
          <w:sz w:val="24"/>
          <w:szCs w:val="24"/>
          <w:lang w:val="sr-Cyrl-CS"/>
        </w:rPr>
        <w:t xml:space="preserve">У колони </w:t>
      </w:r>
      <w:r w:rsidR="00C557B4" w:rsidRPr="00827818">
        <w:rPr>
          <w:rFonts w:ascii="Times New Roman" w:hAnsi="Times New Roman" w:cs="Times New Roman"/>
          <w:sz w:val="24"/>
          <w:szCs w:val="24"/>
          <w:lang w:val="sr-Cyrl-CS"/>
        </w:rPr>
        <w:t>п</w:t>
      </w:r>
      <w:r w:rsidR="000E5BA1" w:rsidRPr="00827818">
        <w:rPr>
          <w:rFonts w:ascii="Times New Roman" w:hAnsi="Times New Roman" w:cs="Times New Roman"/>
          <w:sz w:val="24"/>
          <w:szCs w:val="24"/>
          <w:lang w:val="sr-Cyrl-CS"/>
        </w:rPr>
        <w:t>артнер</w:t>
      </w:r>
      <w:r w:rsidR="0082786B"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у спровођењу активности</w:t>
      </w:r>
      <w:r w:rsidR="005B33A9" w:rsidRPr="00827818">
        <w:rPr>
          <w:rFonts w:ascii="Times New Roman" w:hAnsi="Times New Roman" w:cs="Times New Roman"/>
          <w:sz w:val="24"/>
          <w:szCs w:val="24"/>
          <w:lang w:val="sr-Cyrl-CS"/>
        </w:rPr>
        <w:t xml:space="preserve"> се брише</w:t>
      </w:r>
      <w:r w:rsidR="00C557B4" w:rsidRPr="00827818">
        <w:rPr>
          <w:rFonts w:ascii="Times New Roman" w:hAnsi="Times New Roman" w:cs="Times New Roman"/>
          <w:sz w:val="24"/>
          <w:szCs w:val="24"/>
          <w:lang w:val="sr-Cyrl-CS"/>
        </w:rPr>
        <w:t xml:space="preserve">: </w:t>
      </w:r>
      <w:r w:rsidR="00451CDE" w:rsidRPr="00827818">
        <w:rPr>
          <w:rFonts w:ascii="Times New Roman" w:hAnsi="Times New Roman" w:cs="Times New Roman"/>
          <w:sz w:val="24"/>
          <w:szCs w:val="24"/>
          <w:lang w:val="sr-Cyrl-CS"/>
        </w:rPr>
        <w:t>„</w:t>
      </w:r>
      <w:r w:rsidR="00C557B4" w:rsidRPr="00827818">
        <w:rPr>
          <w:rFonts w:ascii="Times New Roman" w:hAnsi="Times New Roman" w:cs="Times New Roman"/>
          <w:sz w:val="24"/>
          <w:szCs w:val="24"/>
          <w:lang w:val="sr-Cyrl-CS"/>
        </w:rPr>
        <w:t>Министарство финансија</w:t>
      </w:r>
      <w:r w:rsidR="00E65243" w:rsidRPr="00827818">
        <w:rPr>
          <w:rFonts w:ascii="Times New Roman" w:hAnsi="Times New Roman" w:cs="Times New Roman"/>
          <w:sz w:val="24"/>
          <w:szCs w:val="24"/>
          <w:lang w:val="sr-Cyrl-CS"/>
        </w:rPr>
        <w:t>ˮ</w:t>
      </w:r>
      <w:r w:rsidR="005B33A9" w:rsidRPr="00827818">
        <w:rPr>
          <w:rFonts w:ascii="Times New Roman" w:hAnsi="Times New Roman" w:cs="Times New Roman"/>
          <w:sz w:val="24"/>
          <w:szCs w:val="24"/>
          <w:lang w:val="sr-Cyrl-CS"/>
        </w:rPr>
        <w:t xml:space="preserve"> и</w:t>
      </w:r>
      <w:r w:rsidR="000E5BA1" w:rsidRPr="00827818">
        <w:rPr>
          <w:rFonts w:ascii="Times New Roman" w:hAnsi="Times New Roman" w:cs="Times New Roman"/>
          <w:sz w:val="24"/>
          <w:szCs w:val="24"/>
          <w:lang w:val="sr-Cyrl-CS"/>
        </w:rPr>
        <w:t xml:space="preserve"> додај</w:t>
      </w:r>
      <w:r w:rsidR="0082786B" w:rsidRPr="00827818">
        <w:rPr>
          <w:rFonts w:ascii="Times New Roman" w:hAnsi="Times New Roman" w:cs="Times New Roman"/>
          <w:sz w:val="24"/>
          <w:szCs w:val="24"/>
          <w:lang w:val="sr-Cyrl-CS"/>
        </w:rPr>
        <w:t>е</w:t>
      </w:r>
      <w:r w:rsidR="000E5BA1" w:rsidRPr="00827818">
        <w:rPr>
          <w:rFonts w:ascii="Times New Roman" w:hAnsi="Times New Roman" w:cs="Times New Roman"/>
          <w:sz w:val="24"/>
          <w:szCs w:val="24"/>
          <w:lang w:val="sr-Cyrl-CS"/>
        </w:rPr>
        <w:t xml:space="preserve"> се</w:t>
      </w:r>
      <w:r w:rsidR="00C557B4"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„ресорна министарства</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w:t>
      </w:r>
      <w:r w:rsidR="00C557B4" w:rsidRPr="00827818">
        <w:rPr>
          <w:rFonts w:ascii="Times New Roman" w:hAnsi="Times New Roman" w:cs="Times New Roman"/>
          <w:sz w:val="24"/>
          <w:szCs w:val="24"/>
          <w:lang w:val="sr-Cyrl-CS"/>
        </w:rPr>
        <w:t xml:space="preserve"> </w:t>
      </w:r>
    </w:p>
    <w:p w:rsidR="000E5BA1" w:rsidRPr="00827818" w:rsidRDefault="00516B6D" w:rsidP="00507F6E">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Н</w:t>
      </w:r>
      <w:r w:rsidR="005944CD" w:rsidRPr="00827818">
        <w:rPr>
          <w:rFonts w:ascii="Times New Roman" w:hAnsi="Times New Roman" w:cs="Times New Roman"/>
          <w:sz w:val="24"/>
          <w:szCs w:val="24"/>
          <w:lang w:val="sr-Cyrl-CS"/>
        </w:rPr>
        <w:t>азив а</w:t>
      </w:r>
      <w:r w:rsidR="000E5BA1" w:rsidRPr="00827818">
        <w:rPr>
          <w:rFonts w:ascii="Times New Roman" w:hAnsi="Times New Roman" w:cs="Times New Roman"/>
          <w:sz w:val="24"/>
          <w:szCs w:val="24"/>
          <w:lang w:val="sr-Cyrl-CS"/>
        </w:rPr>
        <w:t>ктивност</w:t>
      </w:r>
      <w:r w:rsidR="00E517FB"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4.1.2</w:t>
      </w:r>
      <w:r w:rsidR="00E517FB"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Анализа примене постојећег правног и методолошког оквира и његово унапређење (нпр. приоритизација КЈС у погледу извештавања о интерним контролама, унапређење извештавања, сагледавања квалитета, управљање ризицима, управљање неправилностима, изјава о управљању и сл</w:t>
      </w:r>
      <w:r w:rsidR="00FD68AE"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w:t>
      </w:r>
      <w:r w:rsidR="003C05C5" w:rsidRPr="00827818">
        <w:rPr>
          <w:rFonts w:ascii="Times New Roman" w:hAnsi="Times New Roman" w:cs="Times New Roman"/>
          <w:sz w:val="24"/>
          <w:szCs w:val="24"/>
          <w:lang w:val="sr-Cyrl-CS"/>
        </w:rPr>
        <w:t xml:space="preserve"> замењује се називом</w:t>
      </w:r>
      <w:r w:rsidR="000E5BA1" w:rsidRPr="00827818">
        <w:rPr>
          <w:rFonts w:ascii="Times New Roman" w:hAnsi="Times New Roman" w:cs="Times New Roman"/>
          <w:sz w:val="24"/>
          <w:szCs w:val="24"/>
          <w:lang w:val="sr-Cyrl-CS"/>
        </w:rPr>
        <w:t xml:space="preserve">: </w:t>
      </w:r>
      <w:r w:rsidR="0082786B" w:rsidRPr="00827818">
        <w:rPr>
          <w:rFonts w:ascii="Times New Roman" w:hAnsi="Times New Roman" w:cs="Times New Roman"/>
          <w:sz w:val="24"/>
          <w:szCs w:val="24"/>
          <w:lang w:val="sr-Cyrl-CS"/>
        </w:rPr>
        <w:t xml:space="preserve">„Подизање капацитета запослених </w:t>
      </w:r>
      <w:r w:rsidR="000E5BA1" w:rsidRPr="00827818">
        <w:rPr>
          <w:rFonts w:ascii="Times New Roman" w:hAnsi="Times New Roman" w:cs="Times New Roman"/>
          <w:sz w:val="24"/>
          <w:szCs w:val="24"/>
          <w:lang w:val="sr-Cyrl-CS"/>
        </w:rPr>
        <w:t xml:space="preserve">ЦЈХ за ИСО стандарде и КОСО. Детаљно мапирање и поређење релевантног дела ИСО стандарда и КОСО модела укључујући и примену са закључцима у форми </w:t>
      </w:r>
      <w:r w:rsidR="000E5BA1" w:rsidRPr="00827818">
        <w:rPr>
          <w:rFonts w:ascii="Times New Roman" w:hAnsi="Times New Roman" w:cs="Times New Roman"/>
          <w:i/>
          <w:sz w:val="24"/>
          <w:szCs w:val="24"/>
          <w:lang w:val="sr-Cyrl-CS"/>
        </w:rPr>
        <w:t>GAP</w:t>
      </w:r>
      <w:r w:rsidR="000E5BA1" w:rsidRPr="00827818">
        <w:rPr>
          <w:rFonts w:ascii="Times New Roman" w:hAnsi="Times New Roman" w:cs="Times New Roman"/>
          <w:sz w:val="24"/>
          <w:szCs w:val="24"/>
          <w:lang w:val="sr-Cyrl-CS"/>
        </w:rPr>
        <w:t xml:space="preserve"> анализе и обука запослених у ЦЈХ</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D8374A" w:rsidRPr="00827818">
        <w:rPr>
          <w:rFonts w:ascii="Times New Roman" w:hAnsi="Times New Roman" w:cs="Times New Roman"/>
          <w:sz w:val="24"/>
          <w:szCs w:val="24"/>
          <w:lang w:val="sr-Cyrl-CS"/>
        </w:rPr>
        <w:t xml:space="preserve"> </w:t>
      </w:r>
    </w:p>
    <w:p w:rsidR="008C120E" w:rsidRPr="00827818" w:rsidRDefault="00F47AA2" w:rsidP="00BF0498">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51</w:t>
      </w:r>
      <w:r w:rsidR="00507F6E" w:rsidRPr="00827818">
        <w:rPr>
          <w:rFonts w:ascii="Times New Roman" w:hAnsi="Times New Roman" w:cs="Times New Roman"/>
          <w:sz w:val="24"/>
          <w:szCs w:val="24"/>
          <w:lang w:val="sr-Cyrl-CS"/>
        </w:rPr>
        <w:t xml:space="preserve">. </w:t>
      </w:r>
      <w:r w:rsidR="00861BFF"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861BFF"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4.1: Унапређење система ФУК-а у институцијама јавног сектора, </w:t>
      </w:r>
      <w:r w:rsidR="00D8374A" w:rsidRPr="00827818">
        <w:rPr>
          <w:rFonts w:ascii="Times New Roman" w:hAnsi="Times New Roman" w:cs="Times New Roman"/>
          <w:sz w:val="24"/>
          <w:szCs w:val="24"/>
          <w:lang w:val="sr-Cyrl-CS"/>
        </w:rPr>
        <w:t>назив a</w:t>
      </w:r>
      <w:r w:rsidR="00890F32" w:rsidRPr="00827818">
        <w:rPr>
          <w:rFonts w:ascii="Times New Roman" w:hAnsi="Times New Roman" w:cs="Times New Roman"/>
          <w:sz w:val="24"/>
          <w:szCs w:val="24"/>
          <w:lang w:val="sr-Cyrl-CS"/>
        </w:rPr>
        <w:t xml:space="preserve">ктивности </w:t>
      </w:r>
      <w:r w:rsidR="000E5BA1" w:rsidRPr="00827818">
        <w:rPr>
          <w:rFonts w:ascii="Times New Roman" w:hAnsi="Times New Roman" w:cs="Times New Roman"/>
          <w:sz w:val="24"/>
          <w:szCs w:val="24"/>
          <w:lang w:val="sr-Cyrl-CS"/>
        </w:rPr>
        <w:t>4.1.4: Израда прак</w:t>
      </w:r>
      <w:r w:rsidR="00467E37" w:rsidRPr="00827818">
        <w:rPr>
          <w:rFonts w:ascii="Times New Roman" w:hAnsi="Times New Roman" w:cs="Times New Roman"/>
          <w:sz w:val="24"/>
          <w:szCs w:val="24"/>
          <w:lang w:val="sr-Cyrl-CS"/>
        </w:rPr>
        <w:t>ти</w:t>
      </w:r>
      <w:r w:rsidR="000E5BA1" w:rsidRPr="00827818">
        <w:rPr>
          <w:rFonts w:ascii="Times New Roman" w:hAnsi="Times New Roman" w:cs="Times New Roman"/>
          <w:sz w:val="24"/>
          <w:szCs w:val="24"/>
          <w:lang w:val="sr-Cyrl-CS"/>
        </w:rPr>
        <w:t>чних методолошких алата/производа знања из финансијског управљања и контроле прилагођених специфичностима појединих значајних група индиректних КЈС на централном нивоу (одабрани ресори)</w:t>
      </w:r>
      <w:r w:rsidR="00890F32" w:rsidRPr="00827818">
        <w:rPr>
          <w:rFonts w:ascii="Times New Roman" w:hAnsi="Times New Roman" w:cs="Times New Roman"/>
          <w:sz w:val="24"/>
          <w:szCs w:val="24"/>
          <w:lang w:val="sr-Cyrl-CS"/>
        </w:rPr>
        <w:t xml:space="preserve"> замењује се н</w:t>
      </w:r>
      <w:r w:rsidR="00467E37" w:rsidRPr="00827818">
        <w:rPr>
          <w:rFonts w:ascii="Times New Roman" w:hAnsi="Times New Roman" w:cs="Times New Roman"/>
          <w:sz w:val="24"/>
          <w:szCs w:val="24"/>
          <w:lang w:val="sr-Cyrl-CS"/>
        </w:rPr>
        <w:t>а</w:t>
      </w:r>
      <w:r w:rsidR="00890F32" w:rsidRPr="00827818">
        <w:rPr>
          <w:rFonts w:ascii="Times New Roman" w:hAnsi="Times New Roman" w:cs="Times New Roman"/>
          <w:sz w:val="24"/>
          <w:szCs w:val="24"/>
          <w:lang w:val="sr-Cyrl-CS"/>
        </w:rPr>
        <w:t>зивом</w:t>
      </w:r>
      <w:r w:rsidR="000E5BA1" w:rsidRPr="00827818">
        <w:rPr>
          <w:rFonts w:ascii="Times New Roman" w:hAnsi="Times New Roman" w:cs="Times New Roman"/>
          <w:sz w:val="24"/>
          <w:szCs w:val="24"/>
          <w:lang w:val="sr-Cyrl-CS"/>
        </w:rPr>
        <w:t>: „Израда прак</w:t>
      </w:r>
      <w:r w:rsidR="00FD68AE" w:rsidRPr="00827818">
        <w:rPr>
          <w:rFonts w:ascii="Times New Roman" w:hAnsi="Times New Roman" w:cs="Times New Roman"/>
          <w:sz w:val="24"/>
          <w:szCs w:val="24"/>
          <w:lang w:val="sr-Cyrl-CS"/>
        </w:rPr>
        <w:t>т</w:t>
      </w:r>
      <w:r w:rsidR="000E5BA1" w:rsidRPr="00827818">
        <w:rPr>
          <w:rFonts w:ascii="Times New Roman" w:hAnsi="Times New Roman" w:cs="Times New Roman"/>
          <w:sz w:val="24"/>
          <w:szCs w:val="24"/>
          <w:lang w:val="sr-Cyrl-CS"/>
        </w:rPr>
        <w:t>ичних методолошких алата/производа знања из финансијског управљања и контроле прилагођених специфичностима појединих значајних група индиректних КЈС на централном нивоу</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w:t>
      </w:r>
      <w:r w:rsidR="00467E37" w:rsidRPr="00827818">
        <w:rPr>
          <w:rFonts w:ascii="Times New Roman" w:hAnsi="Times New Roman" w:cs="Times New Roman"/>
          <w:sz w:val="24"/>
          <w:szCs w:val="24"/>
          <w:lang w:val="sr-Cyrl-CS"/>
        </w:rPr>
        <w:t xml:space="preserve"> </w:t>
      </w:r>
      <w:r w:rsidR="00890F32"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нституција одговорна за спровођење</w:t>
      </w:r>
      <w:r w:rsidR="00890F32" w:rsidRPr="00827818">
        <w:rPr>
          <w:rFonts w:ascii="Times New Roman" w:hAnsi="Times New Roman" w:cs="Times New Roman"/>
          <w:sz w:val="24"/>
          <w:szCs w:val="24"/>
          <w:lang w:val="sr-Cyrl-CS"/>
        </w:rPr>
        <w:t xml:space="preserve">: </w:t>
      </w:r>
      <w:r w:rsidR="00451CDE" w:rsidRPr="00827818">
        <w:rPr>
          <w:rFonts w:ascii="Times New Roman" w:hAnsi="Times New Roman" w:cs="Times New Roman"/>
          <w:sz w:val="24"/>
          <w:szCs w:val="24"/>
          <w:lang w:val="sr-Cyrl-CS"/>
        </w:rPr>
        <w:t>„</w:t>
      </w:r>
      <w:r w:rsidR="00890F32" w:rsidRPr="00827818">
        <w:rPr>
          <w:rFonts w:ascii="Times New Roman" w:hAnsi="Times New Roman" w:cs="Times New Roman"/>
          <w:sz w:val="24"/>
          <w:szCs w:val="24"/>
          <w:lang w:val="sr-Cyrl-CS"/>
        </w:rPr>
        <w:t>Министарство финансија-ЦЈХ</w:t>
      </w:r>
      <w:r w:rsidR="00E65243" w:rsidRPr="00827818">
        <w:rPr>
          <w:rFonts w:ascii="Times New Roman" w:hAnsi="Times New Roman" w:cs="Times New Roman"/>
          <w:sz w:val="24"/>
          <w:szCs w:val="24"/>
          <w:lang w:val="sr-Cyrl-CS"/>
        </w:rPr>
        <w:t>ˮ</w:t>
      </w:r>
      <w:r w:rsidR="00890F32" w:rsidRPr="00827818">
        <w:rPr>
          <w:rFonts w:ascii="Times New Roman" w:hAnsi="Times New Roman" w:cs="Times New Roman"/>
          <w:sz w:val="24"/>
          <w:szCs w:val="24"/>
          <w:lang w:val="sr-Cyrl-CS"/>
        </w:rPr>
        <w:t xml:space="preserve"> замењује се институцијом одговорном за спровођење:</w:t>
      </w:r>
      <w:r w:rsidR="000E5BA1" w:rsidRPr="00827818">
        <w:rPr>
          <w:rFonts w:ascii="Times New Roman" w:hAnsi="Times New Roman" w:cs="Times New Roman"/>
          <w:sz w:val="24"/>
          <w:szCs w:val="24"/>
          <w:lang w:val="sr-Cyrl-CS"/>
        </w:rPr>
        <w:t xml:space="preserve"> „Одабрани ресори</w:t>
      </w:r>
      <w:r w:rsidR="00E65243" w:rsidRPr="00827818">
        <w:rPr>
          <w:rFonts w:ascii="Times New Roman" w:hAnsi="Times New Roman" w:cs="Times New Roman"/>
          <w:sz w:val="24"/>
          <w:szCs w:val="24"/>
          <w:lang w:val="sr-Cyrl-CS"/>
        </w:rPr>
        <w:t>ˮ</w:t>
      </w:r>
      <w:r w:rsidR="005E7429"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5E7429" w:rsidRPr="00827818">
        <w:rPr>
          <w:rFonts w:ascii="Times New Roman" w:hAnsi="Times New Roman" w:cs="Times New Roman"/>
          <w:sz w:val="24"/>
          <w:szCs w:val="24"/>
          <w:lang w:val="sr-Cyrl-CS"/>
        </w:rPr>
        <w:t>Партнери у с</w:t>
      </w:r>
      <w:r w:rsidR="00451CDE" w:rsidRPr="00827818">
        <w:rPr>
          <w:rFonts w:ascii="Times New Roman" w:hAnsi="Times New Roman" w:cs="Times New Roman"/>
          <w:sz w:val="24"/>
          <w:szCs w:val="24"/>
          <w:lang w:val="sr-Cyrl-CS"/>
        </w:rPr>
        <w:t xml:space="preserve">провођењу активности: </w:t>
      </w:r>
      <w:r w:rsidR="00D8374A" w:rsidRPr="00827818">
        <w:rPr>
          <w:rFonts w:ascii="Times New Roman" w:hAnsi="Times New Roman" w:cs="Times New Roman"/>
          <w:sz w:val="24"/>
          <w:szCs w:val="24"/>
          <w:lang w:val="sr-Cyrl-CS"/>
        </w:rPr>
        <w:t>„-ˮ</w:t>
      </w:r>
      <w:r w:rsidR="005E7429" w:rsidRPr="00827818">
        <w:rPr>
          <w:rFonts w:ascii="Times New Roman" w:hAnsi="Times New Roman" w:cs="Times New Roman"/>
          <w:sz w:val="24"/>
          <w:szCs w:val="24"/>
          <w:lang w:val="sr-Cyrl-CS"/>
        </w:rPr>
        <w:t xml:space="preserve"> замењују се партнерима у спровођењу активности: </w:t>
      </w:r>
      <w:r w:rsidR="000E5BA1" w:rsidRPr="00827818">
        <w:rPr>
          <w:rFonts w:ascii="Times New Roman" w:hAnsi="Times New Roman" w:cs="Times New Roman"/>
          <w:sz w:val="24"/>
          <w:szCs w:val="24"/>
          <w:lang w:val="sr-Cyrl-CS"/>
        </w:rPr>
        <w:t>„Министарство финансија-ЦЈХ</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p>
    <w:p w:rsidR="008C120E" w:rsidRPr="00827818" w:rsidRDefault="00A6415F" w:rsidP="00BF0498">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lastRenderedPageBreak/>
        <w:t>У оквиру активности 4.1</w:t>
      </w:r>
      <w:r w:rsidR="00E0673D" w:rsidRPr="00827818">
        <w:rPr>
          <w:rFonts w:ascii="Times New Roman" w:hAnsi="Times New Roman" w:cs="Times New Roman"/>
          <w:sz w:val="24"/>
          <w:szCs w:val="24"/>
          <w:lang w:val="sr-Cyrl-CS"/>
        </w:rPr>
        <w:t>.</w:t>
      </w:r>
      <w:r w:rsidRPr="00827818">
        <w:rPr>
          <w:rFonts w:ascii="Times New Roman" w:hAnsi="Times New Roman" w:cs="Times New Roman"/>
          <w:sz w:val="24"/>
          <w:szCs w:val="24"/>
          <w:lang w:val="sr-Cyrl-CS"/>
        </w:rPr>
        <w:t>5: Подршка успостављању и унапређењу система ФУК на локалном нивоу, мења се фуснота 173 тако да гласи:</w:t>
      </w:r>
      <w:r w:rsidRPr="00827818">
        <w:rPr>
          <w:rFonts w:ascii="Times New Roman" w:hAnsi="Times New Roman" w:cs="Times New Roman"/>
          <w:iCs/>
          <w:sz w:val="24"/>
          <w:szCs w:val="24"/>
          <w:lang w:val="sr-Cyrl-CS"/>
        </w:rPr>
        <w:t xml:space="preserve"> „Детаљнији приказ планиране активности утврђен је у ПРСЛС 2021-2025. у оквиру Посебног циља 2: Унапређење система финансирања локалне самоуправе у оквиру Посебне мере 2.4: Интензиван развој система интерне финансијске контроле у јавном сектору (ИФКЈ) на локалном нивоу, а у Програму и његовом Акционом плану се приказују у сврху комплетирања увида у све активности које се предузимају на локалном нивоу у области ИФКЈ  и за њих се неће планирати средства нити извештавати у оквиру Акционог плана овог програма већ у оквиру Акционог плана  ПРСЛС 2021-2025. У складу са тим, у ову активност су интегрисане активности из мере 2.4, посебног циља 2 из АП ПРСЛС</w:t>
      </w:r>
      <w:r w:rsidR="00A82AA8" w:rsidRPr="00827818">
        <w:rPr>
          <w:rFonts w:ascii="Times New Roman" w:hAnsi="Times New Roman" w:cs="Times New Roman"/>
          <w:iCs/>
          <w:sz w:val="24"/>
          <w:szCs w:val="24"/>
          <w:lang w:val="sr-Cyrl-CS"/>
        </w:rPr>
        <w:t>”</w:t>
      </w:r>
      <w:r w:rsidRPr="00827818">
        <w:rPr>
          <w:rFonts w:ascii="Times New Roman" w:hAnsi="Times New Roman" w:cs="Times New Roman"/>
          <w:iCs/>
          <w:sz w:val="24"/>
          <w:szCs w:val="24"/>
          <w:lang w:val="sr-Cyrl-CS"/>
        </w:rPr>
        <w:t>.</w:t>
      </w:r>
      <w:r w:rsidRPr="00827818">
        <w:rPr>
          <w:rFonts w:ascii="Times New Roman" w:hAnsi="Times New Roman" w:cs="Times New Roman"/>
          <w:sz w:val="24"/>
          <w:szCs w:val="24"/>
          <w:lang w:val="sr-Cyrl-CS"/>
        </w:rPr>
        <w:t xml:space="preserve">  </w:t>
      </w:r>
    </w:p>
    <w:p w:rsidR="000E5BA1" w:rsidRPr="00827818" w:rsidRDefault="005944CD" w:rsidP="006A625F">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Назив a</w:t>
      </w:r>
      <w:r w:rsidR="000E5BA1" w:rsidRPr="00827818">
        <w:rPr>
          <w:rFonts w:ascii="Times New Roman" w:hAnsi="Times New Roman" w:cs="Times New Roman"/>
          <w:sz w:val="24"/>
          <w:szCs w:val="24"/>
          <w:lang w:val="sr-Cyrl-CS"/>
        </w:rPr>
        <w:t>ктивност</w:t>
      </w:r>
      <w:r w:rsidR="00E97AF8"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4.1.6: Израда анализе кохерентности ИФКЈ регулативе са осталом хоризонталном регулативом уз компаративну анализу система за управљање ЕУ средствима и система за управљање националним средствима са становишта интерних контрола</w:t>
      </w:r>
      <w:r w:rsidR="00E97AF8" w:rsidRPr="00827818">
        <w:rPr>
          <w:rFonts w:ascii="Times New Roman" w:hAnsi="Times New Roman" w:cs="Times New Roman"/>
          <w:sz w:val="24"/>
          <w:szCs w:val="24"/>
          <w:lang w:val="sr-Cyrl-CS"/>
        </w:rPr>
        <w:t xml:space="preserve"> замењује се називом</w:t>
      </w:r>
      <w:r w:rsidR="000E5BA1" w:rsidRPr="00827818">
        <w:rPr>
          <w:rFonts w:ascii="Times New Roman" w:hAnsi="Times New Roman" w:cs="Times New Roman"/>
          <w:sz w:val="24"/>
          <w:szCs w:val="24"/>
          <w:lang w:val="sr-Cyrl-CS"/>
        </w:rPr>
        <w:t>: „Израда анализе кохерентности ИФКЈ регулативе са осталом хоризонталном регулативом</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E97AF8" w:rsidRPr="00827818">
        <w:rPr>
          <w:rFonts w:ascii="Times New Roman" w:hAnsi="Times New Roman" w:cs="Times New Roman"/>
          <w:sz w:val="24"/>
          <w:szCs w:val="24"/>
          <w:lang w:val="sr-Cyrl-CS"/>
        </w:rPr>
        <w:t xml:space="preserve">Партнери у спровођењу активности: </w:t>
      </w:r>
      <w:r w:rsidR="00451CDE" w:rsidRPr="00827818">
        <w:rPr>
          <w:rFonts w:ascii="Times New Roman" w:hAnsi="Times New Roman" w:cs="Times New Roman"/>
          <w:sz w:val="24"/>
          <w:szCs w:val="24"/>
          <w:lang w:val="sr-Cyrl-CS"/>
        </w:rPr>
        <w:t>„</w:t>
      </w:r>
      <w:r w:rsidR="00E97AF8" w:rsidRPr="00827818">
        <w:rPr>
          <w:rFonts w:ascii="Times New Roman" w:hAnsi="Times New Roman" w:cs="Times New Roman"/>
          <w:sz w:val="24"/>
          <w:szCs w:val="24"/>
          <w:lang w:val="sr-Cyrl-CS"/>
        </w:rPr>
        <w:t>Министарство финансија, МДУЛС, ДРИ, РСЈП, Републички секретаријат за законодавство, Канцеларија за јавне набавке</w:t>
      </w:r>
      <w:r w:rsidR="00E65243" w:rsidRPr="00827818">
        <w:rPr>
          <w:rFonts w:ascii="Times New Roman" w:hAnsi="Times New Roman" w:cs="Times New Roman"/>
          <w:sz w:val="24"/>
          <w:szCs w:val="24"/>
          <w:lang w:val="sr-Cyrl-CS"/>
        </w:rPr>
        <w:t>ˮ</w:t>
      </w:r>
      <w:r w:rsidR="00E97AF8" w:rsidRPr="00827818">
        <w:rPr>
          <w:rFonts w:ascii="Times New Roman" w:hAnsi="Times New Roman" w:cs="Times New Roman"/>
          <w:sz w:val="24"/>
          <w:szCs w:val="24"/>
          <w:lang w:val="sr-Cyrl-CS"/>
        </w:rPr>
        <w:t xml:space="preserve"> замењују се партнерима у спровођењу активности:</w:t>
      </w:r>
      <w:r w:rsidR="00301E96"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„Опционо: Министарство финансија, МДУЛС, ДРИ, РСЈП, Републички секретаријат за законодавство, Канцеларија за јавне набавке</w:t>
      </w:r>
      <w:r w:rsidR="00E65243" w:rsidRPr="00827818">
        <w:rPr>
          <w:rFonts w:ascii="Times New Roman" w:hAnsi="Times New Roman" w:cs="Times New Roman"/>
          <w:sz w:val="24"/>
          <w:szCs w:val="24"/>
          <w:lang w:val="sr-Cyrl-CS"/>
        </w:rPr>
        <w:t>ˮ</w:t>
      </w:r>
      <w:r w:rsidR="00D56474"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D56474" w:rsidRPr="00827818">
        <w:rPr>
          <w:rFonts w:ascii="Times New Roman" w:hAnsi="Times New Roman" w:cs="Times New Roman"/>
          <w:sz w:val="24"/>
          <w:szCs w:val="24"/>
          <w:lang w:val="sr-Cyrl-CS"/>
        </w:rPr>
        <w:t>Рок за завршетак активности: „Q4 2022</w:t>
      </w:r>
      <w:r w:rsidR="00E65243" w:rsidRPr="00827818">
        <w:rPr>
          <w:rFonts w:ascii="Times New Roman" w:hAnsi="Times New Roman" w:cs="Times New Roman"/>
          <w:sz w:val="24"/>
          <w:szCs w:val="24"/>
          <w:lang w:val="sr-Cyrl-CS"/>
        </w:rPr>
        <w:t>ˮ</w:t>
      </w:r>
      <w:r w:rsidR="00D56474" w:rsidRPr="00827818">
        <w:rPr>
          <w:rFonts w:ascii="Times New Roman" w:hAnsi="Times New Roman" w:cs="Times New Roman"/>
          <w:sz w:val="24"/>
          <w:szCs w:val="24"/>
          <w:lang w:val="sr-Cyrl-CS"/>
        </w:rPr>
        <w:t xml:space="preserve"> замењује се роком за завршетак акт</w:t>
      </w:r>
      <w:r w:rsidR="00827818">
        <w:rPr>
          <w:rFonts w:ascii="Times New Roman" w:hAnsi="Times New Roman" w:cs="Times New Roman"/>
          <w:sz w:val="24"/>
          <w:szCs w:val="24"/>
          <w:lang w:val="sr-Cyrl-CS"/>
        </w:rPr>
        <w:t>и</w:t>
      </w:r>
      <w:r w:rsidR="00D56474" w:rsidRPr="00827818">
        <w:rPr>
          <w:rFonts w:ascii="Times New Roman" w:hAnsi="Times New Roman" w:cs="Times New Roman"/>
          <w:sz w:val="24"/>
          <w:szCs w:val="24"/>
          <w:lang w:val="sr-Cyrl-CS"/>
        </w:rPr>
        <w:t>вности: „</w:t>
      </w:r>
      <w:r w:rsidR="00B74E95" w:rsidRPr="00827818">
        <w:rPr>
          <w:rFonts w:ascii="Times New Roman" w:hAnsi="Times New Roman" w:cs="Times New Roman"/>
          <w:sz w:val="24"/>
          <w:szCs w:val="24"/>
          <w:lang w:val="sr-Cyrl-CS"/>
        </w:rPr>
        <w:t>Q</w:t>
      </w:r>
      <w:r w:rsidR="00467E37" w:rsidRPr="00827818">
        <w:rPr>
          <w:rFonts w:ascii="Times New Roman" w:hAnsi="Times New Roman" w:cs="Times New Roman"/>
          <w:sz w:val="24"/>
          <w:szCs w:val="24"/>
          <w:lang w:val="sr-Cyrl-CS"/>
        </w:rPr>
        <w:t>4</w:t>
      </w:r>
      <w:r w:rsidR="00EA1BE1" w:rsidRPr="00827818">
        <w:rPr>
          <w:rFonts w:ascii="Times New Roman" w:hAnsi="Times New Roman" w:cs="Times New Roman"/>
          <w:sz w:val="24"/>
          <w:szCs w:val="24"/>
          <w:lang w:val="sr-Cyrl-CS"/>
        </w:rPr>
        <w:t xml:space="preserve"> 2023</w:t>
      </w:r>
      <w:r w:rsidR="00E65243" w:rsidRPr="00827818">
        <w:rPr>
          <w:rFonts w:ascii="Times New Roman" w:hAnsi="Times New Roman" w:cs="Times New Roman"/>
          <w:sz w:val="24"/>
          <w:szCs w:val="24"/>
          <w:lang w:val="sr-Cyrl-CS"/>
        </w:rPr>
        <w:t>ˮ</w:t>
      </w:r>
      <w:r w:rsidRPr="00827818">
        <w:rPr>
          <w:rFonts w:ascii="Times New Roman" w:hAnsi="Times New Roman" w:cs="Times New Roman"/>
          <w:sz w:val="24"/>
          <w:szCs w:val="24"/>
          <w:lang w:val="sr-Cyrl-CS"/>
        </w:rPr>
        <w:t>.</w:t>
      </w:r>
    </w:p>
    <w:p w:rsidR="000E5BA1" w:rsidRPr="00827818" w:rsidRDefault="00F47AA2" w:rsidP="006A625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52</w:t>
      </w:r>
      <w:r w:rsidR="00BF0498" w:rsidRPr="00827818">
        <w:rPr>
          <w:rFonts w:ascii="Times New Roman" w:hAnsi="Times New Roman" w:cs="Times New Roman"/>
          <w:sz w:val="24"/>
          <w:szCs w:val="24"/>
          <w:lang w:val="sr-Cyrl-CS"/>
        </w:rPr>
        <w:t xml:space="preserve">. </w:t>
      </w:r>
      <w:r w:rsidR="00265DF7" w:rsidRPr="00827818">
        <w:rPr>
          <w:rFonts w:ascii="Times New Roman" w:hAnsi="Times New Roman" w:cs="Times New Roman"/>
          <w:sz w:val="24"/>
          <w:szCs w:val="24"/>
          <w:lang w:val="sr-Cyrl-CS"/>
        </w:rPr>
        <w:t xml:space="preserve">У </w:t>
      </w:r>
      <w:r w:rsidR="00A82AA8" w:rsidRPr="00827818">
        <w:rPr>
          <w:rFonts w:ascii="Times New Roman" w:hAnsi="Times New Roman" w:cs="Times New Roman"/>
          <w:sz w:val="24"/>
          <w:szCs w:val="24"/>
          <w:lang w:val="sr-Cyrl-CS"/>
        </w:rPr>
        <w:t>M</w:t>
      </w:r>
      <w:r w:rsidR="000E5BA1" w:rsidRPr="00827818">
        <w:rPr>
          <w:rFonts w:ascii="Times New Roman" w:hAnsi="Times New Roman" w:cs="Times New Roman"/>
          <w:sz w:val="24"/>
          <w:szCs w:val="24"/>
          <w:lang w:val="sr-Cyrl-CS"/>
        </w:rPr>
        <w:t>ер</w:t>
      </w:r>
      <w:r w:rsidR="002D25C4"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4.2</w:t>
      </w:r>
      <w:r w:rsidR="002D25C4"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Унапређена функција интерне ревизије у јавном сектору у складу са међународним стандардима и начелима,  показатељ на нивоу мере</w:t>
      </w:r>
      <w:r w:rsidR="005B33A9" w:rsidRPr="00827818">
        <w:rPr>
          <w:rFonts w:ascii="Times New Roman" w:hAnsi="Times New Roman" w:cs="Times New Roman"/>
          <w:sz w:val="24"/>
          <w:szCs w:val="24"/>
          <w:lang w:val="sr-Cyrl-CS"/>
        </w:rPr>
        <w:t xml:space="preserve">: </w:t>
      </w:r>
      <w:r w:rsidR="00D45369" w:rsidRPr="00827818">
        <w:rPr>
          <w:rFonts w:ascii="Times New Roman" w:hAnsi="Times New Roman" w:cs="Times New Roman"/>
          <w:sz w:val="24"/>
          <w:szCs w:val="24"/>
          <w:lang w:val="sr-Cyrl-CS"/>
        </w:rPr>
        <w:t>„</w:t>
      </w:r>
      <w:r w:rsidR="005B33A9" w:rsidRPr="00827818">
        <w:rPr>
          <w:rFonts w:ascii="Times New Roman" w:hAnsi="Times New Roman" w:cs="Times New Roman"/>
          <w:sz w:val="24"/>
          <w:szCs w:val="24"/>
          <w:lang w:val="sr-Cyrl-CS"/>
        </w:rPr>
        <w:t>СИГМА показатељ адекватности оперативног оквира за интерну ревизију</w:t>
      </w:r>
      <w:r w:rsidR="00A82AA8" w:rsidRPr="00827818">
        <w:rPr>
          <w:rFonts w:ascii="Times New Roman" w:hAnsi="Times New Roman" w:cs="Times New Roman"/>
          <w:sz w:val="24"/>
          <w:szCs w:val="24"/>
          <w:lang w:val="sr-Cyrl-CS"/>
        </w:rPr>
        <w:t>”</w:t>
      </w:r>
      <w:r w:rsidR="00D45369" w:rsidRPr="00827818">
        <w:rPr>
          <w:rFonts w:ascii="Times New Roman" w:hAnsi="Times New Roman" w:cs="Times New Roman"/>
          <w:sz w:val="24"/>
          <w:szCs w:val="24"/>
          <w:lang w:val="sr-Cyrl-CS"/>
        </w:rPr>
        <w:t xml:space="preserve">  брише</w:t>
      </w:r>
      <w:r w:rsidR="00A82AA8" w:rsidRPr="00827818">
        <w:rPr>
          <w:rFonts w:ascii="Times New Roman" w:hAnsi="Times New Roman" w:cs="Times New Roman"/>
          <w:sz w:val="24"/>
          <w:szCs w:val="24"/>
          <w:lang w:val="sr-Cyrl-CS"/>
        </w:rPr>
        <w:t xml:space="preserve"> се</w:t>
      </w:r>
      <w:r w:rsidR="005B33A9" w:rsidRPr="00827818">
        <w:rPr>
          <w:rFonts w:ascii="Times New Roman" w:hAnsi="Times New Roman" w:cs="Times New Roman"/>
          <w:sz w:val="24"/>
          <w:szCs w:val="24"/>
          <w:lang w:val="sr-Cyrl-CS"/>
        </w:rPr>
        <w:t xml:space="preserve">. Мења се показатељ на нивоу мере: </w:t>
      </w:r>
      <w:r w:rsidR="00D45369" w:rsidRPr="00827818">
        <w:rPr>
          <w:rFonts w:ascii="Times New Roman" w:hAnsi="Times New Roman" w:cs="Times New Roman"/>
          <w:sz w:val="24"/>
          <w:szCs w:val="24"/>
          <w:lang w:val="sr-Cyrl-CS"/>
        </w:rPr>
        <w:t>„</w:t>
      </w:r>
      <w:r w:rsidR="005B33A9" w:rsidRPr="00827818">
        <w:rPr>
          <w:rFonts w:ascii="Times New Roman" w:hAnsi="Times New Roman" w:cs="Times New Roman"/>
          <w:sz w:val="24"/>
          <w:szCs w:val="24"/>
          <w:lang w:val="sr-Cyrl-CS"/>
        </w:rPr>
        <w:t>СИГМА показатељ функционисања интерне ревизије</w:t>
      </w:r>
      <w:r w:rsidR="00A82AA8" w:rsidRPr="00827818">
        <w:rPr>
          <w:rFonts w:ascii="Times New Roman" w:hAnsi="Times New Roman" w:cs="Times New Roman"/>
          <w:sz w:val="24"/>
          <w:szCs w:val="24"/>
          <w:lang w:val="sr-Cyrl-CS"/>
        </w:rPr>
        <w:t>”</w:t>
      </w:r>
      <w:r w:rsidR="00C86EFA" w:rsidRPr="00827818">
        <w:rPr>
          <w:rFonts w:ascii="Times New Roman" w:hAnsi="Times New Roman" w:cs="Times New Roman"/>
          <w:sz w:val="24"/>
          <w:szCs w:val="24"/>
          <w:lang w:val="sr-Cyrl-CS"/>
        </w:rPr>
        <w:t xml:space="preserve"> тако да </w:t>
      </w:r>
      <w:r w:rsidR="000E5BA1" w:rsidRPr="00827818">
        <w:rPr>
          <w:rFonts w:ascii="Times New Roman" w:hAnsi="Times New Roman" w:cs="Times New Roman"/>
          <w:sz w:val="24"/>
          <w:szCs w:val="24"/>
          <w:lang w:val="sr-Cyrl-CS"/>
        </w:rPr>
        <w:t>гласи: „Број екстерних оцена квалитета рада јединица за интерну ревизију у оквиру институција корисника јавних средстава са постепеним растом броја колегијалних прегледа у оквиру укупног броја прегледа</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250785" w:rsidRPr="00827818">
        <w:rPr>
          <w:rFonts w:ascii="Times New Roman" w:hAnsi="Times New Roman" w:cs="Times New Roman"/>
          <w:sz w:val="24"/>
          <w:szCs w:val="24"/>
          <w:lang w:val="sr-Cyrl-CS"/>
        </w:rPr>
        <w:t xml:space="preserve">У колони </w:t>
      </w:r>
      <w:r w:rsidR="005B33A9" w:rsidRPr="00827818">
        <w:rPr>
          <w:rFonts w:ascii="Times New Roman" w:hAnsi="Times New Roman" w:cs="Times New Roman"/>
          <w:sz w:val="24"/>
          <w:szCs w:val="24"/>
          <w:lang w:val="sr-Cyrl-CS"/>
        </w:rPr>
        <w:t xml:space="preserve">јединица мере </w:t>
      </w:r>
      <w:r w:rsidR="00A82AA8" w:rsidRPr="00827818">
        <w:rPr>
          <w:rFonts w:ascii="Times New Roman" w:hAnsi="Times New Roman" w:cs="Times New Roman"/>
          <w:sz w:val="24"/>
          <w:szCs w:val="24"/>
          <w:lang w:val="sr-Cyrl-CS"/>
        </w:rPr>
        <w:t>брише се</w:t>
      </w:r>
      <w:r w:rsidR="00657C17">
        <w:rPr>
          <w:rFonts w:ascii="Times New Roman" w:hAnsi="Times New Roman" w:cs="Times New Roman"/>
          <w:sz w:val="24"/>
          <w:szCs w:val="24"/>
          <w:lang w:val="sr-Cyrl-CS"/>
        </w:rPr>
        <w:t>:</w:t>
      </w:r>
      <w:r w:rsidR="00A82AA8" w:rsidRPr="00827818">
        <w:rPr>
          <w:rFonts w:ascii="Times New Roman" w:hAnsi="Times New Roman" w:cs="Times New Roman"/>
          <w:sz w:val="24"/>
          <w:szCs w:val="24"/>
          <w:lang w:val="sr-Cyrl-CS"/>
        </w:rPr>
        <w:t xml:space="preserve"> „%”</w:t>
      </w:r>
      <w:r w:rsidR="00250785" w:rsidRPr="00827818">
        <w:rPr>
          <w:rFonts w:ascii="Times New Roman" w:hAnsi="Times New Roman" w:cs="Times New Roman"/>
          <w:sz w:val="24"/>
          <w:szCs w:val="24"/>
          <w:lang w:val="sr-Cyrl-CS"/>
        </w:rPr>
        <w:t xml:space="preserve"> </w:t>
      </w:r>
      <w:r w:rsidR="005B33A9" w:rsidRPr="00827818">
        <w:rPr>
          <w:rFonts w:ascii="Times New Roman" w:hAnsi="Times New Roman" w:cs="Times New Roman"/>
          <w:sz w:val="24"/>
          <w:szCs w:val="24"/>
          <w:lang w:val="sr-Cyrl-CS"/>
        </w:rPr>
        <w:t xml:space="preserve">и </w:t>
      </w:r>
      <w:r w:rsidR="00250785" w:rsidRPr="00827818">
        <w:rPr>
          <w:rFonts w:ascii="Times New Roman" w:hAnsi="Times New Roman" w:cs="Times New Roman"/>
          <w:sz w:val="24"/>
          <w:szCs w:val="24"/>
          <w:lang w:val="sr-Cyrl-CS"/>
        </w:rPr>
        <w:t>додаје се</w:t>
      </w:r>
      <w:r w:rsidR="00A82AA8" w:rsidRPr="00827818">
        <w:rPr>
          <w:rFonts w:ascii="Times New Roman" w:hAnsi="Times New Roman" w:cs="Times New Roman"/>
          <w:sz w:val="24"/>
          <w:szCs w:val="24"/>
          <w:lang w:val="sr-Cyrl-CS"/>
        </w:rPr>
        <w:t>: „Број”</w:t>
      </w:r>
      <w:r w:rsidR="005B33A9" w:rsidRPr="00827818">
        <w:rPr>
          <w:rFonts w:ascii="Times New Roman" w:hAnsi="Times New Roman" w:cs="Times New Roman"/>
          <w:sz w:val="24"/>
          <w:szCs w:val="24"/>
          <w:lang w:val="sr-Cyrl-CS"/>
        </w:rPr>
        <w:t xml:space="preserve">. </w:t>
      </w:r>
      <w:r w:rsidR="00250785" w:rsidRPr="00827818">
        <w:rPr>
          <w:rFonts w:ascii="Times New Roman" w:hAnsi="Times New Roman" w:cs="Times New Roman"/>
          <w:sz w:val="24"/>
          <w:szCs w:val="24"/>
          <w:lang w:val="sr-Cyrl-CS"/>
        </w:rPr>
        <w:t>У колони и</w:t>
      </w:r>
      <w:r w:rsidR="000E5BA1" w:rsidRPr="00827818">
        <w:rPr>
          <w:rFonts w:ascii="Times New Roman" w:hAnsi="Times New Roman" w:cs="Times New Roman"/>
          <w:sz w:val="24"/>
          <w:szCs w:val="24"/>
          <w:lang w:val="sr-Cyrl-CS"/>
        </w:rPr>
        <w:t xml:space="preserve">звор провере </w:t>
      </w:r>
      <w:r w:rsidR="00250785" w:rsidRPr="00827818">
        <w:rPr>
          <w:rFonts w:ascii="Times New Roman" w:hAnsi="Times New Roman" w:cs="Times New Roman"/>
          <w:sz w:val="24"/>
          <w:szCs w:val="24"/>
          <w:lang w:val="sr-Cyrl-CS"/>
        </w:rPr>
        <w:t>бриш</w:t>
      </w:r>
      <w:r w:rsidR="00A82AA8" w:rsidRPr="00827818">
        <w:rPr>
          <w:rFonts w:ascii="Times New Roman" w:hAnsi="Times New Roman" w:cs="Times New Roman"/>
          <w:sz w:val="24"/>
          <w:szCs w:val="24"/>
          <w:lang w:val="sr-Cyrl-CS"/>
        </w:rPr>
        <w:t>е се „мониторинг извештај СИГМЕ”</w:t>
      </w:r>
      <w:r w:rsidR="00250785" w:rsidRPr="00827818">
        <w:rPr>
          <w:rFonts w:ascii="Times New Roman" w:hAnsi="Times New Roman" w:cs="Times New Roman"/>
          <w:sz w:val="24"/>
          <w:szCs w:val="24"/>
          <w:lang w:val="sr-Cyrl-CS"/>
        </w:rPr>
        <w:t xml:space="preserve"> и додаје се</w:t>
      </w:r>
      <w:r w:rsidR="000E5BA1" w:rsidRPr="00827818">
        <w:rPr>
          <w:rFonts w:ascii="Times New Roman" w:hAnsi="Times New Roman" w:cs="Times New Roman"/>
          <w:sz w:val="24"/>
          <w:szCs w:val="24"/>
          <w:lang w:val="sr-Cyrl-CS"/>
        </w:rPr>
        <w:t xml:space="preserve"> „Извештај о екстерној оцени квалитета</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F317E4" w:rsidRPr="00827818">
        <w:rPr>
          <w:rFonts w:ascii="Times New Roman" w:hAnsi="Times New Roman" w:cs="Times New Roman"/>
          <w:sz w:val="24"/>
          <w:szCs w:val="24"/>
          <w:lang w:val="sr-Cyrl-CS"/>
        </w:rPr>
        <w:t>м</w:t>
      </w:r>
      <w:r w:rsidR="00250785" w:rsidRPr="00827818">
        <w:rPr>
          <w:rFonts w:ascii="Times New Roman" w:hAnsi="Times New Roman" w:cs="Times New Roman"/>
          <w:sz w:val="24"/>
          <w:szCs w:val="24"/>
          <w:lang w:val="sr-Cyrl-CS"/>
        </w:rPr>
        <w:t>ењају се вредности показатеља</w:t>
      </w:r>
      <w:r w:rsidR="000E5BA1" w:rsidRPr="00827818">
        <w:rPr>
          <w:rFonts w:ascii="Times New Roman" w:hAnsi="Times New Roman" w:cs="Times New Roman"/>
          <w:sz w:val="24"/>
          <w:szCs w:val="24"/>
          <w:lang w:val="sr-Cyrl-CS"/>
        </w:rPr>
        <w:t xml:space="preserve">: </w:t>
      </w:r>
      <w:r w:rsidR="00F317E4" w:rsidRPr="00827818">
        <w:rPr>
          <w:rFonts w:ascii="Times New Roman" w:hAnsi="Times New Roman" w:cs="Times New Roman"/>
          <w:sz w:val="24"/>
          <w:szCs w:val="24"/>
          <w:lang w:val="sr-Cyrl-CS"/>
        </w:rPr>
        <w:t>у</w:t>
      </w:r>
      <w:r w:rsidR="00250785" w:rsidRPr="00827818">
        <w:rPr>
          <w:rFonts w:ascii="Times New Roman" w:hAnsi="Times New Roman" w:cs="Times New Roman"/>
          <w:sz w:val="24"/>
          <w:szCs w:val="24"/>
          <w:lang w:val="sr-Cyrl-CS"/>
        </w:rPr>
        <w:t xml:space="preserve"> колони</w:t>
      </w:r>
      <w:r w:rsidR="00A82AA8" w:rsidRPr="00827818">
        <w:rPr>
          <w:rFonts w:ascii="Times New Roman" w:hAnsi="Times New Roman" w:cs="Times New Roman"/>
          <w:sz w:val="24"/>
          <w:szCs w:val="24"/>
          <w:lang w:val="sr-Cyrl-CS"/>
        </w:rPr>
        <w:t xml:space="preserve"> почетна вредност брише се „1/5”</w:t>
      </w:r>
      <w:r w:rsidR="00250785" w:rsidRPr="00827818">
        <w:rPr>
          <w:rFonts w:ascii="Times New Roman" w:hAnsi="Times New Roman" w:cs="Times New Roman"/>
          <w:sz w:val="24"/>
          <w:szCs w:val="24"/>
          <w:lang w:val="sr-Cyrl-CS"/>
        </w:rPr>
        <w:t xml:space="preserve"> и додаје се</w:t>
      </w:r>
      <w:r w:rsidR="000E5BA1" w:rsidRPr="00827818">
        <w:rPr>
          <w:rFonts w:ascii="Times New Roman" w:hAnsi="Times New Roman" w:cs="Times New Roman"/>
          <w:sz w:val="24"/>
          <w:szCs w:val="24"/>
          <w:lang w:val="sr-Cyrl-CS"/>
        </w:rPr>
        <w:t>:</w:t>
      </w:r>
      <w:r w:rsidR="00FD68AE" w:rsidRPr="00827818">
        <w:rPr>
          <w:rFonts w:ascii="Times New Roman" w:hAnsi="Times New Roman" w:cs="Times New Roman"/>
          <w:sz w:val="24"/>
          <w:szCs w:val="24"/>
          <w:lang w:val="sr-Cyrl-CS"/>
        </w:rPr>
        <w:t xml:space="preserve"> </w:t>
      </w:r>
      <w:r w:rsidR="00A82AA8"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8</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F317E4" w:rsidRPr="00827818">
        <w:rPr>
          <w:rFonts w:ascii="Times New Roman" w:hAnsi="Times New Roman" w:cs="Times New Roman"/>
          <w:sz w:val="24"/>
          <w:szCs w:val="24"/>
          <w:lang w:val="sr-Cyrl-CS"/>
        </w:rPr>
        <w:t>у</w:t>
      </w:r>
      <w:r w:rsidR="00250785" w:rsidRPr="00827818">
        <w:rPr>
          <w:rFonts w:ascii="Times New Roman" w:hAnsi="Times New Roman" w:cs="Times New Roman"/>
          <w:sz w:val="24"/>
          <w:szCs w:val="24"/>
          <w:lang w:val="sr-Cyrl-CS"/>
        </w:rPr>
        <w:t xml:space="preserve"> колони б</w:t>
      </w:r>
      <w:r w:rsidR="000E5BA1" w:rsidRPr="00827818">
        <w:rPr>
          <w:rFonts w:ascii="Times New Roman" w:hAnsi="Times New Roman" w:cs="Times New Roman"/>
          <w:sz w:val="24"/>
          <w:szCs w:val="24"/>
          <w:lang w:val="sr-Cyrl-CS"/>
        </w:rPr>
        <w:t>азна година</w:t>
      </w:r>
      <w:r w:rsidR="00A82AA8" w:rsidRPr="00827818">
        <w:rPr>
          <w:rFonts w:ascii="Times New Roman" w:hAnsi="Times New Roman" w:cs="Times New Roman"/>
          <w:sz w:val="24"/>
          <w:szCs w:val="24"/>
          <w:lang w:val="sr-Cyrl-CS"/>
        </w:rPr>
        <w:t xml:space="preserve"> брише се</w:t>
      </w:r>
      <w:r w:rsidR="00657C17">
        <w:rPr>
          <w:rFonts w:ascii="Times New Roman" w:hAnsi="Times New Roman" w:cs="Times New Roman"/>
          <w:sz w:val="24"/>
          <w:szCs w:val="24"/>
          <w:lang w:val="sr-Cyrl-CS"/>
        </w:rPr>
        <w:t>:</w:t>
      </w:r>
      <w:r w:rsidR="00A82AA8" w:rsidRPr="00827818">
        <w:rPr>
          <w:rFonts w:ascii="Times New Roman" w:hAnsi="Times New Roman" w:cs="Times New Roman"/>
          <w:sz w:val="24"/>
          <w:szCs w:val="24"/>
          <w:lang w:val="sr-Cyrl-CS"/>
        </w:rPr>
        <w:t xml:space="preserve"> „2017”</w:t>
      </w:r>
      <w:r w:rsidR="00250785" w:rsidRPr="00827818">
        <w:rPr>
          <w:rFonts w:ascii="Times New Roman" w:hAnsi="Times New Roman" w:cs="Times New Roman"/>
          <w:sz w:val="24"/>
          <w:szCs w:val="24"/>
          <w:lang w:val="sr-Cyrl-CS"/>
        </w:rPr>
        <w:t xml:space="preserve"> и додаје се</w:t>
      </w:r>
      <w:r w:rsidR="00657C17">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„2021</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250785" w:rsidRPr="00827818">
        <w:rPr>
          <w:rFonts w:ascii="Times New Roman" w:hAnsi="Times New Roman" w:cs="Times New Roman"/>
          <w:sz w:val="24"/>
          <w:szCs w:val="24"/>
          <w:lang w:val="sr-Cyrl-CS"/>
        </w:rPr>
        <w:t>у колони циљана вредност 2023 додаје се</w:t>
      </w:r>
      <w:r w:rsidR="00657C17">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„6</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F317E4" w:rsidRPr="00827818">
        <w:rPr>
          <w:rFonts w:ascii="Times New Roman" w:hAnsi="Times New Roman" w:cs="Times New Roman"/>
          <w:sz w:val="24"/>
          <w:szCs w:val="24"/>
          <w:lang w:val="sr-Cyrl-CS"/>
        </w:rPr>
        <w:t>у</w:t>
      </w:r>
      <w:r w:rsidR="00250785" w:rsidRPr="00827818">
        <w:rPr>
          <w:rFonts w:ascii="Times New Roman" w:hAnsi="Times New Roman" w:cs="Times New Roman"/>
          <w:sz w:val="24"/>
          <w:szCs w:val="24"/>
          <w:lang w:val="sr-Cyrl-CS"/>
        </w:rPr>
        <w:t xml:space="preserve"> колони циљана вредност 2024 додаје се</w:t>
      </w:r>
      <w:r w:rsidR="00657C17">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„8</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w:t>
      </w:r>
      <w:r w:rsidR="00250785" w:rsidRPr="00827818">
        <w:rPr>
          <w:rFonts w:ascii="Times New Roman" w:hAnsi="Times New Roman" w:cs="Times New Roman"/>
          <w:sz w:val="24"/>
          <w:szCs w:val="24"/>
          <w:lang w:val="sr-Cyrl-CS"/>
        </w:rPr>
        <w:t xml:space="preserve"> у колони циљ</w:t>
      </w:r>
      <w:r w:rsidR="00A82AA8" w:rsidRPr="00827818">
        <w:rPr>
          <w:rFonts w:ascii="Times New Roman" w:hAnsi="Times New Roman" w:cs="Times New Roman"/>
          <w:sz w:val="24"/>
          <w:szCs w:val="24"/>
          <w:lang w:val="sr-Cyrl-CS"/>
        </w:rPr>
        <w:t>ана вредност 2025 брише се</w:t>
      </w:r>
      <w:r w:rsidR="00657C17">
        <w:rPr>
          <w:rFonts w:ascii="Times New Roman" w:hAnsi="Times New Roman" w:cs="Times New Roman"/>
          <w:sz w:val="24"/>
          <w:szCs w:val="24"/>
          <w:lang w:val="sr-Cyrl-CS"/>
        </w:rPr>
        <w:t>:</w:t>
      </w:r>
      <w:r w:rsidR="00A82AA8" w:rsidRPr="00827818">
        <w:rPr>
          <w:rFonts w:ascii="Times New Roman" w:hAnsi="Times New Roman" w:cs="Times New Roman"/>
          <w:sz w:val="24"/>
          <w:szCs w:val="24"/>
          <w:lang w:val="sr-Cyrl-CS"/>
        </w:rPr>
        <w:t xml:space="preserve"> „3/5”</w:t>
      </w:r>
      <w:r w:rsidR="00250785" w:rsidRPr="00827818">
        <w:rPr>
          <w:rFonts w:ascii="Times New Roman" w:hAnsi="Times New Roman" w:cs="Times New Roman"/>
          <w:sz w:val="24"/>
          <w:szCs w:val="24"/>
          <w:lang w:val="sr-Cyrl-CS"/>
        </w:rPr>
        <w:t xml:space="preserve"> и додаје се</w:t>
      </w:r>
      <w:r w:rsidR="00657C17">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„12</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p>
    <w:p w:rsidR="000E5BA1" w:rsidRPr="00827818" w:rsidRDefault="00F47AA2" w:rsidP="000248B7">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53</w:t>
      </w:r>
      <w:r w:rsidR="000248B7" w:rsidRPr="00827818">
        <w:rPr>
          <w:rFonts w:ascii="Times New Roman" w:hAnsi="Times New Roman" w:cs="Times New Roman"/>
          <w:sz w:val="24"/>
          <w:szCs w:val="24"/>
          <w:lang w:val="sr-Cyrl-CS"/>
        </w:rPr>
        <w:t>.</w:t>
      </w:r>
      <w:r w:rsidR="000452DA"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9B5FD3"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9B5FD3"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4.2</w:t>
      </w:r>
      <w:r w:rsidR="009B5FD3"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Унапређена функција интерне ревизије у јавном сектору у складу са међународним стандардима и начелима, </w:t>
      </w:r>
      <w:r w:rsidR="00A82AA8" w:rsidRPr="00827818">
        <w:rPr>
          <w:rFonts w:ascii="Times New Roman" w:hAnsi="Times New Roman" w:cs="Times New Roman"/>
          <w:sz w:val="24"/>
          <w:szCs w:val="24"/>
          <w:lang w:val="sr-Cyrl-CS"/>
        </w:rPr>
        <w:t>назив a</w:t>
      </w:r>
      <w:r w:rsidR="000E5BA1" w:rsidRPr="00827818">
        <w:rPr>
          <w:rFonts w:ascii="Times New Roman" w:hAnsi="Times New Roman" w:cs="Times New Roman"/>
          <w:sz w:val="24"/>
          <w:szCs w:val="24"/>
          <w:lang w:val="sr-Cyrl-CS"/>
        </w:rPr>
        <w:t>ктивност</w:t>
      </w:r>
      <w:r w:rsidR="009B5FD3"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4.2.1</w:t>
      </w:r>
      <w:r w:rsidR="009B5FD3"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Анализа примене постојећег методолошког оквира и његово унапређење (нпр. за ревизију успешности, ревизију информационе безбедности, саветодавне услуге и сл.) </w:t>
      </w:r>
      <w:r w:rsidR="002112FB" w:rsidRPr="00827818">
        <w:rPr>
          <w:rFonts w:ascii="Times New Roman" w:hAnsi="Times New Roman" w:cs="Times New Roman"/>
          <w:sz w:val="24"/>
          <w:szCs w:val="24"/>
          <w:lang w:val="sr-Cyrl-CS"/>
        </w:rPr>
        <w:t>замењује се називом</w:t>
      </w:r>
      <w:r w:rsidR="000E5BA1" w:rsidRPr="00827818">
        <w:rPr>
          <w:rFonts w:ascii="Times New Roman" w:hAnsi="Times New Roman" w:cs="Times New Roman"/>
          <w:sz w:val="24"/>
          <w:szCs w:val="24"/>
          <w:lang w:val="sr-Cyrl-CS"/>
        </w:rPr>
        <w:t>: „Анализа примене постојећег и евентуално усаглашавање методолошког оквира са изменама стандарда  и његово унапређење (нпр. за ревизију успешности, саветодавне услуге и сл.)</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ED5205" w:rsidRPr="00827818">
        <w:rPr>
          <w:rFonts w:ascii="Times New Roman" w:hAnsi="Times New Roman" w:cs="Times New Roman"/>
          <w:sz w:val="24"/>
          <w:szCs w:val="24"/>
          <w:lang w:val="sr-Cyrl-CS"/>
        </w:rPr>
        <w:t>Партнери у спровођењу активности:</w:t>
      </w:r>
      <w:r w:rsidR="004A78E6" w:rsidRPr="00827818">
        <w:rPr>
          <w:rFonts w:ascii="Times New Roman" w:hAnsi="Times New Roman" w:cs="Times New Roman"/>
          <w:sz w:val="24"/>
          <w:szCs w:val="24"/>
          <w:lang w:val="sr-Cyrl-CS"/>
        </w:rPr>
        <w:t xml:space="preserve"> </w:t>
      </w:r>
      <w:r w:rsidR="00A16455" w:rsidRPr="00827818">
        <w:rPr>
          <w:rFonts w:ascii="Times New Roman" w:hAnsi="Times New Roman" w:cs="Times New Roman"/>
          <w:sz w:val="24"/>
          <w:szCs w:val="24"/>
          <w:lang w:val="sr-Cyrl-CS"/>
        </w:rPr>
        <w:t>„</w:t>
      </w:r>
      <w:r w:rsidR="004A78E6" w:rsidRPr="00827818">
        <w:rPr>
          <w:rFonts w:ascii="Times New Roman" w:hAnsi="Times New Roman" w:cs="Times New Roman"/>
          <w:sz w:val="24"/>
          <w:szCs w:val="24"/>
          <w:lang w:val="sr-Cyrl-CS"/>
        </w:rPr>
        <w:t>ДРИ</w:t>
      </w:r>
      <w:r w:rsidR="00E65243" w:rsidRPr="00827818">
        <w:rPr>
          <w:rFonts w:ascii="Times New Roman" w:hAnsi="Times New Roman" w:cs="Times New Roman"/>
          <w:sz w:val="24"/>
          <w:szCs w:val="24"/>
          <w:lang w:val="sr-Cyrl-CS"/>
        </w:rPr>
        <w:t>ˮ</w:t>
      </w:r>
      <w:r w:rsidR="002F5B18" w:rsidRPr="00827818">
        <w:rPr>
          <w:rFonts w:ascii="Times New Roman" w:hAnsi="Times New Roman" w:cs="Times New Roman"/>
          <w:sz w:val="24"/>
          <w:szCs w:val="24"/>
          <w:lang w:val="sr-Cyrl-CS"/>
        </w:rPr>
        <w:t xml:space="preserve"> бришу</w:t>
      </w:r>
      <w:r w:rsidR="000B3A22" w:rsidRPr="00827818">
        <w:rPr>
          <w:rFonts w:ascii="Times New Roman" w:hAnsi="Times New Roman" w:cs="Times New Roman"/>
          <w:sz w:val="24"/>
          <w:szCs w:val="24"/>
          <w:lang w:val="sr-Cyrl-CS"/>
        </w:rPr>
        <w:t xml:space="preserve"> се</w:t>
      </w:r>
      <w:r w:rsidR="00B506AC" w:rsidRPr="00827818">
        <w:rPr>
          <w:rFonts w:ascii="Times New Roman" w:hAnsi="Times New Roman" w:cs="Times New Roman"/>
          <w:sz w:val="24"/>
          <w:szCs w:val="24"/>
          <w:lang w:val="sr-Cyrl-CS"/>
        </w:rPr>
        <w:t>.</w:t>
      </w:r>
    </w:p>
    <w:p w:rsidR="00A32C35" w:rsidRPr="00827818" w:rsidRDefault="00F47AA2" w:rsidP="00FD61B4">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54</w:t>
      </w:r>
      <w:r w:rsidR="00FD61B4" w:rsidRPr="00827818">
        <w:rPr>
          <w:rFonts w:ascii="Times New Roman" w:hAnsi="Times New Roman" w:cs="Times New Roman"/>
          <w:sz w:val="24"/>
          <w:szCs w:val="24"/>
          <w:lang w:val="sr-Cyrl-CS"/>
        </w:rPr>
        <w:t>.</w:t>
      </w:r>
      <w:r w:rsidR="00A32C35" w:rsidRPr="00827818">
        <w:rPr>
          <w:rFonts w:ascii="Times New Roman" w:hAnsi="Times New Roman" w:cs="Times New Roman"/>
          <w:sz w:val="24"/>
          <w:szCs w:val="24"/>
          <w:lang w:val="sr-Cyrl-CS"/>
        </w:rPr>
        <w:t xml:space="preserve">У Мери 4.2: Унапређена функција интерне ревизије у јавном сектору у складу са међународним стандардима и начелима, у оквиру активности 4.2.4 Подршка успостављању и унапређењу ИР на локалном нивоу, мења се фуснота 174 тако да гласи: </w:t>
      </w:r>
      <w:r w:rsidR="00A32C35" w:rsidRPr="00827818">
        <w:rPr>
          <w:rFonts w:ascii="Times New Roman" w:hAnsi="Times New Roman" w:cs="Times New Roman"/>
          <w:iCs/>
          <w:sz w:val="24"/>
          <w:szCs w:val="24"/>
          <w:lang w:val="sr-Cyrl-CS"/>
        </w:rPr>
        <w:t xml:space="preserve">„Детаљнији приказ планиране активности утврђен је у ПРСЛС 2021-2025. у оквиру Посебног циља 2: Унапређење система финансирања локалне самоуправе у оквиру Посебне мере 2.4: </w:t>
      </w:r>
      <w:r w:rsidR="00A32C35" w:rsidRPr="00827818">
        <w:rPr>
          <w:rFonts w:ascii="Times New Roman" w:hAnsi="Times New Roman" w:cs="Times New Roman"/>
          <w:iCs/>
          <w:sz w:val="24"/>
          <w:szCs w:val="24"/>
          <w:lang w:val="sr-Cyrl-CS"/>
        </w:rPr>
        <w:lastRenderedPageBreak/>
        <w:t>Интензиван развој система интерне финансијске контроле у јавном сектору (ИФКЈ) на локалном нивоу, а у Програму и његовом Акционом плану се приказују у сврху комплетирања увида у све активности које се предузимају на локалном нивоу у области ИФКЈ  и за њих се неће планирати средства нити извештавати у оквиру Акционог плана овог програма већ у оквиру Акционог плана ПРСЛС 2021-2025. У складу са тим, у ову  активност су интегрисане активности из Мере 2.4, П</w:t>
      </w:r>
      <w:r w:rsidR="000B3A22" w:rsidRPr="00827818">
        <w:rPr>
          <w:rFonts w:ascii="Times New Roman" w:hAnsi="Times New Roman" w:cs="Times New Roman"/>
          <w:iCs/>
          <w:sz w:val="24"/>
          <w:szCs w:val="24"/>
          <w:lang w:val="sr-Cyrl-CS"/>
        </w:rPr>
        <w:t>осебног циља 2 из АП ПРСЛС”</w:t>
      </w:r>
      <w:r w:rsidR="00A32C35" w:rsidRPr="00827818">
        <w:rPr>
          <w:rFonts w:ascii="Times New Roman" w:hAnsi="Times New Roman" w:cs="Times New Roman"/>
          <w:iCs/>
          <w:sz w:val="24"/>
          <w:szCs w:val="24"/>
          <w:lang w:val="sr-Cyrl-CS"/>
        </w:rPr>
        <w:t>.</w:t>
      </w:r>
      <w:r w:rsidR="00A32C35" w:rsidRPr="00827818">
        <w:rPr>
          <w:rFonts w:ascii="Times New Roman" w:hAnsi="Times New Roman" w:cs="Times New Roman"/>
          <w:sz w:val="24"/>
          <w:szCs w:val="24"/>
          <w:lang w:val="sr-Cyrl-CS"/>
        </w:rPr>
        <w:t xml:space="preserve"> </w:t>
      </w:r>
    </w:p>
    <w:p w:rsidR="00F33A96" w:rsidRPr="00827818" w:rsidRDefault="00F47AA2" w:rsidP="00FD61B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55</w:t>
      </w:r>
      <w:r w:rsidR="00FD61B4" w:rsidRPr="00827818">
        <w:rPr>
          <w:rFonts w:ascii="Times New Roman" w:hAnsi="Times New Roman" w:cs="Times New Roman"/>
          <w:sz w:val="24"/>
          <w:szCs w:val="24"/>
          <w:lang w:val="sr-Cyrl-CS"/>
        </w:rPr>
        <w:t xml:space="preserve">. </w:t>
      </w:r>
      <w:r w:rsidR="00D27561" w:rsidRPr="00827818">
        <w:rPr>
          <w:rFonts w:ascii="Times New Roman" w:hAnsi="Times New Roman" w:cs="Times New Roman"/>
          <w:sz w:val="24"/>
          <w:szCs w:val="24"/>
          <w:lang w:val="sr-Cyrl-CS"/>
        </w:rPr>
        <w:t xml:space="preserve">У </w:t>
      </w:r>
      <w:r w:rsidR="00F33A96" w:rsidRPr="00827818">
        <w:rPr>
          <w:rFonts w:ascii="Times New Roman" w:hAnsi="Times New Roman" w:cs="Times New Roman"/>
          <w:sz w:val="24"/>
          <w:szCs w:val="24"/>
          <w:lang w:val="sr-Cyrl-CS"/>
        </w:rPr>
        <w:t>Мери 4.2: Унапређена функција интерне ревизије у јавном сектору у складу са међународним стандардима и начелима</w:t>
      </w:r>
      <w:r w:rsidR="00AC2C17" w:rsidRPr="00827818">
        <w:rPr>
          <w:rFonts w:ascii="Times New Roman" w:hAnsi="Times New Roman" w:cs="Times New Roman"/>
          <w:sz w:val="24"/>
          <w:szCs w:val="24"/>
          <w:lang w:val="sr-Cyrl-CS"/>
        </w:rPr>
        <w:t>, назив a</w:t>
      </w:r>
      <w:r w:rsidR="00F33A96" w:rsidRPr="00827818">
        <w:rPr>
          <w:rFonts w:ascii="Times New Roman" w:hAnsi="Times New Roman" w:cs="Times New Roman"/>
          <w:sz w:val="24"/>
          <w:szCs w:val="24"/>
          <w:lang w:val="sr-Cyrl-CS"/>
        </w:rPr>
        <w:t>ктивности 4.2.5: Увођење екстерне оцене квалитета по методи колегијалног прегледа (пилотирање, методологија, правилник, обука и серт</w:t>
      </w:r>
      <w:r w:rsidR="00FD68AE" w:rsidRPr="00827818">
        <w:rPr>
          <w:rFonts w:ascii="Times New Roman" w:hAnsi="Times New Roman" w:cs="Times New Roman"/>
          <w:sz w:val="24"/>
          <w:szCs w:val="24"/>
          <w:lang w:val="sr-Cyrl-CS"/>
        </w:rPr>
        <w:t>и</w:t>
      </w:r>
      <w:r w:rsidR="00F33A96" w:rsidRPr="00827818">
        <w:rPr>
          <w:rFonts w:ascii="Times New Roman" w:hAnsi="Times New Roman" w:cs="Times New Roman"/>
          <w:sz w:val="24"/>
          <w:szCs w:val="24"/>
          <w:lang w:val="sr-Cyrl-CS"/>
        </w:rPr>
        <w:t>фикација евалуатора, доношење и спровођење Програма екстерне оцене квалитета)</w:t>
      </w:r>
      <w:r w:rsidR="00F33A96" w:rsidRPr="00827818">
        <w:rPr>
          <w:lang w:val="sr-Cyrl-CS"/>
        </w:rPr>
        <w:t xml:space="preserve"> </w:t>
      </w:r>
      <w:r w:rsidR="00F33A96" w:rsidRPr="00827818">
        <w:rPr>
          <w:rFonts w:ascii="Times New Roman" w:hAnsi="Times New Roman" w:cs="Times New Roman"/>
          <w:sz w:val="24"/>
          <w:szCs w:val="24"/>
          <w:lang w:val="sr-Cyrl-CS"/>
        </w:rPr>
        <w:t>замењује се називом: „Увођење екстерне оцене квалитета по методи колегијалног прегледа (обука и серт</w:t>
      </w:r>
      <w:r w:rsidR="00FD68AE" w:rsidRPr="00827818">
        <w:rPr>
          <w:rFonts w:ascii="Times New Roman" w:hAnsi="Times New Roman" w:cs="Times New Roman"/>
          <w:sz w:val="24"/>
          <w:szCs w:val="24"/>
          <w:lang w:val="sr-Cyrl-CS"/>
        </w:rPr>
        <w:t>и</w:t>
      </w:r>
      <w:r w:rsidR="00F33A96" w:rsidRPr="00827818">
        <w:rPr>
          <w:rFonts w:ascii="Times New Roman" w:hAnsi="Times New Roman" w:cs="Times New Roman"/>
          <w:sz w:val="24"/>
          <w:szCs w:val="24"/>
          <w:lang w:val="sr-Cyrl-CS"/>
        </w:rPr>
        <w:t>фикација евалуатора, доношење и спровођење Програма екстерне оцене квалитета)</w:t>
      </w:r>
      <w:r w:rsidR="00AC2C17" w:rsidRPr="00827818">
        <w:rPr>
          <w:rFonts w:ascii="Times New Roman" w:hAnsi="Times New Roman" w:cs="Times New Roman"/>
          <w:sz w:val="24"/>
          <w:szCs w:val="24"/>
          <w:lang w:val="sr-Cyrl-CS"/>
        </w:rPr>
        <w:t>”</w:t>
      </w:r>
      <w:r w:rsidR="00F33A96" w:rsidRPr="00827818">
        <w:rPr>
          <w:rFonts w:ascii="Times New Roman" w:hAnsi="Times New Roman" w:cs="Times New Roman"/>
          <w:sz w:val="24"/>
          <w:szCs w:val="24"/>
          <w:lang w:val="sr-Cyrl-CS"/>
        </w:rPr>
        <w:t>.</w:t>
      </w:r>
    </w:p>
    <w:p w:rsidR="00F33A96" w:rsidRPr="00827818" w:rsidRDefault="00F47AA2" w:rsidP="007A09DD">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56</w:t>
      </w:r>
      <w:r w:rsidR="007A09DD" w:rsidRPr="00827818">
        <w:rPr>
          <w:rFonts w:ascii="Times New Roman" w:hAnsi="Times New Roman" w:cs="Times New Roman"/>
          <w:sz w:val="24"/>
          <w:szCs w:val="24"/>
          <w:lang w:val="sr-Cyrl-CS"/>
        </w:rPr>
        <w:t xml:space="preserve">. </w:t>
      </w:r>
      <w:r w:rsidR="00E25D0E" w:rsidRPr="00827818">
        <w:rPr>
          <w:rFonts w:ascii="Times New Roman" w:hAnsi="Times New Roman" w:cs="Times New Roman"/>
          <w:sz w:val="24"/>
          <w:szCs w:val="24"/>
          <w:lang w:val="sr-Cyrl-CS"/>
        </w:rPr>
        <w:t xml:space="preserve">У </w:t>
      </w:r>
      <w:r w:rsidR="00F33A96" w:rsidRPr="00827818">
        <w:rPr>
          <w:rFonts w:ascii="Times New Roman" w:hAnsi="Times New Roman" w:cs="Times New Roman"/>
          <w:sz w:val="24"/>
          <w:szCs w:val="24"/>
          <w:lang w:val="sr-Cyrl-CS"/>
        </w:rPr>
        <w:t>Мери 4.2: Унапређена функција интерне ревизије у јавном сектору у складу са међународним стандардима и н</w:t>
      </w:r>
      <w:r w:rsidR="00C86EFA" w:rsidRPr="00827818">
        <w:rPr>
          <w:rFonts w:ascii="Times New Roman" w:hAnsi="Times New Roman" w:cs="Times New Roman"/>
          <w:sz w:val="24"/>
          <w:szCs w:val="24"/>
          <w:lang w:val="sr-Cyrl-CS"/>
        </w:rPr>
        <w:t>ачелима,</w:t>
      </w:r>
      <w:r w:rsidR="00AC2C17" w:rsidRPr="00827818">
        <w:rPr>
          <w:rFonts w:ascii="Times New Roman" w:hAnsi="Times New Roman" w:cs="Times New Roman"/>
          <w:sz w:val="24"/>
          <w:szCs w:val="24"/>
          <w:lang w:val="sr-Cyrl-CS"/>
        </w:rPr>
        <w:t xml:space="preserve"> </w:t>
      </w:r>
      <w:r w:rsidR="00C86EFA" w:rsidRPr="00827818">
        <w:rPr>
          <w:rFonts w:ascii="Times New Roman" w:hAnsi="Times New Roman" w:cs="Times New Roman"/>
          <w:sz w:val="24"/>
          <w:szCs w:val="24"/>
          <w:lang w:val="sr-Cyrl-CS"/>
        </w:rPr>
        <w:t>назив а</w:t>
      </w:r>
      <w:r w:rsidR="00F33A96" w:rsidRPr="00827818">
        <w:rPr>
          <w:rFonts w:ascii="Times New Roman" w:hAnsi="Times New Roman" w:cs="Times New Roman"/>
          <w:sz w:val="24"/>
          <w:szCs w:val="24"/>
          <w:lang w:val="sr-Cyrl-CS"/>
        </w:rPr>
        <w:t>ктивности 4.2.6:  Унапређење постојећег правног оквира у циљу оптимизације организације интерне ревизије и извештавања ИР замењује се називом: „Анализа примене и евентуално унапређење постојећег правног оквира у циљу оптимизације организације интерне ревизије и извештавања ИР (Подршка имплементацији измена из Правилника за ИР</w:t>
      </w:r>
      <w:r w:rsidR="00C86EFA" w:rsidRPr="00827818">
        <w:rPr>
          <w:rFonts w:ascii="Times New Roman" w:hAnsi="Times New Roman" w:cs="Times New Roman"/>
          <w:sz w:val="24"/>
          <w:szCs w:val="24"/>
          <w:lang w:val="sr-Cyrl-CS"/>
        </w:rPr>
        <w:t>)</w:t>
      </w:r>
      <w:r w:rsidR="00AC2C17" w:rsidRPr="00827818">
        <w:rPr>
          <w:rFonts w:ascii="Times New Roman" w:hAnsi="Times New Roman" w:cs="Times New Roman"/>
          <w:sz w:val="24"/>
          <w:szCs w:val="24"/>
          <w:lang w:val="sr-Cyrl-CS"/>
        </w:rPr>
        <w:t>”</w:t>
      </w:r>
      <w:r w:rsidR="00C86EFA" w:rsidRPr="00827818">
        <w:rPr>
          <w:rFonts w:ascii="Times New Roman" w:hAnsi="Times New Roman" w:cs="Times New Roman"/>
          <w:sz w:val="24"/>
          <w:szCs w:val="24"/>
          <w:lang w:val="sr-Cyrl-CS"/>
        </w:rPr>
        <w:t>.</w:t>
      </w:r>
    </w:p>
    <w:p w:rsidR="00F33A96" w:rsidRPr="00827818" w:rsidRDefault="00F47AA2" w:rsidP="0073325D">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57</w:t>
      </w:r>
      <w:r w:rsidR="00CE6953" w:rsidRPr="00827818">
        <w:rPr>
          <w:rFonts w:ascii="Times New Roman" w:hAnsi="Times New Roman" w:cs="Times New Roman"/>
          <w:sz w:val="24"/>
          <w:szCs w:val="24"/>
          <w:lang w:val="sr-Cyrl-CS"/>
        </w:rPr>
        <w:t xml:space="preserve">. </w:t>
      </w:r>
      <w:r w:rsidR="00F33A96" w:rsidRPr="00827818">
        <w:rPr>
          <w:rFonts w:ascii="Times New Roman" w:hAnsi="Times New Roman" w:cs="Times New Roman"/>
          <w:sz w:val="24"/>
          <w:szCs w:val="24"/>
          <w:lang w:val="sr-Cyrl-CS"/>
        </w:rPr>
        <w:t>У Мери 4.2: Унапређена функција интерне ревизије у јавном сектору у складу са међународним стандардима и начелима</w:t>
      </w:r>
      <w:r w:rsidR="00AC2C17" w:rsidRPr="00827818">
        <w:rPr>
          <w:rFonts w:ascii="Times New Roman" w:hAnsi="Times New Roman" w:cs="Times New Roman"/>
          <w:sz w:val="24"/>
          <w:szCs w:val="24"/>
          <w:lang w:val="sr-Cyrl-CS"/>
        </w:rPr>
        <w:t xml:space="preserve">, </w:t>
      </w:r>
      <w:r w:rsidR="00F33A96" w:rsidRPr="00827818">
        <w:rPr>
          <w:rFonts w:ascii="Times New Roman" w:hAnsi="Times New Roman" w:cs="Times New Roman"/>
          <w:sz w:val="24"/>
          <w:szCs w:val="24"/>
          <w:lang w:val="sr-Cyrl-CS"/>
        </w:rPr>
        <w:t>активност 4.2.7</w:t>
      </w:r>
      <w:r w:rsidR="001C7FE3" w:rsidRPr="00827818">
        <w:rPr>
          <w:rFonts w:ascii="Times New Roman" w:hAnsi="Times New Roman" w:cs="Times New Roman"/>
          <w:sz w:val="24"/>
          <w:szCs w:val="24"/>
          <w:lang w:val="sr-Cyrl-CS"/>
        </w:rPr>
        <w:t xml:space="preserve"> мења се и гласи</w:t>
      </w:r>
      <w:r w:rsidR="00C86EFA" w:rsidRPr="00827818">
        <w:rPr>
          <w:rFonts w:ascii="Times New Roman" w:hAnsi="Times New Roman" w:cs="Times New Roman"/>
          <w:sz w:val="24"/>
          <w:szCs w:val="24"/>
          <w:lang w:val="sr-Cyrl-CS"/>
        </w:rPr>
        <w:t>: „</w:t>
      </w:r>
      <w:r w:rsidR="00F33A96" w:rsidRPr="00827818">
        <w:rPr>
          <w:rFonts w:ascii="Times New Roman" w:hAnsi="Times New Roman" w:cs="Times New Roman"/>
          <w:sz w:val="24"/>
          <w:szCs w:val="24"/>
          <w:lang w:val="sr-Cyrl-CS"/>
        </w:rPr>
        <w:t>Модел оквира за унапређење функције ревизорских одбора/комисија за ревизи</w:t>
      </w:r>
      <w:r w:rsidR="00AC2C17" w:rsidRPr="00827818">
        <w:rPr>
          <w:rFonts w:ascii="Times New Roman" w:hAnsi="Times New Roman" w:cs="Times New Roman"/>
          <w:sz w:val="24"/>
          <w:szCs w:val="24"/>
          <w:lang w:val="sr-Cyrl-CS"/>
        </w:rPr>
        <w:t>ју (студијско путовање и модел)”</w:t>
      </w:r>
      <w:r w:rsidR="00F33A96" w:rsidRPr="00827818">
        <w:rPr>
          <w:rFonts w:ascii="Times New Roman" w:hAnsi="Times New Roman" w:cs="Times New Roman"/>
          <w:sz w:val="24"/>
          <w:szCs w:val="24"/>
          <w:lang w:val="sr-Cyrl-CS"/>
        </w:rPr>
        <w:t>. Додају се партнери у спровођењу активност</w:t>
      </w:r>
      <w:r w:rsidR="002F5B18" w:rsidRPr="00827818">
        <w:rPr>
          <w:rFonts w:ascii="Times New Roman" w:hAnsi="Times New Roman" w:cs="Times New Roman"/>
          <w:sz w:val="24"/>
          <w:szCs w:val="24"/>
          <w:lang w:val="sr-Cyrl-CS"/>
        </w:rPr>
        <w:t>и</w:t>
      </w:r>
      <w:r w:rsidR="00F33A96" w:rsidRPr="00827818">
        <w:rPr>
          <w:rFonts w:ascii="Times New Roman" w:hAnsi="Times New Roman" w:cs="Times New Roman"/>
          <w:sz w:val="24"/>
          <w:szCs w:val="24"/>
          <w:lang w:val="sr-Cyrl-CS"/>
        </w:rPr>
        <w:t xml:space="preserve"> и гласе: „одабрани КЈС код којих постоји могућност и потреба </w:t>
      </w:r>
      <w:r w:rsidR="00AC2C17" w:rsidRPr="00827818">
        <w:rPr>
          <w:rFonts w:ascii="Times New Roman" w:hAnsi="Times New Roman" w:cs="Times New Roman"/>
          <w:sz w:val="24"/>
          <w:szCs w:val="24"/>
          <w:lang w:val="sr-Cyrl-CS"/>
        </w:rPr>
        <w:t>успостављања ревизорских одбора”</w:t>
      </w:r>
      <w:r w:rsidR="00F33A96" w:rsidRPr="00827818">
        <w:rPr>
          <w:rFonts w:ascii="Times New Roman" w:hAnsi="Times New Roman" w:cs="Times New Roman"/>
          <w:sz w:val="24"/>
          <w:szCs w:val="24"/>
          <w:lang w:val="sr-Cyrl-CS"/>
        </w:rPr>
        <w:t xml:space="preserve">. </w:t>
      </w:r>
      <w:r w:rsidR="00294196" w:rsidRPr="00827818">
        <w:rPr>
          <w:rFonts w:ascii="Times New Roman" w:hAnsi="Times New Roman" w:cs="Times New Roman"/>
          <w:sz w:val="24"/>
          <w:szCs w:val="24"/>
          <w:lang w:val="sr-Cyrl-CS"/>
        </w:rPr>
        <w:t>И</w:t>
      </w:r>
      <w:r w:rsidR="00F33A96" w:rsidRPr="00827818">
        <w:rPr>
          <w:rFonts w:ascii="Times New Roman" w:hAnsi="Times New Roman" w:cs="Times New Roman"/>
          <w:sz w:val="24"/>
          <w:szCs w:val="24"/>
          <w:lang w:val="sr-Cyrl-CS"/>
        </w:rPr>
        <w:t>звор финансирањ</w:t>
      </w:r>
      <w:r w:rsidR="00AC2C17" w:rsidRPr="00827818">
        <w:rPr>
          <w:rFonts w:ascii="Times New Roman" w:hAnsi="Times New Roman" w:cs="Times New Roman"/>
          <w:sz w:val="24"/>
          <w:szCs w:val="24"/>
          <w:lang w:val="sr-Cyrl-CS"/>
        </w:rPr>
        <w:t>а</w:t>
      </w:r>
      <w:r w:rsidR="00294196" w:rsidRPr="00827818">
        <w:rPr>
          <w:rFonts w:ascii="Times New Roman" w:hAnsi="Times New Roman" w:cs="Times New Roman"/>
          <w:sz w:val="24"/>
          <w:szCs w:val="24"/>
          <w:lang w:val="sr-Cyrl-CS"/>
        </w:rPr>
        <w:t xml:space="preserve"> мења се</w:t>
      </w:r>
      <w:r w:rsidR="00AC2C17" w:rsidRPr="00827818">
        <w:rPr>
          <w:rFonts w:ascii="Times New Roman" w:hAnsi="Times New Roman" w:cs="Times New Roman"/>
          <w:sz w:val="24"/>
          <w:szCs w:val="24"/>
          <w:lang w:val="sr-Cyrl-CS"/>
        </w:rPr>
        <w:t xml:space="preserve"> и гласи: „Донаторска средства”</w:t>
      </w:r>
      <w:r w:rsidR="00F33A96" w:rsidRPr="00827818">
        <w:rPr>
          <w:rFonts w:ascii="Times New Roman" w:hAnsi="Times New Roman" w:cs="Times New Roman"/>
          <w:sz w:val="24"/>
          <w:szCs w:val="24"/>
          <w:lang w:val="sr-Cyrl-CS"/>
        </w:rPr>
        <w:t xml:space="preserve">. </w:t>
      </w:r>
      <w:r w:rsidR="002F5B18" w:rsidRPr="00827818">
        <w:rPr>
          <w:rFonts w:ascii="Times New Roman" w:hAnsi="Times New Roman" w:cs="Times New Roman"/>
          <w:sz w:val="24"/>
          <w:szCs w:val="24"/>
          <w:lang w:val="sr-Cyrl-CS"/>
        </w:rPr>
        <w:t>У колони</w:t>
      </w:r>
      <w:r w:rsidR="00F33A96" w:rsidRPr="00827818">
        <w:rPr>
          <w:rFonts w:ascii="Times New Roman" w:hAnsi="Times New Roman" w:cs="Times New Roman"/>
          <w:sz w:val="24"/>
          <w:szCs w:val="24"/>
          <w:lang w:val="sr-Cyrl-CS"/>
        </w:rPr>
        <w:t xml:space="preserve"> укупна процењена финансијска средства за 2025. годину </w:t>
      </w:r>
      <w:r w:rsidR="00AC2C17" w:rsidRPr="00827818">
        <w:rPr>
          <w:rFonts w:ascii="Times New Roman" w:hAnsi="Times New Roman" w:cs="Times New Roman"/>
          <w:sz w:val="24"/>
          <w:szCs w:val="24"/>
          <w:lang w:val="sr-Cyrl-CS"/>
        </w:rPr>
        <w:t>додаје се износ и гласи: „1.000”</w:t>
      </w:r>
      <w:r w:rsidR="00F33A96" w:rsidRPr="00827818">
        <w:rPr>
          <w:rFonts w:ascii="Times New Roman" w:hAnsi="Times New Roman" w:cs="Times New Roman"/>
          <w:sz w:val="24"/>
          <w:szCs w:val="24"/>
          <w:lang w:val="sr-Cyrl-CS"/>
        </w:rPr>
        <w:t xml:space="preserve">. </w:t>
      </w:r>
    </w:p>
    <w:p w:rsidR="00467E37" w:rsidRPr="00827818" w:rsidRDefault="00F47AA2" w:rsidP="0073325D">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58</w:t>
      </w:r>
      <w:r w:rsidR="0073325D" w:rsidRPr="00827818">
        <w:rPr>
          <w:rFonts w:ascii="Times New Roman" w:hAnsi="Times New Roman" w:cs="Times New Roman"/>
          <w:sz w:val="24"/>
          <w:szCs w:val="24"/>
          <w:lang w:val="sr-Cyrl-CS"/>
        </w:rPr>
        <w:t xml:space="preserve">. </w:t>
      </w:r>
      <w:r w:rsidR="00265DF7" w:rsidRPr="00827818">
        <w:rPr>
          <w:rFonts w:ascii="Times New Roman" w:hAnsi="Times New Roman" w:cs="Times New Roman"/>
          <w:sz w:val="24"/>
          <w:szCs w:val="24"/>
          <w:lang w:val="sr-Cyrl-CS"/>
        </w:rPr>
        <w:t xml:space="preserve">У </w:t>
      </w:r>
      <w:r w:rsidR="00D970AB"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D970AB"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4.2</w:t>
      </w:r>
      <w:r w:rsidR="00D970AB"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Унапређена функција интерне ревизије у јавном сектору у складу са међународним стандардима и начелима, </w:t>
      </w:r>
      <w:r w:rsidR="00C86EFA" w:rsidRPr="00827818">
        <w:rPr>
          <w:rFonts w:ascii="Times New Roman" w:hAnsi="Times New Roman" w:cs="Times New Roman"/>
          <w:sz w:val="24"/>
          <w:szCs w:val="24"/>
          <w:lang w:val="sr-Cyrl-CS"/>
        </w:rPr>
        <w:t>на нивоу мере додаје се а</w:t>
      </w:r>
      <w:r w:rsidR="003A1A50" w:rsidRPr="00827818">
        <w:rPr>
          <w:rFonts w:ascii="Times New Roman" w:hAnsi="Times New Roman" w:cs="Times New Roman"/>
          <w:sz w:val="24"/>
          <w:szCs w:val="24"/>
          <w:lang w:val="sr-Cyrl-CS"/>
        </w:rPr>
        <w:t>ктивност 4.2.8, која гласи</w:t>
      </w:r>
      <w:r w:rsidR="000E5BA1" w:rsidRPr="00827818">
        <w:rPr>
          <w:rFonts w:ascii="Times New Roman" w:hAnsi="Times New Roman" w:cs="Times New Roman"/>
          <w:sz w:val="24"/>
          <w:szCs w:val="24"/>
          <w:lang w:val="sr-Cyrl-CS"/>
        </w:rPr>
        <w:t xml:space="preserve">: „Подршка </w:t>
      </w:r>
      <w:r w:rsidR="000E5BA1" w:rsidRPr="00827818">
        <w:rPr>
          <w:rFonts w:ascii="Times New Roman" w:hAnsi="Times New Roman" w:cs="Times New Roman"/>
          <w:i/>
          <w:sz w:val="24"/>
          <w:szCs w:val="24"/>
          <w:lang w:val="sr-Cyrl-CS"/>
        </w:rPr>
        <w:t>networking</w:t>
      </w:r>
      <w:r w:rsidR="000E5BA1" w:rsidRPr="00827818">
        <w:rPr>
          <w:rFonts w:ascii="Times New Roman" w:hAnsi="Times New Roman" w:cs="Times New Roman"/>
          <w:sz w:val="24"/>
          <w:szCs w:val="24"/>
          <w:lang w:val="sr-Cyrl-CS"/>
        </w:rPr>
        <w:t xml:space="preserve"> у виду годишњих састанака руководилаца јединица за ИР министарстава</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r w:rsidR="00BB0AA7" w:rsidRPr="00827818">
        <w:rPr>
          <w:rFonts w:ascii="Times New Roman" w:hAnsi="Times New Roman" w:cs="Times New Roman"/>
          <w:sz w:val="24"/>
          <w:szCs w:val="24"/>
          <w:lang w:val="sr-Cyrl-CS"/>
        </w:rPr>
        <w:t>За наведен</w:t>
      </w:r>
      <w:r w:rsidR="003A29B7" w:rsidRPr="00827818">
        <w:rPr>
          <w:rFonts w:ascii="Times New Roman" w:hAnsi="Times New Roman" w:cs="Times New Roman"/>
          <w:sz w:val="24"/>
          <w:szCs w:val="24"/>
          <w:lang w:val="sr-Cyrl-CS"/>
        </w:rPr>
        <w:t>у активност додају</w:t>
      </w:r>
      <w:r w:rsidR="00A16455" w:rsidRPr="00827818">
        <w:rPr>
          <w:rFonts w:ascii="Times New Roman" w:hAnsi="Times New Roman" w:cs="Times New Roman"/>
          <w:sz w:val="24"/>
          <w:szCs w:val="24"/>
          <w:lang w:val="sr-Cyrl-CS"/>
        </w:rPr>
        <w:t xml:space="preserve"> се</w:t>
      </w:r>
      <w:r w:rsidR="003A29B7" w:rsidRPr="00827818">
        <w:rPr>
          <w:rFonts w:ascii="Times New Roman" w:hAnsi="Times New Roman" w:cs="Times New Roman"/>
          <w:sz w:val="24"/>
          <w:szCs w:val="24"/>
          <w:lang w:val="sr-Cyrl-CS"/>
        </w:rPr>
        <w:t>:</w:t>
      </w:r>
      <w:r w:rsidR="00A16455" w:rsidRPr="00827818">
        <w:rPr>
          <w:rFonts w:ascii="Times New Roman" w:hAnsi="Times New Roman" w:cs="Times New Roman"/>
          <w:sz w:val="24"/>
          <w:szCs w:val="24"/>
          <w:lang w:val="sr-Cyrl-CS"/>
        </w:rPr>
        <w:t xml:space="preserve"> </w:t>
      </w:r>
      <w:r w:rsidR="00DA0377" w:rsidRPr="00827818">
        <w:rPr>
          <w:rFonts w:ascii="Times New Roman" w:hAnsi="Times New Roman" w:cs="Times New Roman"/>
          <w:sz w:val="24"/>
          <w:szCs w:val="24"/>
          <w:lang w:val="sr-Cyrl-CS"/>
        </w:rPr>
        <w:t>рок за завршетак активности</w:t>
      </w:r>
      <w:r w:rsidR="00BB0AA7" w:rsidRPr="00827818">
        <w:rPr>
          <w:rFonts w:ascii="Times New Roman" w:hAnsi="Times New Roman" w:cs="Times New Roman"/>
          <w:sz w:val="24"/>
          <w:szCs w:val="24"/>
          <w:lang w:val="sr-Cyrl-CS"/>
        </w:rPr>
        <w:t xml:space="preserve"> који гласи: </w:t>
      </w:r>
      <w:r w:rsidR="00E65243" w:rsidRPr="00827818">
        <w:rPr>
          <w:rFonts w:ascii="Times New Roman" w:hAnsi="Times New Roman" w:cs="Times New Roman"/>
          <w:sz w:val="24"/>
          <w:szCs w:val="24"/>
          <w:lang w:val="sr-Cyrl-CS"/>
        </w:rPr>
        <w:t>ˮ</w:t>
      </w:r>
      <w:r w:rsidR="00B74E95" w:rsidRPr="00827818">
        <w:rPr>
          <w:rFonts w:ascii="Times New Roman" w:hAnsi="Times New Roman" w:cs="Times New Roman"/>
          <w:sz w:val="24"/>
          <w:szCs w:val="24"/>
          <w:lang w:val="sr-Cyrl-CS"/>
        </w:rPr>
        <w:t>Q</w:t>
      </w:r>
      <w:r w:rsidR="00467E37" w:rsidRPr="00827818">
        <w:rPr>
          <w:rFonts w:ascii="Times New Roman" w:hAnsi="Times New Roman" w:cs="Times New Roman"/>
          <w:sz w:val="24"/>
          <w:szCs w:val="24"/>
          <w:lang w:val="sr-Cyrl-CS"/>
        </w:rPr>
        <w:t>4</w:t>
      </w:r>
      <w:r w:rsidR="00DA0377" w:rsidRPr="00827818">
        <w:rPr>
          <w:rFonts w:ascii="Times New Roman" w:hAnsi="Times New Roman" w:cs="Times New Roman"/>
          <w:sz w:val="24"/>
          <w:szCs w:val="24"/>
          <w:lang w:val="sr-Cyrl-CS"/>
        </w:rPr>
        <w:t xml:space="preserve"> 2025</w:t>
      </w:r>
      <w:r w:rsidR="00BB0AA7" w:rsidRPr="00827818">
        <w:rPr>
          <w:rFonts w:ascii="Times New Roman" w:hAnsi="Times New Roman" w:cs="Times New Roman"/>
          <w:sz w:val="24"/>
          <w:szCs w:val="24"/>
          <w:lang w:val="sr-Cyrl-CS"/>
        </w:rPr>
        <w:t>;</w:t>
      </w:r>
      <w:r w:rsidR="00DA0377" w:rsidRPr="00827818">
        <w:rPr>
          <w:rFonts w:ascii="Times New Roman" w:hAnsi="Times New Roman" w:cs="Times New Roman"/>
          <w:sz w:val="24"/>
          <w:szCs w:val="24"/>
          <w:lang w:val="sr-Cyrl-CS"/>
        </w:rPr>
        <w:t xml:space="preserve"> </w:t>
      </w:r>
      <w:r w:rsidR="00722083" w:rsidRPr="00827818">
        <w:rPr>
          <w:rFonts w:ascii="Times New Roman" w:hAnsi="Times New Roman" w:cs="Times New Roman"/>
          <w:bCs/>
          <w:sz w:val="24"/>
          <w:szCs w:val="24"/>
          <w:lang w:val="sr-Cyrl-CS"/>
        </w:rPr>
        <w:t>институција одговорна за спровођење и гласи „Ми</w:t>
      </w:r>
      <w:r w:rsidR="00AC2C17" w:rsidRPr="00827818">
        <w:rPr>
          <w:rFonts w:ascii="Times New Roman" w:hAnsi="Times New Roman" w:cs="Times New Roman"/>
          <w:bCs/>
          <w:sz w:val="24"/>
          <w:szCs w:val="24"/>
          <w:lang w:val="sr-Cyrl-CS"/>
        </w:rPr>
        <w:t>нистарство финансија-ЦЈХ”</w:t>
      </w:r>
      <w:r w:rsidR="00722083" w:rsidRPr="00827818">
        <w:rPr>
          <w:rFonts w:ascii="Times New Roman" w:hAnsi="Times New Roman" w:cs="Times New Roman"/>
          <w:bCs/>
          <w:sz w:val="24"/>
          <w:szCs w:val="24"/>
          <w:lang w:val="sr-Cyrl-CS"/>
        </w:rPr>
        <w:t xml:space="preserve">. </w:t>
      </w:r>
      <w:r w:rsidR="006E1370" w:rsidRPr="00827818">
        <w:rPr>
          <w:rFonts w:ascii="Times New Roman" w:hAnsi="Times New Roman" w:cs="Times New Roman"/>
          <w:bCs/>
          <w:sz w:val="24"/>
          <w:szCs w:val="24"/>
          <w:lang w:val="sr-Cyrl-CS"/>
        </w:rPr>
        <w:t>п</w:t>
      </w:r>
      <w:r w:rsidR="00D76988" w:rsidRPr="00827818">
        <w:rPr>
          <w:rFonts w:ascii="Times New Roman" w:hAnsi="Times New Roman" w:cs="Times New Roman"/>
          <w:bCs/>
          <w:sz w:val="24"/>
          <w:szCs w:val="24"/>
          <w:lang w:val="sr-Cyrl-CS"/>
        </w:rPr>
        <w:t>артнери у спровођењу активности</w:t>
      </w:r>
      <w:r w:rsidR="006E1370" w:rsidRPr="00827818">
        <w:rPr>
          <w:rFonts w:ascii="Times New Roman" w:hAnsi="Times New Roman" w:cs="Times New Roman"/>
          <w:bCs/>
          <w:sz w:val="24"/>
          <w:szCs w:val="24"/>
          <w:lang w:val="sr-Cyrl-CS"/>
        </w:rPr>
        <w:t xml:space="preserve"> који гласе:</w:t>
      </w:r>
      <w:r w:rsidR="006E1370"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„Министарства</w:t>
      </w:r>
      <w:r w:rsidR="00E65243" w:rsidRPr="00827818">
        <w:rPr>
          <w:rFonts w:ascii="Times New Roman" w:hAnsi="Times New Roman" w:cs="Times New Roman"/>
          <w:sz w:val="24"/>
          <w:szCs w:val="24"/>
          <w:lang w:val="sr-Cyrl-CS"/>
        </w:rPr>
        <w:t>ˮ</w:t>
      </w:r>
      <w:r w:rsidR="00722083"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D76988" w:rsidRPr="00827818">
        <w:rPr>
          <w:rFonts w:ascii="Times New Roman" w:hAnsi="Times New Roman" w:cs="Times New Roman"/>
          <w:sz w:val="24"/>
          <w:szCs w:val="24"/>
          <w:lang w:val="sr-Cyrl-CS"/>
        </w:rPr>
        <w:t xml:space="preserve">извор финансирања, који гласи: </w:t>
      </w:r>
      <w:r w:rsidR="000E5BA1" w:rsidRPr="00827818">
        <w:rPr>
          <w:rFonts w:ascii="Times New Roman" w:hAnsi="Times New Roman" w:cs="Times New Roman"/>
          <w:sz w:val="24"/>
          <w:szCs w:val="24"/>
          <w:lang w:val="sr-Cyrl-CS"/>
        </w:rPr>
        <w:t>„Донаторска средства</w:t>
      </w:r>
      <w:r w:rsidR="00E65243" w:rsidRPr="00827818">
        <w:rPr>
          <w:rFonts w:ascii="Times New Roman" w:hAnsi="Times New Roman" w:cs="Times New Roman"/>
          <w:sz w:val="24"/>
          <w:szCs w:val="24"/>
          <w:lang w:val="sr-Cyrl-CS"/>
        </w:rPr>
        <w:t>ˮ</w:t>
      </w:r>
      <w:r w:rsidR="00D76988" w:rsidRPr="00827818">
        <w:rPr>
          <w:rFonts w:ascii="Times New Roman" w:hAnsi="Times New Roman" w:cs="Times New Roman"/>
          <w:sz w:val="24"/>
          <w:szCs w:val="24"/>
          <w:lang w:val="sr-Cyrl-CS"/>
        </w:rPr>
        <w:t xml:space="preserve">; </w:t>
      </w:r>
      <w:r w:rsidR="004F6571" w:rsidRPr="00827818">
        <w:rPr>
          <w:rFonts w:ascii="Times New Roman" w:hAnsi="Times New Roman" w:cs="Times New Roman"/>
          <w:sz w:val="24"/>
          <w:szCs w:val="24"/>
          <w:lang w:val="sr-Cyrl-CS"/>
        </w:rPr>
        <w:t xml:space="preserve">укупна процењена </w:t>
      </w:r>
      <w:r w:rsidR="00D76988" w:rsidRPr="00827818">
        <w:rPr>
          <w:rFonts w:ascii="Times New Roman" w:hAnsi="Times New Roman" w:cs="Times New Roman"/>
          <w:sz w:val="24"/>
          <w:szCs w:val="24"/>
          <w:lang w:val="sr-Cyrl-CS"/>
        </w:rPr>
        <w:t xml:space="preserve">финансијска средства у 000 дин </w:t>
      </w:r>
      <w:r w:rsidR="004F6571" w:rsidRPr="00827818">
        <w:rPr>
          <w:rFonts w:ascii="Times New Roman" w:hAnsi="Times New Roman" w:cs="Times New Roman"/>
          <w:sz w:val="24"/>
          <w:szCs w:val="24"/>
          <w:lang w:val="sr-Cyrl-CS"/>
        </w:rPr>
        <w:t>за 2023</w:t>
      </w:r>
      <w:r w:rsidR="00D76988" w:rsidRPr="00827818">
        <w:rPr>
          <w:rFonts w:ascii="Times New Roman" w:hAnsi="Times New Roman" w:cs="Times New Roman"/>
          <w:sz w:val="24"/>
          <w:szCs w:val="24"/>
          <w:lang w:val="sr-Cyrl-CS"/>
        </w:rPr>
        <w:t>.</w:t>
      </w:r>
      <w:r w:rsidR="004F6571" w:rsidRPr="00827818">
        <w:rPr>
          <w:rFonts w:ascii="Times New Roman" w:hAnsi="Times New Roman" w:cs="Times New Roman"/>
          <w:sz w:val="24"/>
          <w:szCs w:val="24"/>
          <w:lang w:val="sr-Cyrl-CS"/>
        </w:rPr>
        <w:t>, која гласе: „200</w:t>
      </w:r>
      <w:r w:rsidR="00E65243" w:rsidRPr="00827818">
        <w:rPr>
          <w:rFonts w:ascii="Times New Roman" w:hAnsi="Times New Roman" w:cs="Times New Roman"/>
          <w:sz w:val="24"/>
          <w:szCs w:val="24"/>
          <w:lang w:val="sr-Cyrl-CS"/>
        </w:rPr>
        <w:t>ˮ</w:t>
      </w:r>
      <w:r w:rsidR="004F6571" w:rsidRPr="00827818">
        <w:rPr>
          <w:rFonts w:ascii="Times New Roman" w:hAnsi="Times New Roman" w:cs="Times New Roman"/>
          <w:sz w:val="24"/>
          <w:szCs w:val="24"/>
          <w:lang w:val="sr-Cyrl-CS"/>
        </w:rPr>
        <w:t>; укупна процењена</w:t>
      </w:r>
      <w:r w:rsidR="00D76988" w:rsidRPr="00827818">
        <w:rPr>
          <w:rFonts w:ascii="Times New Roman" w:hAnsi="Times New Roman" w:cs="Times New Roman"/>
          <w:sz w:val="24"/>
          <w:szCs w:val="24"/>
          <w:lang w:val="sr-Cyrl-CS"/>
        </w:rPr>
        <w:t xml:space="preserve"> финансијска средства у 000 дин</w:t>
      </w:r>
      <w:r w:rsidR="004F6571" w:rsidRPr="00827818">
        <w:rPr>
          <w:rFonts w:ascii="Times New Roman" w:hAnsi="Times New Roman" w:cs="Times New Roman"/>
          <w:sz w:val="24"/>
          <w:szCs w:val="24"/>
          <w:lang w:val="sr-Cyrl-CS"/>
        </w:rPr>
        <w:t xml:space="preserve"> за 2024</w:t>
      </w:r>
      <w:r w:rsidR="00D76988" w:rsidRPr="00827818">
        <w:rPr>
          <w:rFonts w:ascii="Times New Roman" w:hAnsi="Times New Roman" w:cs="Times New Roman"/>
          <w:sz w:val="24"/>
          <w:szCs w:val="24"/>
          <w:lang w:val="sr-Cyrl-CS"/>
        </w:rPr>
        <w:t>.</w:t>
      </w:r>
      <w:r w:rsidR="004F6571" w:rsidRPr="00827818">
        <w:rPr>
          <w:rFonts w:ascii="Times New Roman" w:hAnsi="Times New Roman" w:cs="Times New Roman"/>
          <w:sz w:val="24"/>
          <w:szCs w:val="24"/>
          <w:lang w:val="sr-Cyrl-CS"/>
        </w:rPr>
        <w:t>, која гласе: „200</w:t>
      </w:r>
      <w:r w:rsidR="00E65243" w:rsidRPr="00827818">
        <w:rPr>
          <w:rFonts w:ascii="Times New Roman" w:hAnsi="Times New Roman" w:cs="Times New Roman"/>
          <w:sz w:val="24"/>
          <w:szCs w:val="24"/>
          <w:lang w:val="sr-Cyrl-CS"/>
        </w:rPr>
        <w:t>ˮ</w:t>
      </w:r>
      <w:r w:rsidR="00D76988" w:rsidRPr="00827818">
        <w:rPr>
          <w:rFonts w:ascii="Times New Roman" w:hAnsi="Times New Roman" w:cs="Times New Roman"/>
          <w:sz w:val="24"/>
          <w:szCs w:val="24"/>
          <w:lang w:val="sr-Cyrl-CS"/>
        </w:rPr>
        <w:t xml:space="preserve"> и</w:t>
      </w:r>
      <w:r w:rsidR="004F6571" w:rsidRPr="00827818">
        <w:rPr>
          <w:rFonts w:ascii="Times New Roman" w:hAnsi="Times New Roman" w:cs="Times New Roman"/>
          <w:sz w:val="24"/>
          <w:szCs w:val="24"/>
          <w:lang w:val="sr-Cyrl-CS"/>
        </w:rPr>
        <w:t xml:space="preserve"> укупна процењена финансијска средства у 000 дин, за 2025, која гласе</w:t>
      </w:r>
      <w:r w:rsidR="00C86EFA" w:rsidRPr="00827818">
        <w:rPr>
          <w:rFonts w:ascii="Times New Roman" w:hAnsi="Times New Roman" w:cs="Times New Roman"/>
          <w:sz w:val="24"/>
          <w:szCs w:val="24"/>
          <w:lang w:val="sr-Cyrl-CS"/>
        </w:rPr>
        <w:t>: „200</w:t>
      </w:r>
      <w:r w:rsidR="00E65243" w:rsidRPr="00827818">
        <w:rPr>
          <w:rFonts w:ascii="Times New Roman" w:hAnsi="Times New Roman" w:cs="Times New Roman"/>
          <w:sz w:val="24"/>
          <w:szCs w:val="24"/>
          <w:lang w:val="sr-Cyrl-CS"/>
        </w:rPr>
        <w:t>ˮ</w:t>
      </w:r>
      <w:r w:rsidR="004F6571" w:rsidRPr="00827818">
        <w:rPr>
          <w:rFonts w:ascii="Times New Roman" w:hAnsi="Times New Roman" w:cs="Times New Roman"/>
          <w:sz w:val="24"/>
          <w:szCs w:val="24"/>
          <w:lang w:val="sr-Cyrl-CS"/>
        </w:rPr>
        <w:t>.</w:t>
      </w:r>
    </w:p>
    <w:p w:rsidR="000E5BA1" w:rsidRPr="00827818" w:rsidRDefault="00F47AA2" w:rsidP="00D76988">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59</w:t>
      </w:r>
      <w:r w:rsidR="00D76988"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F05A7C"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F05A7C"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4.2</w:t>
      </w:r>
      <w:r w:rsidR="00F05A7C"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Унапређена функција интерне ревизије у јавном сектору у складу са међународним стандардима и начелима, </w:t>
      </w:r>
      <w:r w:rsidR="007C24D1" w:rsidRPr="00827818">
        <w:rPr>
          <w:rFonts w:ascii="Times New Roman" w:hAnsi="Times New Roman" w:cs="Times New Roman"/>
          <w:sz w:val="24"/>
          <w:szCs w:val="24"/>
          <w:lang w:val="sr-Cyrl-CS"/>
        </w:rPr>
        <w:t>додаје се а</w:t>
      </w:r>
      <w:r w:rsidR="00C25E86" w:rsidRPr="00827818">
        <w:rPr>
          <w:rFonts w:ascii="Times New Roman" w:hAnsi="Times New Roman" w:cs="Times New Roman"/>
          <w:sz w:val="24"/>
          <w:szCs w:val="24"/>
          <w:lang w:val="sr-Cyrl-CS"/>
        </w:rPr>
        <w:t>ктивност 4.2.9, која гласи</w:t>
      </w:r>
      <w:r w:rsidR="000E5BA1" w:rsidRPr="00827818">
        <w:rPr>
          <w:rFonts w:ascii="Times New Roman" w:hAnsi="Times New Roman" w:cs="Times New Roman"/>
          <w:sz w:val="24"/>
          <w:szCs w:val="24"/>
          <w:lang w:val="sr-Cyrl-CS"/>
        </w:rPr>
        <w:t xml:space="preserve">: </w:t>
      </w:r>
      <w:r w:rsidR="00AC2C17"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Унапређење радно-правног статуса ИР</w:t>
      </w:r>
      <w:r w:rsidR="00E65243" w:rsidRPr="00827818">
        <w:rPr>
          <w:rFonts w:ascii="Times New Roman" w:hAnsi="Times New Roman" w:cs="Times New Roman"/>
          <w:sz w:val="24"/>
          <w:szCs w:val="24"/>
          <w:lang w:val="sr-Cyrl-CS"/>
        </w:rPr>
        <w:t>ˮ</w:t>
      </w:r>
      <w:r w:rsidR="00AC2C17"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5D2B4A" w:rsidRPr="00827818">
        <w:rPr>
          <w:rFonts w:ascii="Times New Roman" w:hAnsi="Times New Roman" w:cs="Times New Roman"/>
          <w:sz w:val="24"/>
          <w:szCs w:val="24"/>
          <w:lang w:val="sr-Cyrl-CS"/>
        </w:rPr>
        <w:t>За наведену активност до</w:t>
      </w:r>
      <w:r w:rsidR="00D761E3" w:rsidRPr="00827818">
        <w:rPr>
          <w:rFonts w:ascii="Times New Roman" w:hAnsi="Times New Roman" w:cs="Times New Roman"/>
          <w:sz w:val="24"/>
          <w:szCs w:val="24"/>
          <w:lang w:val="sr-Cyrl-CS"/>
        </w:rPr>
        <w:t>дају</w:t>
      </w:r>
      <w:r w:rsidR="00A16455" w:rsidRPr="00827818">
        <w:rPr>
          <w:rFonts w:ascii="Times New Roman" w:hAnsi="Times New Roman" w:cs="Times New Roman"/>
          <w:sz w:val="24"/>
          <w:szCs w:val="24"/>
          <w:lang w:val="sr-Cyrl-CS"/>
        </w:rPr>
        <w:t xml:space="preserve"> се</w:t>
      </w:r>
      <w:r w:rsidR="00D761E3" w:rsidRPr="00827818">
        <w:rPr>
          <w:rFonts w:ascii="Times New Roman" w:hAnsi="Times New Roman" w:cs="Times New Roman"/>
          <w:sz w:val="24"/>
          <w:szCs w:val="24"/>
          <w:lang w:val="sr-Cyrl-CS"/>
        </w:rPr>
        <w:t>:</w:t>
      </w:r>
      <w:r w:rsidR="00A16455" w:rsidRPr="00827818">
        <w:rPr>
          <w:rFonts w:ascii="Times New Roman" w:hAnsi="Times New Roman" w:cs="Times New Roman"/>
          <w:sz w:val="24"/>
          <w:szCs w:val="24"/>
          <w:lang w:val="sr-Cyrl-CS"/>
        </w:rPr>
        <w:t xml:space="preserve"> </w:t>
      </w:r>
      <w:r w:rsidR="00D761E3" w:rsidRPr="00827818">
        <w:rPr>
          <w:rFonts w:ascii="Times New Roman" w:hAnsi="Times New Roman" w:cs="Times New Roman"/>
          <w:sz w:val="24"/>
          <w:szCs w:val="24"/>
          <w:lang w:val="sr-Cyrl-CS"/>
        </w:rPr>
        <w:t>рок за завршетак активности</w:t>
      </w:r>
      <w:r w:rsidR="005D2B4A" w:rsidRPr="00827818">
        <w:rPr>
          <w:rFonts w:ascii="Times New Roman" w:hAnsi="Times New Roman" w:cs="Times New Roman"/>
          <w:sz w:val="24"/>
          <w:szCs w:val="24"/>
          <w:lang w:val="sr-Cyrl-CS"/>
        </w:rPr>
        <w:t xml:space="preserve"> који гласи: </w:t>
      </w:r>
      <w:r w:rsidR="00AC2C17" w:rsidRPr="00827818">
        <w:rPr>
          <w:rFonts w:ascii="Times New Roman" w:hAnsi="Times New Roman" w:cs="Times New Roman"/>
          <w:sz w:val="24"/>
          <w:szCs w:val="24"/>
          <w:lang w:val="sr-Cyrl-CS"/>
        </w:rPr>
        <w:t>„</w:t>
      </w:r>
      <w:r w:rsidR="00B74E95" w:rsidRPr="00827818">
        <w:rPr>
          <w:rFonts w:ascii="Times New Roman" w:hAnsi="Times New Roman" w:cs="Times New Roman"/>
          <w:sz w:val="24"/>
          <w:szCs w:val="24"/>
          <w:lang w:val="sr-Cyrl-CS"/>
        </w:rPr>
        <w:t>Q</w:t>
      </w:r>
      <w:r w:rsidR="00C818CD" w:rsidRPr="00827818">
        <w:rPr>
          <w:rFonts w:ascii="Times New Roman" w:hAnsi="Times New Roman" w:cs="Times New Roman"/>
          <w:sz w:val="24"/>
          <w:szCs w:val="24"/>
          <w:lang w:val="sr-Cyrl-CS"/>
        </w:rPr>
        <w:t>4</w:t>
      </w:r>
      <w:r w:rsidR="005D2B4A" w:rsidRPr="00827818">
        <w:rPr>
          <w:rFonts w:ascii="Times New Roman" w:hAnsi="Times New Roman" w:cs="Times New Roman"/>
          <w:sz w:val="24"/>
          <w:szCs w:val="24"/>
          <w:lang w:val="sr-Cyrl-CS"/>
        </w:rPr>
        <w:t xml:space="preserve"> 2025</w:t>
      </w:r>
      <w:r w:rsidR="00E65243" w:rsidRPr="00827818">
        <w:rPr>
          <w:rFonts w:ascii="Times New Roman" w:hAnsi="Times New Roman" w:cs="Times New Roman"/>
          <w:sz w:val="24"/>
          <w:szCs w:val="24"/>
          <w:lang w:val="sr-Cyrl-CS"/>
        </w:rPr>
        <w:t>ˮ</w:t>
      </w:r>
      <w:r w:rsidR="00330DF3" w:rsidRPr="00827818">
        <w:rPr>
          <w:rFonts w:ascii="Times New Roman" w:hAnsi="Times New Roman" w:cs="Times New Roman"/>
          <w:sz w:val="24"/>
          <w:szCs w:val="24"/>
          <w:lang w:val="sr-Cyrl-CS"/>
        </w:rPr>
        <w:t>;</w:t>
      </w:r>
      <w:r w:rsidR="00C818CD" w:rsidRPr="00827818">
        <w:rPr>
          <w:rFonts w:ascii="Times New Roman" w:hAnsi="Times New Roman" w:cs="Times New Roman"/>
          <w:sz w:val="24"/>
          <w:szCs w:val="24"/>
          <w:lang w:val="sr-Cyrl-CS"/>
        </w:rPr>
        <w:t xml:space="preserve"> </w:t>
      </w:r>
      <w:r w:rsidR="0023205A" w:rsidRPr="00827818">
        <w:rPr>
          <w:rFonts w:ascii="Times New Roman" w:hAnsi="Times New Roman" w:cs="Times New Roman"/>
          <w:sz w:val="24"/>
          <w:szCs w:val="24"/>
          <w:lang w:val="sr-Cyrl-CS"/>
        </w:rPr>
        <w:t>инст</w:t>
      </w:r>
      <w:r w:rsidR="00D761E3" w:rsidRPr="00827818">
        <w:rPr>
          <w:rFonts w:ascii="Times New Roman" w:hAnsi="Times New Roman" w:cs="Times New Roman"/>
          <w:sz w:val="24"/>
          <w:szCs w:val="24"/>
          <w:lang w:val="sr-Cyrl-CS"/>
        </w:rPr>
        <w:t>итуција одговорна за спровођење</w:t>
      </w:r>
      <w:r w:rsidR="0023205A" w:rsidRPr="00827818">
        <w:rPr>
          <w:rFonts w:ascii="Times New Roman" w:hAnsi="Times New Roman" w:cs="Times New Roman"/>
          <w:sz w:val="24"/>
          <w:szCs w:val="24"/>
          <w:lang w:val="sr-Cyrl-CS"/>
        </w:rPr>
        <w:t xml:space="preserve"> која гласи: „Министарство финансија</w:t>
      </w:r>
      <w:r w:rsidR="00E65243" w:rsidRPr="00827818">
        <w:rPr>
          <w:rFonts w:ascii="Times New Roman" w:hAnsi="Times New Roman" w:cs="Times New Roman"/>
          <w:sz w:val="24"/>
          <w:szCs w:val="24"/>
          <w:lang w:val="sr-Cyrl-CS"/>
        </w:rPr>
        <w:t>ˮ</w:t>
      </w:r>
      <w:r w:rsidR="0023205A" w:rsidRPr="00827818">
        <w:rPr>
          <w:rFonts w:ascii="Times New Roman" w:hAnsi="Times New Roman" w:cs="Times New Roman"/>
          <w:sz w:val="24"/>
          <w:szCs w:val="24"/>
          <w:lang w:val="sr-Cyrl-CS"/>
        </w:rPr>
        <w:t xml:space="preserve">; </w:t>
      </w:r>
      <w:r w:rsidR="008D277D" w:rsidRPr="00827818">
        <w:rPr>
          <w:rFonts w:ascii="Times New Roman" w:hAnsi="Times New Roman" w:cs="Times New Roman"/>
          <w:sz w:val="24"/>
          <w:szCs w:val="24"/>
          <w:lang w:val="sr-Cyrl-CS"/>
        </w:rPr>
        <w:t>п</w:t>
      </w:r>
      <w:r w:rsidR="00D761E3" w:rsidRPr="00827818">
        <w:rPr>
          <w:rFonts w:ascii="Times New Roman" w:hAnsi="Times New Roman" w:cs="Times New Roman"/>
          <w:sz w:val="24"/>
          <w:szCs w:val="24"/>
          <w:lang w:val="sr-Cyrl-CS"/>
        </w:rPr>
        <w:t>артнери у спровођењу активности</w:t>
      </w:r>
      <w:r w:rsidR="008D277D" w:rsidRPr="00827818">
        <w:rPr>
          <w:rFonts w:ascii="Times New Roman" w:hAnsi="Times New Roman" w:cs="Times New Roman"/>
          <w:sz w:val="24"/>
          <w:szCs w:val="24"/>
          <w:lang w:val="sr-Cyrl-CS"/>
        </w:rPr>
        <w:t xml:space="preserve"> који гласе:</w:t>
      </w:r>
      <w:r w:rsidR="000E5BA1" w:rsidRPr="00827818">
        <w:rPr>
          <w:rFonts w:ascii="Times New Roman" w:hAnsi="Times New Roman" w:cs="Times New Roman"/>
          <w:sz w:val="24"/>
          <w:szCs w:val="24"/>
          <w:lang w:val="sr-Cyrl-CS"/>
        </w:rPr>
        <w:t xml:space="preserve"> „</w:t>
      </w:r>
      <w:r w:rsidR="00086A7E" w:rsidRPr="00827818">
        <w:rPr>
          <w:rFonts w:ascii="Times New Roman" w:hAnsi="Times New Roman" w:cs="Times New Roman"/>
          <w:sz w:val="24"/>
          <w:szCs w:val="24"/>
          <w:lang w:val="sr-Cyrl-CS"/>
        </w:rPr>
        <w:t>Министарство државне управе и локалне самоуправе, Служба за управљање кадровима</w:t>
      </w:r>
      <w:r w:rsidR="00E65243" w:rsidRPr="00827818">
        <w:rPr>
          <w:rFonts w:ascii="Times New Roman" w:hAnsi="Times New Roman" w:cs="Times New Roman"/>
          <w:sz w:val="24"/>
          <w:szCs w:val="24"/>
          <w:lang w:val="sr-Cyrl-CS"/>
        </w:rPr>
        <w:t>ˮ</w:t>
      </w:r>
      <w:r w:rsidR="008D277D" w:rsidRPr="00827818">
        <w:rPr>
          <w:rFonts w:ascii="Times New Roman" w:hAnsi="Times New Roman" w:cs="Times New Roman"/>
          <w:sz w:val="24"/>
          <w:szCs w:val="24"/>
          <w:lang w:val="sr-Cyrl-CS"/>
        </w:rPr>
        <w:t>;</w:t>
      </w:r>
      <w:r w:rsidR="00C818CD" w:rsidRPr="00827818">
        <w:rPr>
          <w:rFonts w:ascii="Times New Roman" w:hAnsi="Times New Roman" w:cs="Times New Roman"/>
          <w:sz w:val="24"/>
          <w:szCs w:val="24"/>
          <w:lang w:val="sr-Cyrl-CS"/>
        </w:rPr>
        <w:t xml:space="preserve"> </w:t>
      </w:r>
      <w:r w:rsidR="00574A78" w:rsidRPr="00827818">
        <w:rPr>
          <w:rFonts w:ascii="Times New Roman" w:hAnsi="Times New Roman" w:cs="Times New Roman"/>
          <w:sz w:val="24"/>
          <w:szCs w:val="24"/>
          <w:lang w:val="sr-Cyrl-CS"/>
        </w:rPr>
        <w:t>извор финансирања</w:t>
      </w:r>
      <w:r w:rsidR="008D277D" w:rsidRPr="00827818">
        <w:rPr>
          <w:rFonts w:ascii="Times New Roman" w:hAnsi="Times New Roman" w:cs="Times New Roman"/>
          <w:sz w:val="24"/>
          <w:szCs w:val="24"/>
          <w:lang w:val="sr-Cyrl-CS"/>
        </w:rPr>
        <w:t xml:space="preserve"> који гласи:</w:t>
      </w:r>
      <w:r w:rsidR="00AC2C17"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Буџетска средства</w:t>
      </w:r>
      <w:r w:rsidR="00200D10" w:rsidRPr="00827818">
        <w:rPr>
          <w:rFonts w:ascii="Times New Roman" w:hAnsi="Times New Roman" w:cs="Times New Roman"/>
          <w:sz w:val="24"/>
          <w:szCs w:val="24"/>
          <w:lang w:val="sr-Cyrl-CS"/>
        </w:rPr>
        <w:t>,</w:t>
      </w:r>
      <w:r w:rsidR="00566E33" w:rsidRPr="00827818">
        <w:rPr>
          <w:rFonts w:ascii="Times New Roman" w:hAnsi="Times New Roman" w:cs="Times New Roman"/>
          <w:sz w:val="24"/>
          <w:szCs w:val="24"/>
          <w:lang w:val="sr-Cyrl-CS"/>
        </w:rPr>
        <w:t xml:space="preserve"> Донаторска средства</w:t>
      </w:r>
      <w:r w:rsidR="00E65243" w:rsidRPr="00827818">
        <w:rPr>
          <w:rFonts w:ascii="Times New Roman" w:hAnsi="Times New Roman" w:cs="Times New Roman"/>
          <w:sz w:val="24"/>
          <w:szCs w:val="24"/>
          <w:lang w:val="sr-Cyrl-CS"/>
        </w:rPr>
        <w:t>ˮ</w:t>
      </w:r>
      <w:r w:rsidR="008D277D"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566E33" w:rsidRPr="00827818">
        <w:rPr>
          <w:rFonts w:ascii="Times New Roman" w:hAnsi="Times New Roman" w:cs="Times New Roman"/>
          <w:sz w:val="24"/>
          <w:szCs w:val="24"/>
          <w:lang w:val="sr-Cyrl-CS"/>
        </w:rPr>
        <w:t>у колони Буџетска средства</w:t>
      </w:r>
      <w:r w:rsidR="00A16455" w:rsidRPr="00827818">
        <w:rPr>
          <w:rFonts w:ascii="Times New Roman" w:hAnsi="Times New Roman" w:cs="Times New Roman"/>
          <w:sz w:val="24"/>
          <w:szCs w:val="24"/>
          <w:lang w:val="sr-Cyrl-CS"/>
        </w:rPr>
        <w:t xml:space="preserve"> додају се </w:t>
      </w:r>
      <w:r w:rsidR="005B4661" w:rsidRPr="00827818">
        <w:rPr>
          <w:rFonts w:ascii="Times New Roman" w:hAnsi="Times New Roman" w:cs="Times New Roman"/>
          <w:sz w:val="24"/>
          <w:szCs w:val="24"/>
          <w:lang w:val="sr-Cyrl-CS"/>
        </w:rPr>
        <w:t>укупна процењена финансијска средства у 000 дин, за 2025</w:t>
      </w:r>
      <w:r w:rsidR="0087546A" w:rsidRPr="00827818">
        <w:rPr>
          <w:rFonts w:ascii="Times New Roman" w:hAnsi="Times New Roman" w:cs="Times New Roman"/>
          <w:sz w:val="24"/>
          <w:szCs w:val="24"/>
          <w:lang w:val="sr-Cyrl-CS"/>
        </w:rPr>
        <w:t xml:space="preserve"> годину, која гласе: „48</w:t>
      </w:r>
      <w:r w:rsidR="007C24D1" w:rsidRPr="00827818">
        <w:rPr>
          <w:rFonts w:ascii="Times New Roman" w:hAnsi="Times New Roman" w:cs="Times New Roman"/>
          <w:sz w:val="24"/>
          <w:szCs w:val="24"/>
          <w:lang w:val="sr-Cyrl-CS"/>
        </w:rPr>
        <w:t>0.000</w:t>
      </w:r>
      <w:r w:rsidR="00E65243" w:rsidRPr="00827818">
        <w:rPr>
          <w:rFonts w:ascii="Times New Roman" w:hAnsi="Times New Roman" w:cs="Times New Roman"/>
          <w:sz w:val="24"/>
          <w:szCs w:val="24"/>
          <w:lang w:val="sr-Cyrl-CS"/>
        </w:rPr>
        <w:t>ˮ</w:t>
      </w:r>
      <w:r w:rsidR="00566E33" w:rsidRPr="00827818">
        <w:rPr>
          <w:rFonts w:ascii="Times New Roman" w:hAnsi="Times New Roman" w:cs="Times New Roman"/>
          <w:sz w:val="24"/>
          <w:szCs w:val="24"/>
          <w:lang w:val="sr-Cyrl-CS"/>
        </w:rPr>
        <w:t xml:space="preserve">, у колони Донаторска средства </w:t>
      </w:r>
      <w:r w:rsidR="000D7E5B" w:rsidRPr="00827818">
        <w:rPr>
          <w:rFonts w:ascii="Times New Roman" w:hAnsi="Times New Roman" w:cs="Times New Roman"/>
          <w:sz w:val="24"/>
          <w:szCs w:val="24"/>
          <w:lang w:val="sr-Cyrl-CS"/>
        </w:rPr>
        <w:t xml:space="preserve"> </w:t>
      </w:r>
      <w:r w:rsidR="00566E33" w:rsidRPr="00827818">
        <w:rPr>
          <w:rFonts w:ascii="Times New Roman" w:hAnsi="Times New Roman" w:cs="Times New Roman"/>
          <w:sz w:val="24"/>
          <w:szCs w:val="24"/>
          <w:lang w:val="sr-Cyrl-CS"/>
        </w:rPr>
        <w:t>додају се укупна процењена финансијска средства у 000 дин, за 2024. годину, која гласе: „1.200ˮ</w:t>
      </w:r>
      <w:r w:rsidR="00CD33C2" w:rsidRPr="00827818">
        <w:rPr>
          <w:rFonts w:ascii="Times New Roman" w:hAnsi="Times New Roman" w:cs="Times New Roman"/>
          <w:sz w:val="24"/>
          <w:szCs w:val="24"/>
          <w:lang w:val="sr-Cyrl-CS"/>
        </w:rPr>
        <w:t>.</w:t>
      </w:r>
    </w:p>
    <w:p w:rsidR="00C76E72" w:rsidRPr="00827818" w:rsidRDefault="00F47AA2" w:rsidP="00C76E72">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60</w:t>
      </w:r>
      <w:r w:rsidR="00574A78"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0C1953"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0C1953"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4.3</w:t>
      </w:r>
      <w:r w:rsidR="000C1953"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Ојачано праћењe интерне контроле у јавном сектору (ИКЈС),  </w:t>
      </w:r>
      <w:r w:rsidR="00E25CB4" w:rsidRPr="00827818">
        <w:rPr>
          <w:rFonts w:ascii="Times New Roman" w:hAnsi="Times New Roman" w:cs="Times New Roman"/>
          <w:sz w:val="24"/>
          <w:szCs w:val="24"/>
          <w:lang w:val="sr-Cyrl-CS"/>
        </w:rPr>
        <w:t xml:space="preserve">назив </w:t>
      </w:r>
      <w:r w:rsidR="000E5BA1" w:rsidRPr="00827818">
        <w:rPr>
          <w:rFonts w:ascii="Times New Roman" w:hAnsi="Times New Roman" w:cs="Times New Roman"/>
          <w:sz w:val="24"/>
          <w:szCs w:val="24"/>
          <w:lang w:val="sr-Cyrl-CS"/>
        </w:rPr>
        <w:t>активност</w:t>
      </w:r>
      <w:r w:rsidR="00E25CB4"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4.3.1</w:t>
      </w:r>
      <w:r w:rsidR="00E25CB4"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Пуна примена електронског извештавања путем апликације  (функционална апликација, обуке, обавезност кроз прописе, веза са 4.1.5)</w:t>
      </w:r>
      <w:r w:rsidR="00E25CB4" w:rsidRPr="00827818">
        <w:rPr>
          <w:rFonts w:ascii="Times New Roman" w:hAnsi="Times New Roman" w:cs="Times New Roman"/>
          <w:sz w:val="24"/>
          <w:szCs w:val="24"/>
          <w:lang w:val="sr-Cyrl-CS"/>
        </w:rPr>
        <w:t xml:space="preserve"> замењује се називом: </w:t>
      </w:r>
      <w:r w:rsidR="00AC2C17"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Унапређење функционалности апликације, модули за унапређење рада ЦЈХ апликације, обуке, обавезност кроз прописе</w:t>
      </w:r>
      <w:r w:rsidR="00E65243" w:rsidRPr="00827818">
        <w:rPr>
          <w:rFonts w:ascii="Times New Roman" w:hAnsi="Times New Roman" w:cs="Times New Roman"/>
          <w:sz w:val="24"/>
          <w:szCs w:val="24"/>
          <w:lang w:val="sr-Cyrl-CS"/>
        </w:rPr>
        <w:t>ˮ</w:t>
      </w:r>
      <w:r w:rsidR="00326940"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326940" w:rsidRPr="00827818">
        <w:rPr>
          <w:rFonts w:ascii="Times New Roman" w:hAnsi="Times New Roman" w:cs="Times New Roman"/>
          <w:sz w:val="24"/>
          <w:szCs w:val="24"/>
          <w:lang w:val="sr-Cyrl-CS"/>
        </w:rPr>
        <w:t xml:space="preserve">Партнери у спровођењу активности: </w:t>
      </w:r>
      <w:r w:rsidR="00A16455" w:rsidRPr="00827818">
        <w:rPr>
          <w:rFonts w:ascii="Times New Roman" w:hAnsi="Times New Roman" w:cs="Times New Roman"/>
          <w:sz w:val="24"/>
          <w:szCs w:val="24"/>
          <w:lang w:val="sr-Cyrl-CS"/>
        </w:rPr>
        <w:t>„</w:t>
      </w:r>
      <w:r w:rsidR="00326940" w:rsidRPr="00827818">
        <w:rPr>
          <w:rFonts w:ascii="Times New Roman" w:hAnsi="Times New Roman" w:cs="Times New Roman"/>
          <w:sz w:val="24"/>
          <w:szCs w:val="24"/>
          <w:lang w:val="sr-Cyrl-CS"/>
        </w:rPr>
        <w:t>Министарство финансија, НАЈУ</w:t>
      </w:r>
      <w:r w:rsidR="00E65243" w:rsidRPr="00827818">
        <w:rPr>
          <w:rFonts w:ascii="Times New Roman" w:hAnsi="Times New Roman" w:cs="Times New Roman"/>
          <w:sz w:val="24"/>
          <w:szCs w:val="24"/>
          <w:lang w:val="sr-Cyrl-CS"/>
        </w:rPr>
        <w:t>ˮ</w:t>
      </w:r>
      <w:r w:rsidR="00326940" w:rsidRPr="00827818">
        <w:rPr>
          <w:rFonts w:ascii="Times New Roman" w:hAnsi="Times New Roman" w:cs="Times New Roman"/>
          <w:sz w:val="24"/>
          <w:szCs w:val="24"/>
          <w:lang w:val="sr-Cyrl-CS"/>
        </w:rPr>
        <w:t xml:space="preserve"> замењују се партнерима у спровођењу активности: „Министарство финансија</w:t>
      </w:r>
      <w:r w:rsidR="00E65243" w:rsidRPr="00827818">
        <w:rPr>
          <w:rFonts w:ascii="Times New Roman" w:hAnsi="Times New Roman" w:cs="Times New Roman"/>
          <w:sz w:val="24"/>
          <w:szCs w:val="24"/>
          <w:lang w:val="sr-Cyrl-CS"/>
        </w:rPr>
        <w:t>ˮ</w:t>
      </w:r>
      <w:r w:rsidR="00326940" w:rsidRPr="00827818">
        <w:rPr>
          <w:rFonts w:ascii="Times New Roman" w:hAnsi="Times New Roman" w:cs="Times New Roman"/>
          <w:sz w:val="24"/>
          <w:szCs w:val="24"/>
          <w:lang w:val="sr-Cyrl-CS"/>
        </w:rPr>
        <w:t xml:space="preserve">. </w:t>
      </w:r>
      <w:r w:rsidR="00DB3D04" w:rsidRPr="00827818">
        <w:rPr>
          <w:rFonts w:ascii="Times New Roman" w:hAnsi="Times New Roman" w:cs="Times New Roman"/>
          <w:sz w:val="24"/>
          <w:szCs w:val="24"/>
          <w:lang w:val="sr-Cyrl-CS"/>
        </w:rPr>
        <w:t xml:space="preserve">Извор финансирања: </w:t>
      </w:r>
      <w:r w:rsidR="00A16455" w:rsidRPr="00827818">
        <w:rPr>
          <w:rFonts w:ascii="Times New Roman" w:hAnsi="Times New Roman" w:cs="Times New Roman"/>
          <w:sz w:val="24"/>
          <w:szCs w:val="24"/>
          <w:lang w:val="sr-Cyrl-CS"/>
        </w:rPr>
        <w:t>„</w:t>
      </w:r>
      <w:r w:rsidR="00DB3D04" w:rsidRPr="00827818">
        <w:rPr>
          <w:rFonts w:ascii="Times New Roman" w:hAnsi="Times New Roman" w:cs="Times New Roman"/>
          <w:sz w:val="24"/>
          <w:szCs w:val="24"/>
          <w:lang w:val="sr-Cyrl-CS"/>
        </w:rPr>
        <w:t>Буџетска средства</w:t>
      </w:r>
      <w:r w:rsidR="00E65243" w:rsidRPr="00827818">
        <w:rPr>
          <w:rFonts w:ascii="Times New Roman" w:hAnsi="Times New Roman" w:cs="Times New Roman"/>
          <w:sz w:val="24"/>
          <w:szCs w:val="24"/>
          <w:lang w:val="sr-Cyrl-CS"/>
        </w:rPr>
        <w:t>ˮ</w:t>
      </w:r>
      <w:r w:rsidR="00DB3D04" w:rsidRPr="00827818">
        <w:rPr>
          <w:rFonts w:ascii="Times New Roman" w:hAnsi="Times New Roman" w:cs="Times New Roman"/>
          <w:sz w:val="24"/>
          <w:szCs w:val="24"/>
          <w:lang w:val="sr-Cyrl-CS"/>
        </w:rPr>
        <w:t xml:space="preserve"> замењују се извором финансирања: „буџетска средства, донаторска средства</w:t>
      </w:r>
      <w:r w:rsidR="00E65243" w:rsidRPr="00827818">
        <w:rPr>
          <w:rFonts w:ascii="Times New Roman" w:hAnsi="Times New Roman" w:cs="Times New Roman"/>
          <w:sz w:val="24"/>
          <w:szCs w:val="24"/>
          <w:lang w:val="sr-Cyrl-CS"/>
        </w:rPr>
        <w:t>ˮ</w:t>
      </w:r>
      <w:r w:rsidR="00C5239C" w:rsidRPr="00827818">
        <w:rPr>
          <w:rFonts w:ascii="Times New Roman" w:hAnsi="Times New Roman" w:cs="Times New Roman"/>
          <w:sz w:val="24"/>
          <w:szCs w:val="24"/>
          <w:lang w:val="sr-Cyrl-CS"/>
        </w:rPr>
        <w:t xml:space="preserve">; у </w:t>
      </w:r>
      <w:r w:rsidR="007C5CB6" w:rsidRPr="00827818">
        <w:rPr>
          <w:rFonts w:ascii="Times New Roman" w:hAnsi="Times New Roman" w:cs="Times New Roman"/>
          <w:sz w:val="24"/>
          <w:szCs w:val="24"/>
          <w:lang w:val="sr-Cyrl-CS"/>
        </w:rPr>
        <w:t>делу укупна процењена</w:t>
      </w:r>
      <w:r w:rsidR="000E5BA1" w:rsidRPr="00827818">
        <w:rPr>
          <w:rFonts w:ascii="Times New Roman" w:hAnsi="Times New Roman" w:cs="Times New Roman"/>
          <w:sz w:val="24"/>
          <w:szCs w:val="24"/>
          <w:lang w:val="sr-Cyrl-CS"/>
        </w:rPr>
        <w:t xml:space="preserve"> финансијска средства у 000 дин</w:t>
      </w:r>
      <w:r w:rsidR="00FE3CE2" w:rsidRPr="00827818">
        <w:rPr>
          <w:rFonts w:ascii="Times New Roman" w:hAnsi="Times New Roman" w:cs="Times New Roman"/>
          <w:sz w:val="24"/>
          <w:szCs w:val="24"/>
          <w:lang w:val="sr-Cyrl-CS"/>
        </w:rPr>
        <w:t xml:space="preserve"> </w:t>
      </w:r>
      <w:r w:rsidR="007C5CB6" w:rsidRPr="00827818">
        <w:rPr>
          <w:rFonts w:ascii="Times New Roman" w:hAnsi="Times New Roman" w:cs="Times New Roman"/>
          <w:sz w:val="24"/>
          <w:szCs w:val="24"/>
          <w:lang w:val="sr-Cyrl-CS"/>
        </w:rPr>
        <w:t xml:space="preserve">у колони донаторска средства </w:t>
      </w:r>
      <w:r w:rsidR="00FE3CE2" w:rsidRPr="00827818">
        <w:rPr>
          <w:rFonts w:ascii="Times New Roman" w:hAnsi="Times New Roman" w:cs="Times New Roman"/>
          <w:sz w:val="24"/>
          <w:szCs w:val="24"/>
          <w:lang w:val="sr-Cyrl-CS"/>
        </w:rPr>
        <w:t>за 2025. годину</w:t>
      </w:r>
      <w:r w:rsidR="000E5BA1" w:rsidRPr="00827818">
        <w:rPr>
          <w:rFonts w:ascii="Times New Roman" w:hAnsi="Times New Roman" w:cs="Times New Roman"/>
          <w:sz w:val="24"/>
          <w:szCs w:val="24"/>
          <w:lang w:val="sr-Cyrl-CS"/>
        </w:rPr>
        <w:t xml:space="preserve"> додају се износи тако да г</w:t>
      </w:r>
      <w:r w:rsidR="00C818CD" w:rsidRPr="00827818">
        <w:rPr>
          <w:rFonts w:ascii="Times New Roman" w:hAnsi="Times New Roman" w:cs="Times New Roman"/>
          <w:sz w:val="24"/>
          <w:szCs w:val="24"/>
          <w:lang w:val="sr-Cyrl-CS"/>
        </w:rPr>
        <w:t>ласе</w:t>
      </w:r>
      <w:r w:rsidR="000E5BA1" w:rsidRPr="00827818">
        <w:rPr>
          <w:rFonts w:ascii="Times New Roman" w:hAnsi="Times New Roman" w:cs="Times New Roman"/>
          <w:sz w:val="24"/>
          <w:szCs w:val="24"/>
          <w:lang w:val="sr-Cyrl-CS"/>
        </w:rPr>
        <w:t xml:space="preserve">: </w:t>
      </w:r>
      <w:r w:rsidR="00FE3CE2"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5.900</w:t>
      </w:r>
      <w:r w:rsidR="00AC2C17"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У делу укупна процењена финансијска средства у 000 дин </w:t>
      </w:r>
      <w:r w:rsidR="007C5CB6" w:rsidRPr="00827818">
        <w:rPr>
          <w:rFonts w:ascii="Times New Roman" w:hAnsi="Times New Roman" w:cs="Times New Roman"/>
          <w:sz w:val="24"/>
          <w:szCs w:val="24"/>
          <w:lang w:val="sr-Cyrl-CS"/>
        </w:rPr>
        <w:t xml:space="preserve">у колони буџетска средства, </w:t>
      </w:r>
      <w:r w:rsidR="000E5BA1" w:rsidRPr="00827818">
        <w:rPr>
          <w:rFonts w:ascii="Times New Roman" w:hAnsi="Times New Roman" w:cs="Times New Roman"/>
          <w:sz w:val="24"/>
          <w:szCs w:val="24"/>
          <w:lang w:val="sr-Cyrl-CS"/>
        </w:rPr>
        <w:t xml:space="preserve"> </w:t>
      </w:r>
      <w:r w:rsidR="00FE3CE2" w:rsidRPr="00827818">
        <w:rPr>
          <w:rFonts w:ascii="Times New Roman" w:hAnsi="Times New Roman" w:cs="Times New Roman"/>
          <w:sz w:val="24"/>
          <w:szCs w:val="24"/>
          <w:lang w:val="sr-Cyrl-CS"/>
        </w:rPr>
        <w:t xml:space="preserve">мења </w:t>
      </w:r>
      <w:r w:rsidR="000E5BA1" w:rsidRPr="00827818">
        <w:rPr>
          <w:rFonts w:ascii="Times New Roman" w:hAnsi="Times New Roman" w:cs="Times New Roman"/>
          <w:sz w:val="24"/>
          <w:szCs w:val="24"/>
          <w:lang w:val="sr-Cyrl-CS"/>
        </w:rPr>
        <w:t>се износ у 2024</w:t>
      </w:r>
      <w:r w:rsidR="00FE3CE2" w:rsidRPr="00827818">
        <w:rPr>
          <w:rFonts w:ascii="Times New Roman" w:hAnsi="Times New Roman" w:cs="Times New Roman"/>
          <w:sz w:val="24"/>
          <w:szCs w:val="24"/>
          <w:lang w:val="sr-Cyrl-CS"/>
        </w:rPr>
        <w:t>. години тако да гласи</w:t>
      </w:r>
      <w:r w:rsidR="00657C17">
        <w:rPr>
          <w:rFonts w:ascii="Times New Roman" w:hAnsi="Times New Roman" w:cs="Times New Roman"/>
          <w:sz w:val="24"/>
          <w:szCs w:val="24"/>
          <w:lang w:val="sr-Cyrl-CS"/>
        </w:rPr>
        <w:t>:</w:t>
      </w:r>
      <w:r w:rsidR="00FE3CE2" w:rsidRPr="00827818">
        <w:rPr>
          <w:rFonts w:ascii="Times New Roman" w:hAnsi="Times New Roman" w:cs="Times New Roman"/>
          <w:sz w:val="24"/>
          <w:szCs w:val="24"/>
          <w:lang w:val="sr-Cyrl-CS"/>
        </w:rPr>
        <w:t xml:space="preserve"> „1</w:t>
      </w:r>
      <w:r w:rsidR="00AC2C17" w:rsidRPr="00827818">
        <w:rPr>
          <w:rFonts w:ascii="Times New Roman" w:hAnsi="Times New Roman" w:cs="Times New Roman"/>
          <w:sz w:val="24"/>
          <w:szCs w:val="24"/>
          <w:lang w:val="sr-Cyrl-CS"/>
        </w:rPr>
        <w:t>.728”</w:t>
      </w:r>
      <w:r w:rsidR="000E5BA1" w:rsidRPr="00827818">
        <w:rPr>
          <w:rFonts w:ascii="Times New Roman" w:hAnsi="Times New Roman" w:cs="Times New Roman"/>
          <w:sz w:val="24"/>
          <w:szCs w:val="24"/>
          <w:lang w:val="sr-Cyrl-CS"/>
        </w:rPr>
        <w:t xml:space="preserve"> и</w:t>
      </w:r>
      <w:r w:rsidR="00FE3CE2" w:rsidRPr="00827818">
        <w:rPr>
          <w:rFonts w:ascii="Times New Roman" w:hAnsi="Times New Roman" w:cs="Times New Roman"/>
          <w:sz w:val="24"/>
          <w:szCs w:val="24"/>
          <w:lang w:val="sr-Cyrl-CS"/>
        </w:rPr>
        <w:t xml:space="preserve"> мења се износ у</w:t>
      </w:r>
      <w:r w:rsidR="000E5BA1" w:rsidRPr="00827818">
        <w:rPr>
          <w:rFonts w:ascii="Times New Roman" w:hAnsi="Times New Roman" w:cs="Times New Roman"/>
          <w:sz w:val="24"/>
          <w:szCs w:val="24"/>
          <w:lang w:val="sr-Cyrl-CS"/>
        </w:rPr>
        <w:t xml:space="preserve"> 2025</w:t>
      </w:r>
      <w:r w:rsidR="00FE3CE2" w:rsidRPr="00827818">
        <w:rPr>
          <w:rFonts w:ascii="Times New Roman" w:hAnsi="Times New Roman" w:cs="Times New Roman"/>
          <w:sz w:val="24"/>
          <w:szCs w:val="24"/>
          <w:lang w:val="sr-Cyrl-CS"/>
        </w:rPr>
        <w:t>. години и гласи</w:t>
      </w:r>
      <w:r w:rsidR="00657C17">
        <w:rPr>
          <w:rFonts w:ascii="Times New Roman" w:hAnsi="Times New Roman" w:cs="Times New Roman"/>
          <w:sz w:val="24"/>
          <w:szCs w:val="24"/>
          <w:lang w:val="sr-Cyrl-CS"/>
        </w:rPr>
        <w:t>:</w:t>
      </w:r>
      <w:r w:rsidR="00C818CD" w:rsidRPr="00827818">
        <w:rPr>
          <w:rFonts w:ascii="Times New Roman" w:hAnsi="Times New Roman" w:cs="Times New Roman"/>
          <w:sz w:val="24"/>
          <w:szCs w:val="24"/>
          <w:lang w:val="sr-Cyrl-CS"/>
        </w:rPr>
        <w:t xml:space="preserve"> </w:t>
      </w:r>
      <w:r w:rsidR="00AC2C17"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1728</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p>
    <w:p w:rsidR="000E5BA1" w:rsidRPr="00827818" w:rsidRDefault="00F47AA2" w:rsidP="00C76E72">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61</w:t>
      </w:r>
      <w:r w:rsidR="00C76E72"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2229C0"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2229C0"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4.3</w:t>
      </w:r>
      <w:r w:rsidR="002229C0" w:rsidRPr="00827818">
        <w:rPr>
          <w:rFonts w:ascii="Times New Roman" w:hAnsi="Times New Roman" w:cs="Times New Roman"/>
          <w:sz w:val="24"/>
          <w:szCs w:val="24"/>
          <w:lang w:val="sr-Cyrl-CS"/>
        </w:rPr>
        <w:t>:</w:t>
      </w:r>
      <w:r w:rsidR="00BE3BFC"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Ојачано праћењe интерне контроле у јавном сектору (ИКЈС), </w:t>
      </w:r>
      <w:r w:rsidR="00842EE9" w:rsidRPr="00827818">
        <w:rPr>
          <w:rFonts w:ascii="Times New Roman" w:hAnsi="Times New Roman" w:cs="Times New Roman"/>
          <w:sz w:val="24"/>
          <w:szCs w:val="24"/>
          <w:lang w:val="sr-Cyrl-CS"/>
        </w:rPr>
        <w:t>а</w:t>
      </w:r>
      <w:r w:rsidR="000E5BA1" w:rsidRPr="00827818">
        <w:rPr>
          <w:rFonts w:ascii="Times New Roman" w:hAnsi="Times New Roman" w:cs="Times New Roman"/>
          <w:sz w:val="24"/>
          <w:szCs w:val="24"/>
          <w:lang w:val="sr-Cyrl-CS"/>
        </w:rPr>
        <w:t>ктивност 4.3.2</w:t>
      </w:r>
      <w:r w:rsidR="002229C0"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Успостављање јединственог информационог система за интерну контролу у јавном сектору (Набавка и примена софтвера за вођење и документовање ангажмана интерне ревизије и евидентирање и праћење статуса налаза и датих препорука интерне ревизије, препорука из екстерне оцене квалитета интерне ревизије, препорука из сагледавања квалитета система ФУК-а код КЈС и препорука из КГИ, база интерних ревизора, аутоматизација рада ЦЈХ,  повезивање са регистрима других институција, база полазника обука, база Аналитичких јединица и контакт особа за ФУК и сл</w:t>
      </w:r>
      <w:r w:rsidR="00FD68AE"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уз могућност дефинисања додатних модула после обављене анализе система)</w:t>
      </w:r>
      <w:r w:rsidR="004F75D0" w:rsidRPr="00827818">
        <w:rPr>
          <w:rFonts w:ascii="Times New Roman" w:hAnsi="Times New Roman" w:cs="Times New Roman"/>
          <w:sz w:val="24"/>
          <w:szCs w:val="24"/>
          <w:lang w:val="sr-Cyrl-CS"/>
        </w:rPr>
        <w:t xml:space="preserve"> брише</w:t>
      </w:r>
      <w:r w:rsidR="00AC2C17" w:rsidRPr="00827818">
        <w:rPr>
          <w:rFonts w:ascii="Times New Roman" w:hAnsi="Times New Roman" w:cs="Times New Roman"/>
          <w:sz w:val="24"/>
          <w:szCs w:val="24"/>
          <w:lang w:val="sr-Cyrl-CS"/>
        </w:rPr>
        <w:t xml:space="preserve"> се</w:t>
      </w:r>
      <w:r w:rsidR="002229C0" w:rsidRPr="00827818">
        <w:rPr>
          <w:rFonts w:ascii="Times New Roman" w:hAnsi="Times New Roman" w:cs="Times New Roman"/>
          <w:sz w:val="24"/>
          <w:szCs w:val="24"/>
          <w:lang w:val="sr-Cyrl-CS"/>
        </w:rPr>
        <w:t>.</w:t>
      </w:r>
    </w:p>
    <w:p w:rsidR="000E5BA1" w:rsidRPr="00827818" w:rsidRDefault="00BE3BFC" w:rsidP="00261DE1">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6</w:t>
      </w:r>
      <w:r w:rsidR="00F47AA2">
        <w:rPr>
          <w:rFonts w:ascii="Times New Roman" w:hAnsi="Times New Roman" w:cs="Times New Roman"/>
          <w:sz w:val="24"/>
          <w:szCs w:val="24"/>
          <w:lang w:val="sr-Cyrl-CS"/>
        </w:rPr>
        <w:t>2</w:t>
      </w:r>
      <w:r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C90CDC"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C90CDC"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4.4: Модернизација система обучавања из области ИФКЈ, мења се показатељ на нивоу мере</w:t>
      </w:r>
      <w:r w:rsidR="00116BD3" w:rsidRPr="00827818">
        <w:rPr>
          <w:rFonts w:ascii="Times New Roman" w:hAnsi="Times New Roman" w:cs="Times New Roman"/>
          <w:sz w:val="24"/>
          <w:szCs w:val="24"/>
          <w:lang w:val="sr-Cyrl-CS"/>
        </w:rPr>
        <w:t xml:space="preserve">: </w:t>
      </w:r>
      <w:r w:rsidR="00032A41" w:rsidRPr="00827818">
        <w:rPr>
          <w:rFonts w:ascii="Times New Roman" w:hAnsi="Times New Roman" w:cs="Times New Roman"/>
          <w:sz w:val="24"/>
          <w:szCs w:val="24"/>
          <w:lang w:val="sr-Cyrl-CS"/>
        </w:rPr>
        <w:t>„</w:t>
      </w:r>
      <w:r w:rsidR="00116BD3" w:rsidRPr="00827818">
        <w:rPr>
          <w:rFonts w:ascii="Times New Roman" w:hAnsi="Times New Roman" w:cs="Times New Roman"/>
          <w:sz w:val="24"/>
          <w:szCs w:val="24"/>
          <w:lang w:val="sr-Cyrl-CS"/>
        </w:rPr>
        <w:t>Број учесника обука из области интерних контрола које је НАЈУ организовала</w:t>
      </w:r>
      <w:r w:rsidR="00D01628" w:rsidRPr="00827818">
        <w:rPr>
          <w:rFonts w:ascii="Times New Roman" w:hAnsi="Times New Roman" w:cs="Times New Roman"/>
          <w:sz w:val="24"/>
          <w:szCs w:val="24"/>
          <w:lang w:val="sr-Cyrl-CS"/>
        </w:rPr>
        <w:t>ˮ</w:t>
      </w:r>
      <w:r w:rsidR="001A7E4C"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мења се</w:t>
      </w:r>
      <w:r w:rsidR="00116BD3"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гласи</w:t>
      </w:r>
      <w:r w:rsidR="00D01628"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D01628"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Број e-learning обука из области ИФКЈ</w:t>
      </w:r>
      <w:r w:rsidR="00E65243" w:rsidRPr="00827818">
        <w:rPr>
          <w:rFonts w:ascii="Times New Roman" w:hAnsi="Times New Roman" w:cs="Times New Roman"/>
          <w:sz w:val="24"/>
          <w:szCs w:val="24"/>
          <w:lang w:val="sr-Cyrl-CS"/>
        </w:rPr>
        <w:t>ˮ</w:t>
      </w:r>
      <w:r w:rsidR="00032A41" w:rsidRPr="00827818">
        <w:rPr>
          <w:rFonts w:ascii="Times New Roman" w:hAnsi="Times New Roman" w:cs="Times New Roman"/>
          <w:sz w:val="24"/>
          <w:szCs w:val="24"/>
          <w:lang w:val="sr-Cyrl-CS"/>
        </w:rPr>
        <w:t xml:space="preserve">. </w:t>
      </w:r>
      <w:r w:rsidRPr="00827818">
        <w:rPr>
          <w:rFonts w:ascii="Times New Roman" w:hAnsi="Times New Roman" w:cs="Times New Roman"/>
          <w:sz w:val="24"/>
          <w:szCs w:val="24"/>
          <w:lang w:val="sr-Cyrl-CS"/>
        </w:rPr>
        <w:t>Ј</w:t>
      </w:r>
      <w:r w:rsidR="000E5BA1" w:rsidRPr="00827818">
        <w:rPr>
          <w:rFonts w:ascii="Times New Roman" w:hAnsi="Times New Roman" w:cs="Times New Roman"/>
          <w:sz w:val="24"/>
          <w:szCs w:val="24"/>
          <w:lang w:val="sr-Cyrl-CS"/>
        </w:rPr>
        <w:t>единица мере</w:t>
      </w:r>
      <w:r w:rsidRPr="00827818">
        <w:rPr>
          <w:rFonts w:ascii="Times New Roman" w:hAnsi="Times New Roman" w:cs="Times New Roman"/>
          <w:sz w:val="24"/>
          <w:szCs w:val="24"/>
          <w:lang w:val="sr-Cyrl-CS"/>
        </w:rPr>
        <w:t xml:space="preserve"> мења се</w:t>
      </w:r>
      <w:r w:rsidR="000E5BA1" w:rsidRPr="00827818">
        <w:rPr>
          <w:rFonts w:ascii="Times New Roman" w:hAnsi="Times New Roman" w:cs="Times New Roman"/>
          <w:sz w:val="24"/>
          <w:szCs w:val="24"/>
          <w:lang w:val="sr-Cyrl-CS"/>
        </w:rPr>
        <w:t xml:space="preserve"> и гласи: „ Број</w:t>
      </w:r>
      <w:r w:rsidR="00E65243" w:rsidRPr="00827818">
        <w:rPr>
          <w:rFonts w:ascii="Times New Roman" w:hAnsi="Times New Roman" w:cs="Times New Roman"/>
          <w:sz w:val="24"/>
          <w:szCs w:val="24"/>
          <w:lang w:val="sr-Cyrl-CS"/>
        </w:rPr>
        <w:t>ˮ</w:t>
      </w:r>
      <w:r w:rsidR="00D01628" w:rsidRPr="00827818">
        <w:rPr>
          <w:rFonts w:ascii="Times New Roman" w:hAnsi="Times New Roman" w:cs="Times New Roman"/>
          <w:sz w:val="24"/>
          <w:szCs w:val="24"/>
          <w:lang w:val="sr-Cyrl-CS"/>
        </w:rPr>
        <w:t>; и</w:t>
      </w:r>
      <w:r w:rsidR="000E5BA1" w:rsidRPr="00827818">
        <w:rPr>
          <w:rFonts w:ascii="Times New Roman" w:hAnsi="Times New Roman" w:cs="Times New Roman"/>
          <w:sz w:val="24"/>
          <w:szCs w:val="24"/>
          <w:lang w:val="sr-Cyrl-CS"/>
        </w:rPr>
        <w:t xml:space="preserve">звор провере </w:t>
      </w:r>
      <w:r w:rsidR="00D01628" w:rsidRPr="00827818">
        <w:rPr>
          <w:rFonts w:ascii="Times New Roman" w:hAnsi="Times New Roman" w:cs="Times New Roman"/>
          <w:sz w:val="24"/>
          <w:szCs w:val="24"/>
          <w:lang w:val="sr-Cyrl-CS"/>
        </w:rPr>
        <w:t>мења се и</w:t>
      </w:r>
      <w:r w:rsidR="000E5BA1" w:rsidRPr="00827818">
        <w:rPr>
          <w:rFonts w:ascii="Times New Roman" w:hAnsi="Times New Roman" w:cs="Times New Roman"/>
          <w:sz w:val="24"/>
          <w:szCs w:val="24"/>
          <w:lang w:val="sr-Cyrl-CS"/>
        </w:rPr>
        <w:t xml:space="preserve"> гласи: „Сајт Министарства финансија и НАЈУ ЛМС Платформа</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w:t>
      </w:r>
      <w:r w:rsidR="0006331C" w:rsidRPr="00827818">
        <w:rPr>
          <w:rFonts w:ascii="Times New Roman" w:hAnsi="Times New Roman" w:cs="Times New Roman"/>
          <w:sz w:val="24"/>
          <w:szCs w:val="24"/>
          <w:lang w:val="sr-Cyrl-CS"/>
        </w:rPr>
        <w:t xml:space="preserve"> </w:t>
      </w:r>
      <w:r w:rsidR="00D01628" w:rsidRPr="00827818">
        <w:rPr>
          <w:rFonts w:ascii="Times New Roman" w:hAnsi="Times New Roman" w:cs="Times New Roman"/>
          <w:sz w:val="24"/>
          <w:szCs w:val="24"/>
          <w:lang w:val="sr-Cyrl-CS"/>
        </w:rPr>
        <w:t>п</w:t>
      </w:r>
      <w:r w:rsidR="000E5BA1" w:rsidRPr="00827818">
        <w:rPr>
          <w:rFonts w:ascii="Times New Roman" w:hAnsi="Times New Roman" w:cs="Times New Roman"/>
          <w:sz w:val="24"/>
          <w:szCs w:val="24"/>
          <w:lang w:val="sr-Cyrl-CS"/>
        </w:rPr>
        <w:t>оч</w:t>
      </w:r>
      <w:r w:rsidR="00842EE9" w:rsidRPr="00827818">
        <w:rPr>
          <w:rFonts w:ascii="Times New Roman" w:hAnsi="Times New Roman" w:cs="Times New Roman"/>
          <w:sz w:val="24"/>
          <w:szCs w:val="24"/>
          <w:lang w:val="sr-Cyrl-CS"/>
        </w:rPr>
        <w:t>етна вредност мења</w:t>
      </w:r>
      <w:r w:rsidR="00D01628" w:rsidRPr="00827818">
        <w:rPr>
          <w:rFonts w:ascii="Times New Roman" w:hAnsi="Times New Roman" w:cs="Times New Roman"/>
          <w:sz w:val="24"/>
          <w:szCs w:val="24"/>
          <w:lang w:val="sr-Cyrl-CS"/>
        </w:rPr>
        <w:t xml:space="preserve"> се</w:t>
      </w:r>
      <w:r w:rsidR="00842EE9" w:rsidRPr="00827818">
        <w:rPr>
          <w:rFonts w:ascii="Times New Roman" w:hAnsi="Times New Roman" w:cs="Times New Roman"/>
          <w:sz w:val="24"/>
          <w:szCs w:val="24"/>
          <w:lang w:val="sr-Cyrl-CS"/>
        </w:rPr>
        <w:t xml:space="preserve"> и гласи:</w:t>
      </w:r>
      <w:r w:rsidR="00032A41" w:rsidRPr="00827818">
        <w:rPr>
          <w:rFonts w:ascii="Times New Roman" w:hAnsi="Times New Roman" w:cs="Times New Roman"/>
          <w:sz w:val="24"/>
          <w:szCs w:val="24"/>
          <w:lang w:val="sr-Cyrl-CS"/>
        </w:rPr>
        <w:t xml:space="preserve"> </w:t>
      </w:r>
      <w:r w:rsidR="006B2562"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3</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Базна година се мења и гласи: „2022</w:t>
      </w:r>
      <w:r w:rsidR="00E65243" w:rsidRPr="00827818">
        <w:rPr>
          <w:rFonts w:ascii="Times New Roman" w:hAnsi="Times New Roman" w:cs="Times New Roman"/>
          <w:sz w:val="24"/>
          <w:szCs w:val="24"/>
          <w:lang w:val="sr-Cyrl-CS"/>
        </w:rPr>
        <w:t>ˮ</w:t>
      </w:r>
      <w:r w:rsidR="00032A41" w:rsidRPr="00827818">
        <w:rPr>
          <w:rFonts w:ascii="Times New Roman" w:hAnsi="Times New Roman" w:cs="Times New Roman"/>
          <w:sz w:val="24"/>
          <w:szCs w:val="24"/>
          <w:lang w:val="sr-Cyrl-CS"/>
        </w:rPr>
        <w:t>; Циљане</w:t>
      </w:r>
      <w:r w:rsidR="000E5BA1" w:rsidRPr="00827818">
        <w:rPr>
          <w:rFonts w:ascii="Times New Roman" w:hAnsi="Times New Roman" w:cs="Times New Roman"/>
          <w:sz w:val="24"/>
          <w:szCs w:val="24"/>
          <w:lang w:val="sr-Cyrl-CS"/>
        </w:rPr>
        <w:t xml:space="preserve"> вредно</w:t>
      </w:r>
      <w:r w:rsidR="00842EE9" w:rsidRPr="00827818">
        <w:rPr>
          <w:rFonts w:ascii="Times New Roman" w:hAnsi="Times New Roman" w:cs="Times New Roman"/>
          <w:sz w:val="24"/>
          <w:szCs w:val="24"/>
          <w:lang w:val="sr-Cyrl-CS"/>
        </w:rPr>
        <w:t>сти мењају</w:t>
      </w:r>
      <w:r w:rsidR="006B2562" w:rsidRPr="00827818">
        <w:rPr>
          <w:rFonts w:ascii="Times New Roman" w:hAnsi="Times New Roman" w:cs="Times New Roman"/>
          <w:sz w:val="24"/>
          <w:szCs w:val="24"/>
          <w:lang w:val="sr-Cyrl-CS"/>
        </w:rPr>
        <w:t xml:space="preserve"> се</w:t>
      </w:r>
      <w:r w:rsidR="00842EE9" w:rsidRPr="00827818">
        <w:rPr>
          <w:rFonts w:ascii="Times New Roman" w:hAnsi="Times New Roman" w:cs="Times New Roman"/>
          <w:sz w:val="24"/>
          <w:szCs w:val="24"/>
          <w:lang w:val="sr-Cyrl-CS"/>
        </w:rPr>
        <w:t xml:space="preserve"> и гласе: 2023: </w:t>
      </w:r>
      <w:r w:rsidR="000E5BA1" w:rsidRPr="00827818">
        <w:rPr>
          <w:rFonts w:ascii="Times New Roman" w:hAnsi="Times New Roman" w:cs="Times New Roman"/>
          <w:sz w:val="24"/>
          <w:szCs w:val="24"/>
          <w:lang w:val="sr-Cyrl-CS"/>
        </w:rPr>
        <w:t>„4</w:t>
      </w:r>
      <w:r w:rsidR="00E65243" w:rsidRPr="00827818">
        <w:rPr>
          <w:rFonts w:ascii="Times New Roman" w:hAnsi="Times New Roman" w:cs="Times New Roman"/>
          <w:sz w:val="24"/>
          <w:szCs w:val="24"/>
          <w:lang w:val="sr-Cyrl-CS"/>
        </w:rPr>
        <w:t>ˮ</w:t>
      </w:r>
      <w:r w:rsidR="00842EE9" w:rsidRPr="00827818">
        <w:rPr>
          <w:rFonts w:ascii="Times New Roman" w:hAnsi="Times New Roman" w:cs="Times New Roman"/>
          <w:sz w:val="24"/>
          <w:szCs w:val="24"/>
          <w:lang w:val="sr-Cyrl-CS"/>
        </w:rPr>
        <w:t xml:space="preserve">; 2024: </w:t>
      </w:r>
      <w:r w:rsidR="000E5BA1" w:rsidRPr="00827818">
        <w:rPr>
          <w:rFonts w:ascii="Times New Roman" w:hAnsi="Times New Roman" w:cs="Times New Roman"/>
          <w:sz w:val="24"/>
          <w:szCs w:val="24"/>
          <w:lang w:val="sr-Cyrl-CS"/>
        </w:rPr>
        <w:t>„5</w:t>
      </w:r>
      <w:r w:rsidR="00E65243" w:rsidRPr="00827818">
        <w:rPr>
          <w:rFonts w:ascii="Times New Roman" w:hAnsi="Times New Roman" w:cs="Times New Roman"/>
          <w:sz w:val="24"/>
          <w:szCs w:val="24"/>
          <w:lang w:val="sr-Cyrl-CS"/>
        </w:rPr>
        <w:t>ˮ</w:t>
      </w:r>
      <w:r w:rsidR="00BE467C" w:rsidRPr="00827818">
        <w:rPr>
          <w:rFonts w:ascii="Times New Roman" w:hAnsi="Times New Roman" w:cs="Times New Roman"/>
          <w:sz w:val="24"/>
          <w:szCs w:val="24"/>
          <w:lang w:val="sr-Cyrl-CS"/>
        </w:rPr>
        <w:t xml:space="preserve"> и</w:t>
      </w:r>
      <w:r w:rsidR="000E5BA1" w:rsidRPr="00827818">
        <w:rPr>
          <w:rFonts w:ascii="Times New Roman" w:hAnsi="Times New Roman" w:cs="Times New Roman"/>
          <w:sz w:val="24"/>
          <w:szCs w:val="24"/>
          <w:lang w:val="sr-Cyrl-CS"/>
        </w:rPr>
        <w:t xml:space="preserve"> 2025</w:t>
      </w:r>
      <w:r w:rsidR="00E50819"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„6</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p>
    <w:p w:rsidR="000E5BA1" w:rsidRPr="00827818" w:rsidRDefault="00261DE1" w:rsidP="00261DE1">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6</w:t>
      </w:r>
      <w:r w:rsidR="00F47AA2">
        <w:rPr>
          <w:rFonts w:ascii="Times New Roman" w:hAnsi="Times New Roman" w:cs="Times New Roman"/>
          <w:sz w:val="24"/>
          <w:szCs w:val="24"/>
          <w:lang w:val="sr-Cyrl-CS"/>
        </w:rPr>
        <w:t>3</w:t>
      </w:r>
      <w:r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F4471B"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F4471B"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4.4: Модернизација система обучавања из области ИФКЈ, </w:t>
      </w:r>
      <w:r w:rsidR="002523F4" w:rsidRPr="00827818">
        <w:rPr>
          <w:rFonts w:ascii="Times New Roman" w:hAnsi="Times New Roman" w:cs="Times New Roman"/>
          <w:sz w:val="24"/>
          <w:szCs w:val="24"/>
          <w:lang w:val="sr-Cyrl-CS"/>
        </w:rPr>
        <w:t>назив а</w:t>
      </w:r>
      <w:r w:rsidR="000E5BA1" w:rsidRPr="00827818">
        <w:rPr>
          <w:rFonts w:ascii="Times New Roman" w:hAnsi="Times New Roman" w:cs="Times New Roman"/>
          <w:sz w:val="24"/>
          <w:szCs w:val="24"/>
          <w:lang w:val="sr-Cyrl-CS"/>
        </w:rPr>
        <w:t>ктивност</w:t>
      </w:r>
      <w:r w:rsidR="00C402B1"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4.4.1: Израда детаљног заједничког плана спровођења, са предложеним изменама прописа, релевантних материјала и процедуре који ће да подрже пребацивање обука</w:t>
      </w:r>
      <w:r w:rsidR="00FE48AC" w:rsidRPr="00827818">
        <w:rPr>
          <w:rFonts w:ascii="Times New Roman" w:hAnsi="Times New Roman" w:cs="Times New Roman"/>
          <w:sz w:val="24"/>
          <w:szCs w:val="24"/>
          <w:lang w:val="sr-Cyrl-CS"/>
        </w:rPr>
        <w:t xml:space="preserve"> </w:t>
      </w:r>
      <w:r w:rsidR="00C402B1" w:rsidRPr="00827818">
        <w:rPr>
          <w:rFonts w:ascii="Times New Roman" w:hAnsi="Times New Roman" w:cs="Times New Roman"/>
          <w:sz w:val="24"/>
          <w:szCs w:val="24"/>
          <w:lang w:val="sr-Cyrl-CS"/>
        </w:rPr>
        <w:t>замењује се називом</w:t>
      </w:r>
      <w:r w:rsidR="00FE48AC"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„Протокол о сарадњи између НАЈУ и ЦЈХ у вези са спровођењем обука из области ИФКЈ</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 xml:space="preserve">. </w:t>
      </w:r>
    </w:p>
    <w:p w:rsidR="000E5BA1" w:rsidRPr="00827818" w:rsidRDefault="00D25C6A" w:rsidP="00D25C6A">
      <w:pPr>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6</w:t>
      </w:r>
      <w:r w:rsidR="00F47AA2">
        <w:rPr>
          <w:rFonts w:ascii="Times New Roman" w:hAnsi="Times New Roman" w:cs="Times New Roman"/>
          <w:sz w:val="24"/>
          <w:szCs w:val="24"/>
          <w:lang w:val="sr-Cyrl-CS"/>
        </w:rPr>
        <w:t>4</w:t>
      </w:r>
      <w:r w:rsidRPr="00827818">
        <w:rPr>
          <w:rFonts w:ascii="Times New Roman" w:hAnsi="Times New Roman" w:cs="Times New Roman"/>
          <w:sz w:val="24"/>
          <w:szCs w:val="24"/>
          <w:lang w:val="sr-Cyrl-CS"/>
        </w:rPr>
        <w:t xml:space="preserve">. </w:t>
      </w:r>
      <w:r w:rsidR="000E5BA1" w:rsidRPr="00827818">
        <w:rPr>
          <w:rFonts w:ascii="Times New Roman" w:hAnsi="Times New Roman" w:cs="Times New Roman"/>
          <w:sz w:val="24"/>
          <w:szCs w:val="24"/>
          <w:lang w:val="sr-Cyrl-CS"/>
        </w:rPr>
        <w:t xml:space="preserve">У </w:t>
      </w:r>
      <w:r w:rsidR="00C402B1" w:rsidRPr="00827818">
        <w:rPr>
          <w:rFonts w:ascii="Times New Roman" w:hAnsi="Times New Roman" w:cs="Times New Roman"/>
          <w:sz w:val="24"/>
          <w:szCs w:val="24"/>
          <w:lang w:val="sr-Cyrl-CS"/>
        </w:rPr>
        <w:t>М</w:t>
      </w:r>
      <w:r w:rsidR="000E5BA1" w:rsidRPr="00827818">
        <w:rPr>
          <w:rFonts w:ascii="Times New Roman" w:hAnsi="Times New Roman" w:cs="Times New Roman"/>
          <w:sz w:val="24"/>
          <w:szCs w:val="24"/>
          <w:lang w:val="sr-Cyrl-CS"/>
        </w:rPr>
        <w:t>ер</w:t>
      </w:r>
      <w:r w:rsidR="00C402B1"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4.4: Модернизација система обучавања из области ИФКЈ, </w:t>
      </w:r>
      <w:r w:rsidR="002523F4" w:rsidRPr="00827818">
        <w:rPr>
          <w:rFonts w:ascii="Times New Roman" w:hAnsi="Times New Roman" w:cs="Times New Roman"/>
          <w:sz w:val="24"/>
          <w:szCs w:val="24"/>
          <w:lang w:val="sr-Cyrl-CS"/>
        </w:rPr>
        <w:t>назив а</w:t>
      </w:r>
      <w:r w:rsidR="000E5BA1" w:rsidRPr="00827818">
        <w:rPr>
          <w:rFonts w:ascii="Times New Roman" w:hAnsi="Times New Roman" w:cs="Times New Roman"/>
          <w:sz w:val="24"/>
          <w:szCs w:val="24"/>
          <w:lang w:val="sr-Cyrl-CS"/>
        </w:rPr>
        <w:t>ктивност</w:t>
      </w:r>
      <w:r w:rsidR="00C402B1" w:rsidRPr="00827818">
        <w:rPr>
          <w:rFonts w:ascii="Times New Roman" w:hAnsi="Times New Roman" w:cs="Times New Roman"/>
          <w:sz w:val="24"/>
          <w:szCs w:val="24"/>
          <w:lang w:val="sr-Cyrl-CS"/>
        </w:rPr>
        <w:t>и</w:t>
      </w:r>
      <w:r w:rsidR="000E5BA1" w:rsidRPr="00827818">
        <w:rPr>
          <w:rFonts w:ascii="Times New Roman" w:hAnsi="Times New Roman" w:cs="Times New Roman"/>
          <w:sz w:val="24"/>
          <w:szCs w:val="24"/>
          <w:lang w:val="sr-Cyrl-CS"/>
        </w:rPr>
        <w:t xml:space="preserve"> 4.4.2</w:t>
      </w:r>
      <w:r w:rsidR="00C402B1"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 xml:space="preserve"> </w:t>
      </w:r>
      <w:r w:rsidR="00FE48AC" w:rsidRPr="00827818">
        <w:rPr>
          <w:rFonts w:ascii="Times New Roman" w:hAnsi="Times New Roman" w:cs="Times New Roman"/>
          <w:sz w:val="24"/>
          <w:szCs w:val="24"/>
          <w:lang w:val="sr-Cyrl-CS"/>
        </w:rPr>
        <w:t>П</w:t>
      </w:r>
      <w:r w:rsidR="000E5BA1" w:rsidRPr="00827818">
        <w:rPr>
          <w:rFonts w:ascii="Times New Roman" w:hAnsi="Times New Roman" w:cs="Times New Roman"/>
          <w:sz w:val="24"/>
          <w:szCs w:val="24"/>
          <w:lang w:val="sr-Cyrl-CS"/>
        </w:rPr>
        <w:t>рипрема, израда и спровођење побољшано</w:t>
      </w:r>
      <w:r w:rsidR="00C402B1" w:rsidRPr="00827818">
        <w:rPr>
          <w:rFonts w:ascii="Times New Roman" w:hAnsi="Times New Roman" w:cs="Times New Roman"/>
          <w:sz w:val="24"/>
          <w:szCs w:val="24"/>
          <w:lang w:val="sr-Cyrl-CS"/>
        </w:rPr>
        <w:t>г/</w:t>
      </w:r>
      <w:r w:rsidR="000E5BA1" w:rsidRPr="00827818">
        <w:rPr>
          <w:rFonts w:ascii="Times New Roman" w:hAnsi="Times New Roman" w:cs="Times New Roman"/>
          <w:sz w:val="24"/>
          <w:szCs w:val="24"/>
          <w:lang w:val="sr-Cyrl-CS"/>
        </w:rPr>
        <w:t>процеса сертификације интерних ревизора</w:t>
      </w:r>
      <w:r w:rsidR="00C402B1" w:rsidRPr="00827818">
        <w:rPr>
          <w:rFonts w:ascii="Times New Roman" w:hAnsi="Times New Roman" w:cs="Times New Roman"/>
          <w:sz w:val="24"/>
          <w:szCs w:val="24"/>
          <w:lang w:val="sr-Cyrl-CS"/>
        </w:rPr>
        <w:t xml:space="preserve"> замењује се називом:</w:t>
      </w:r>
      <w:r w:rsidR="000E5BA1" w:rsidRPr="00827818">
        <w:rPr>
          <w:rFonts w:ascii="Times New Roman" w:hAnsi="Times New Roman" w:cs="Times New Roman"/>
          <w:sz w:val="24"/>
          <w:szCs w:val="24"/>
          <w:lang w:val="sr-Cyrl-CS"/>
        </w:rPr>
        <w:t xml:space="preserve"> </w:t>
      </w:r>
      <w:r w:rsidR="00B370AF" w:rsidRPr="00827818">
        <w:rPr>
          <w:rFonts w:ascii="Times New Roman" w:hAnsi="Times New Roman" w:cs="Times New Roman"/>
          <w:sz w:val="24"/>
          <w:szCs w:val="24"/>
          <w:lang w:val="sr-Cyrl-CS"/>
        </w:rPr>
        <w:t>„</w:t>
      </w:r>
      <w:r w:rsidR="000E5BA1" w:rsidRPr="00827818">
        <w:rPr>
          <w:rFonts w:ascii="Times New Roman" w:hAnsi="Times New Roman" w:cs="Times New Roman"/>
          <w:sz w:val="24"/>
          <w:szCs w:val="24"/>
          <w:lang w:val="sr-Cyrl-CS"/>
        </w:rPr>
        <w:t>Унапређење процеса сертификације интерних ревизора</w:t>
      </w:r>
      <w:r w:rsidR="00E65243" w:rsidRPr="00827818">
        <w:rPr>
          <w:rFonts w:ascii="Times New Roman" w:hAnsi="Times New Roman" w:cs="Times New Roman"/>
          <w:sz w:val="24"/>
          <w:szCs w:val="24"/>
          <w:lang w:val="sr-Cyrl-CS"/>
        </w:rPr>
        <w:t>ˮ</w:t>
      </w:r>
      <w:r w:rsidR="000E5BA1" w:rsidRPr="00827818">
        <w:rPr>
          <w:rFonts w:ascii="Times New Roman" w:hAnsi="Times New Roman" w:cs="Times New Roman"/>
          <w:sz w:val="24"/>
          <w:szCs w:val="24"/>
          <w:lang w:val="sr-Cyrl-CS"/>
        </w:rPr>
        <w:t>.</w:t>
      </w:r>
    </w:p>
    <w:p w:rsidR="00F0011B" w:rsidRPr="00827818" w:rsidRDefault="000F03DB" w:rsidP="000F03DB">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6</w:t>
      </w:r>
      <w:r w:rsidR="00F47AA2">
        <w:rPr>
          <w:rFonts w:ascii="Times New Roman" w:hAnsi="Times New Roman" w:cs="Times New Roman"/>
          <w:sz w:val="24"/>
          <w:szCs w:val="24"/>
          <w:lang w:val="sr-Cyrl-CS"/>
        </w:rPr>
        <w:t>5</w:t>
      </w:r>
      <w:r w:rsidRPr="00827818">
        <w:rPr>
          <w:rFonts w:ascii="Times New Roman" w:hAnsi="Times New Roman" w:cs="Times New Roman"/>
          <w:sz w:val="24"/>
          <w:szCs w:val="24"/>
          <w:lang w:val="sr-Cyrl-CS"/>
        </w:rPr>
        <w:t xml:space="preserve">. </w:t>
      </w:r>
      <w:r w:rsidR="00F0011B" w:rsidRPr="00827818">
        <w:rPr>
          <w:rFonts w:ascii="Times New Roman" w:hAnsi="Times New Roman" w:cs="Times New Roman"/>
          <w:sz w:val="24"/>
          <w:szCs w:val="24"/>
          <w:lang w:val="sr-Cyrl-CS"/>
        </w:rPr>
        <w:t xml:space="preserve">У </w:t>
      </w:r>
      <w:r w:rsidR="007B0693" w:rsidRPr="00827818">
        <w:rPr>
          <w:rFonts w:ascii="Times New Roman" w:hAnsi="Times New Roman" w:cs="Times New Roman"/>
          <w:sz w:val="24"/>
          <w:szCs w:val="24"/>
          <w:lang w:val="sr-Cyrl-CS"/>
        </w:rPr>
        <w:t xml:space="preserve">оквиру </w:t>
      </w:r>
      <w:r w:rsidR="00F0011B" w:rsidRPr="00827818">
        <w:rPr>
          <w:rFonts w:ascii="Times New Roman" w:hAnsi="Times New Roman" w:cs="Times New Roman"/>
          <w:sz w:val="24"/>
          <w:szCs w:val="24"/>
          <w:lang w:val="sr-Cyrl-CS"/>
        </w:rPr>
        <w:t>Посебн</w:t>
      </w:r>
      <w:r w:rsidR="007B0693" w:rsidRPr="00827818">
        <w:rPr>
          <w:rFonts w:ascii="Times New Roman" w:hAnsi="Times New Roman" w:cs="Times New Roman"/>
          <w:sz w:val="24"/>
          <w:szCs w:val="24"/>
          <w:lang w:val="sr-Cyrl-CS"/>
        </w:rPr>
        <w:t>ог</w:t>
      </w:r>
      <w:r w:rsidR="00F0011B" w:rsidRPr="00827818">
        <w:rPr>
          <w:rFonts w:ascii="Times New Roman" w:hAnsi="Times New Roman" w:cs="Times New Roman"/>
          <w:sz w:val="24"/>
          <w:szCs w:val="24"/>
          <w:lang w:val="sr-Cyrl-CS"/>
        </w:rPr>
        <w:t xml:space="preserve"> циљ</w:t>
      </w:r>
      <w:r w:rsidR="007B0693" w:rsidRPr="00827818">
        <w:rPr>
          <w:rFonts w:ascii="Times New Roman" w:hAnsi="Times New Roman" w:cs="Times New Roman"/>
          <w:sz w:val="24"/>
          <w:szCs w:val="24"/>
          <w:lang w:val="sr-Cyrl-CS"/>
        </w:rPr>
        <w:t>а</w:t>
      </w:r>
      <w:r w:rsidR="002523F4" w:rsidRPr="00827818">
        <w:rPr>
          <w:rFonts w:ascii="Times New Roman" w:hAnsi="Times New Roman" w:cs="Times New Roman"/>
          <w:sz w:val="24"/>
          <w:szCs w:val="24"/>
          <w:lang w:val="sr-Cyrl-CS"/>
        </w:rPr>
        <w:t xml:space="preserve"> V</w:t>
      </w:r>
      <w:r w:rsidR="007B0693" w:rsidRPr="00827818">
        <w:rPr>
          <w:rFonts w:ascii="Times New Roman" w:hAnsi="Times New Roman" w:cs="Times New Roman"/>
          <w:sz w:val="24"/>
          <w:szCs w:val="24"/>
          <w:lang w:val="sr-Cyrl-CS"/>
        </w:rPr>
        <w:t>:</w:t>
      </w:r>
      <w:r w:rsidR="00F0011B" w:rsidRPr="00827818">
        <w:rPr>
          <w:rFonts w:ascii="Times New Roman" w:hAnsi="Times New Roman" w:cs="Times New Roman"/>
          <w:sz w:val="24"/>
          <w:szCs w:val="24"/>
          <w:lang w:val="sr-Cyrl-CS"/>
        </w:rPr>
        <w:t xml:space="preserve"> Унапређено рачуноводство у јавном сектору применом међународних рачуноводствених стандарда за јавни сектор (</w:t>
      </w:r>
      <w:r w:rsidR="00D25B43" w:rsidRPr="00827818">
        <w:rPr>
          <w:rFonts w:ascii="Times New Roman" w:hAnsi="Times New Roman" w:cs="Times New Roman"/>
          <w:sz w:val="24"/>
          <w:szCs w:val="24"/>
          <w:lang w:val="sr-Cyrl-CS"/>
        </w:rPr>
        <w:t>IPSAS</w:t>
      </w:r>
      <w:r w:rsidR="00F0011B" w:rsidRPr="00827818">
        <w:rPr>
          <w:rFonts w:ascii="Times New Roman" w:hAnsi="Times New Roman" w:cs="Times New Roman"/>
          <w:sz w:val="24"/>
          <w:szCs w:val="24"/>
          <w:lang w:val="sr-Cyrl-CS"/>
        </w:rPr>
        <w:t xml:space="preserve">), </w:t>
      </w:r>
      <w:r w:rsidR="007B0693" w:rsidRPr="00827818">
        <w:rPr>
          <w:rFonts w:ascii="Times New Roman" w:hAnsi="Times New Roman" w:cs="Times New Roman"/>
          <w:sz w:val="24"/>
          <w:szCs w:val="24"/>
          <w:lang w:val="sr-Cyrl-CS"/>
        </w:rPr>
        <w:t>у М</w:t>
      </w:r>
      <w:r w:rsidR="00F0011B" w:rsidRPr="00827818">
        <w:rPr>
          <w:rFonts w:ascii="Times New Roman" w:hAnsi="Times New Roman" w:cs="Times New Roman"/>
          <w:sz w:val="24"/>
          <w:szCs w:val="24"/>
          <w:lang w:val="sr-Cyrl-CS"/>
        </w:rPr>
        <w:t>ер</w:t>
      </w:r>
      <w:r w:rsidR="001C5740" w:rsidRPr="00827818">
        <w:rPr>
          <w:rFonts w:ascii="Times New Roman" w:hAnsi="Times New Roman" w:cs="Times New Roman"/>
          <w:sz w:val="24"/>
          <w:szCs w:val="24"/>
          <w:lang w:val="sr-Cyrl-CS"/>
        </w:rPr>
        <w:t>и</w:t>
      </w:r>
      <w:r w:rsidR="00F0011B" w:rsidRPr="00827818">
        <w:rPr>
          <w:rFonts w:ascii="Times New Roman" w:hAnsi="Times New Roman" w:cs="Times New Roman"/>
          <w:sz w:val="24"/>
          <w:szCs w:val="24"/>
          <w:lang w:val="sr-Cyrl-CS"/>
        </w:rPr>
        <w:t xml:space="preserve"> 5.2: Унапређење професионалне компетентности рачуновођа у јавном сектору спровођењем адекватних обука,</w:t>
      </w:r>
      <w:r w:rsidR="001C5740" w:rsidRPr="00827818">
        <w:rPr>
          <w:rFonts w:ascii="Times New Roman" w:hAnsi="Times New Roman" w:cs="Times New Roman"/>
          <w:sz w:val="24"/>
          <w:szCs w:val="24"/>
          <w:lang w:val="sr-Cyrl-CS"/>
        </w:rPr>
        <w:t xml:space="preserve"> у оквиру </w:t>
      </w:r>
      <w:r w:rsidR="002523F4" w:rsidRPr="00827818">
        <w:rPr>
          <w:rFonts w:ascii="Times New Roman" w:hAnsi="Times New Roman" w:cs="Times New Roman"/>
          <w:sz w:val="24"/>
          <w:szCs w:val="24"/>
          <w:lang w:val="sr-Cyrl-CS"/>
        </w:rPr>
        <w:t>а</w:t>
      </w:r>
      <w:r w:rsidR="00F0011B" w:rsidRPr="00827818">
        <w:rPr>
          <w:rFonts w:ascii="Times New Roman" w:hAnsi="Times New Roman" w:cs="Times New Roman"/>
          <w:sz w:val="24"/>
          <w:szCs w:val="24"/>
          <w:lang w:val="sr-Cyrl-CS"/>
        </w:rPr>
        <w:t>ктивност</w:t>
      </w:r>
      <w:r w:rsidR="001C5740" w:rsidRPr="00827818">
        <w:rPr>
          <w:rFonts w:ascii="Times New Roman" w:hAnsi="Times New Roman" w:cs="Times New Roman"/>
          <w:sz w:val="24"/>
          <w:szCs w:val="24"/>
          <w:lang w:val="sr-Cyrl-CS"/>
        </w:rPr>
        <w:t>и</w:t>
      </w:r>
      <w:r w:rsidR="00283C40" w:rsidRPr="00827818">
        <w:rPr>
          <w:rFonts w:ascii="Times New Roman" w:hAnsi="Times New Roman" w:cs="Times New Roman"/>
          <w:sz w:val="24"/>
          <w:szCs w:val="24"/>
          <w:lang w:val="sr-Cyrl-CS"/>
        </w:rPr>
        <w:t xml:space="preserve"> </w:t>
      </w:r>
      <w:r w:rsidR="00F0011B" w:rsidRPr="00827818">
        <w:rPr>
          <w:rFonts w:ascii="Times New Roman" w:hAnsi="Times New Roman" w:cs="Times New Roman"/>
          <w:sz w:val="24"/>
          <w:szCs w:val="24"/>
          <w:lang w:val="sr-Cyrl-CS"/>
        </w:rPr>
        <w:t>5.2.2</w:t>
      </w:r>
      <w:r w:rsidR="007B0693" w:rsidRPr="00827818">
        <w:rPr>
          <w:rFonts w:ascii="Times New Roman" w:hAnsi="Times New Roman" w:cs="Times New Roman"/>
          <w:sz w:val="24"/>
          <w:szCs w:val="24"/>
          <w:lang w:val="sr-Cyrl-CS"/>
        </w:rPr>
        <w:t>:</w:t>
      </w:r>
      <w:r w:rsidR="00F0011B" w:rsidRPr="00827818">
        <w:rPr>
          <w:rFonts w:ascii="Times New Roman" w:hAnsi="Times New Roman" w:cs="Times New Roman"/>
          <w:sz w:val="24"/>
          <w:szCs w:val="24"/>
          <w:lang w:val="sr-Cyrl-CS"/>
        </w:rPr>
        <w:t xml:space="preserve"> Припремне активности за увођење сер</w:t>
      </w:r>
      <w:r w:rsidR="0006331C" w:rsidRPr="00827818">
        <w:rPr>
          <w:rFonts w:ascii="Times New Roman" w:hAnsi="Times New Roman" w:cs="Times New Roman"/>
          <w:sz w:val="24"/>
          <w:szCs w:val="24"/>
          <w:lang w:val="sr-Cyrl-CS"/>
        </w:rPr>
        <w:t>т</w:t>
      </w:r>
      <w:r w:rsidR="00F0011B" w:rsidRPr="00827818">
        <w:rPr>
          <w:rFonts w:ascii="Times New Roman" w:hAnsi="Times New Roman" w:cs="Times New Roman"/>
          <w:sz w:val="24"/>
          <w:szCs w:val="24"/>
          <w:lang w:val="sr-Cyrl-CS"/>
        </w:rPr>
        <w:t>ификације за професију рачуновођа у јавном сектору</w:t>
      </w:r>
      <w:r w:rsidR="005B1012" w:rsidRPr="00827818">
        <w:rPr>
          <w:rFonts w:ascii="Times New Roman" w:hAnsi="Times New Roman" w:cs="Times New Roman"/>
          <w:sz w:val="24"/>
          <w:szCs w:val="24"/>
          <w:lang w:val="sr-Cyrl-CS"/>
        </w:rPr>
        <w:t>, партнер у спровођењу активнос</w:t>
      </w:r>
      <w:r w:rsidR="0006331C" w:rsidRPr="00827818">
        <w:rPr>
          <w:rFonts w:ascii="Times New Roman" w:hAnsi="Times New Roman" w:cs="Times New Roman"/>
          <w:sz w:val="24"/>
          <w:szCs w:val="24"/>
          <w:lang w:val="sr-Cyrl-CS"/>
        </w:rPr>
        <w:t>т</w:t>
      </w:r>
      <w:r w:rsidR="005B1012" w:rsidRPr="00827818">
        <w:rPr>
          <w:rFonts w:ascii="Times New Roman" w:hAnsi="Times New Roman" w:cs="Times New Roman"/>
          <w:sz w:val="24"/>
          <w:szCs w:val="24"/>
          <w:lang w:val="sr-Cyrl-CS"/>
        </w:rPr>
        <w:t xml:space="preserve">и: </w:t>
      </w:r>
      <w:r w:rsidR="00FE48AC" w:rsidRPr="00827818">
        <w:rPr>
          <w:rFonts w:ascii="Times New Roman" w:hAnsi="Times New Roman" w:cs="Times New Roman"/>
          <w:sz w:val="24"/>
          <w:szCs w:val="24"/>
          <w:lang w:val="sr-Cyrl-CS"/>
        </w:rPr>
        <w:t>„</w:t>
      </w:r>
      <w:r w:rsidR="005B1012" w:rsidRPr="00827818">
        <w:rPr>
          <w:rFonts w:ascii="Times New Roman" w:hAnsi="Times New Roman" w:cs="Times New Roman"/>
          <w:sz w:val="24"/>
          <w:szCs w:val="24"/>
          <w:lang w:val="sr-Cyrl-CS"/>
        </w:rPr>
        <w:t>НАЈУ</w:t>
      </w:r>
      <w:r w:rsidR="00E65243" w:rsidRPr="00827818">
        <w:rPr>
          <w:rFonts w:ascii="Times New Roman" w:hAnsi="Times New Roman" w:cs="Times New Roman"/>
          <w:sz w:val="24"/>
          <w:szCs w:val="24"/>
          <w:lang w:val="sr-Cyrl-CS"/>
        </w:rPr>
        <w:t>ˮ</w:t>
      </w:r>
      <w:r w:rsidR="005B1012" w:rsidRPr="00827818">
        <w:rPr>
          <w:rFonts w:ascii="Times New Roman" w:hAnsi="Times New Roman" w:cs="Times New Roman"/>
          <w:sz w:val="24"/>
          <w:szCs w:val="24"/>
          <w:lang w:val="sr-Cyrl-CS"/>
        </w:rPr>
        <w:t xml:space="preserve"> замењује се пар</w:t>
      </w:r>
      <w:r w:rsidR="002523F4" w:rsidRPr="00827818">
        <w:rPr>
          <w:rFonts w:ascii="Times New Roman" w:hAnsi="Times New Roman" w:cs="Times New Roman"/>
          <w:sz w:val="24"/>
          <w:szCs w:val="24"/>
          <w:lang w:val="sr-Cyrl-CS"/>
        </w:rPr>
        <w:t xml:space="preserve">тнером у спровођењу активности: </w:t>
      </w:r>
      <w:r w:rsidR="005B1012" w:rsidRPr="00827818">
        <w:rPr>
          <w:rFonts w:ascii="Times New Roman" w:hAnsi="Times New Roman" w:cs="Times New Roman"/>
          <w:sz w:val="24"/>
          <w:szCs w:val="24"/>
          <w:lang w:val="sr-Cyrl-CS"/>
        </w:rPr>
        <w:t>„НАЈУ</w:t>
      </w:r>
      <w:r w:rsidR="00FE48AC" w:rsidRPr="00827818">
        <w:rPr>
          <w:rFonts w:ascii="Times New Roman" w:hAnsi="Times New Roman" w:cs="Times New Roman"/>
          <w:sz w:val="24"/>
          <w:szCs w:val="24"/>
          <w:lang w:val="sr-Cyrl-CS"/>
        </w:rPr>
        <w:t>,</w:t>
      </w:r>
      <w:r w:rsidR="005B1012" w:rsidRPr="00827818">
        <w:rPr>
          <w:rFonts w:ascii="Times New Roman" w:hAnsi="Times New Roman" w:cs="Times New Roman"/>
          <w:sz w:val="24"/>
          <w:szCs w:val="24"/>
          <w:lang w:val="sr-Cyrl-CS"/>
        </w:rPr>
        <w:t xml:space="preserve"> Професионално удружење рачуновођа</w:t>
      </w:r>
      <w:r w:rsidR="00E65243" w:rsidRPr="00827818">
        <w:rPr>
          <w:rFonts w:ascii="Times New Roman" w:hAnsi="Times New Roman" w:cs="Times New Roman"/>
          <w:sz w:val="24"/>
          <w:szCs w:val="24"/>
          <w:lang w:val="sr-Cyrl-CS"/>
        </w:rPr>
        <w:t>ˮ</w:t>
      </w:r>
      <w:r w:rsidR="005B1012" w:rsidRPr="00827818">
        <w:rPr>
          <w:rFonts w:ascii="Times New Roman" w:hAnsi="Times New Roman" w:cs="Times New Roman"/>
          <w:sz w:val="24"/>
          <w:szCs w:val="24"/>
          <w:lang w:val="sr-Cyrl-CS"/>
        </w:rPr>
        <w:t>.</w:t>
      </w:r>
    </w:p>
    <w:p w:rsidR="00F0011B" w:rsidRPr="00827818" w:rsidRDefault="0015027A" w:rsidP="0015027A">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lastRenderedPageBreak/>
        <w:t>6</w:t>
      </w:r>
      <w:r w:rsidR="00F47AA2">
        <w:rPr>
          <w:rFonts w:ascii="Times New Roman" w:hAnsi="Times New Roman" w:cs="Times New Roman"/>
          <w:sz w:val="24"/>
          <w:szCs w:val="24"/>
          <w:lang w:val="sr-Cyrl-CS"/>
        </w:rPr>
        <w:t>6</w:t>
      </w:r>
      <w:r w:rsidRPr="00827818">
        <w:rPr>
          <w:rFonts w:ascii="Times New Roman" w:hAnsi="Times New Roman" w:cs="Times New Roman"/>
          <w:sz w:val="24"/>
          <w:szCs w:val="24"/>
          <w:lang w:val="sr-Cyrl-CS"/>
        </w:rPr>
        <w:t>. У М</w:t>
      </w:r>
      <w:r w:rsidR="00F0011B" w:rsidRPr="00827818">
        <w:rPr>
          <w:rFonts w:ascii="Times New Roman" w:hAnsi="Times New Roman" w:cs="Times New Roman"/>
          <w:sz w:val="24"/>
          <w:szCs w:val="24"/>
          <w:lang w:val="sr-Cyrl-CS"/>
        </w:rPr>
        <w:t>ер</w:t>
      </w:r>
      <w:r w:rsidR="005B1012" w:rsidRPr="00827818">
        <w:rPr>
          <w:rFonts w:ascii="Times New Roman" w:hAnsi="Times New Roman" w:cs="Times New Roman"/>
          <w:sz w:val="24"/>
          <w:szCs w:val="24"/>
          <w:lang w:val="sr-Cyrl-CS"/>
        </w:rPr>
        <w:t>и</w:t>
      </w:r>
      <w:r w:rsidR="00F0011B" w:rsidRPr="00827818">
        <w:rPr>
          <w:rFonts w:ascii="Times New Roman" w:hAnsi="Times New Roman" w:cs="Times New Roman"/>
          <w:sz w:val="24"/>
          <w:szCs w:val="24"/>
          <w:lang w:val="sr-Cyrl-CS"/>
        </w:rPr>
        <w:t xml:space="preserve"> 5.2: Унапређење професионалне компетентности рачуновођа у јавном сектору спровођењем адекватних обука,</w:t>
      </w:r>
      <w:r w:rsidR="00DC4F04" w:rsidRPr="00827818">
        <w:rPr>
          <w:rFonts w:ascii="Times New Roman" w:hAnsi="Times New Roman" w:cs="Times New Roman"/>
          <w:sz w:val="24"/>
          <w:szCs w:val="24"/>
          <w:lang w:val="sr-Cyrl-CS"/>
        </w:rPr>
        <w:t xml:space="preserve"> </w:t>
      </w:r>
      <w:r w:rsidR="002523F4" w:rsidRPr="00827818">
        <w:rPr>
          <w:rFonts w:ascii="Times New Roman" w:hAnsi="Times New Roman" w:cs="Times New Roman"/>
          <w:sz w:val="24"/>
          <w:szCs w:val="24"/>
          <w:lang w:val="sr-Cyrl-CS"/>
        </w:rPr>
        <w:t>а</w:t>
      </w:r>
      <w:r w:rsidR="00F0011B" w:rsidRPr="00827818">
        <w:rPr>
          <w:rFonts w:ascii="Times New Roman" w:hAnsi="Times New Roman" w:cs="Times New Roman"/>
          <w:sz w:val="24"/>
          <w:szCs w:val="24"/>
          <w:lang w:val="sr-Cyrl-CS"/>
        </w:rPr>
        <w:t>ктивност 5.2.3</w:t>
      </w:r>
      <w:r w:rsidR="005B1012" w:rsidRPr="00827818">
        <w:rPr>
          <w:rFonts w:ascii="Times New Roman" w:hAnsi="Times New Roman" w:cs="Times New Roman"/>
          <w:sz w:val="24"/>
          <w:szCs w:val="24"/>
          <w:lang w:val="sr-Cyrl-CS"/>
        </w:rPr>
        <w:t>:</w:t>
      </w:r>
      <w:r w:rsidR="00F0011B" w:rsidRPr="00827818">
        <w:rPr>
          <w:rFonts w:ascii="Times New Roman" w:hAnsi="Times New Roman" w:cs="Times New Roman"/>
          <w:sz w:val="24"/>
          <w:szCs w:val="24"/>
          <w:lang w:val="sr-Cyrl-CS"/>
        </w:rPr>
        <w:t xml:space="preserve"> Сер</w:t>
      </w:r>
      <w:r w:rsidR="0006331C" w:rsidRPr="00827818">
        <w:rPr>
          <w:rFonts w:ascii="Times New Roman" w:hAnsi="Times New Roman" w:cs="Times New Roman"/>
          <w:sz w:val="24"/>
          <w:szCs w:val="24"/>
          <w:lang w:val="sr-Cyrl-CS"/>
        </w:rPr>
        <w:t>т</w:t>
      </w:r>
      <w:r w:rsidR="00F0011B" w:rsidRPr="00827818">
        <w:rPr>
          <w:rFonts w:ascii="Times New Roman" w:hAnsi="Times New Roman" w:cs="Times New Roman"/>
          <w:sz w:val="24"/>
          <w:szCs w:val="24"/>
          <w:lang w:val="sr-Cyrl-CS"/>
        </w:rPr>
        <w:t>ификовање 200 рачуновођа у јавном сектору,</w:t>
      </w:r>
      <w:r w:rsidR="005B1012" w:rsidRPr="00827818">
        <w:rPr>
          <w:rFonts w:ascii="Times New Roman" w:hAnsi="Times New Roman" w:cs="Times New Roman"/>
          <w:sz w:val="24"/>
          <w:szCs w:val="24"/>
          <w:lang w:val="sr-Cyrl-CS"/>
        </w:rPr>
        <w:t xml:space="preserve"> партнери у спровођењу активности: </w:t>
      </w:r>
      <w:r w:rsidR="00BF41C9" w:rsidRPr="00827818">
        <w:rPr>
          <w:rFonts w:ascii="Times New Roman" w:hAnsi="Times New Roman" w:cs="Times New Roman"/>
          <w:sz w:val="24"/>
          <w:szCs w:val="24"/>
          <w:lang w:val="sr-Cyrl-CS"/>
        </w:rPr>
        <w:t>„</w:t>
      </w:r>
      <w:r w:rsidR="005B1012" w:rsidRPr="00827818">
        <w:rPr>
          <w:rFonts w:ascii="Times New Roman" w:hAnsi="Times New Roman" w:cs="Times New Roman"/>
          <w:sz w:val="24"/>
          <w:szCs w:val="24"/>
          <w:lang w:val="sr-Cyrl-CS"/>
        </w:rPr>
        <w:t>Министарство финансија, НАЈУ</w:t>
      </w:r>
      <w:r w:rsidR="00E65243" w:rsidRPr="00827818">
        <w:rPr>
          <w:rFonts w:ascii="Times New Roman" w:hAnsi="Times New Roman" w:cs="Times New Roman"/>
          <w:sz w:val="24"/>
          <w:szCs w:val="24"/>
          <w:lang w:val="sr-Cyrl-CS"/>
        </w:rPr>
        <w:t>ˮ</w:t>
      </w:r>
      <w:r w:rsidR="005B1012" w:rsidRPr="00827818">
        <w:rPr>
          <w:rFonts w:ascii="Times New Roman" w:hAnsi="Times New Roman" w:cs="Times New Roman"/>
          <w:sz w:val="24"/>
          <w:szCs w:val="24"/>
          <w:lang w:val="sr-Cyrl-CS"/>
        </w:rPr>
        <w:t xml:space="preserve"> замењују се партнерима у спровођењу активности:</w:t>
      </w:r>
      <w:r w:rsidR="00F0011B" w:rsidRPr="00827818">
        <w:rPr>
          <w:rFonts w:ascii="Times New Roman" w:hAnsi="Times New Roman" w:cs="Times New Roman"/>
          <w:sz w:val="24"/>
          <w:szCs w:val="24"/>
          <w:lang w:val="sr-Cyrl-CS"/>
        </w:rPr>
        <w:t xml:space="preserve"> „НАЈУ</w:t>
      </w:r>
      <w:r w:rsidR="00DC4F04" w:rsidRPr="00827818">
        <w:rPr>
          <w:rFonts w:ascii="Times New Roman" w:hAnsi="Times New Roman" w:cs="Times New Roman"/>
          <w:sz w:val="24"/>
          <w:szCs w:val="24"/>
          <w:lang w:val="sr-Cyrl-CS"/>
        </w:rPr>
        <w:t xml:space="preserve">, </w:t>
      </w:r>
      <w:r w:rsidR="00F0011B" w:rsidRPr="00827818">
        <w:rPr>
          <w:rFonts w:ascii="Times New Roman" w:hAnsi="Times New Roman" w:cs="Times New Roman"/>
          <w:sz w:val="24"/>
          <w:szCs w:val="24"/>
          <w:lang w:val="sr-Cyrl-CS"/>
        </w:rPr>
        <w:t>Професионално удружење рачуновођа</w:t>
      </w:r>
      <w:r w:rsidR="00E65243" w:rsidRPr="00827818">
        <w:rPr>
          <w:rFonts w:ascii="Times New Roman" w:hAnsi="Times New Roman" w:cs="Times New Roman"/>
          <w:sz w:val="24"/>
          <w:szCs w:val="24"/>
          <w:lang w:val="sr-Cyrl-CS"/>
        </w:rPr>
        <w:t>ˮ</w:t>
      </w:r>
      <w:r w:rsidR="006A5520" w:rsidRPr="00827818">
        <w:rPr>
          <w:rFonts w:ascii="Times New Roman" w:hAnsi="Times New Roman" w:cs="Times New Roman"/>
          <w:sz w:val="24"/>
          <w:szCs w:val="24"/>
          <w:lang w:val="sr-Cyrl-CS"/>
        </w:rPr>
        <w:t>.</w:t>
      </w:r>
    </w:p>
    <w:p w:rsidR="00940C39" w:rsidRPr="00827818" w:rsidRDefault="002C0F7B" w:rsidP="006640B8">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6</w:t>
      </w:r>
      <w:r w:rsidR="00F47AA2">
        <w:rPr>
          <w:rFonts w:ascii="Times New Roman" w:hAnsi="Times New Roman" w:cs="Times New Roman"/>
          <w:sz w:val="24"/>
          <w:szCs w:val="24"/>
          <w:lang w:val="sr-Cyrl-CS"/>
        </w:rPr>
        <w:t>7</w:t>
      </w:r>
      <w:r w:rsidRPr="00827818">
        <w:rPr>
          <w:rFonts w:ascii="Times New Roman" w:hAnsi="Times New Roman" w:cs="Times New Roman"/>
          <w:sz w:val="24"/>
          <w:szCs w:val="24"/>
          <w:lang w:val="sr-Cyrl-CS"/>
        </w:rPr>
        <w:t xml:space="preserve">. </w:t>
      </w:r>
      <w:r w:rsidR="00940C39" w:rsidRPr="00827818">
        <w:rPr>
          <w:rFonts w:ascii="Times New Roman" w:hAnsi="Times New Roman" w:cs="Times New Roman"/>
          <w:sz w:val="24"/>
          <w:szCs w:val="24"/>
          <w:lang w:val="sr-Cyrl-CS"/>
        </w:rPr>
        <w:t xml:space="preserve">У оквиру </w:t>
      </w:r>
      <w:r w:rsidR="00940C39" w:rsidRPr="00827818">
        <w:rPr>
          <w:rFonts w:ascii="Times New Roman" w:eastAsia="Times New Roman" w:hAnsi="Times New Roman" w:cs="Times New Roman"/>
          <w:bCs/>
          <w:sz w:val="24"/>
          <w:szCs w:val="24"/>
          <w:lang w:val="sr-Cyrl-CS" w:eastAsia="en-GB"/>
        </w:rPr>
        <w:t>Посебног циља VI: Јачање спољног надзора над јавним финансијама, у Meри 6.1: Унапређење обухвата, квалитета и утицаја екстерних ревизија (у складу са Стратешким планом Државне ревизорске институције (ДРИ)), мењају се циљане вредности у оквиру показатеља учинка „Број следећих области обухваћених ревизијама сврсисходности пословања: социјална заштита, опште јавне услуге, одбрана, јавни ред и безбедност, економски послови, заштита животне средине, послови становања и заједнице, здравство, рекреација, спорт, култура и вера, образовањеˮ тако да се, у колони за циљану вредност у 2024. години, број</w:t>
      </w:r>
      <w:r w:rsidR="00657C17">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xml:space="preserve"> „9ˮ замењује се бројем</w:t>
      </w:r>
      <w:r w:rsidR="00657C17">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xml:space="preserve"> „7ˮ и у колони за циљану вредност у 2025. години, број</w:t>
      </w:r>
      <w:r w:rsidR="00657C17">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xml:space="preserve"> „9ˮ замењује се бројем</w:t>
      </w:r>
      <w:r w:rsidR="00657C17">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xml:space="preserve"> „7ˮ.</w:t>
      </w:r>
      <w:r w:rsidR="00940C39" w:rsidRPr="00827818">
        <w:rPr>
          <w:rFonts w:ascii="Times New Roman" w:hAnsi="Times New Roman" w:cs="Times New Roman"/>
          <w:sz w:val="24"/>
          <w:szCs w:val="24"/>
          <w:lang w:val="sr-Cyrl-CS"/>
        </w:rPr>
        <w:t xml:space="preserve"> </w:t>
      </w:r>
    </w:p>
    <w:p w:rsidR="00525216" w:rsidRPr="00827818" w:rsidRDefault="006640B8" w:rsidP="006640B8">
      <w:pPr>
        <w:spacing w:after="0"/>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6</w:t>
      </w:r>
      <w:r w:rsidR="00F47AA2">
        <w:rPr>
          <w:rFonts w:ascii="Times New Roman" w:hAnsi="Times New Roman" w:cs="Times New Roman"/>
          <w:sz w:val="24"/>
          <w:szCs w:val="24"/>
          <w:lang w:val="sr-Cyrl-CS"/>
        </w:rPr>
        <w:t>8</w:t>
      </w:r>
      <w:r w:rsidRPr="00827818">
        <w:rPr>
          <w:rFonts w:ascii="Times New Roman" w:hAnsi="Times New Roman" w:cs="Times New Roman"/>
          <w:sz w:val="24"/>
          <w:szCs w:val="24"/>
          <w:lang w:val="sr-Cyrl-CS"/>
        </w:rPr>
        <w:t xml:space="preserve">. </w:t>
      </w:r>
      <w:r w:rsidR="00940C39" w:rsidRPr="00827818">
        <w:rPr>
          <w:rFonts w:ascii="Times New Roman" w:hAnsi="Times New Roman" w:cs="Times New Roman"/>
          <w:sz w:val="24"/>
          <w:szCs w:val="24"/>
          <w:lang w:val="sr-Cyrl-CS"/>
        </w:rPr>
        <w:t xml:space="preserve">У </w:t>
      </w:r>
      <w:r w:rsidR="00940C39" w:rsidRPr="00827818">
        <w:rPr>
          <w:rFonts w:ascii="Times New Roman" w:eastAsia="Times New Roman" w:hAnsi="Times New Roman" w:cs="Times New Roman"/>
          <w:bCs/>
          <w:sz w:val="24"/>
          <w:szCs w:val="24"/>
          <w:lang w:val="sr-Cyrl-CS" w:eastAsia="en-GB"/>
        </w:rPr>
        <w:t>Meри 6.1: Унапређење обухвата, квалитета и утицаја екстерних ревизија (у складу са Стратешким планом Државне ревизорске институције (ДРИ)</w:t>
      </w:r>
      <w:r w:rsidR="00A25958" w:rsidRPr="00827818">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мењају се циљане вредности у оквиру показатеља учинка „Удео ревизија пословања (правилности и сврсисходности) у</w:t>
      </w:r>
      <w:r w:rsidR="00B370AF" w:rsidRPr="00827818">
        <w:rPr>
          <w:rFonts w:ascii="Times New Roman" w:eastAsia="Times New Roman" w:hAnsi="Times New Roman" w:cs="Times New Roman"/>
          <w:bCs/>
          <w:sz w:val="24"/>
          <w:szCs w:val="24"/>
          <w:lang w:val="sr-Cyrl-CS" w:eastAsia="en-GB"/>
        </w:rPr>
        <w:t xml:space="preserve"> годишњем Програму ревизије ДРИ</w:t>
      </w:r>
      <w:r w:rsidR="00940C39" w:rsidRPr="00827818">
        <w:rPr>
          <w:rFonts w:ascii="Times New Roman" w:eastAsia="Times New Roman" w:hAnsi="Times New Roman" w:cs="Times New Roman"/>
          <w:bCs/>
          <w:sz w:val="24"/>
          <w:szCs w:val="24"/>
          <w:lang w:val="sr-Cyrl-CS" w:eastAsia="en-GB"/>
        </w:rPr>
        <w:t>ˮ</w:t>
      </w:r>
      <w:r w:rsidR="00B370AF" w:rsidRPr="00827818">
        <w:rPr>
          <w:rFonts w:ascii="Times New Roman" w:eastAsia="Times New Roman" w:hAnsi="Times New Roman" w:cs="Times New Roman"/>
          <w:bCs/>
          <w:sz w:val="24"/>
          <w:szCs w:val="24"/>
          <w:lang w:val="sr-Cyrl-CS" w:eastAsia="en-GB"/>
        </w:rPr>
        <w:t xml:space="preserve"> тако да</w:t>
      </w:r>
      <w:r w:rsidR="00940C39" w:rsidRPr="00827818">
        <w:rPr>
          <w:rFonts w:ascii="Times New Roman" w:eastAsia="Times New Roman" w:hAnsi="Times New Roman" w:cs="Times New Roman"/>
          <w:bCs/>
          <w:sz w:val="24"/>
          <w:szCs w:val="24"/>
          <w:lang w:val="sr-Cyrl-CS" w:eastAsia="en-GB"/>
        </w:rPr>
        <w:t>, у колони за циљану вредност у 2024. години, број</w:t>
      </w:r>
      <w:r w:rsidR="00657C17">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xml:space="preserve"> „52ˮ замењује се бројем</w:t>
      </w:r>
      <w:r w:rsidR="00657C17">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xml:space="preserve"> „58ˮ и у колони за циљану вредност у 2025. години, број</w:t>
      </w:r>
      <w:r w:rsidR="00657C17">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xml:space="preserve"> „55ˮ замењује се бројем</w:t>
      </w:r>
      <w:r w:rsidR="00657C17">
        <w:rPr>
          <w:rFonts w:ascii="Times New Roman" w:eastAsia="Times New Roman" w:hAnsi="Times New Roman" w:cs="Times New Roman"/>
          <w:bCs/>
          <w:sz w:val="24"/>
          <w:szCs w:val="24"/>
          <w:lang w:val="sr-Cyrl-CS" w:eastAsia="en-GB"/>
        </w:rPr>
        <w:t>:</w:t>
      </w:r>
      <w:r w:rsidR="00940C39" w:rsidRPr="00827818">
        <w:rPr>
          <w:rFonts w:ascii="Times New Roman" w:eastAsia="Times New Roman" w:hAnsi="Times New Roman" w:cs="Times New Roman"/>
          <w:bCs/>
          <w:sz w:val="24"/>
          <w:szCs w:val="24"/>
          <w:lang w:val="sr-Cyrl-CS" w:eastAsia="en-GB"/>
        </w:rPr>
        <w:t xml:space="preserve"> „65ˮ.</w:t>
      </w:r>
    </w:p>
    <w:p w:rsidR="00793431" w:rsidRPr="00827818" w:rsidRDefault="00F47AA2" w:rsidP="00372A55">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69</w:t>
      </w:r>
      <w:r w:rsidR="001056B9" w:rsidRPr="00827818">
        <w:rPr>
          <w:rFonts w:ascii="Times New Roman" w:hAnsi="Times New Roman" w:cs="Times New Roman"/>
          <w:sz w:val="24"/>
          <w:szCs w:val="24"/>
          <w:lang w:val="sr-Cyrl-CS"/>
        </w:rPr>
        <w:t>. У Анексу 1 „Редослед спровођења активности Програма реформе управљања јавним финансијама 2021-2025ˮ,</w:t>
      </w:r>
      <w:r w:rsidR="001056B9" w:rsidRPr="00827818">
        <w:rPr>
          <w:rFonts w:ascii="Times New Roman" w:hAnsi="Times New Roman" w:cs="Times New Roman"/>
          <w:bCs/>
          <w:sz w:val="24"/>
          <w:szCs w:val="24"/>
          <w:lang w:val="sr-Cyrl-CS"/>
        </w:rPr>
        <w:t xml:space="preserve"> који је одштампан уз Програм реформе управљања јавним финансијама за период 2021 - 2025. године и чини његов саставни део</w:t>
      </w:r>
      <w:r w:rsidR="006E330F" w:rsidRPr="00827818">
        <w:rPr>
          <w:rFonts w:ascii="Times New Roman" w:hAnsi="Times New Roman" w:cs="Times New Roman"/>
          <w:bCs/>
          <w:sz w:val="24"/>
          <w:szCs w:val="24"/>
          <w:lang w:val="sr-Cyrl-CS"/>
        </w:rPr>
        <w:t>,</w:t>
      </w:r>
      <w:r w:rsidR="001056B9" w:rsidRPr="00827818">
        <w:rPr>
          <w:rFonts w:ascii="Times New Roman" w:hAnsi="Times New Roman" w:cs="Times New Roman"/>
          <w:sz w:val="24"/>
          <w:szCs w:val="24"/>
          <w:lang w:val="sr-Cyrl-CS"/>
        </w:rPr>
        <w:t xml:space="preserve"> извршене су одговарајуће измене у вези са роковима за реализацију наведених активности: 1.3.1 Менторска подршка изради средњорочних планова обвезника средњорочног планирања на републичком нивоу, тако да рок за завршетак активности гласи: „</w:t>
      </w:r>
      <w:r w:rsidR="00871CD1" w:rsidRPr="00827818">
        <w:rPr>
          <w:rFonts w:ascii="Times New Roman" w:hAnsi="Times New Roman" w:cs="Times New Roman"/>
          <w:sz w:val="24"/>
          <w:szCs w:val="24"/>
          <w:lang w:val="sr-Cyrl-CS"/>
        </w:rPr>
        <w:t>Q4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w:t>
      </w:r>
      <w:r w:rsidR="001056B9" w:rsidRPr="00827818">
        <w:rPr>
          <w:lang w:val="sr-Cyrl-CS"/>
        </w:rPr>
        <w:t xml:space="preserve"> </w:t>
      </w:r>
      <w:r w:rsidR="001056B9" w:rsidRPr="00827818">
        <w:rPr>
          <w:rFonts w:ascii="Times New Roman" w:hAnsi="Times New Roman" w:cs="Times New Roman"/>
          <w:sz w:val="24"/>
          <w:szCs w:val="24"/>
          <w:lang w:val="sr-Cyrl-CS"/>
        </w:rPr>
        <w:t>1.4.4 Израда приручника о методологији УКП (дизајн, припрема за штампу, лектура, консултантска подршка за садржај), тако да рок за завршетак активности гласи: „Q4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1.4.6 Надоградња информационог система за управљање капиталним пројектима, додаје се рок за завршетак активности тако да гласи: „Q2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;1.4.7 Унапређење вештина запослених из области управљања пројектима,  одрживог управљања пројектима, укључујући израду и ревизију кост-бенефит анализе,</w:t>
      </w:r>
      <w:r w:rsidR="00D333A9" w:rsidRPr="00827818">
        <w:rPr>
          <w:rFonts w:ascii="Times New Roman" w:hAnsi="Times New Roman" w:cs="Times New Roman"/>
          <w:sz w:val="24"/>
          <w:szCs w:val="24"/>
          <w:lang w:val="sr-Cyrl-CS"/>
        </w:rPr>
        <w:t xml:space="preserve"> </w:t>
      </w:r>
      <w:r w:rsidR="001056B9" w:rsidRPr="00827818">
        <w:rPr>
          <w:rFonts w:ascii="Times New Roman" w:hAnsi="Times New Roman" w:cs="Times New Roman"/>
          <w:sz w:val="24"/>
          <w:szCs w:val="24"/>
          <w:lang w:val="sr-Cyrl-CS"/>
        </w:rPr>
        <w:t>додаје се рок за завршетак активности тако да гласи: „</w:t>
      </w:r>
      <w:r w:rsidR="00871CD1" w:rsidRPr="00827818">
        <w:rPr>
          <w:rFonts w:ascii="Times New Roman" w:hAnsi="Times New Roman" w:cs="Times New Roman"/>
          <w:sz w:val="24"/>
          <w:szCs w:val="24"/>
          <w:lang w:val="sr-Cyrl-CS"/>
        </w:rPr>
        <w:t>Q4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1.4.8 Заокруживање правног оквира у смислу укључивања аспекта утицаја капиталних пројеката на животну средину и климатске промене, додаје се рок за завршетак активности тако да гласи: „Q1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1.5.4 Унапређење и стандардизација извештавања о фискалним ризицима, додаје се рок за завршетак активности тако да гласи: „Q4</w:t>
      </w:r>
      <w:r w:rsidR="00871CD1" w:rsidRPr="00827818">
        <w:rPr>
          <w:rFonts w:ascii="Times New Roman" w:hAnsi="Times New Roman" w:cs="Times New Roman"/>
          <w:sz w:val="24"/>
          <w:szCs w:val="24"/>
          <w:lang w:val="sr-Cyrl-CS"/>
        </w:rPr>
        <w:t xml:space="preserve">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w:t>
      </w:r>
      <w:r w:rsidR="001056B9" w:rsidRPr="00827818">
        <w:rPr>
          <w:lang w:val="sr-Cyrl-CS"/>
        </w:rPr>
        <w:t xml:space="preserve"> </w:t>
      </w:r>
      <w:r w:rsidR="001056B9" w:rsidRPr="00827818">
        <w:rPr>
          <w:rFonts w:ascii="Times New Roman" w:hAnsi="Times New Roman" w:cs="Times New Roman"/>
          <w:sz w:val="24"/>
          <w:szCs w:val="24"/>
          <w:lang w:val="sr-Cyrl-CS"/>
        </w:rPr>
        <w:t>1.5.5 Унапређење вештина за запослене из области финансијске анализе, кост бенефит анализе и анализе из области праћења ризика од климатски индукованих елементарних непогода, додаје се рок за завршетак активности тако да гласи: „Q4</w:t>
      </w:r>
      <w:r w:rsidR="00871CD1" w:rsidRPr="00827818">
        <w:rPr>
          <w:rFonts w:ascii="Times New Roman" w:hAnsi="Times New Roman" w:cs="Times New Roman"/>
          <w:sz w:val="24"/>
          <w:szCs w:val="24"/>
          <w:lang w:val="sr-Cyrl-CS"/>
        </w:rPr>
        <w:t xml:space="preserve">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1.5.6 Упознавање са најбољим међународним праксама које се односе на праћење и извештавање о фискалним ризицима (кроз студијска путовања, радионице и сл), додаје се рок за завршетак активности тако да гласи: „Q4</w:t>
      </w:r>
      <w:r w:rsidR="00871CD1" w:rsidRPr="00827818">
        <w:rPr>
          <w:rFonts w:ascii="Times New Roman" w:hAnsi="Times New Roman" w:cs="Times New Roman"/>
          <w:sz w:val="24"/>
          <w:szCs w:val="24"/>
          <w:lang w:val="sr-Cyrl-CS"/>
        </w:rPr>
        <w:t xml:space="preserve">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xml:space="preserve">; </w:t>
      </w:r>
      <w:r w:rsidR="001056B9" w:rsidRPr="00827818">
        <w:rPr>
          <w:rFonts w:ascii="Times New Roman" w:hAnsi="Times New Roman" w:cs="Times New Roman"/>
          <w:bCs/>
          <w:sz w:val="24"/>
          <w:szCs w:val="24"/>
          <w:lang w:val="sr-Cyrl-CS"/>
        </w:rPr>
        <w:t>2.1.1</w:t>
      </w:r>
      <w:r w:rsidR="00E47216" w:rsidRPr="00827818">
        <w:rPr>
          <w:rFonts w:ascii="Times New Roman" w:hAnsi="Times New Roman" w:cs="Times New Roman"/>
          <w:bCs/>
          <w:sz w:val="24"/>
          <w:szCs w:val="24"/>
          <w:lang w:val="sr-Cyrl-CS"/>
        </w:rPr>
        <w:t xml:space="preserve"> </w:t>
      </w:r>
      <w:r w:rsidR="001056B9" w:rsidRPr="00827818">
        <w:rPr>
          <w:rFonts w:ascii="Times New Roman" w:hAnsi="Times New Roman" w:cs="Times New Roman"/>
          <w:bCs/>
          <w:sz w:val="24"/>
          <w:szCs w:val="24"/>
          <w:lang w:val="sr-Cyrl-CS"/>
        </w:rPr>
        <w:t>Реинжењеринг посл</w:t>
      </w:r>
      <w:r w:rsidR="00871CD1" w:rsidRPr="00827818">
        <w:rPr>
          <w:rFonts w:ascii="Times New Roman" w:hAnsi="Times New Roman" w:cs="Times New Roman"/>
          <w:bCs/>
          <w:sz w:val="24"/>
          <w:szCs w:val="24"/>
          <w:lang w:val="sr-Cyrl-CS"/>
        </w:rPr>
        <w:t>овних процеса основних функција</w:t>
      </w:r>
      <w:r w:rsidR="00E47216" w:rsidRPr="00827818">
        <w:rPr>
          <w:rFonts w:ascii="Times New Roman" w:eastAsia="Times New Roman" w:hAnsi="Times New Roman" w:cs="Times New Roman"/>
          <w:bCs/>
          <w:sz w:val="24"/>
          <w:szCs w:val="24"/>
          <w:lang w:val="sr-Cyrl-CS" w:eastAsia="en-GB"/>
        </w:rPr>
        <w:t xml:space="preserve"> </w:t>
      </w:r>
      <w:r w:rsidR="001056B9" w:rsidRPr="00827818">
        <w:rPr>
          <w:rFonts w:ascii="Times New Roman" w:hAnsi="Times New Roman" w:cs="Times New Roman"/>
          <w:bCs/>
          <w:sz w:val="24"/>
          <w:szCs w:val="24"/>
          <w:lang w:val="sr-Cyrl-CS"/>
        </w:rPr>
        <w:t>, мења се рок за завршетак активности тако да гласи: „Q3 2023</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bCs/>
          <w:sz w:val="24"/>
          <w:szCs w:val="24"/>
          <w:lang w:val="sr-Cyrl-CS"/>
        </w:rPr>
        <w:t>;</w:t>
      </w:r>
      <w:r w:rsidR="001056B9" w:rsidRPr="00827818">
        <w:rPr>
          <w:rFonts w:ascii="Times New Roman" w:hAnsi="Times New Roman" w:cs="Times New Roman"/>
          <w:sz w:val="24"/>
          <w:szCs w:val="24"/>
          <w:lang w:val="sr-Cyrl-CS"/>
        </w:rPr>
        <w:t xml:space="preserve"> 2.1.3 Унапређење ИКТ инфраструктуре – COTS, мења се рок за завршетак активности тако да гласи: „Q4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xml:space="preserve">; 2.1.8 Израда комуникационе стратегије у вези измене ПО ПДВ обрасцаˮ, додаје се рок за </w:t>
      </w:r>
      <w:r w:rsidR="001056B9" w:rsidRPr="00827818">
        <w:rPr>
          <w:rFonts w:ascii="Times New Roman" w:hAnsi="Times New Roman" w:cs="Times New Roman"/>
          <w:sz w:val="24"/>
          <w:szCs w:val="24"/>
          <w:lang w:val="sr-Cyrl-CS"/>
        </w:rPr>
        <w:lastRenderedPageBreak/>
        <w:t>завршетак активности тако да гласи: „Q4</w:t>
      </w:r>
      <w:r w:rsidR="00871CD1" w:rsidRPr="00827818">
        <w:rPr>
          <w:rFonts w:ascii="Times New Roman" w:hAnsi="Times New Roman" w:cs="Times New Roman"/>
          <w:sz w:val="24"/>
          <w:szCs w:val="24"/>
          <w:lang w:val="sr-Cyrl-CS"/>
        </w:rPr>
        <w:t xml:space="preserve">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2.1.9. Израда комуникационе стратегије за увођење система електронских отпремницаˮ, додаје се рок за завршетак активности тако да гласи: „Q4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2.2.4 Надоградња Интегрисаног информационог система Управе за дуван, додаје се рок за завршетак активности тако да гласи: „Q4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w:t>
      </w:r>
      <w:r w:rsidR="006E330F" w:rsidRPr="00827818">
        <w:rPr>
          <w:rFonts w:ascii="Times New Roman" w:hAnsi="Times New Roman" w:cs="Times New Roman"/>
          <w:sz w:val="24"/>
          <w:szCs w:val="24"/>
          <w:lang w:val="sr-Cyrl-CS"/>
        </w:rPr>
        <w:t xml:space="preserve"> 2.3.6 Имплементација увозних и извозних аутоматизованих система (АИС-АЕС), мења се рок за завршетак активности тако да гласи „Q4 2025</w:t>
      </w:r>
      <w:r w:rsidR="00871CD1" w:rsidRPr="00827818">
        <w:rPr>
          <w:rFonts w:ascii="Times New Roman" w:eastAsia="Times New Roman" w:hAnsi="Times New Roman" w:cs="Times New Roman"/>
          <w:bCs/>
          <w:sz w:val="24"/>
          <w:szCs w:val="24"/>
          <w:lang w:val="sr-Cyrl-CS" w:eastAsia="en-GB"/>
        </w:rPr>
        <w:t>ˮ</w:t>
      </w:r>
      <w:r w:rsidR="006E330F" w:rsidRPr="00827818">
        <w:rPr>
          <w:rFonts w:ascii="Times New Roman" w:hAnsi="Times New Roman" w:cs="Times New Roman"/>
          <w:sz w:val="24"/>
          <w:szCs w:val="24"/>
          <w:lang w:val="sr-Cyrl-CS"/>
        </w:rPr>
        <w:t xml:space="preserve">; </w:t>
      </w:r>
      <w:r w:rsidR="001056B9" w:rsidRPr="00827818">
        <w:rPr>
          <w:rFonts w:ascii="Times New Roman" w:hAnsi="Times New Roman" w:cs="Times New Roman"/>
          <w:sz w:val="24"/>
          <w:szCs w:val="24"/>
          <w:lang w:val="sr-Cyrl-CS"/>
        </w:rPr>
        <w:t>2.4.1 Јачање средњорочне стратегије управљања јавним дугом израдом  модела за управљање ризицима, мења се рок за завршетак активности тако да гласи: „Q4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xml:space="preserve"> ; 2.4.2 Спровођење пилот пројекта за увођење система примарних дилера и даљи развој домаћег тржишта обвезница, мења се рок за завршетак активности тако да гласи: „Q4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2.4.4 Надоградња постојећег информационог система (PDMS) развијеним модулом за управљање ризицима, мења се рок за завршетак активности тако да гласи: „Q4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xml:space="preserve">; </w:t>
      </w:r>
      <w:r w:rsidR="006E330F" w:rsidRPr="00827818">
        <w:rPr>
          <w:rFonts w:ascii="Times New Roman" w:hAnsi="Times New Roman" w:cs="Times New Roman"/>
          <w:sz w:val="24"/>
          <w:szCs w:val="24"/>
          <w:lang w:val="sr-Cyrl-CS"/>
        </w:rPr>
        <w:t>3.1.2</w:t>
      </w:r>
      <w:r w:rsidR="001056B9" w:rsidRPr="00827818">
        <w:rPr>
          <w:rFonts w:ascii="Times New Roman" w:hAnsi="Times New Roman" w:cs="Times New Roman"/>
          <w:sz w:val="24"/>
          <w:szCs w:val="24"/>
          <w:lang w:val="sr-Cyrl-CS"/>
        </w:rPr>
        <w:t xml:space="preserve"> Развијање политике задржавања кадрова како би се осигурали адекватни и стабилни административни капацитети Канцеларије, мења се рок за завршетак активности тако да гласи: „Q4</w:t>
      </w:r>
      <w:r w:rsidR="00871CD1" w:rsidRPr="00827818">
        <w:rPr>
          <w:rFonts w:ascii="Times New Roman" w:hAnsi="Times New Roman" w:cs="Times New Roman"/>
          <w:sz w:val="24"/>
          <w:szCs w:val="24"/>
          <w:lang w:val="sr-Cyrl-CS"/>
        </w:rPr>
        <w:t xml:space="preserve">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3.2.1 Израда нових процедура поступања, методолошких смерница те додатних помоћних алата за институције надлежне за управљање и спровођење средстава ЕУ са циљем повећања ефикасности извршених контрола и смањења административног оптерећења, мења се рок за завршетак активности тако да гласи: „Q4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4.1.6 Израда анализе кохерентности ИФКЈ регулативе са осталом хоризонталном регулативом, мења се рок за завршетак активности тако да гласи: „Q4</w:t>
      </w:r>
      <w:r w:rsidR="00871CD1" w:rsidRPr="00827818">
        <w:rPr>
          <w:rFonts w:ascii="Times New Roman" w:hAnsi="Times New Roman" w:cs="Times New Roman"/>
          <w:sz w:val="24"/>
          <w:szCs w:val="24"/>
          <w:lang w:val="sr-Cyrl-CS"/>
        </w:rPr>
        <w:t xml:space="preserve"> 2023</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xml:space="preserve">; 4.2.8 Подршка </w:t>
      </w:r>
      <w:r w:rsidR="001056B9" w:rsidRPr="00827818">
        <w:rPr>
          <w:rFonts w:ascii="Times New Roman" w:hAnsi="Times New Roman" w:cs="Times New Roman"/>
          <w:i/>
          <w:sz w:val="24"/>
          <w:szCs w:val="24"/>
          <w:lang w:val="sr-Cyrl-CS"/>
        </w:rPr>
        <w:t>networking</w:t>
      </w:r>
      <w:r w:rsidR="001056B9" w:rsidRPr="00827818">
        <w:rPr>
          <w:rFonts w:ascii="Times New Roman" w:hAnsi="Times New Roman" w:cs="Times New Roman"/>
          <w:sz w:val="24"/>
          <w:szCs w:val="24"/>
          <w:lang w:val="sr-Cyrl-CS"/>
        </w:rPr>
        <w:t xml:space="preserve"> у виду годишњих састанака руководилаца јединица за ИР министарстава, додаје се рок за завршетак активности тако да гласи: „Q4</w:t>
      </w:r>
      <w:r w:rsidR="00871CD1" w:rsidRPr="00827818">
        <w:rPr>
          <w:rFonts w:ascii="Times New Roman" w:hAnsi="Times New Roman" w:cs="Times New Roman"/>
          <w:sz w:val="24"/>
          <w:szCs w:val="24"/>
          <w:lang w:val="sr-Cyrl-CS"/>
        </w:rPr>
        <w:t xml:space="preserve">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w:t>
      </w:r>
      <w:r w:rsidR="001056B9" w:rsidRPr="00827818">
        <w:rPr>
          <w:lang w:val="sr-Cyrl-CS"/>
        </w:rPr>
        <w:t xml:space="preserve"> </w:t>
      </w:r>
      <w:r w:rsidR="001056B9" w:rsidRPr="00827818">
        <w:rPr>
          <w:rFonts w:ascii="Times New Roman" w:hAnsi="Times New Roman" w:cs="Times New Roman"/>
          <w:sz w:val="24"/>
          <w:szCs w:val="24"/>
          <w:lang w:val="sr-Cyrl-CS"/>
        </w:rPr>
        <w:t>4.2.9 Унапређење радно-правног статуса ИР, додаје се рок за завршетак активности тако да гласи: „Q4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5.1.4 Реализаци</w:t>
      </w:r>
      <w:r w:rsidR="00871CD1" w:rsidRPr="00827818">
        <w:rPr>
          <w:rFonts w:ascii="Times New Roman" w:hAnsi="Times New Roman" w:cs="Times New Roman"/>
          <w:sz w:val="24"/>
          <w:szCs w:val="24"/>
          <w:lang w:val="sr-Cyrl-CS"/>
        </w:rPr>
        <w:t xml:space="preserve">ја Уговора из активности 5.1.3 </w:t>
      </w:r>
      <w:r w:rsidR="001056B9" w:rsidRPr="00827818">
        <w:rPr>
          <w:rFonts w:ascii="Times New Roman" w:hAnsi="Times New Roman" w:cs="Times New Roman"/>
          <w:sz w:val="24"/>
          <w:szCs w:val="24"/>
          <w:lang w:val="sr-Cyrl-CS"/>
        </w:rPr>
        <w:t>у циљу омогућавања  имплементације Уредбе о примени међународних рачуноводствених стандарда за јавни сектор, мења се рок за завршетак активности тако да гласи: „Q4</w:t>
      </w:r>
      <w:r w:rsidR="00871CD1" w:rsidRPr="00827818">
        <w:rPr>
          <w:rFonts w:ascii="Times New Roman" w:hAnsi="Times New Roman" w:cs="Times New Roman"/>
          <w:sz w:val="24"/>
          <w:szCs w:val="24"/>
          <w:lang w:val="sr-Cyrl-CS"/>
        </w:rPr>
        <w:t xml:space="preserve"> 2023</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w:t>
      </w:r>
      <w:r w:rsidR="001056B9" w:rsidRPr="00827818">
        <w:rPr>
          <w:lang w:val="sr-Cyrl-CS"/>
        </w:rPr>
        <w:t xml:space="preserve"> </w:t>
      </w:r>
      <w:r w:rsidR="001056B9" w:rsidRPr="00827818">
        <w:rPr>
          <w:rFonts w:ascii="Times New Roman" w:hAnsi="Times New Roman" w:cs="Times New Roman"/>
          <w:sz w:val="24"/>
          <w:szCs w:val="24"/>
          <w:lang w:val="sr-Cyrl-CS"/>
        </w:rPr>
        <w:t>5.3.1 Измена релевантне националне регулативе ради њеног међусобног усаглашавања и усаглашавања  са захтевима  IPSAS за готовинску основу и ЕSА 2010, мења се рок за завршетак активности тако да гласи: „Q3 2024</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 5.3.2 Доношење Рачуноводствене политике за финансијско извештавање у складу са IPSAS за готовинску основу, мења се рок за завршетак активности тако да гласи: „Q4</w:t>
      </w:r>
      <w:r w:rsidR="00871CD1" w:rsidRPr="00827818">
        <w:rPr>
          <w:rFonts w:ascii="Times New Roman" w:hAnsi="Times New Roman" w:cs="Times New Roman"/>
          <w:sz w:val="24"/>
          <w:szCs w:val="24"/>
          <w:lang w:val="sr-Cyrl-CS"/>
        </w:rPr>
        <w:t xml:space="preserve"> 2023</w:t>
      </w:r>
      <w:r w:rsidR="00871CD1" w:rsidRPr="00827818">
        <w:rPr>
          <w:rFonts w:ascii="Times New Roman" w:eastAsia="Times New Roman" w:hAnsi="Times New Roman" w:cs="Times New Roman"/>
          <w:bCs/>
          <w:sz w:val="24"/>
          <w:szCs w:val="24"/>
          <w:lang w:val="sr-Cyrl-CS" w:eastAsia="en-GB"/>
        </w:rPr>
        <w:t>ˮ</w:t>
      </w:r>
      <w:r w:rsidR="00372A55" w:rsidRPr="00827818">
        <w:rPr>
          <w:rFonts w:ascii="Times New Roman" w:eastAsia="Times New Roman" w:hAnsi="Times New Roman" w:cs="Times New Roman"/>
          <w:bCs/>
          <w:sz w:val="24"/>
          <w:szCs w:val="24"/>
          <w:lang w:val="sr-Cyrl-CS" w:eastAsia="en-GB"/>
        </w:rPr>
        <w:t xml:space="preserve"> </w:t>
      </w:r>
      <w:r w:rsidR="00372A55" w:rsidRPr="00827818">
        <w:rPr>
          <w:rFonts w:ascii="Times New Roman" w:hAnsi="Times New Roman" w:cs="Times New Roman"/>
          <w:sz w:val="24"/>
          <w:szCs w:val="24"/>
          <w:lang w:val="sr-Cyrl-CS"/>
        </w:rPr>
        <w:t>и</w:t>
      </w:r>
      <w:r w:rsidR="001056B9" w:rsidRPr="00827818">
        <w:rPr>
          <w:rFonts w:ascii="Times New Roman" w:hAnsi="Times New Roman" w:cs="Times New Roman"/>
          <w:sz w:val="24"/>
          <w:szCs w:val="24"/>
          <w:lang w:val="sr-Cyrl-CS"/>
        </w:rPr>
        <w:t xml:space="preserve"> 5.3.3 Припрема Финансијског извештаја заснованог на готовинској основи у складу са IPSAS, мења се рок за завршетак активности тако да гласи: „Q2 2025</w:t>
      </w:r>
      <w:r w:rsidR="00871CD1" w:rsidRPr="00827818">
        <w:rPr>
          <w:rFonts w:ascii="Times New Roman" w:eastAsia="Times New Roman" w:hAnsi="Times New Roman" w:cs="Times New Roman"/>
          <w:bCs/>
          <w:sz w:val="24"/>
          <w:szCs w:val="24"/>
          <w:lang w:val="sr-Cyrl-CS" w:eastAsia="en-GB"/>
        </w:rPr>
        <w:t>ˮ</w:t>
      </w:r>
      <w:r w:rsidR="001056B9" w:rsidRPr="00827818">
        <w:rPr>
          <w:rFonts w:ascii="Times New Roman" w:hAnsi="Times New Roman" w:cs="Times New Roman"/>
          <w:sz w:val="24"/>
          <w:szCs w:val="24"/>
          <w:lang w:val="sr-Cyrl-CS"/>
        </w:rPr>
        <w:t>.</w:t>
      </w:r>
    </w:p>
    <w:p w:rsidR="00736982" w:rsidRDefault="00D02EF6" w:rsidP="00D02EF6">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7</w:t>
      </w:r>
      <w:r w:rsidR="00F47AA2">
        <w:rPr>
          <w:rFonts w:ascii="Times New Roman" w:hAnsi="Times New Roman" w:cs="Times New Roman"/>
          <w:sz w:val="24"/>
          <w:szCs w:val="24"/>
          <w:lang w:val="sr-Cyrl-CS"/>
        </w:rPr>
        <w:t>0</w:t>
      </w:r>
      <w:r w:rsidRPr="00827818">
        <w:rPr>
          <w:rFonts w:ascii="Times New Roman" w:hAnsi="Times New Roman" w:cs="Times New Roman"/>
          <w:sz w:val="24"/>
          <w:szCs w:val="24"/>
          <w:lang w:val="sr-Cyrl-CS"/>
        </w:rPr>
        <w:t xml:space="preserve">. </w:t>
      </w:r>
      <w:r w:rsidR="00C24FE7" w:rsidRPr="00827818">
        <w:rPr>
          <w:rFonts w:ascii="Times New Roman" w:hAnsi="Times New Roman" w:cs="Times New Roman"/>
          <w:sz w:val="24"/>
          <w:szCs w:val="24"/>
          <w:lang w:val="sr-Cyrl-CS"/>
        </w:rPr>
        <w:t>У А</w:t>
      </w:r>
      <w:r w:rsidR="006F1744" w:rsidRPr="00827818">
        <w:rPr>
          <w:rFonts w:ascii="Times New Roman" w:hAnsi="Times New Roman" w:cs="Times New Roman"/>
          <w:sz w:val="24"/>
          <w:szCs w:val="24"/>
          <w:lang w:val="sr-Cyrl-CS"/>
        </w:rPr>
        <w:t>нексу 2</w:t>
      </w:r>
      <w:r w:rsidR="00015BFD" w:rsidRPr="00827818">
        <w:rPr>
          <w:rFonts w:ascii="Times New Roman" w:hAnsi="Times New Roman" w:cs="Times New Roman"/>
          <w:sz w:val="24"/>
          <w:szCs w:val="24"/>
          <w:lang w:val="sr-Cyrl-CS"/>
        </w:rPr>
        <w:t xml:space="preserve"> „</w:t>
      </w:r>
      <w:r w:rsidR="006F1744" w:rsidRPr="00827818">
        <w:rPr>
          <w:rFonts w:ascii="Times New Roman" w:hAnsi="Times New Roman" w:cs="Times New Roman"/>
          <w:sz w:val="24"/>
          <w:szCs w:val="24"/>
          <w:lang w:val="sr-Cyrl-CS"/>
        </w:rPr>
        <w:t xml:space="preserve">Преглед финансијских средстава потребних за реализацију Програма, </w:t>
      </w:r>
      <w:r w:rsidR="0090211B" w:rsidRPr="00827818">
        <w:rPr>
          <w:rFonts w:ascii="Times New Roman" w:hAnsi="Times New Roman" w:cs="Times New Roman"/>
          <w:sz w:val="24"/>
          <w:szCs w:val="24"/>
          <w:lang w:val="sr-Cyrl-CS"/>
        </w:rPr>
        <w:t>у динарима</w:t>
      </w:r>
      <w:r w:rsidR="00E65243" w:rsidRPr="00827818">
        <w:rPr>
          <w:rFonts w:ascii="Times New Roman" w:hAnsi="Times New Roman" w:cs="Times New Roman"/>
          <w:sz w:val="24"/>
          <w:szCs w:val="24"/>
          <w:lang w:val="sr-Cyrl-CS"/>
        </w:rPr>
        <w:t>ˮ</w:t>
      </w:r>
      <w:r w:rsidR="00A07BD5" w:rsidRPr="00827818">
        <w:rPr>
          <w:rFonts w:ascii="Times New Roman" w:hAnsi="Times New Roman" w:cs="Times New Roman"/>
          <w:sz w:val="24"/>
          <w:szCs w:val="24"/>
          <w:lang w:val="sr-Cyrl-CS"/>
        </w:rPr>
        <w:t xml:space="preserve">, </w:t>
      </w:r>
      <w:r w:rsidR="00C24FE7" w:rsidRPr="00827818">
        <w:rPr>
          <w:rFonts w:ascii="Times New Roman" w:hAnsi="Times New Roman" w:cs="Times New Roman"/>
          <w:bCs/>
          <w:sz w:val="24"/>
          <w:szCs w:val="24"/>
          <w:lang w:val="sr-Cyrl-CS"/>
        </w:rPr>
        <w:t>који је одштампан уз Програм реформе управљања јавним финансијама за период 2021 - 2025. године и чини његов саставни део</w:t>
      </w:r>
      <w:r w:rsidR="006B6D22" w:rsidRPr="00827818">
        <w:rPr>
          <w:rFonts w:ascii="Times New Roman" w:hAnsi="Times New Roman" w:cs="Times New Roman"/>
          <w:bCs/>
          <w:sz w:val="24"/>
          <w:szCs w:val="24"/>
          <w:lang w:val="sr-Cyrl-CS"/>
        </w:rPr>
        <w:t>,</w:t>
      </w:r>
      <w:r w:rsidR="00C24FE7" w:rsidRPr="00827818">
        <w:rPr>
          <w:rFonts w:ascii="Times New Roman" w:hAnsi="Times New Roman" w:cs="Times New Roman"/>
          <w:sz w:val="24"/>
          <w:szCs w:val="24"/>
          <w:lang w:val="sr-Cyrl-CS"/>
        </w:rPr>
        <w:t xml:space="preserve"> </w:t>
      </w:r>
      <w:r w:rsidR="00A07BD5" w:rsidRPr="00827818">
        <w:rPr>
          <w:rFonts w:ascii="Times New Roman" w:hAnsi="Times New Roman" w:cs="Times New Roman"/>
          <w:sz w:val="24"/>
          <w:szCs w:val="24"/>
          <w:lang w:val="sr-Cyrl-CS"/>
        </w:rPr>
        <w:t>табела</w:t>
      </w:r>
      <w:r w:rsidR="006B6D22" w:rsidRPr="00827818">
        <w:rPr>
          <w:rFonts w:ascii="Times New Roman" w:hAnsi="Times New Roman" w:cs="Times New Roman"/>
          <w:sz w:val="24"/>
          <w:szCs w:val="24"/>
          <w:lang w:val="sr-Cyrl-CS"/>
        </w:rPr>
        <w:t xml:space="preserve"> се мења</w:t>
      </w:r>
      <w:r w:rsidR="00A07BD5" w:rsidRPr="00827818">
        <w:rPr>
          <w:rFonts w:ascii="Times New Roman" w:hAnsi="Times New Roman" w:cs="Times New Roman"/>
          <w:sz w:val="24"/>
          <w:szCs w:val="24"/>
          <w:lang w:val="sr-Cyrl-CS"/>
        </w:rPr>
        <w:t xml:space="preserve"> </w:t>
      </w:r>
      <w:r w:rsidR="006B6D22" w:rsidRPr="00827818">
        <w:rPr>
          <w:rFonts w:ascii="Times New Roman" w:hAnsi="Times New Roman" w:cs="Times New Roman"/>
          <w:sz w:val="24"/>
          <w:szCs w:val="24"/>
          <w:lang w:val="sr-Cyrl-CS"/>
        </w:rPr>
        <w:t>и</w:t>
      </w:r>
      <w:r w:rsidR="006F1744" w:rsidRPr="00827818">
        <w:rPr>
          <w:rFonts w:ascii="Times New Roman" w:hAnsi="Times New Roman" w:cs="Times New Roman"/>
          <w:sz w:val="24"/>
          <w:szCs w:val="24"/>
          <w:lang w:val="sr-Cyrl-CS"/>
        </w:rPr>
        <w:t xml:space="preserve"> гласи:</w:t>
      </w:r>
    </w:p>
    <w:p w:rsidR="006F1744" w:rsidRPr="00827818" w:rsidRDefault="007A1C38" w:rsidP="00736982">
      <w:pPr>
        <w:spacing w:after="0" w:line="240" w:lineRule="auto"/>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w:t>
      </w:r>
    </w:p>
    <w:p w:rsidR="00A26FC0" w:rsidRPr="00827818" w:rsidRDefault="00A26FC0" w:rsidP="00CD363C">
      <w:pPr>
        <w:spacing w:after="0" w:line="240" w:lineRule="auto"/>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Табела процене трошкова за реализацију мера у Акционом плану ПРУЈФ</w:t>
      </w:r>
    </w:p>
    <w:tbl>
      <w:tblPr>
        <w:tblW w:w="5131" w:type="pct"/>
        <w:tblLayout w:type="fixed"/>
        <w:tblLook w:val="04A0" w:firstRow="1" w:lastRow="0" w:firstColumn="1" w:lastColumn="0" w:noHBand="0" w:noVBand="1"/>
      </w:tblPr>
      <w:tblGrid>
        <w:gridCol w:w="1919"/>
        <w:gridCol w:w="1919"/>
        <w:gridCol w:w="1919"/>
        <w:gridCol w:w="1919"/>
        <w:gridCol w:w="1919"/>
      </w:tblGrid>
      <w:tr w:rsidR="00BF027B" w:rsidRPr="00827818" w:rsidTr="00541246">
        <w:trPr>
          <w:trHeight w:val="885"/>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27B" w:rsidRPr="00736982" w:rsidRDefault="00BF027B" w:rsidP="00541246">
            <w:pPr>
              <w:spacing w:after="0"/>
              <w:jc w:val="center"/>
              <w:rPr>
                <w:rFonts w:ascii="Times New Roman" w:eastAsia="Times New Roman" w:hAnsi="Times New Roman" w:cs="Times New Roman"/>
                <w:b/>
                <w:color w:val="000000"/>
                <w:sz w:val="20"/>
                <w:szCs w:val="20"/>
                <w:lang w:val="sr-Cyrl-CS" w:eastAsia="en-GB"/>
              </w:rPr>
            </w:pPr>
            <w:r w:rsidRPr="00736982">
              <w:rPr>
                <w:rFonts w:ascii="Times New Roman" w:eastAsia="Times New Roman" w:hAnsi="Times New Roman" w:cs="Times New Roman"/>
                <w:b/>
                <w:color w:val="000000"/>
                <w:sz w:val="20"/>
                <w:szCs w:val="20"/>
                <w:lang w:val="sr-Cyrl-CS" w:eastAsia="en-GB"/>
              </w:rPr>
              <w:t>Посебни циљеви и мере</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27B" w:rsidRPr="00736982" w:rsidRDefault="00BF027B" w:rsidP="00541246">
            <w:pPr>
              <w:spacing w:after="0"/>
              <w:jc w:val="center"/>
              <w:rPr>
                <w:rFonts w:ascii="Times New Roman" w:eastAsia="Times New Roman" w:hAnsi="Times New Roman" w:cs="Times New Roman"/>
                <w:b/>
                <w:bCs/>
                <w:color w:val="000000"/>
                <w:sz w:val="20"/>
                <w:szCs w:val="20"/>
                <w:lang w:val="sr-Cyrl-CS" w:eastAsia="en-GB"/>
              </w:rPr>
            </w:pPr>
            <w:r w:rsidRPr="00736982">
              <w:rPr>
                <w:rFonts w:ascii="Times New Roman" w:eastAsia="Times New Roman" w:hAnsi="Times New Roman" w:cs="Times New Roman"/>
                <w:b/>
                <w:bCs/>
                <w:color w:val="000000"/>
                <w:sz w:val="20"/>
                <w:szCs w:val="20"/>
                <w:lang w:val="sr-Cyrl-CS" w:eastAsia="en-GB"/>
              </w:rPr>
              <w:t>Буџетска средства</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027B" w:rsidRPr="00736982" w:rsidRDefault="00BF027B" w:rsidP="00541246">
            <w:pPr>
              <w:spacing w:after="0"/>
              <w:jc w:val="center"/>
              <w:rPr>
                <w:rFonts w:ascii="Times New Roman" w:eastAsia="Times New Roman" w:hAnsi="Times New Roman" w:cs="Times New Roman"/>
                <w:b/>
                <w:bCs/>
                <w:color w:val="000000"/>
                <w:sz w:val="20"/>
                <w:szCs w:val="20"/>
                <w:lang w:val="sr-Cyrl-CS" w:eastAsia="en-GB"/>
              </w:rPr>
            </w:pPr>
            <w:r w:rsidRPr="00736982">
              <w:rPr>
                <w:rFonts w:ascii="Times New Roman" w:eastAsia="Times New Roman" w:hAnsi="Times New Roman" w:cs="Times New Roman"/>
                <w:b/>
                <w:bCs/>
                <w:color w:val="000000"/>
                <w:sz w:val="20"/>
                <w:szCs w:val="20"/>
                <w:lang w:val="sr-Cyrl-CS" w:eastAsia="en-GB"/>
              </w:rPr>
              <w:t>Средства развојне помоћи (донације и кредити)</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27B" w:rsidRPr="00736982" w:rsidRDefault="00BF027B" w:rsidP="00541246">
            <w:pPr>
              <w:spacing w:after="0"/>
              <w:jc w:val="center"/>
              <w:rPr>
                <w:rFonts w:ascii="Times New Roman" w:eastAsia="Times New Roman" w:hAnsi="Times New Roman" w:cs="Times New Roman"/>
                <w:b/>
                <w:bCs/>
                <w:color w:val="000000"/>
                <w:sz w:val="20"/>
                <w:szCs w:val="20"/>
                <w:lang w:val="sr-Cyrl-CS" w:eastAsia="en-GB"/>
              </w:rPr>
            </w:pPr>
            <w:r w:rsidRPr="00736982">
              <w:rPr>
                <w:rFonts w:ascii="Times New Roman" w:eastAsia="Times New Roman" w:hAnsi="Times New Roman" w:cs="Times New Roman"/>
                <w:b/>
                <w:bCs/>
                <w:color w:val="000000"/>
                <w:sz w:val="20"/>
                <w:szCs w:val="20"/>
                <w:lang w:val="sr-Cyrl-CS" w:eastAsia="en-GB"/>
              </w:rPr>
              <w:t>Недостајућа средства</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027B" w:rsidRPr="00736982" w:rsidRDefault="00BF027B" w:rsidP="00541246">
            <w:pPr>
              <w:spacing w:after="0"/>
              <w:jc w:val="center"/>
              <w:rPr>
                <w:rFonts w:ascii="Times New Roman" w:eastAsia="Times New Roman" w:hAnsi="Times New Roman" w:cs="Times New Roman"/>
                <w:b/>
                <w:bCs/>
                <w:color w:val="000000"/>
                <w:sz w:val="20"/>
                <w:szCs w:val="20"/>
                <w:lang w:val="sr-Cyrl-CS" w:eastAsia="en-GB"/>
              </w:rPr>
            </w:pPr>
            <w:r w:rsidRPr="00736982">
              <w:rPr>
                <w:rFonts w:ascii="Times New Roman" w:eastAsia="Times New Roman" w:hAnsi="Times New Roman" w:cs="Times New Roman"/>
                <w:b/>
                <w:bCs/>
                <w:color w:val="000000"/>
                <w:sz w:val="20"/>
                <w:szCs w:val="20"/>
                <w:lang w:val="sr-Cyrl-CS" w:eastAsia="en-GB"/>
              </w:rPr>
              <w:t>УКУПНО</w:t>
            </w:r>
          </w:p>
        </w:tc>
      </w:tr>
      <w:tr w:rsidR="00BF027B" w:rsidRPr="00827818" w:rsidTr="00541246">
        <w:trPr>
          <w:trHeight w:val="368"/>
        </w:trPr>
        <w:tc>
          <w:tcPr>
            <w:tcW w:w="1000" w:type="pct"/>
            <w:tcBorders>
              <w:top w:val="nil"/>
              <w:left w:val="single" w:sz="4" w:space="0" w:color="auto"/>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Посебни циљ 1.</w:t>
            </w:r>
          </w:p>
        </w:tc>
        <w:tc>
          <w:tcPr>
            <w:tcW w:w="1000" w:type="pct"/>
            <w:tcBorders>
              <w:top w:val="nil"/>
              <w:left w:val="nil"/>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347.250.000</w:t>
            </w:r>
          </w:p>
        </w:tc>
        <w:tc>
          <w:tcPr>
            <w:tcW w:w="1000" w:type="pct"/>
            <w:tcBorders>
              <w:top w:val="single" w:sz="4" w:space="0" w:color="auto"/>
              <w:left w:val="nil"/>
              <w:bottom w:val="single" w:sz="4" w:space="0" w:color="auto"/>
              <w:right w:val="nil"/>
            </w:tcBorders>
            <w:shd w:val="clear" w:color="auto" w:fill="2F5496" w:themeFill="accent1" w:themeFillShade="BF"/>
            <w:noWrap/>
            <w:vAlign w:val="bottom"/>
            <w:hideMark/>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102.420.000</w:t>
            </w:r>
          </w:p>
        </w:tc>
        <w:tc>
          <w:tcPr>
            <w:tcW w:w="1000" w:type="pct"/>
            <w:tcBorders>
              <w:top w:val="nil"/>
              <w:left w:val="single" w:sz="8" w:space="0" w:color="auto"/>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2.580.000</w:t>
            </w:r>
          </w:p>
        </w:tc>
        <w:tc>
          <w:tcPr>
            <w:tcW w:w="1000" w:type="pct"/>
            <w:tcBorders>
              <w:top w:val="nil"/>
              <w:left w:val="nil"/>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452.250.000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1.1</w:t>
            </w:r>
          </w:p>
        </w:tc>
        <w:tc>
          <w:tcPr>
            <w:tcW w:w="1000" w:type="pct"/>
            <w:tcBorders>
              <w:top w:val="nil"/>
              <w:left w:val="nil"/>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1.050.000</w:t>
            </w:r>
          </w:p>
        </w:tc>
        <w:tc>
          <w:tcPr>
            <w:tcW w:w="1000" w:type="pct"/>
            <w:tcBorders>
              <w:top w:val="single" w:sz="4" w:space="0" w:color="auto"/>
              <w:left w:val="nil"/>
              <w:bottom w:val="single" w:sz="4" w:space="0" w:color="auto"/>
              <w:right w:val="nil"/>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bCs/>
                <w:color w:val="000000"/>
                <w:sz w:val="20"/>
                <w:szCs w:val="20"/>
                <w:lang w:val="sr-Cyrl-CS" w:eastAsia="en-GB"/>
              </w:rPr>
              <w:t>1.560.000</w:t>
            </w:r>
          </w:p>
        </w:tc>
        <w:tc>
          <w:tcPr>
            <w:tcW w:w="1000" w:type="pct"/>
            <w:tcBorders>
              <w:top w:val="nil"/>
              <w:left w:val="single" w:sz="8"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nil"/>
              <w:left w:val="nil"/>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2.610.000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1.2</w:t>
            </w:r>
          </w:p>
        </w:tc>
        <w:tc>
          <w:tcPr>
            <w:tcW w:w="1000" w:type="pct"/>
            <w:tcBorders>
              <w:top w:val="nil"/>
              <w:left w:val="nil"/>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nil"/>
              <w:bottom w:val="single" w:sz="4" w:space="0" w:color="auto"/>
              <w:right w:val="nil"/>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2.760.000</w:t>
            </w:r>
          </w:p>
        </w:tc>
        <w:tc>
          <w:tcPr>
            <w:tcW w:w="1000" w:type="pct"/>
            <w:tcBorders>
              <w:top w:val="nil"/>
              <w:left w:val="single" w:sz="8"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720.000</w:t>
            </w:r>
          </w:p>
        </w:tc>
        <w:tc>
          <w:tcPr>
            <w:tcW w:w="1000" w:type="pct"/>
            <w:tcBorders>
              <w:top w:val="nil"/>
              <w:left w:val="nil"/>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3.480.000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1.3</w:t>
            </w:r>
          </w:p>
        </w:tc>
        <w:tc>
          <w:tcPr>
            <w:tcW w:w="1000" w:type="pct"/>
            <w:tcBorders>
              <w:top w:val="nil"/>
              <w:left w:val="nil"/>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nil"/>
              <w:bottom w:val="single" w:sz="4" w:space="0" w:color="auto"/>
              <w:right w:val="nil"/>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nil"/>
              <w:left w:val="single" w:sz="8"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nil"/>
              <w:left w:val="nil"/>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lastRenderedPageBreak/>
              <w:t>Мера 1.4</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334.200.000</w:t>
            </w:r>
          </w:p>
        </w:tc>
        <w:tc>
          <w:tcPr>
            <w:tcW w:w="1000" w:type="pct"/>
            <w:tcBorders>
              <w:top w:val="single" w:sz="4" w:space="0" w:color="auto"/>
              <w:left w:val="nil"/>
              <w:bottom w:val="single" w:sz="4" w:space="0" w:color="auto"/>
              <w:right w:val="nil"/>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2.500.000</w:t>
            </w:r>
          </w:p>
        </w:tc>
        <w:tc>
          <w:tcPr>
            <w:tcW w:w="1000" w:type="pct"/>
            <w:tcBorders>
              <w:top w:val="nil"/>
              <w:left w:val="single" w:sz="8"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1.860.000</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338.560.000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1.5</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12.000.000</w:t>
            </w:r>
          </w:p>
        </w:tc>
        <w:tc>
          <w:tcPr>
            <w:tcW w:w="1000" w:type="pct"/>
            <w:tcBorders>
              <w:top w:val="single" w:sz="4" w:space="0" w:color="auto"/>
              <w:left w:val="nil"/>
              <w:bottom w:val="single" w:sz="4" w:space="0" w:color="auto"/>
              <w:right w:val="nil"/>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95.600.000</w:t>
            </w:r>
          </w:p>
        </w:tc>
        <w:tc>
          <w:tcPr>
            <w:tcW w:w="1000" w:type="pct"/>
            <w:tcBorders>
              <w:top w:val="nil"/>
              <w:left w:val="single" w:sz="8"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107.600.000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Посебни циљ 2.</w:t>
            </w:r>
          </w:p>
        </w:tc>
        <w:tc>
          <w:tcPr>
            <w:tcW w:w="1000" w:type="pct"/>
            <w:tcBorders>
              <w:top w:val="nil"/>
              <w:left w:val="nil"/>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1.267.564.000</w:t>
            </w:r>
          </w:p>
        </w:tc>
        <w:tc>
          <w:tcPr>
            <w:tcW w:w="1000" w:type="pct"/>
            <w:tcBorders>
              <w:top w:val="single" w:sz="4" w:space="0" w:color="auto"/>
              <w:left w:val="nil"/>
              <w:bottom w:val="single" w:sz="4" w:space="0" w:color="auto"/>
              <w:right w:val="nil"/>
            </w:tcBorders>
            <w:shd w:val="clear" w:color="auto" w:fill="2F5496" w:themeFill="accent1" w:themeFillShade="BF"/>
            <w:noWrap/>
            <w:vAlign w:val="bottom"/>
            <w:hideMark/>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5.168.858.000</w:t>
            </w:r>
          </w:p>
        </w:tc>
        <w:tc>
          <w:tcPr>
            <w:tcW w:w="1000" w:type="pct"/>
            <w:tcBorders>
              <w:top w:val="nil"/>
              <w:left w:val="single" w:sz="8" w:space="0" w:color="auto"/>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1.380.595.000</w:t>
            </w:r>
          </w:p>
        </w:tc>
        <w:tc>
          <w:tcPr>
            <w:tcW w:w="1000" w:type="pct"/>
            <w:tcBorders>
              <w:top w:val="nil"/>
              <w:left w:val="nil"/>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7.817.017.000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2.1</w:t>
            </w:r>
          </w:p>
        </w:tc>
        <w:tc>
          <w:tcPr>
            <w:tcW w:w="1000" w:type="pct"/>
            <w:tcBorders>
              <w:top w:val="nil"/>
              <w:left w:val="nil"/>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1.153.152.000</w:t>
            </w:r>
          </w:p>
        </w:tc>
        <w:tc>
          <w:tcPr>
            <w:tcW w:w="1000" w:type="pct"/>
            <w:tcBorders>
              <w:top w:val="single" w:sz="4" w:space="0" w:color="auto"/>
              <w:left w:val="nil"/>
              <w:bottom w:val="single" w:sz="4" w:space="0" w:color="auto"/>
              <w:right w:val="nil"/>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4.041.318.000</w:t>
            </w:r>
          </w:p>
        </w:tc>
        <w:tc>
          <w:tcPr>
            <w:tcW w:w="1000" w:type="pct"/>
            <w:tcBorders>
              <w:top w:val="nil"/>
              <w:left w:val="single" w:sz="8"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502.428.000</w:t>
            </w:r>
          </w:p>
        </w:tc>
        <w:tc>
          <w:tcPr>
            <w:tcW w:w="1000" w:type="pct"/>
            <w:tcBorders>
              <w:top w:val="nil"/>
              <w:left w:val="nil"/>
              <w:bottom w:val="single" w:sz="4" w:space="0" w:color="auto"/>
              <w:right w:val="single" w:sz="4" w:space="0" w:color="auto"/>
            </w:tcBorders>
            <w:shd w:val="clear" w:color="auto" w:fill="auto"/>
            <w:noWrap/>
            <w:vAlign w:val="bottom"/>
            <w:hideMark/>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5.696.898.000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2.2</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15.496.000</w:t>
            </w:r>
          </w:p>
        </w:tc>
        <w:tc>
          <w:tcPr>
            <w:tcW w:w="1000" w:type="pct"/>
            <w:tcBorders>
              <w:top w:val="single" w:sz="4" w:space="0" w:color="auto"/>
              <w:left w:val="nil"/>
              <w:bottom w:val="single" w:sz="4" w:space="0" w:color="auto"/>
              <w:right w:val="nil"/>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nil"/>
              <w:left w:val="single" w:sz="8"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15.560.000</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31.056.000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2.3</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87.300.000</w:t>
            </w:r>
          </w:p>
        </w:tc>
        <w:tc>
          <w:tcPr>
            <w:tcW w:w="1000" w:type="pct"/>
            <w:tcBorders>
              <w:top w:val="single" w:sz="4" w:space="0" w:color="auto"/>
              <w:left w:val="nil"/>
              <w:bottom w:val="single" w:sz="4" w:space="0" w:color="auto"/>
              <w:right w:val="nil"/>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1.053.600.000</w:t>
            </w:r>
          </w:p>
        </w:tc>
        <w:tc>
          <w:tcPr>
            <w:tcW w:w="1000" w:type="pct"/>
            <w:tcBorders>
              <w:top w:val="nil"/>
              <w:left w:val="single" w:sz="8"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798.807.000</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1.939.707.000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2.4</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nil"/>
              <w:bottom w:val="single" w:sz="4" w:space="0" w:color="auto"/>
              <w:right w:val="nil"/>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38.900.000</w:t>
            </w:r>
          </w:p>
        </w:tc>
        <w:tc>
          <w:tcPr>
            <w:tcW w:w="1000" w:type="pct"/>
            <w:tcBorders>
              <w:top w:val="nil"/>
              <w:left w:val="single" w:sz="8"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63.000.000</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101.900.000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2.5</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11.616.000</w:t>
            </w:r>
          </w:p>
        </w:tc>
        <w:tc>
          <w:tcPr>
            <w:tcW w:w="1000" w:type="pct"/>
            <w:tcBorders>
              <w:top w:val="single" w:sz="4" w:space="0" w:color="auto"/>
              <w:left w:val="nil"/>
              <w:bottom w:val="single" w:sz="4" w:space="0" w:color="auto"/>
              <w:right w:val="nil"/>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35.040.000</w:t>
            </w:r>
          </w:p>
        </w:tc>
        <w:tc>
          <w:tcPr>
            <w:tcW w:w="1000" w:type="pct"/>
            <w:tcBorders>
              <w:top w:val="nil"/>
              <w:left w:val="single" w:sz="8"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800.000</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47.456.000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Посебни циљ 3.</w:t>
            </w:r>
          </w:p>
        </w:tc>
        <w:tc>
          <w:tcPr>
            <w:tcW w:w="1000" w:type="pct"/>
            <w:tcBorders>
              <w:top w:val="nil"/>
              <w:left w:val="nil"/>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220.923.900</w:t>
            </w:r>
          </w:p>
        </w:tc>
        <w:tc>
          <w:tcPr>
            <w:tcW w:w="1000" w:type="pct"/>
            <w:tcBorders>
              <w:top w:val="single" w:sz="4" w:space="0" w:color="auto"/>
              <w:left w:val="nil"/>
              <w:bottom w:val="single" w:sz="4" w:space="0" w:color="auto"/>
              <w:right w:val="nil"/>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30.507.800</w:t>
            </w:r>
          </w:p>
        </w:tc>
        <w:tc>
          <w:tcPr>
            <w:tcW w:w="1000" w:type="pct"/>
            <w:tcBorders>
              <w:top w:val="nil"/>
              <w:left w:val="single" w:sz="8"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38.028.500</w:t>
            </w:r>
          </w:p>
        </w:tc>
        <w:tc>
          <w:tcPr>
            <w:tcW w:w="1000" w:type="pct"/>
            <w:tcBorders>
              <w:top w:val="nil"/>
              <w:left w:val="nil"/>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289.460.200</w:t>
            </w:r>
          </w:p>
        </w:tc>
      </w:tr>
      <w:tr w:rsidR="00BF027B" w:rsidRPr="00827818" w:rsidTr="00541246">
        <w:trPr>
          <w:trHeight w:val="288"/>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Mера 3.1</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3013E8"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nil"/>
              <w:bottom w:val="single" w:sz="4" w:space="0" w:color="auto"/>
              <w:right w:val="nil"/>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29.375.000</w:t>
            </w:r>
          </w:p>
        </w:tc>
        <w:tc>
          <w:tcPr>
            <w:tcW w:w="1000" w:type="pct"/>
            <w:tcBorders>
              <w:top w:val="nil"/>
              <w:left w:val="single" w:sz="8"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nil"/>
              <w:left w:val="nil"/>
              <w:bottom w:val="single" w:sz="4" w:space="0" w:color="auto"/>
              <w:right w:val="single" w:sz="4" w:space="0" w:color="auto"/>
            </w:tcBorders>
            <w:shd w:val="clear" w:color="auto" w:fill="auto"/>
            <w:noWrap/>
            <w:vAlign w:val="bottom"/>
          </w:tcPr>
          <w:p w:rsidR="00BF027B" w:rsidRPr="00736982" w:rsidRDefault="003013E8"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29</w:t>
            </w:r>
            <w:r w:rsidR="00BF027B" w:rsidRPr="00736982">
              <w:rPr>
                <w:rFonts w:ascii="Times New Roman" w:eastAsia="Times New Roman" w:hAnsi="Times New Roman" w:cs="Times New Roman"/>
                <w:color w:val="000000"/>
                <w:sz w:val="20"/>
                <w:szCs w:val="20"/>
                <w:lang w:val="sr-Cyrl-CS" w:eastAsia="en-GB"/>
              </w:rPr>
              <w:t>.375.000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3.2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4.716.000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31.204.000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35.920.000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3.3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207.207.900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1.132.800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6.824.500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215.165.200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Посебни циљ 4.</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493.416.000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73.290.800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119.052.000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685.758.800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4.1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34.424.000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36.012.000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70.436.000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4.2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487.560.000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13.166.800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27.840.000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528.566.800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4.3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5.856.000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5.900.000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11.756.000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4.4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19.800.000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55.200.000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75.000.000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Посебни циљ 5</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60.300.000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450.000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58.000.000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themeColor="background1"/>
                <w:sz w:val="20"/>
                <w:szCs w:val="20"/>
                <w:lang w:val="sr-Cyrl-CS" w:eastAsia="en-GB"/>
              </w:rPr>
            </w:pPr>
            <w:r w:rsidRPr="00736982">
              <w:rPr>
                <w:rFonts w:ascii="Times New Roman" w:eastAsia="Times New Roman" w:hAnsi="Times New Roman" w:cs="Times New Roman"/>
                <w:b/>
                <w:bCs/>
                <w:color w:val="FFFFFF" w:themeColor="background1"/>
                <w:sz w:val="20"/>
                <w:szCs w:val="20"/>
                <w:lang w:val="sr-Cyrl-CS" w:eastAsia="en-GB"/>
              </w:rPr>
              <w:t>118.750.000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5.1.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37.800.000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450.000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20.000.000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58.250.000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5.2.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17.500.000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38.000.000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55.500.000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5.3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5.000.000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5.000.000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BF027B" w:rsidRPr="00736982" w:rsidRDefault="00BF027B" w:rsidP="00541246">
            <w:pPr>
              <w:spacing w:after="0"/>
              <w:rPr>
                <w:rFonts w:ascii="Times New Roman" w:eastAsia="Times New Roman" w:hAnsi="Times New Roman" w:cs="Times New Roman"/>
                <w:b/>
                <w:bCs/>
                <w:color w:val="FFFFFF"/>
                <w:sz w:val="20"/>
                <w:szCs w:val="20"/>
                <w:lang w:val="sr-Cyrl-CS" w:eastAsia="en-GB"/>
              </w:rPr>
            </w:pPr>
            <w:r w:rsidRPr="00736982">
              <w:rPr>
                <w:rFonts w:ascii="Times New Roman" w:eastAsia="Times New Roman" w:hAnsi="Times New Roman" w:cs="Times New Roman"/>
                <w:b/>
                <w:bCs/>
                <w:color w:val="FFFFFF"/>
                <w:sz w:val="20"/>
                <w:szCs w:val="20"/>
                <w:lang w:val="sr-Cyrl-CS" w:eastAsia="en-GB"/>
              </w:rPr>
              <w:t>Посебни циљ 6</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sz w:val="20"/>
                <w:szCs w:val="20"/>
                <w:lang w:val="sr-Cyrl-CS" w:eastAsia="en-GB"/>
              </w:rPr>
            </w:pPr>
            <w:r w:rsidRPr="00736982">
              <w:rPr>
                <w:rFonts w:ascii="Times New Roman" w:eastAsia="Times New Roman" w:hAnsi="Times New Roman" w:cs="Times New Roman"/>
                <w:b/>
                <w:bCs/>
                <w:color w:val="FFFFFF"/>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sz w:val="20"/>
                <w:szCs w:val="20"/>
                <w:lang w:val="sr-Cyrl-CS" w:eastAsia="en-GB"/>
              </w:rPr>
            </w:pPr>
            <w:r w:rsidRPr="00736982">
              <w:rPr>
                <w:rFonts w:ascii="Times New Roman" w:eastAsia="Times New Roman" w:hAnsi="Times New Roman" w:cs="Times New Roman"/>
                <w:b/>
                <w:bCs/>
                <w:color w:val="FFFFFF"/>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sz w:val="20"/>
                <w:szCs w:val="20"/>
                <w:lang w:val="sr-Cyrl-CS" w:eastAsia="en-GB"/>
              </w:rPr>
            </w:pPr>
            <w:r w:rsidRPr="00736982">
              <w:rPr>
                <w:rFonts w:ascii="Times New Roman" w:eastAsia="Times New Roman" w:hAnsi="Times New Roman" w:cs="Times New Roman"/>
                <w:b/>
                <w:bCs/>
                <w:color w:val="FFFFFF"/>
                <w:sz w:val="20"/>
                <w:szCs w:val="20"/>
                <w:lang w:val="sr-Cyrl-CS" w:eastAsia="en-GB"/>
              </w:rPr>
              <w:t>11.250.000</w:t>
            </w:r>
          </w:p>
        </w:tc>
        <w:tc>
          <w:tcPr>
            <w:tcW w:w="1000"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rsidR="00BF027B" w:rsidRPr="00736982" w:rsidRDefault="00BF027B" w:rsidP="00541246">
            <w:pPr>
              <w:spacing w:after="0"/>
              <w:jc w:val="right"/>
              <w:rPr>
                <w:rFonts w:ascii="Times New Roman" w:eastAsia="Times New Roman" w:hAnsi="Times New Roman" w:cs="Times New Roman"/>
                <w:b/>
                <w:bCs/>
                <w:color w:val="FFFFFF"/>
                <w:sz w:val="20"/>
                <w:szCs w:val="20"/>
                <w:lang w:val="sr-Cyrl-CS" w:eastAsia="en-GB"/>
              </w:rPr>
            </w:pPr>
            <w:r w:rsidRPr="00736982">
              <w:rPr>
                <w:rFonts w:ascii="Times New Roman" w:eastAsia="Times New Roman" w:hAnsi="Times New Roman" w:cs="Times New Roman"/>
                <w:b/>
                <w:bCs/>
                <w:color w:val="FFFFFF"/>
                <w:sz w:val="20"/>
                <w:szCs w:val="20"/>
                <w:lang w:val="sr-Cyrl-CS" w:eastAsia="en-GB"/>
              </w:rPr>
              <w:t>11.250.000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6.1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27B" w:rsidRPr="00736982" w:rsidRDefault="00BF027B" w:rsidP="00541246">
            <w:pPr>
              <w:spacing w:after="0"/>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Мера 6.2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11.250.000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027B" w:rsidRPr="00736982" w:rsidRDefault="00BF027B" w:rsidP="00541246">
            <w:pPr>
              <w:spacing w:after="0"/>
              <w:jc w:val="right"/>
              <w:rPr>
                <w:rFonts w:ascii="Times New Roman" w:eastAsia="Times New Roman" w:hAnsi="Times New Roman" w:cs="Times New Roman"/>
                <w:color w:val="000000"/>
                <w:sz w:val="20"/>
                <w:szCs w:val="20"/>
                <w:lang w:val="sr-Cyrl-CS" w:eastAsia="en-GB"/>
              </w:rPr>
            </w:pPr>
            <w:r w:rsidRPr="00736982">
              <w:rPr>
                <w:rFonts w:ascii="Times New Roman" w:eastAsia="Times New Roman" w:hAnsi="Times New Roman" w:cs="Times New Roman"/>
                <w:color w:val="000000"/>
                <w:sz w:val="20"/>
                <w:szCs w:val="20"/>
                <w:lang w:val="sr-Cyrl-CS" w:eastAsia="en-GB"/>
              </w:rPr>
              <w:t>11.250.000</w:t>
            </w:r>
          </w:p>
        </w:tc>
      </w:tr>
      <w:tr w:rsidR="00BF027B" w:rsidRPr="00827818" w:rsidTr="00541246">
        <w:trPr>
          <w:trHeight w:val="288"/>
        </w:trPr>
        <w:tc>
          <w:tcPr>
            <w:tcW w:w="100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F027B" w:rsidRPr="00736982" w:rsidRDefault="00BF027B" w:rsidP="00541246">
            <w:pPr>
              <w:spacing w:after="0"/>
              <w:rPr>
                <w:rFonts w:ascii="Times New Roman" w:eastAsia="Times New Roman" w:hAnsi="Times New Roman" w:cs="Times New Roman"/>
                <w:b/>
                <w:bCs/>
                <w:color w:val="000000"/>
                <w:sz w:val="20"/>
                <w:szCs w:val="20"/>
                <w:lang w:val="sr-Cyrl-CS" w:eastAsia="en-GB"/>
              </w:rPr>
            </w:pPr>
            <w:r w:rsidRPr="00736982">
              <w:rPr>
                <w:rFonts w:ascii="Times New Roman" w:eastAsia="Times New Roman" w:hAnsi="Times New Roman" w:cs="Times New Roman"/>
                <w:b/>
                <w:bCs/>
                <w:color w:val="000000"/>
                <w:sz w:val="20"/>
                <w:szCs w:val="20"/>
                <w:lang w:val="sr-Cyrl-CS" w:eastAsia="en-GB"/>
              </w:rPr>
              <w:t>УКУПНО</w:t>
            </w:r>
          </w:p>
        </w:tc>
        <w:tc>
          <w:tcPr>
            <w:tcW w:w="1000"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BF027B" w:rsidRPr="00736982" w:rsidRDefault="003013E8" w:rsidP="00541246">
            <w:pPr>
              <w:spacing w:after="0"/>
              <w:jc w:val="right"/>
              <w:rPr>
                <w:rFonts w:ascii="Times New Roman" w:eastAsia="Times New Roman" w:hAnsi="Times New Roman" w:cs="Times New Roman"/>
                <w:b/>
                <w:bCs/>
                <w:color w:val="000000"/>
                <w:sz w:val="20"/>
                <w:szCs w:val="20"/>
                <w:lang w:val="sr-Cyrl-CS" w:eastAsia="en-GB"/>
              </w:rPr>
            </w:pPr>
            <w:r w:rsidRPr="00736982">
              <w:rPr>
                <w:rFonts w:ascii="Times New Roman" w:eastAsia="Times New Roman" w:hAnsi="Times New Roman" w:cs="Times New Roman"/>
                <w:b/>
                <w:bCs/>
                <w:color w:val="000000"/>
                <w:sz w:val="20"/>
                <w:szCs w:val="20"/>
                <w:lang w:val="sr-Cyrl-CS" w:eastAsia="en-GB"/>
              </w:rPr>
              <w:t>2.380</w:t>
            </w:r>
            <w:r w:rsidR="00BF027B" w:rsidRPr="00736982">
              <w:rPr>
                <w:rFonts w:ascii="Times New Roman" w:eastAsia="Times New Roman" w:hAnsi="Times New Roman" w:cs="Times New Roman"/>
                <w:b/>
                <w:bCs/>
                <w:color w:val="000000"/>
                <w:sz w:val="20"/>
                <w:szCs w:val="20"/>
                <w:lang w:val="sr-Cyrl-CS" w:eastAsia="en-GB"/>
              </w:rPr>
              <w:t>.453.900</w:t>
            </w:r>
          </w:p>
        </w:tc>
        <w:tc>
          <w:tcPr>
            <w:tcW w:w="1000"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BF027B" w:rsidRPr="00736982" w:rsidRDefault="00BF027B" w:rsidP="00541246">
            <w:pPr>
              <w:spacing w:after="0"/>
              <w:jc w:val="right"/>
              <w:rPr>
                <w:rFonts w:ascii="Times New Roman" w:eastAsia="Times New Roman" w:hAnsi="Times New Roman" w:cs="Times New Roman"/>
                <w:b/>
                <w:bCs/>
                <w:color w:val="000000"/>
                <w:sz w:val="20"/>
                <w:szCs w:val="20"/>
                <w:highlight w:val="yellow"/>
                <w:lang w:val="sr-Cyrl-CS" w:eastAsia="en-GB"/>
              </w:rPr>
            </w:pPr>
            <w:r w:rsidRPr="00736982">
              <w:rPr>
                <w:rFonts w:ascii="Times New Roman" w:eastAsia="Times New Roman" w:hAnsi="Times New Roman" w:cs="Times New Roman"/>
                <w:b/>
                <w:bCs/>
                <w:color w:val="000000"/>
                <w:sz w:val="20"/>
                <w:szCs w:val="20"/>
                <w:lang w:val="sr-Cyrl-CS" w:eastAsia="en-GB"/>
              </w:rPr>
              <w:t>5.375.526.600</w:t>
            </w:r>
          </w:p>
        </w:tc>
        <w:tc>
          <w:tcPr>
            <w:tcW w:w="1000"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BF027B" w:rsidRPr="00736982" w:rsidRDefault="00BF027B" w:rsidP="00541246">
            <w:pPr>
              <w:spacing w:after="0"/>
              <w:jc w:val="right"/>
              <w:rPr>
                <w:rFonts w:ascii="Times New Roman" w:eastAsia="Times New Roman" w:hAnsi="Times New Roman" w:cs="Times New Roman"/>
                <w:b/>
                <w:bCs/>
                <w:color w:val="000000"/>
                <w:sz w:val="20"/>
                <w:szCs w:val="20"/>
                <w:lang w:val="sr-Cyrl-CS" w:eastAsia="en-GB"/>
              </w:rPr>
            </w:pPr>
            <w:r w:rsidRPr="00736982">
              <w:rPr>
                <w:rFonts w:ascii="Times New Roman" w:eastAsia="Times New Roman" w:hAnsi="Times New Roman" w:cs="Times New Roman"/>
                <w:b/>
                <w:bCs/>
                <w:color w:val="000000"/>
                <w:sz w:val="20"/>
                <w:szCs w:val="20"/>
                <w:lang w:val="sr-Cyrl-CS" w:eastAsia="en-GB"/>
              </w:rPr>
              <w:t>1.609.505.500</w:t>
            </w:r>
          </w:p>
        </w:tc>
        <w:tc>
          <w:tcPr>
            <w:tcW w:w="1000"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BF027B" w:rsidRPr="00736982" w:rsidRDefault="00BF027B" w:rsidP="00541246">
            <w:pPr>
              <w:spacing w:after="0"/>
              <w:jc w:val="right"/>
              <w:rPr>
                <w:rFonts w:ascii="Times New Roman" w:eastAsia="Times New Roman" w:hAnsi="Times New Roman" w:cs="Times New Roman"/>
                <w:b/>
                <w:bCs/>
                <w:color w:val="000000"/>
                <w:sz w:val="20"/>
                <w:szCs w:val="20"/>
                <w:highlight w:val="yellow"/>
                <w:lang w:val="sr-Cyrl-CS" w:eastAsia="en-GB"/>
              </w:rPr>
            </w:pPr>
            <w:r w:rsidRPr="00736982">
              <w:rPr>
                <w:rFonts w:ascii="Times New Roman" w:eastAsia="Times New Roman" w:hAnsi="Times New Roman" w:cs="Times New Roman"/>
                <w:b/>
                <w:bCs/>
                <w:color w:val="000000"/>
                <w:sz w:val="20"/>
                <w:szCs w:val="20"/>
                <w:lang w:val="sr-Cyrl-CS" w:eastAsia="en-GB"/>
              </w:rPr>
              <w:t>9</w:t>
            </w:r>
            <w:r w:rsidR="003013E8" w:rsidRPr="00736982">
              <w:rPr>
                <w:rFonts w:ascii="Times New Roman" w:eastAsia="Times New Roman" w:hAnsi="Times New Roman" w:cs="Times New Roman"/>
                <w:b/>
                <w:bCs/>
                <w:color w:val="000000"/>
                <w:sz w:val="20"/>
                <w:szCs w:val="20"/>
                <w:lang w:val="sr-Cyrl-CS" w:eastAsia="en-GB"/>
              </w:rPr>
              <w:t>.365</w:t>
            </w:r>
            <w:r w:rsidRPr="00736982">
              <w:rPr>
                <w:rFonts w:ascii="Times New Roman" w:eastAsia="Times New Roman" w:hAnsi="Times New Roman" w:cs="Times New Roman"/>
                <w:b/>
                <w:bCs/>
                <w:color w:val="000000"/>
                <w:sz w:val="20"/>
                <w:szCs w:val="20"/>
                <w:lang w:val="sr-Cyrl-CS" w:eastAsia="en-GB"/>
              </w:rPr>
              <w:t>.486.000</w:t>
            </w:r>
          </w:p>
        </w:tc>
      </w:tr>
    </w:tbl>
    <w:p w:rsidR="00D63F75" w:rsidRPr="00827818" w:rsidRDefault="008110CF" w:rsidP="00F47AA2">
      <w:pPr>
        <w:jc w:val="right"/>
        <w:rPr>
          <w:rFonts w:ascii="Times New Roman" w:hAnsi="Times New Roman" w:cs="Times New Roman"/>
          <w:sz w:val="24"/>
          <w:szCs w:val="24"/>
          <w:lang w:val="sr-Cyrl-CS"/>
        </w:rPr>
      </w:pPr>
      <w:r w:rsidRPr="00827818">
        <w:rPr>
          <w:rFonts w:ascii="Times New Roman" w:hAnsi="Times New Roman" w:cs="Times New Roman"/>
          <w:sz w:val="24"/>
          <w:szCs w:val="24"/>
          <w:lang w:val="sr-Cyrl-CS"/>
        </w:rPr>
        <w:t>„</w:t>
      </w:r>
    </w:p>
    <w:p w:rsidR="00F47AA2" w:rsidRDefault="00B40170" w:rsidP="00135D09">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7</w:t>
      </w:r>
      <w:r w:rsidR="00F47AA2">
        <w:rPr>
          <w:rFonts w:ascii="Times New Roman" w:hAnsi="Times New Roman" w:cs="Times New Roman"/>
          <w:sz w:val="24"/>
          <w:szCs w:val="24"/>
          <w:lang w:val="sr-Cyrl-CS"/>
        </w:rPr>
        <w:t>1</w:t>
      </w:r>
      <w:r w:rsidRPr="00827818">
        <w:rPr>
          <w:rFonts w:ascii="Times New Roman" w:hAnsi="Times New Roman" w:cs="Times New Roman"/>
          <w:sz w:val="24"/>
          <w:szCs w:val="24"/>
          <w:lang w:val="sr-Cyrl-CS"/>
        </w:rPr>
        <w:t xml:space="preserve">. </w:t>
      </w:r>
      <w:r w:rsidR="00C24FE7" w:rsidRPr="00827818">
        <w:rPr>
          <w:rFonts w:ascii="Times New Roman" w:hAnsi="Times New Roman" w:cs="Times New Roman"/>
          <w:sz w:val="24"/>
          <w:szCs w:val="24"/>
          <w:lang w:val="sr-Cyrl-CS"/>
        </w:rPr>
        <w:t xml:space="preserve">У </w:t>
      </w:r>
      <w:r w:rsidR="0055149A" w:rsidRPr="00827818">
        <w:rPr>
          <w:rFonts w:ascii="Times New Roman" w:hAnsi="Times New Roman" w:cs="Times New Roman"/>
          <w:sz w:val="24"/>
          <w:szCs w:val="24"/>
          <w:lang w:val="sr-Cyrl-CS"/>
        </w:rPr>
        <w:t>оквиру</w:t>
      </w:r>
      <w:r w:rsidR="009C4FCE" w:rsidRPr="00827818">
        <w:rPr>
          <w:rFonts w:ascii="Times New Roman" w:hAnsi="Times New Roman" w:cs="Times New Roman"/>
          <w:sz w:val="24"/>
          <w:szCs w:val="24"/>
          <w:lang w:val="sr-Cyrl-CS"/>
        </w:rPr>
        <w:t xml:space="preserve"> г</w:t>
      </w:r>
      <w:r w:rsidR="0055149A" w:rsidRPr="00827818">
        <w:rPr>
          <w:rFonts w:ascii="Times New Roman" w:hAnsi="Times New Roman" w:cs="Times New Roman"/>
          <w:sz w:val="24"/>
          <w:szCs w:val="24"/>
          <w:lang w:val="sr-Cyrl-CS"/>
        </w:rPr>
        <w:t>рафикона за процену</w:t>
      </w:r>
      <w:r w:rsidR="0090211B" w:rsidRPr="00827818">
        <w:rPr>
          <w:rFonts w:ascii="Times New Roman" w:hAnsi="Times New Roman" w:cs="Times New Roman"/>
          <w:sz w:val="24"/>
          <w:szCs w:val="24"/>
          <w:lang w:val="sr-Cyrl-CS"/>
        </w:rPr>
        <w:t xml:space="preserve"> трошкова за реализацију мера у Акционом плану Програма реформе управљања јавним финансијама 2021-2025, </w:t>
      </w:r>
      <w:r w:rsidR="00D63F75" w:rsidRPr="00827818">
        <w:rPr>
          <w:rFonts w:ascii="Times New Roman" w:hAnsi="Times New Roman" w:cs="Times New Roman"/>
          <w:sz w:val="24"/>
          <w:szCs w:val="24"/>
          <w:lang w:val="sr-Cyrl-CS"/>
        </w:rPr>
        <w:t>мењ</w:t>
      </w:r>
      <w:r w:rsidR="0006331C" w:rsidRPr="00827818">
        <w:rPr>
          <w:rFonts w:ascii="Times New Roman" w:hAnsi="Times New Roman" w:cs="Times New Roman"/>
          <w:sz w:val="24"/>
          <w:szCs w:val="24"/>
          <w:lang w:val="sr-Cyrl-CS"/>
        </w:rPr>
        <w:t>а</w:t>
      </w:r>
      <w:r w:rsidR="00D63F75" w:rsidRPr="00827818">
        <w:rPr>
          <w:rFonts w:ascii="Times New Roman" w:hAnsi="Times New Roman" w:cs="Times New Roman"/>
          <w:sz w:val="24"/>
          <w:szCs w:val="24"/>
          <w:lang w:val="sr-Cyrl-CS"/>
        </w:rPr>
        <w:t>ју</w:t>
      </w:r>
      <w:r w:rsidR="0090211B" w:rsidRPr="00827818">
        <w:rPr>
          <w:rFonts w:ascii="Times New Roman" w:hAnsi="Times New Roman" w:cs="Times New Roman"/>
          <w:sz w:val="24"/>
          <w:szCs w:val="24"/>
          <w:lang w:val="sr-Cyrl-CS"/>
        </w:rPr>
        <w:t xml:space="preserve"> се</w:t>
      </w:r>
      <w:r w:rsidR="0055149A" w:rsidRPr="00827818">
        <w:rPr>
          <w:rFonts w:ascii="Times New Roman" w:hAnsi="Times New Roman" w:cs="Times New Roman"/>
          <w:sz w:val="24"/>
          <w:szCs w:val="24"/>
          <w:lang w:val="sr-Cyrl-CS"/>
        </w:rPr>
        <w:t xml:space="preserve"> вредности</w:t>
      </w:r>
      <w:r w:rsidR="0090211B" w:rsidRPr="00827818">
        <w:rPr>
          <w:rFonts w:ascii="Times New Roman" w:hAnsi="Times New Roman" w:cs="Times New Roman"/>
          <w:sz w:val="24"/>
          <w:szCs w:val="24"/>
          <w:lang w:val="sr-Cyrl-CS"/>
        </w:rPr>
        <w:t xml:space="preserve"> </w:t>
      </w:r>
      <w:r w:rsidR="0055149A" w:rsidRPr="00827818">
        <w:rPr>
          <w:rFonts w:ascii="Times New Roman" w:hAnsi="Times New Roman" w:cs="Times New Roman"/>
          <w:sz w:val="24"/>
          <w:szCs w:val="24"/>
          <w:lang w:val="sr-Cyrl-CS"/>
        </w:rPr>
        <w:t>и</w:t>
      </w:r>
      <w:r w:rsidR="00D63F75" w:rsidRPr="00827818">
        <w:rPr>
          <w:rFonts w:ascii="Times New Roman" w:hAnsi="Times New Roman" w:cs="Times New Roman"/>
          <w:sz w:val="24"/>
          <w:szCs w:val="24"/>
          <w:lang w:val="sr-Cyrl-CS"/>
        </w:rPr>
        <w:t xml:space="preserve"> гласе</w:t>
      </w:r>
      <w:r w:rsidR="0090211B" w:rsidRPr="00827818">
        <w:rPr>
          <w:rFonts w:ascii="Times New Roman" w:hAnsi="Times New Roman" w:cs="Times New Roman"/>
          <w:sz w:val="24"/>
          <w:szCs w:val="24"/>
          <w:lang w:val="sr-Cyrl-CS"/>
        </w:rPr>
        <w:t>:</w:t>
      </w:r>
      <w:r w:rsidR="00506EE0" w:rsidRPr="00827818">
        <w:rPr>
          <w:rFonts w:ascii="Times New Roman" w:hAnsi="Times New Roman" w:cs="Times New Roman"/>
          <w:sz w:val="24"/>
          <w:szCs w:val="24"/>
          <w:lang w:val="sr-Cyrl-CS"/>
        </w:rPr>
        <w:t xml:space="preserve"> </w:t>
      </w: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736982" w:rsidRDefault="00736982" w:rsidP="00736982">
      <w:pPr>
        <w:spacing w:after="0" w:line="240" w:lineRule="auto"/>
        <w:jc w:val="both"/>
        <w:rPr>
          <w:rFonts w:ascii="Times New Roman" w:hAnsi="Times New Roman" w:cs="Times New Roman"/>
          <w:sz w:val="24"/>
          <w:szCs w:val="24"/>
          <w:lang w:val="sr-Cyrl-CS"/>
        </w:rPr>
      </w:pPr>
    </w:p>
    <w:p w:rsidR="0090211B" w:rsidRDefault="00506EE0" w:rsidP="00736982">
      <w:pPr>
        <w:spacing w:after="0" w:line="240" w:lineRule="auto"/>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lastRenderedPageBreak/>
        <w:t>„</w:t>
      </w:r>
    </w:p>
    <w:p w:rsidR="0090211B" w:rsidRPr="00827818" w:rsidRDefault="00BF027B" w:rsidP="00D57BAA">
      <w:pPr>
        <w:pStyle w:val="ListParagraph"/>
        <w:jc w:val="both"/>
        <w:rPr>
          <w:rFonts w:ascii="Times New Roman" w:hAnsi="Times New Roman" w:cs="Times New Roman"/>
          <w:sz w:val="24"/>
          <w:szCs w:val="24"/>
          <w:highlight w:val="yellow"/>
          <w:lang w:val="sr-Cyrl-CS"/>
        </w:rPr>
      </w:pPr>
      <w:r w:rsidRPr="00827818">
        <w:rPr>
          <w:noProof/>
          <w:lang w:val="en-US"/>
        </w:rPr>
        <w:drawing>
          <wp:inline distT="0" distB="0" distL="0" distR="0" wp14:anchorId="1AD95B28" wp14:editId="1F8AD0E5">
            <wp:extent cx="5818380" cy="3063531"/>
            <wp:effectExtent l="0" t="0" r="11430" b="381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022A" w:rsidRPr="00827818" w:rsidRDefault="007B022A" w:rsidP="00D57BAA">
      <w:pPr>
        <w:pStyle w:val="ListParagraph"/>
        <w:jc w:val="both"/>
        <w:rPr>
          <w:rFonts w:ascii="Times New Roman" w:hAnsi="Times New Roman" w:cs="Times New Roman"/>
          <w:sz w:val="24"/>
          <w:szCs w:val="24"/>
          <w:highlight w:val="yellow"/>
          <w:lang w:val="sr-Cyrl-CS"/>
        </w:rPr>
      </w:pPr>
    </w:p>
    <w:p w:rsidR="007B022A" w:rsidRPr="00827818" w:rsidRDefault="007B022A" w:rsidP="00D57BAA">
      <w:pPr>
        <w:pStyle w:val="ListParagraph"/>
        <w:jc w:val="both"/>
        <w:rPr>
          <w:rFonts w:ascii="Times New Roman" w:hAnsi="Times New Roman" w:cs="Times New Roman"/>
          <w:sz w:val="24"/>
          <w:szCs w:val="24"/>
          <w:highlight w:val="yellow"/>
          <w:lang w:val="sr-Cyrl-CS"/>
        </w:rPr>
      </w:pPr>
      <w:r w:rsidRPr="00827818">
        <w:rPr>
          <w:rFonts w:ascii="Times New Roman" w:hAnsi="Times New Roman" w:cs="Times New Roman"/>
          <w:noProof/>
          <w:sz w:val="20"/>
          <w:szCs w:val="20"/>
          <w:lang w:val="en-US"/>
        </w:rPr>
        <w:drawing>
          <wp:inline distT="0" distB="0" distL="0" distR="0" wp14:anchorId="0268CD94" wp14:editId="09A34BEF">
            <wp:extent cx="5486400" cy="31813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022A" w:rsidRPr="00827818" w:rsidRDefault="007B022A" w:rsidP="00736982">
      <w:pPr>
        <w:pStyle w:val="ListParagraph"/>
        <w:jc w:val="right"/>
        <w:rPr>
          <w:rFonts w:ascii="Times New Roman" w:hAnsi="Times New Roman" w:cs="Times New Roman"/>
          <w:sz w:val="24"/>
          <w:szCs w:val="24"/>
          <w:lang w:val="sr-Cyrl-CS"/>
        </w:rPr>
      </w:pPr>
      <w:r w:rsidRPr="00827818">
        <w:rPr>
          <w:rFonts w:ascii="Times New Roman" w:hAnsi="Times New Roman" w:cs="Times New Roman"/>
          <w:sz w:val="24"/>
          <w:szCs w:val="24"/>
          <w:lang w:val="sr-Cyrl-CS"/>
        </w:rPr>
        <w:t>„.</w:t>
      </w:r>
    </w:p>
    <w:p w:rsidR="005C39BB" w:rsidRPr="00827818" w:rsidRDefault="00254B97" w:rsidP="00254B97">
      <w:pPr>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7</w:t>
      </w:r>
      <w:r w:rsidR="00F47AA2">
        <w:rPr>
          <w:rFonts w:ascii="Times New Roman" w:hAnsi="Times New Roman" w:cs="Times New Roman"/>
          <w:sz w:val="24"/>
          <w:szCs w:val="24"/>
          <w:lang w:val="sr-Cyrl-CS"/>
        </w:rPr>
        <w:t>2</w:t>
      </w:r>
      <w:r w:rsidRPr="00827818">
        <w:rPr>
          <w:rFonts w:ascii="Times New Roman" w:hAnsi="Times New Roman" w:cs="Times New Roman"/>
          <w:sz w:val="24"/>
          <w:szCs w:val="24"/>
          <w:lang w:val="sr-Cyrl-CS"/>
        </w:rPr>
        <w:t xml:space="preserve">. </w:t>
      </w:r>
      <w:r w:rsidR="00C7588B" w:rsidRPr="00827818">
        <w:rPr>
          <w:rFonts w:ascii="Times New Roman" w:hAnsi="Times New Roman" w:cs="Times New Roman"/>
          <w:sz w:val="24"/>
          <w:szCs w:val="24"/>
          <w:lang w:val="sr-Cyrl-CS"/>
        </w:rPr>
        <w:t>У Анексу 3</w:t>
      </w:r>
      <w:r w:rsidR="00015BFD" w:rsidRPr="00827818">
        <w:rPr>
          <w:rFonts w:ascii="Times New Roman" w:hAnsi="Times New Roman" w:cs="Times New Roman"/>
          <w:sz w:val="24"/>
          <w:szCs w:val="24"/>
          <w:lang w:val="sr-Cyrl-CS"/>
        </w:rPr>
        <w:t xml:space="preserve"> </w:t>
      </w:r>
      <w:r w:rsidR="009C4FCE" w:rsidRPr="00827818">
        <w:rPr>
          <w:rFonts w:ascii="Times New Roman" w:hAnsi="Times New Roman" w:cs="Times New Roman"/>
          <w:sz w:val="24"/>
          <w:szCs w:val="24"/>
          <w:lang w:val="sr-Cyrl-CS"/>
        </w:rPr>
        <w:t>„</w:t>
      </w:r>
      <w:r w:rsidR="00B2421B" w:rsidRPr="00827818">
        <w:rPr>
          <w:rFonts w:ascii="Times New Roman" w:hAnsi="Times New Roman" w:cs="Times New Roman"/>
          <w:sz w:val="24"/>
          <w:szCs w:val="24"/>
          <w:lang w:val="sr-Cyrl-CS"/>
        </w:rPr>
        <w:t>П</w:t>
      </w:r>
      <w:r w:rsidR="005C39BB" w:rsidRPr="00827818">
        <w:rPr>
          <w:rFonts w:ascii="Times New Roman" w:hAnsi="Times New Roman" w:cs="Times New Roman"/>
          <w:sz w:val="24"/>
          <w:szCs w:val="24"/>
          <w:lang w:val="sr-Cyrl-CS"/>
        </w:rPr>
        <w:t xml:space="preserve">асоши показатеља за посебне циљеве и мере </w:t>
      </w:r>
      <w:r w:rsidR="00F955F9" w:rsidRPr="00827818">
        <w:rPr>
          <w:rFonts w:ascii="Times New Roman" w:hAnsi="Times New Roman" w:cs="Times New Roman"/>
          <w:sz w:val="24"/>
          <w:szCs w:val="24"/>
          <w:lang w:val="sr-Cyrl-CS"/>
        </w:rPr>
        <w:t>П</w:t>
      </w:r>
      <w:r w:rsidR="005C39BB" w:rsidRPr="00827818">
        <w:rPr>
          <w:rFonts w:ascii="Times New Roman" w:hAnsi="Times New Roman" w:cs="Times New Roman"/>
          <w:sz w:val="24"/>
          <w:szCs w:val="24"/>
          <w:lang w:val="sr-Cyrl-CS"/>
        </w:rPr>
        <w:t>рограма реформе управљања јавним финансијама 2021-2025</w:t>
      </w:r>
      <w:r w:rsidR="00B370AF" w:rsidRPr="00827818">
        <w:rPr>
          <w:rFonts w:ascii="Times New Roman" w:hAnsi="Times New Roman" w:cs="Times New Roman"/>
          <w:sz w:val="24"/>
          <w:szCs w:val="24"/>
          <w:lang w:val="sr-Cyrl-CS"/>
        </w:rPr>
        <w:t>”</w:t>
      </w:r>
      <w:r w:rsidR="00C7588B" w:rsidRPr="00827818">
        <w:rPr>
          <w:rFonts w:ascii="Times New Roman" w:hAnsi="Times New Roman" w:cs="Times New Roman"/>
          <w:sz w:val="24"/>
          <w:szCs w:val="24"/>
          <w:lang w:val="sr-Cyrl-CS"/>
        </w:rPr>
        <w:t>,</w:t>
      </w:r>
      <w:r w:rsidR="00D55B22" w:rsidRPr="00827818">
        <w:rPr>
          <w:rFonts w:ascii="Times New Roman" w:hAnsi="Times New Roman" w:cs="Times New Roman"/>
          <w:sz w:val="24"/>
          <w:szCs w:val="24"/>
          <w:lang w:val="sr-Cyrl-CS"/>
        </w:rPr>
        <w:t xml:space="preserve"> </w:t>
      </w:r>
      <w:r w:rsidR="00C24FE7" w:rsidRPr="00827818">
        <w:rPr>
          <w:rFonts w:ascii="Times New Roman" w:hAnsi="Times New Roman" w:cs="Times New Roman"/>
          <w:bCs/>
          <w:sz w:val="24"/>
          <w:szCs w:val="24"/>
          <w:lang w:val="sr-Cyrl-CS"/>
        </w:rPr>
        <w:t>који је одштампан уз Програм реформе управљања јавним финансијама за период 2021 - 2025. године и чини његов саставни део</w:t>
      </w:r>
      <w:r w:rsidR="00B370AF" w:rsidRPr="00827818">
        <w:rPr>
          <w:rFonts w:ascii="Times New Roman" w:hAnsi="Times New Roman" w:cs="Times New Roman"/>
          <w:bCs/>
          <w:sz w:val="24"/>
          <w:szCs w:val="24"/>
          <w:lang w:val="sr-Cyrl-CS"/>
        </w:rPr>
        <w:t>,</w:t>
      </w:r>
      <w:r w:rsidR="00C24FE7" w:rsidRPr="00827818">
        <w:rPr>
          <w:rFonts w:ascii="Times New Roman" w:hAnsi="Times New Roman" w:cs="Times New Roman"/>
          <w:sz w:val="24"/>
          <w:szCs w:val="24"/>
          <w:lang w:val="sr-Cyrl-CS"/>
        </w:rPr>
        <w:t xml:space="preserve"> </w:t>
      </w:r>
      <w:r w:rsidR="00D55B22" w:rsidRPr="00827818">
        <w:rPr>
          <w:rFonts w:ascii="Times New Roman" w:hAnsi="Times New Roman" w:cs="Times New Roman"/>
          <w:sz w:val="24"/>
          <w:szCs w:val="24"/>
          <w:lang w:val="sr-Cyrl-CS"/>
        </w:rPr>
        <w:t>код показатеља на</w:t>
      </w:r>
      <w:r w:rsidR="00C7588B" w:rsidRPr="00827818">
        <w:rPr>
          <w:rFonts w:ascii="Times New Roman" w:hAnsi="Times New Roman" w:cs="Times New Roman"/>
          <w:sz w:val="24"/>
          <w:szCs w:val="24"/>
          <w:lang w:val="sr-Cyrl-CS"/>
        </w:rPr>
        <w:t xml:space="preserve"> нивоу </w:t>
      </w:r>
      <w:r w:rsidR="00274B01" w:rsidRPr="00827818">
        <w:rPr>
          <w:rFonts w:ascii="Times New Roman" w:hAnsi="Times New Roman" w:cs="Times New Roman"/>
          <w:sz w:val="24"/>
          <w:szCs w:val="24"/>
          <w:lang w:val="sr-Cyrl-CS"/>
        </w:rPr>
        <w:t>М</w:t>
      </w:r>
      <w:r w:rsidR="00C7588B" w:rsidRPr="00827818">
        <w:rPr>
          <w:rFonts w:ascii="Times New Roman" w:hAnsi="Times New Roman" w:cs="Times New Roman"/>
          <w:sz w:val="24"/>
          <w:szCs w:val="24"/>
          <w:lang w:val="sr-Cyrl-CS"/>
        </w:rPr>
        <w:t>ере 1.3</w:t>
      </w:r>
      <w:r w:rsidR="005C39BB" w:rsidRPr="00827818">
        <w:rPr>
          <w:rFonts w:ascii="Times New Roman" w:hAnsi="Times New Roman" w:cs="Times New Roman"/>
          <w:sz w:val="24"/>
          <w:szCs w:val="24"/>
          <w:lang w:val="sr-Cyrl-CS"/>
        </w:rPr>
        <w:t>,</w:t>
      </w:r>
      <w:r w:rsidR="007122C4" w:rsidRPr="00827818">
        <w:rPr>
          <w:rFonts w:ascii="Times New Roman" w:hAnsi="Times New Roman" w:cs="Times New Roman"/>
          <w:sz w:val="24"/>
          <w:szCs w:val="24"/>
          <w:lang w:val="sr-Cyrl-CS"/>
        </w:rPr>
        <w:t xml:space="preserve"> </w:t>
      </w:r>
      <w:r w:rsidR="00D55B22" w:rsidRPr="00827818">
        <w:rPr>
          <w:rFonts w:ascii="Times New Roman" w:hAnsi="Times New Roman" w:cs="Times New Roman"/>
          <w:sz w:val="24"/>
          <w:szCs w:val="24"/>
          <w:lang w:val="sr-Cyrl-CS"/>
        </w:rPr>
        <w:t>који гласи: „Број усвојених средњорочних планова обвезника средњорочног планирања на републичком нивоу</w:t>
      </w:r>
      <w:r w:rsidR="00E65243" w:rsidRPr="00827818">
        <w:rPr>
          <w:rFonts w:ascii="Times New Roman" w:hAnsi="Times New Roman" w:cs="Times New Roman"/>
          <w:sz w:val="24"/>
          <w:szCs w:val="24"/>
          <w:lang w:val="sr-Cyrl-CS"/>
        </w:rPr>
        <w:t>ˮ</w:t>
      </w:r>
      <w:r w:rsidR="00D55B22" w:rsidRPr="00827818">
        <w:rPr>
          <w:rFonts w:ascii="Times New Roman" w:hAnsi="Times New Roman" w:cs="Times New Roman"/>
          <w:sz w:val="24"/>
          <w:szCs w:val="24"/>
          <w:lang w:val="sr-Cyrl-CS"/>
        </w:rPr>
        <w:t xml:space="preserve"> </w:t>
      </w:r>
      <w:r w:rsidR="00C7588B" w:rsidRPr="00827818">
        <w:rPr>
          <w:rFonts w:ascii="Times New Roman" w:hAnsi="Times New Roman" w:cs="Times New Roman"/>
          <w:sz w:val="24"/>
          <w:szCs w:val="24"/>
          <w:lang w:val="sr-Cyrl-CS"/>
        </w:rPr>
        <w:t>мења</w:t>
      </w:r>
      <w:r w:rsidR="005C39BB" w:rsidRPr="00827818">
        <w:rPr>
          <w:rFonts w:ascii="Times New Roman" w:hAnsi="Times New Roman" w:cs="Times New Roman"/>
          <w:sz w:val="24"/>
          <w:szCs w:val="24"/>
          <w:lang w:val="sr-Cyrl-CS"/>
        </w:rPr>
        <w:t>ју</w:t>
      </w:r>
      <w:r w:rsidR="00C7588B" w:rsidRPr="00827818">
        <w:rPr>
          <w:rFonts w:ascii="Times New Roman" w:hAnsi="Times New Roman" w:cs="Times New Roman"/>
          <w:sz w:val="24"/>
          <w:szCs w:val="24"/>
          <w:lang w:val="sr-Cyrl-CS"/>
        </w:rPr>
        <w:t xml:space="preserve"> се подаци о циљним </w:t>
      </w:r>
      <w:r w:rsidR="00C7588B" w:rsidRPr="00827818">
        <w:rPr>
          <w:rFonts w:ascii="Times New Roman" w:hAnsi="Times New Roman" w:cs="Times New Roman"/>
          <w:sz w:val="24"/>
          <w:szCs w:val="24"/>
          <w:lang w:val="sr-Cyrl-CS"/>
        </w:rPr>
        <w:lastRenderedPageBreak/>
        <w:t xml:space="preserve">вредностима тако да </w:t>
      </w:r>
      <w:r w:rsidR="00844803" w:rsidRPr="00827818">
        <w:rPr>
          <w:rFonts w:ascii="Times New Roman" w:hAnsi="Times New Roman" w:cs="Times New Roman"/>
          <w:sz w:val="24"/>
          <w:szCs w:val="24"/>
          <w:lang w:val="sr-Cyrl-CS"/>
        </w:rPr>
        <w:t>се за 2023. годину број</w:t>
      </w:r>
      <w:r w:rsidR="00657C17">
        <w:rPr>
          <w:rFonts w:ascii="Times New Roman" w:hAnsi="Times New Roman" w:cs="Times New Roman"/>
          <w:sz w:val="24"/>
          <w:szCs w:val="24"/>
          <w:lang w:val="sr-Cyrl-CS"/>
        </w:rPr>
        <w:t>:</w:t>
      </w:r>
      <w:r w:rsidR="00844803" w:rsidRPr="00827818">
        <w:rPr>
          <w:rFonts w:ascii="Times New Roman" w:hAnsi="Times New Roman" w:cs="Times New Roman"/>
          <w:sz w:val="24"/>
          <w:szCs w:val="24"/>
          <w:lang w:val="sr-Cyrl-CS"/>
        </w:rPr>
        <w:t xml:space="preserve"> </w:t>
      </w:r>
      <w:r w:rsidR="0006331C" w:rsidRPr="00827818">
        <w:rPr>
          <w:rFonts w:ascii="Times New Roman" w:hAnsi="Times New Roman" w:cs="Times New Roman"/>
          <w:sz w:val="24"/>
          <w:szCs w:val="24"/>
          <w:lang w:val="sr-Cyrl-CS"/>
        </w:rPr>
        <w:t>„40ˮ замењу</w:t>
      </w:r>
      <w:r w:rsidR="00844803" w:rsidRPr="00827818">
        <w:rPr>
          <w:rFonts w:ascii="Times New Roman" w:hAnsi="Times New Roman" w:cs="Times New Roman"/>
          <w:sz w:val="24"/>
          <w:szCs w:val="24"/>
          <w:lang w:val="sr-Cyrl-CS"/>
        </w:rPr>
        <w:t>је б</w:t>
      </w:r>
      <w:r w:rsidR="00657C17">
        <w:rPr>
          <w:rFonts w:ascii="Times New Roman" w:hAnsi="Times New Roman" w:cs="Times New Roman"/>
          <w:sz w:val="24"/>
          <w:szCs w:val="24"/>
          <w:lang w:val="sr-Cyrl-CS"/>
        </w:rPr>
        <w:t>р</w:t>
      </w:r>
      <w:r w:rsidR="00844803" w:rsidRPr="00827818">
        <w:rPr>
          <w:rFonts w:ascii="Times New Roman" w:hAnsi="Times New Roman" w:cs="Times New Roman"/>
          <w:sz w:val="24"/>
          <w:szCs w:val="24"/>
          <w:lang w:val="sr-Cyrl-CS"/>
        </w:rPr>
        <w:t>ојем</w:t>
      </w:r>
      <w:r w:rsidR="00657C17">
        <w:rPr>
          <w:rFonts w:ascii="Times New Roman" w:hAnsi="Times New Roman" w:cs="Times New Roman"/>
          <w:sz w:val="24"/>
          <w:szCs w:val="24"/>
          <w:lang w:val="sr-Cyrl-CS"/>
        </w:rPr>
        <w:t>:</w:t>
      </w:r>
      <w:r w:rsidR="00844803" w:rsidRPr="00827818">
        <w:rPr>
          <w:rFonts w:ascii="Times New Roman" w:hAnsi="Times New Roman" w:cs="Times New Roman"/>
          <w:sz w:val="24"/>
          <w:szCs w:val="24"/>
          <w:lang w:val="sr-Cyrl-CS"/>
        </w:rPr>
        <w:t xml:space="preserve"> „</w:t>
      </w:r>
      <w:r w:rsidR="00C7588B" w:rsidRPr="00827818">
        <w:rPr>
          <w:rFonts w:ascii="Times New Roman" w:hAnsi="Times New Roman" w:cs="Times New Roman"/>
          <w:sz w:val="24"/>
          <w:szCs w:val="24"/>
          <w:lang w:val="sr-Cyrl-CS"/>
        </w:rPr>
        <w:t>25</w:t>
      </w:r>
      <w:r w:rsidR="00844803" w:rsidRPr="00827818">
        <w:rPr>
          <w:rFonts w:ascii="Times New Roman" w:hAnsi="Times New Roman" w:cs="Times New Roman"/>
          <w:sz w:val="24"/>
          <w:szCs w:val="24"/>
          <w:lang w:val="sr-Cyrl-CS"/>
        </w:rPr>
        <w:t>ˮ, за 2024. годину број</w:t>
      </w:r>
      <w:r w:rsidR="00657C17">
        <w:rPr>
          <w:rFonts w:ascii="Times New Roman" w:hAnsi="Times New Roman" w:cs="Times New Roman"/>
          <w:sz w:val="24"/>
          <w:szCs w:val="24"/>
          <w:lang w:val="sr-Cyrl-CS"/>
        </w:rPr>
        <w:t>:</w:t>
      </w:r>
      <w:r w:rsidR="00844803" w:rsidRPr="00827818">
        <w:rPr>
          <w:rFonts w:ascii="Times New Roman" w:hAnsi="Times New Roman" w:cs="Times New Roman"/>
          <w:sz w:val="24"/>
          <w:szCs w:val="24"/>
          <w:lang w:val="sr-Cyrl-CS"/>
        </w:rPr>
        <w:t xml:space="preserve"> „40ˮ замењује б</w:t>
      </w:r>
      <w:r w:rsidR="00657C17">
        <w:rPr>
          <w:rFonts w:ascii="Times New Roman" w:hAnsi="Times New Roman" w:cs="Times New Roman"/>
          <w:sz w:val="24"/>
          <w:szCs w:val="24"/>
          <w:lang w:val="sr-Cyrl-CS"/>
        </w:rPr>
        <w:t>р</w:t>
      </w:r>
      <w:r w:rsidR="00844803" w:rsidRPr="00827818">
        <w:rPr>
          <w:rFonts w:ascii="Times New Roman" w:hAnsi="Times New Roman" w:cs="Times New Roman"/>
          <w:sz w:val="24"/>
          <w:szCs w:val="24"/>
          <w:lang w:val="sr-Cyrl-CS"/>
        </w:rPr>
        <w:t>ојем</w:t>
      </w:r>
      <w:r w:rsidR="00657C17">
        <w:rPr>
          <w:rFonts w:ascii="Times New Roman" w:hAnsi="Times New Roman" w:cs="Times New Roman"/>
          <w:sz w:val="24"/>
          <w:szCs w:val="24"/>
          <w:lang w:val="sr-Cyrl-CS"/>
        </w:rPr>
        <w:t>:</w:t>
      </w:r>
      <w:r w:rsidR="009C4FCE" w:rsidRPr="00827818">
        <w:rPr>
          <w:rFonts w:ascii="Times New Roman" w:hAnsi="Times New Roman" w:cs="Times New Roman"/>
          <w:sz w:val="24"/>
          <w:szCs w:val="24"/>
          <w:lang w:val="sr-Cyrl-CS"/>
        </w:rPr>
        <w:t xml:space="preserve"> </w:t>
      </w:r>
      <w:r w:rsidR="00844803" w:rsidRPr="00827818">
        <w:rPr>
          <w:rFonts w:ascii="Times New Roman" w:hAnsi="Times New Roman" w:cs="Times New Roman"/>
          <w:sz w:val="24"/>
          <w:szCs w:val="24"/>
          <w:lang w:val="sr-Cyrl-CS"/>
        </w:rPr>
        <w:t>„</w:t>
      </w:r>
      <w:r w:rsidR="00C7588B" w:rsidRPr="00827818">
        <w:rPr>
          <w:rFonts w:ascii="Times New Roman" w:hAnsi="Times New Roman" w:cs="Times New Roman"/>
          <w:sz w:val="24"/>
          <w:szCs w:val="24"/>
          <w:lang w:val="sr-Cyrl-CS"/>
        </w:rPr>
        <w:t>27</w:t>
      </w:r>
      <w:r w:rsidR="00844803" w:rsidRPr="00827818">
        <w:rPr>
          <w:rFonts w:ascii="Times New Roman" w:hAnsi="Times New Roman" w:cs="Times New Roman"/>
          <w:sz w:val="24"/>
          <w:szCs w:val="24"/>
          <w:lang w:val="sr-Cyrl-CS"/>
        </w:rPr>
        <w:t>ˮ и за</w:t>
      </w:r>
      <w:r w:rsidR="009C4FCE" w:rsidRPr="00827818">
        <w:rPr>
          <w:rFonts w:ascii="Times New Roman" w:hAnsi="Times New Roman" w:cs="Times New Roman"/>
          <w:sz w:val="24"/>
          <w:szCs w:val="24"/>
          <w:lang w:val="sr-Cyrl-CS"/>
        </w:rPr>
        <w:t xml:space="preserve"> </w:t>
      </w:r>
      <w:r w:rsidR="00C7588B" w:rsidRPr="00827818">
        <w:rPr>
          <w:rFonts w:ascii="Times New Roman" w:hAnsi="Times New Roman" w:cs="Times New Roman"/>
          <w:sz w:val="24"/>
          <w:szCs w:val="24"/>
          <w:lang w:val="sr-Cyrl-CS"/>
        </w:rPr>
        <w:t>2025</w:t>
      </w:r>
      <w:r w:rsidR="00844803" w:rsidRPr="00827818">
        <w:rPr>
          <w:rFonts w:ascii="Times New Roman" w:hAnsi="Times New Roman" w:cs="Times New Roman"/>
          <w:sz w:val="24"/>
          <w:szCs w:val="24"/>
          <w:lang w:val="sr-Cyrl-CS"/>
        </w:rPr>
        <w:t>. годину број</w:t>
      </w:r>
      <w:r w:rsidR="00657C17">
        <w:rPr>
          <w:rFonts w:ascii="Times New Roman" w:hAnsi="Times New Roman" w:cs="Times New Roman"/>
          <w:sz w:val="24"/>
          <w:szCs w:val="24"/>
          <w:lang w:val="sr-Cyrl-CS"/>
        </w:rPr>
        <w:t>:</w:t>
      </w:r>
      <w:r w:rsidR="00844803" w:rsidRPr="00827818">
        <w:rPr>
          <w:rFonts w:ascii="Times New Roman" w:hAnsi="Times New Roman" w:cs="Times New Roman"/>
          <w:sz w:val="24"/>
          <w:szCs w:val="24"/>
          <w:lang w:val="sr-Cyrl-CS"/>
        </w:rPr>
        <w:t xml:space="preserve"> „40ˮ замењује б</w:t>
      </w:r>
      <w:r w:rsidR="00657C17">
        <w:rPr>
          <w:rFonts w:ascii="Times New Roman" w:hAnsi="Times New Roman" w:cs="Times New Roman"/>
          <w:sz w:val="24"/>
          <w:szCs w:val="24"/>
          <w:lang w:val="sr-Cyrl-CS"/>
        </w:rPr>
        <w:t>р</w:t>
      </w:r>
      <w:r w:rsidR="00844803" w:rsidRPr="00827818">
        <w:rPr>
          <w:rFonts w:ascii="Times New Roman" w:hAnsi="Times New Roman" w:cs="Times New Roman"/>
          <w:sz w:val="24"/>
          <w:szCs w:val="24"/>
          <w:lang w:val="sr-Cyrl-CS"/>
        </w:rPr>
        <w:t>ојем</w:t>
      </w:r>
      <w:r w:rsidR="00657C17">
        <w:rPr>
          <w:rFonts w:ascii="Times New Roman" w:hAnsi="Times New Roman" w:cs="Times New Roman"/>
          <w:sz w:val="24"/>
          <w:szCs w:val="24"/>
          <w:lang w:val="sr-Cyrl-CS"/>
        </w:rPr>
        <w:t>:</w:t>
      </w:r>
      <w:r w:rsidR="00844803" w:rsidRPr="00827818">
        <w:rPr>
          <w:rFonts w:ascii="Times New Roman" w:hAnsi="Times New Roman" w:cs="Times New Roman"/>
          <w:sz w:val="24"/>
          <w:szCs w:val="24"/>
          <w:lang w:val="sr-Cyrl-CS"/>
        </w:rPr>
        <w:t xml:space="preserve"> „</w:t>
      </w:r>
      <w:r w:rsidR="009C4FCE" w:rsidRPr="00827818">
        <w:rPr>
          <w:rFonts w:ascii="Times New Roman" w:hAnsi="Times New Roman" w:cs="Times New Roman"/>
          <w:sz w:val="24"/>
          <w:szCs w:val="24"/>
          <w:lang w:val="sr-Cyrl-CS"/>
        </w:rPr>
        <w:t>29</w:t>
      </w:r>
      <w:r w:rsidR="00E65243" w:rsidRPr="00827818">
        <w:rPr>
          <w:rFonts w:ascii="Times New Roman" w:hAnsi="Times New Roman" w:cs="Times New Roman"/>
          <w:sz w:val="24"/>
          <w:szCs w:val="24"/>
          <w:lang w:val="sr-Cyrl-CS"/>
        </w:rPr>
        <w:t>ˮ</w:t>
      </w:r>
      <w:r w:rsidR="00060C02" w:rsidRPr="00827818">
        <w:rPr>
          <w:rFonts w:ascii="Times New Roman" w:hAnsi="Times New Roman" w:cs="Times New Roman"/>
          <w:sz w:val="24"/>
          <w:szCs w:val="24"/>
          <w:lang w:val="sr-Cyrl-CS"/>
        </w:rPr>
        <w:t>.</w:t>
      </w:r>
      <w:r w:rsidR="000A29AD" w:rsidRPr="00827818">
        <w:rPr>
          <w:rFonts w:ascii="Times New Roman" w:hAnsi="Times New Roman" w:cs="Times New Roman"/>
          <w:sz w:val="24"/>
          <w:szCs w:val="24"/>
          <w:lang w:val="sr-Cyrl-CS"/>
        </w:rPr>
        <w:t xml:space="preserve"> </w:t>
      </w:r>
    </w:p>
    <w:p w:rsidR="00736982" w:rsidRDefault="00EC2B8C" w:rsidP="00EC2B8C">
      <w:pPr>
        <w:spacing w:after="0" w:line="240" w:lineRule="auto"/>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7</w:t>
      </w:r>
      <w:r w:rsidR="00F47AA2">
        <w:rPr>
          <w:rFonts w:ascii="Times New Roman" w:hAnsi="Times New Roman" w:cs="Times New Roman"/>
          <w:sz w:val="24"/>
          <w:szCs w:val="24"/>
          <w:lang w:val="sr-Cyrl-CS"/>
        </w:rPr>
        <w:t>3</w:t>
      </w:r>
      <w:r w:rsidRPr="00827818">
        <w:rPr>
          <w:rFonts w:ascii="Times New Roman" w:hAnsi="Times New Roman" w:cs="Times New Roman"/>
          <w:sz w:val="24"/>
          <w:szCs w:val="24"/>
          <w:lang w:val="sr-Cyrl-CS"/>
        </w:rPr>
        <w:t xml:space="preserve">. </w:t>
      </w:r>
      <w:r w:rsidR="00783B10" w:rsidRPr="00827818">
        <w:rPr>
          <w:rFonts w:ascii="Times New Roman" w:hAnsi="Times New Roman" w:cs="Times New Roman"/>
          <w:sz w:val="24"/>
          <w:szCs w:val="24"/>
          <w:lang w:val="sr-Cyrl-CS"/>
        </w:rPr>
        <w:t>П</w:t>
      </w:r>
      <w:r w:rsidR="00DC7451" w:rsidRPr="00827818">
        <w:rPr>
          <w:rFonts w:ascii="Times New Roman" w:hAnsi="Times New Roman" w:cs="Times New Roman"/>
          <w:sz w:val="24"/>
          <w:szCs w:val="24"/>
          <w:lang w:val="sr-Cyrl-CS"/>
        </w:rPr>
        <w:t>оказат</w:t>
      </w:r>
      <w:r w:rsidR="00A07BD5" w:rsidRPr="00827818">
        <w:rPr>
          <w:rFonts w:ascii="Times New Roman" w:hAnsi="Times New Roman" w:cs="Times New Roman"/>
          <w:sz w:val="24"/>
          <w:szCs w:val="24"/>
          <w:lang w:val="sr-Cyrl-CS"/>
        </w:rPr>
        <w:t>ељ</w:t>
      </w:r>
      <w:r w:rsidR="00DC7451" w:rsidRPr="00827818">
        <w:rPr>
          <w:rFonts w:ascii="Times New Roman" w:hAnsi="Times New Roman" w:cs="Times New Roman"/>
          <w:sz w:val="24"/>
          <w:szCs w:val="24"/>
          <w:lang w:val="sr-Cyrl-CS"/>
        </w:rPr>
        <w:t xml:space="preserve"> на нивоу </w:t>
      </w:r>
      <w:r w:rsidR="002F5FC6" w:rsidRPr="00827818">
        <w:rPr>
          <w:rFonts w:ascii="Times New Roman" w:hAnsi="Times New Roman" w:cs="Times New Roman"/>
          <w:sz w:val="24"/>
          <w:szCs w:val="24"/>
          <w:lang w:val="sr-Cyrl-CS"/>
        </w:rPr>
        <w:t>М</w:t>
      </w:r>
      <w:r w:rsidR="00DC7451" w:rsidRPr="00827818">
        <w:rPr>
          <w:rFonts w:ascii="Times New Roman" w:hAnsi="Times New Roman" w:cs="Times New Roman"/>
          <w:sz w:val="24"/>
          <w:szCs w:val="24"/>
          <w:lang w:val="sr-Cyrl-CS"/>
        </w:rPr>
        <w:t>ере 1.4.</w:t>
      </w:r>
      <w:r w:rsidR="003531F1" w:rsidRPr="00827818">
        <w:rPr>
          <w:rFonts w:ascii="Times New Roman" w:hAnsi="Times New Roman" w:cs="Times New Roman"/>
          <w:sz w:val="24"/>
          <w:szCs w:val="24"/>
          <w:lang w:val="sr-Cyrl-CS"/>
        </w:rPr>
        <w:t xml:space="preserve"> </w:t>
      </w:r>
      <w:r w:rsidR="006B53A0" w:rsidRPr="00827818">
        <w:rPr>
          <w:rFonts w:ascii="Times New Roman" w:hAnsi="Times New Roman" w:cs="Times New Roman"/>
          <w:sz w:val="24"/>
          <w:szCs w:val="24"/>
          <w:lang w:val="sr-Cyrl-CS"/>
        </w:rPr>
        <w:t>Капитални пројекти укључени у бу</w:t>
      </w:r>
      <w:r w:rsidR="00B370AF" w:rsidRPr="00827818">
        <w:rPr>
          <w:rFonts w:ascii="Times New Roman" w:hAnsi="Times New Roman" w:cs="Times New Roman"/>
          <w:sz w:val="24"/>
          <w:szCs w:val="24"/>
          <w:lang w:val="sr-Cyrl-CS"/>
        </w:rPr>
        <w:t xml:space="preserve">џет, који подлежу и оцењени су </w:t>
      </w:r>
      <w:r w:rsidR="006B53A0" w:rsidRPr="00827818">
        <w:rPr>
          <w:rFonts w:ascii="Times New Roman" w:hAnsi="Times New Roman" w:cs="Times New Roman"/>
          <w:sz w:val="24"/>
          <w:szCs w:val="24"/>
          <w:lang w:val="sr-Cyrl-CS"/>
        </w:rPr>
        <w:t xml:space="preserve">у складу са методологијом која уређује капиталне пројекте </w:t>
      </w:r>
      <w:r w:rsidR="00A07BD5" w:rsidRPr="00827818">
        <w:rPr>
          <w:rFonts w:ascii="Times New Roman" w:hAnsi="Times New Roman" w:cs="Times New Roman"/>
          <w:sz w:val="24"/>
          <w:szCs w:val="24"/>
          <w:lang w:val="sr-Cyrl-CS"/>
        </w:rPr>
        <w:t xml:space="preserve">мења се </w:t>
      </w:r>
      <w:r w:rsidR="007D226C" w:rsidRPr="00827818">
        <w:rPr>
          <w:rFonts w:ascii="Times New Roman" w:hAnsi="Times New Roman" w:cs="Times New Roman"/>
          <w:sz w:val="24"/>
          <w:szCs w:val="24"/>
          <w:lang w:val="sr-Cyrl-CS"/>
        </w:rPr>
        <w:t>и</w:t>
      </w:r>
      <w:r w:rsidR="00A07BD5" w:rsidRPr="00827818">
        <w:rPr>
          <w:rFonts w:ascii="Times New Roman" w:hAnsi="Times New Roman" w:cs="Times New Roman"/>
          <w:sz w:val="24"/>
          <w:szCs w:val="24"/>
          <w:lang w:val="sr-Cyrl-CS"/>
        </w:rPr>
        <w:t xml:space="preserve"> гласи</w:t>
      </w:r>
      <w:r w:rsidR="00B370AF" w:rsidRPr="00827818">
        <w:rPr>
          <w:rFonts w:ascii="Times New Roman" w:hAnsi="Times New Roman" w:cs="Times New Roman"/>
          <w:sz w:val="24"/>
          <w:szCs w:val="24"/>
          <w:lang w:val="sr-Cyrl-CS"/>
        </w:rPr>
        <w:t xml:space="preserve">: </w:t>
      </w:r>
    </w:p>
    <w:p w:rsidR="005136E4" w:rsidRPr="00827818" w:rsidRDefault="00B370AF" w:rsidP="00736982">
      <w:pPr>
        <w:spacing w:after="0" w:line="240" w:lineRule="auto"/>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1287"/>
        <w:gridCol w:w="375"/>
        <w:gridCol w:w="910"/>
        <w:gridCol w:w="448"/>
        <w:gridCol w:w="194"/>
        <w:gridCol w:w="643"/>
        <w:gridCol w:w="845"/>
        <w:gridCol w:w="440"/>
        <w:gridCol w:w="1598"/>
      </w:tblGrid>
      <w:tr w:rsidR="005136E4" w:rsidRPr="00827818" w:rsidTr="00E917DB">
        <w:trPr>
          <w:trHeight w:val="776"/>
          <w:jc w:val="center"/>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5136E4" w:rsidRPr="00827818" w:rsidRDefault="005136E4" w:rsidP="007C5CB6">
            <w:pPr>
              <w:spacing w:before="100" w:after="100" w:line="276" w:lineRule="auto"/>
              <w:jc w:val="both"/>
              <w:rPr>
                <w:rFonts w:ascii="Times New Roman" w:eastAsia="Calibri" w:hAnsi="Times New Roman" w:cs="Times New Roman"/>
                <w:b/>
                <w:bCs/>
                <w:color w:val="000000" w:themeColor="text1"/>
                <w:sz w:val="20"/>
                <w:szCs w:val="20"/>
                <w:lang w:val="sr-Cyrl-CS"/>
              </w:rPr>
            </w:pPr>
            <w:r w:rsidRPr="00827818">
              <w:rPr>
                <w:rFonts w:ascii="Times New Roman" w:eastAsia="Calibri" w:hAnsi="Times New Roman" w:cs="Times New Roman"/>
                <w:b/>
                <w:bCs/>
                <w:color w:val="000000" w:themeColor="text1"/>
                <w:sz w:val="20"/>
                <w:szCs w:val="20"/>
                <w:lang w:val="sr-Cyrl-CS"/>
              </w:rPr>
              <w:t>Назив показатеља</w:t>
            </w:r>
          </w:p>
        </w:tc>
        <w:tc>
          <w:tcPr>
            <w:tcW w:w="36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5136E4" w:rsidRPr="00827818" w:rsidRDefault="005136E4" w:rsidP="007C5CB6">
            <w:pPr>
              <w:spacing w:before="100" w:after="100" w:line="276" w:lineRule="auto"/>
              <w:jc w:val="both"/>
              <w:rPr>
                <w:rFonts w:ascii="Times New Roman" w:eastAsia="Times New Roman" w:hAnsi="Times New Roman" w:cs="Times New Roman"/>
                <w:sz w:val="20"/>
                <w:szCs w:val="20"/>
                <w:lang w:val="sr-Cyrl-CS" w:eastAsia="en-GB"/>
              </w:rPr>
            </w:pPr>
            <w:r w:rsidRPr="00827818">
              <w:rPr>
                <w:rFonts w:ascii="Times New Roman" w:eastAsia="Times New Roman" w:hAnsi="Times New Roman" w:cs="Times New Roman"/>
                <w:sz w:val="20"/>
                <w:szCs w:val="20"/>
                <w:lang w:val="sr-Cyrl-CS" w:eastAsia="en-GB"/>
              </w:rPr>
              <w:t xml:space="preserve"> Капитални пројекти укључени у буџет, који подлежу и оцењени су  у складу са методологијом која уређује капиталне пројекте</w:t>
            </w:r>
          </w:p>
        </w:tc>
      </w:tr>
      <w:tr w:rsidR="005136E4" w:rsidRPr="00827818" w:rsidTr="00E917DB">
        <w:trPr>
          <w:trHeight w:val="776"/>
          <w:jc w:val="center"/>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5136E4" w:rsidRPr="00827818" w:rsidRDefault="005136E4" w:rsidP="007C5CB6">
            <w:pPr>
              <w:spacing w:before="100" w:after="100" w:line="276" w:lineRule="auto"/>
              <w:jc w:val="both"/>
              <w:rPr>
                <w:rFonts w:ascii="Times New Roman" w:eastAsia="Calibri" w:hAnsi="Times New Roman" w:cs="Times New Roman"/>
                <w:b/>
                <w:bCs/>
                <w:color w:val="000000" w:themeColor="text1"/>
                <w:sz w:val="20"/>
                <w:szCs w:val="20"/>
                <w:lang w:val="sr-Cyrl-CS"/>
              </w:rPr>
            </w:pPr>
            <w:r w:rsidRPr="00827818">
              <w:rPr>
                <w:rFonts w:ascii="Times New Roman" w:eastAsia="Calibri" w:hAnsi="Times New Roman" w:cs="Times New Roman"/>
                <w:b/>
                <w:bCs/>
                <w:color w:val="000000" w:themeColor="text1"/>
                <w:sz w:val="20"/>
                <w:szCs w:val="20"/>
                <w:lang w:val="sr-Cyrl-CS"/>
              </w:rPr>
              <w:t>Одговарајући општи циљ, посебан циљ или мера</w:t>
            </w:r>
          </w:p>
        </w:tc>
        <w:tc>
          <w:tcPr>
            <w:tcW w:w="36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5136E4" w:rsidRPr="00827818" w:rsidRDefault="005136E4" w:rsidP="007C5CB6">
            <w:pPr>
              <w:spacing w:before="100" w:after="100" w:line="276" w:lineRule="auto"/>
              <w:jc w:val="both"/>
              <w:rPr>
                <w:rFonts w:ascii="Times New Roman" w:eastAsia="Times New Roman" w:hAnsi="Times New Roman" w:cs="Times New Roman"/>
                <w:sz w:val="20"/>
                <w:szCs w:val="20"/>
                <w:lang w:val="sr-Cyrl-CS" w:eastAsia="en-GB"/>
              </w:rPr>
            </w:pPr>
            <w:r w:rsidRPr="00827818">
              <w:rPr>
                <w:rFonts w:ascii="Times New Roman" w:eastAsia="Times New Roman" w:hAnsi="Times New Roman" w:cs="Times New Roman"/>
                <w:sz w:val="20"/>
                <w:szCs w:val="20"/>
                <w:lang w:val="sr-Cyrl-CS" w:eastAsia="en-GB"/>
              </w:rPr>
              <w:t>Мера 1.4: Унапређење окружења за ефикасно управљање капиталним пројектима и праћење фискалних ризика</w:t>
            </w:r>
          </w:p>
        </w:tc>
      </w:tr>
      <w:tr w:rsidR="005136E4" w:rsidRPr="00827818" w:rsidTr="007C5CB6">
        <w:trPr>
          <w:jc w:val="center"/>
        </w:trPr>
        <w:tc>
          <w:tcPr>
            <w:tcW w:w="1386" w:type="pct"/>
            <w:shd w:val="clear" w:color="auto" w:fill="auto"/>
          </w:tcPr>
          <w:p w:rsidR="005136E4" w:rsidRPr="00827818" w:rsidRDefault="005136E4" w:rsidP="007C5CB6">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kern w:val="24"/>
                <w:sz w:val="20"/>
                <w:szCs w:val="20"/>
                <w:lang w:val="sr-Cyrl-CS"/>
              </w:rPr>
              <w:t>Тип и ниво показатеља</w:t>
            </w:r>
          </w:p>
        </w:tc>
        <w:tc>
          <w:tcPr>
            <w:tcW w:w="1619" w:type="pct"/>
            <w:gridSpan w:val="4"/>
            <w:shd w:val="clear" w:color="auto" w:fill="FFFFFF"/>
            <w:vAlign w:val="center"/>
          </w:tcPr>
          <w:p w:rsidR="005136E4" w:rsidRPr="00827818" w:rsidRDefault="005136E4" w:rsidP="007C5CB6">
            <w:pPr>
              <w:spacing w:after="0"/>
              <w:rPr>
                <w:rFonts w:ascii="Times New Roman" w:eastAsia="Calibri" w:hAnsi="Times New Roman" w:cs="Times New Roman"/>
                <w:bCs/>
                <w:iCs/>
                <w:kern w:val="24"/>
                <w:sz w:val="20"/>
                <w:szCs w:val="20"/>
                <w:lang w:val="sr-Cyrl-CS"/>
              </w:rPr>
            </w:pPr>
            <w:r w:rsidRPr="00827818">
              <w:rPr>
                <w:rFonts w:ascii="Times New Roman" w:eastAsia="Calibri" w:hAnsi="Times New Roman" w:cs="Times New Roman"/>
                <w:bCs/>
                <w:iCs/>
                <w:kern w:val="24"/>
                <w:sz w:val="20"/>
                <w:szCs w:val="20"/>
                <w:lang w:val="sr-Cyrl-CS"/>
              </w:rPr>
              <w:t>Квантитативни</w:t>
            </w:r>
          </w:p>
        </w:tc>
        <w:tc>
          <w:tcPr>
            <w:tcW w:w="1995" w:type="pct"/>
            <w:gridSpan w:val="5"/>
            <w:shd w:val="clear" w:color="auto" w:fill="FFFFFF"/>
            <w:vAlign w:val="center"/>
          </w:tcPr>
          <w:p w:rsidR="005136E4" w:rsidRPr="00827818" w:rsidRDefault="005136E4" w:rsidP="007C5CB6">
            <w:pPr>
              <w:spacing w:after="0"/>
              <w:rPr>
                <w:rFonts w:ascii="Times New Roman" w:eastAsia="Calibri" w:hAnsi="Times New Roman" w:cs="Times New Roman"/>
                <w:bCs/>
                <w:iCs/>
                <w:kern w:val="24"/>
                <w:sz w:val="20"/>
                <w:szCs w:val="20"/>
                <w:lang w:val="sr-Cyrl-CS"/>
              </w:rPr>
            </w:pPr>
            <w:r w:rsidRPr="00827818">
              <w:rPr>
                <w:rFonts w:ascii="Times New Roman" w:eastAsia="Calibri" w:hAnsi="Times New Roman" w:cs="Times New Roman"/>
                <w:bCs/>
                <w:iCs/>
                <w:kern w:val="24"/>
                <w:sz w:val="20"/>
                <w:szCs w:val="20"/>
                <w:lang w:val="sr-Cyrl-CS"/>
              </w:rPr>
              <w:t>Показатељ на нивоу мере</w:t>
            </w:r>
          </w:p>
        </w:tc>
      </w:tr>
      <w:tr w:rsidR="005136E4" w:rsidRPr="00827818" w:rsidTr="007C5CB6">
        <w:trPr>
          <w:trHeight w:val="373"/>
          <w:jc w:val="center"/>
        </w:trPr>
        <w:tc>
          <w:tcPr>
            <w:tcW w:w="1386" w:type="pct"/>
            <w:shd w:val="clear" w:color="auto" w:fill="auto"/>
          </w:tcPr>
          <w:p w:rsidR="005136E4" w:rsidRPr="00827818" w:rsidRDefault="005136E4" w:rsidP="007C5CB6">
            <w:pPr>
              <w:spacing w:before="50" w:after="50"/>
              <w:rPr>
                <w:rFonts w:ascii="Times New Roman" w:eastAsia="Calibri" w:hAnsi="Times New Roman" w:cs="Times New Roman"/>
                <w:b/>
                <w:kern w:val="24"/>
                <w:sz w:val="20"/>
                <w:szCs w:val="20"/>
                <w:lang w:val="sr-Cyrl-CS"/>
              </w:rPr>
            </w:pPr>
            <w:r w:rsidRPr="00827818">
              <w:rPr>
                <w:rFonts w:ascii="Times New Roman" w:eastAsia="Calibri" w:hAnsi="Times New Roman" w:cs="Times New Roman"/>
                <w:b/>
                <w:kern w:val="24"/>
                <w:sz w:val="20"/>
                <w:szCs w:val="20"/>
                <w:lang w:val="sr-Cyrl-CS"/>
              </w:rPr>
              <w:t>Јединица мере и природа</w:t>
            </w:r>
          </w:p>
        </w:tc>
        <w:tc>
          <w:tcPr>
            <w:tcW w:w="1619" w:type="pct"/>
            <w:gridSpan w:val="4"/>
            <w:shd w:val="clear" w:color="auto" w:fill="FFFFFF"/>
            <w:vAlign w:val="center"/>
          </w:tcPr>
          <w:p w:rsidR="005136E4" w:rsidRPr="00827818" w:rsidRDefault="005136E4" w:rsidP="007C5CB6">
            <w:pPr>
              <w:tabs>
                <w:tab w:val="left" w:pos="152"/>
              </w:tabs>
              <w:spacing w:before="50" w:after="50"/>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Проценат</w:t>
            </w:r>
          </w:p>
        </w:tc>
        <w:tc>
          <w:tcPr>
            <w:tcW w:w="1995" w:type="pct"/>
            <w:gridSpan w:val="5"/>
            <w:shd w:val="clear" w:color="auto" w:fill="FFFFFF"/>
            <w:vAlign w:val="center"/>
          </w:tcPr>
          <w:p w:rsidR="005136E4" w:rsidRPr="00827818" w:rsidRDefault="005136E4" w:rsidP="007C5CB6">
            <w:pPr>
              <w:spacing w:after="0"/>
              <w:rPr>
                <w:rFonts w:ascii="Times New Roman" w:eastAsia="Arial" w:hAnsi="Times New Roman" w:cs="Times New Roman"/>
                <w:iCs/>
                <w:color w:val="000000"/>
                <w:spacing w:val="-1"/>
                <w:kern w:val="24"/>
                <w:sz w:val="20"/>
                <w:szCs w:val="20"/>
                <w:lang w:val="sr-Cyrl-CS"/>
              </w:rPr>
            </w:pPr>
            <w:r w:rsidRPr="00827818">
              <w:rPr>
                <w:rFonts w:ascii="Times New Roman" w:eastAsia="Arial" w:hAnsi="Times New Roman" w:cs="Times New Roman"/>
                <w:iCs/>
                <w:color w:val="000000"/>
                <w:spacing w:val="-1"/>
                <w:kern w:val="24"/>
                <w:sz w:val="20"/>
                <w:szCs w:val="20"/>
                <w:lang w:val="sr-Cyrl-CS"/>
              </w:rPr>
              <w:t>Унапређење управљања капиталним пројектима, пожељна је већа</w:t>
            </w:r>
            <w:r w:rsidR="0006331C" w:rsidRPr="00827818">
              <w:rPr>
                <w:rFonts w:ascii="Times New Roman" w:eastAsia="Arial" w:hAnsi="Times New Roman" w:cs="Times New Roman"/>
                <w:iCs/>
                <w:color w:val="000000"/>
                <w:spacing w:val="-1"/>
                <w:kern w:val="24"/>
                <w:sz w:val="20"/>
                <w:szCs w:val="20"/>
                <w:lang w:val="sr-Cyrl-CS"/>
              </w:rPr>
              <w:t xml:space="preserve"> </w:t>
            </w:r>
            <w:r w:rsidRPr="00827818">
              <w:rPr>
                <w:rFonts w:ascii="Times New Roman" w:eastAsia="Arial" w:hAnsi="Times New Roman" w:cs="Times New Roman"/>
                <w:iCs/>
                <w:color w:val="000000"/>
                <w:spacing w:val="-1"/>
                <w:kern w:val="24"/>
                <w:sz w:val="20"/>
                <w:szCs w:val="20"/>
                <w:lang w:val="sr-Cyrl-CS"/>
              </w:rPr>
              <w:t>вредност</w:t>
            </w:r>
          </w:p>
        </w:tc>
      </w:tr>
      <w:tr w:rsidR="005136E4" w:rsidRPr="00827818" w:rsidTr="007C5CB6">
        <w:trPr>
          <w:jc w:val="center"/>
        </w:trPr>
        <w:tc>
          <w:tcPr>
            <w:tcW w:w="1386" w:type="pct"/>
            <w:shd w:val="clear" w:color="auto" w:fill="auto"/>
          </w:tcPr>
          <w:p w:rsidR="005136E4" w:rsidRPr="00827818" w:rsidRDefault="005136E4" w:rsidP="007C5CB6">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Извор података за праћење показатеља учинка</w:t>
            </w:r>
          </w:p>
        </w:tc>
        <w:tc>
          <w:tcPr>
            <w:tcW w:w="3614" w:type="pct"/>
            <w:gridSpan w:val="9"/>
            <w:shd w:val="clear" w:color="auto" w:fill="FFFFFF"/>
            <w:vAlign w:val="center"/>
          </w:tcPr>
          <w:p w:rsidR="005136E4" w:rsidRPr="00827818" w:rsidRDefault="005136E4" w:rsidP="007C5CB6">
            <w:pPr>
              <w:spacing w:after="134"/>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Закон о буџету/Листа</w:t>
            </w:r>
            <w:r w:rsidR="0006331C" w:rsidRPr="00827818">
              <w:rPr>
                <w:rFonts w:ascii="Times New Roman" w:eastAsia="Calibri" w:hAnsi="Times New Roman" w:cs="Times New Roman"/>
                <w:sz w:val="20"/>
                <w:szCs w:val="20"/>
                <w:lang w:val="sr-Cyrl-CS"/>
              </w:rPr>
              <w:t xml:space="preserve"> </w:t>
            </w:r>
            <w:r w:rsidRPr="00827818">
              <w:rPr>
                <w:rFonts w:ascii="Times New Roman" w:eastAsia="Calibri" w:hAnsi="Times New Roman" w:cs="Times New Roman"/>
                <w:sz w:val="20"/>
                <w:szCs w:val="20"/>
                <w:lang w:val="sr-Cyrl-CS"/>
              </w:rPr>
              <w:t>Републичке комисије за капиталне инвестиције (РККИ)</w:t>
            </w:r>
          </w:p>
        </w:tc>
      </w:tr>
      <w:tr w:rsidR="005136E4" w:rsidRPr="00827818" w:rsidTr="007C5CB6">
        <w:trPr>
          <w:jc w:val="center"/>
        </w:trPr>
        <w:tc>
          <w:tcPr>
            <w:tcW w:w="1386" w:type="pct"/>
            <w:shd w:val="clear" w:color="auto" w:fill="auto"/>
          </w:tcPr>
          <w:p w:rsidR="005136E4" w:rsidRPr="00827818" w:rsidRDefault="005136E4" w:rsidP="007C5CB6">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Назив носиоца прикупљања података</w:t>
            </w:r>
          </w:p>
        </w:tc>
        <w:tc>
          <w:tcPr>
            <w:tcW w:w="3614" w:type="pct"/>
            <w:gridSpan w:val="9"/>
            <w:shd w:val="clear" w:color="auto" w:fill="FFFFFF"/>
            <w:vAlign w:val="center"/>
          </w:tcPr>
          <w:p w:rsidR="005136E4" w:rsidRPr="00827818" w:rsidRDefault="005136E4" w:rsidP="007C5CB6">
            <w:pPr>
              <w:spacing w:before="50" w:after="50"/>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Министарство финансија- Сектор за праћење фискалних ризика</w:t>
            </w:r>
          </w:p>
        </w:tc>
      </w:tr>
      <w:tr w:rsidR="005136E4" w:rsidRPr="00827818" w:rsidTr="007C5CB6">
        <w:trPr>
          <w:jc w:val="center"/>
        </w:trPr>
        <w:tc>
          <w:tcPr>
            <w:tcW w:w="1386" w:type="pct"/>
            <w:shd w:val="clear" w:color="auto" w:fill="auto"/>
          </w:tcPr>
          <w:p w:rsidR="005136E4" w:rsidRPr="00827818" w:rsidRDefault="005136E4" w:rsidP="007C5CB6">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Учесталост прикупљања података</w:t>
            </w:r>
          </w:p>
        </w:tc>
        <w:tc>
          <w:tcPr>
            <w:tcW w:w="3614" w:type="pct"/>
            <w:gridSpan w:val="9"/>
            <w:shd w:val="clear" w:color="auto" w:fill="FFFFFF"/>
            <w:vAlign w:val="center"/>
          </w:tcPr>
          <w:p w:rsidR="005136E4" w:rsidRPr="00827818" w:rsidRDefault="005136E4" w:rsidP="007C5CB6">
            <w:pPr>
              <w:spacing w:before="50" w:after="50"/>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 xml:space="preserve">Годишње </w:t>
            </w:r>
          </w:p>
        </w:tc>
      </w:tr>
      <w:tr w:rsidR="005136E4" w:rsidRPr="00827818" w:rsidTr="007C5CB6">
        <w:trPr>
          <w:trHeight w:val="274"/>
          <w:jc w:val="center"/>
        </w:trPr>
        <w:tc>
          <w:tcPr>
            <w:tcW w:w="1386" w:type="pct"/>
            <w:shd w:val="clear" w:color="auto" w:fill="auto"/>
          </w:tcPr>
          <w:p w:rsidR="005136E4" w:rsidRPr="00827818" w:rsidRDefault="005136E4" w:rsidP="007C5CB6">
            <w:pPr>
              <w:spacing w:before="50" w:after="50"/>
              <w:rPr>
                <w:rFonts w:ascii="Times New Roman" w:eastAsia="Calibri" w:hAnsi="Times New Roman" w:cs="Times New Roman"/>
                <w:b/>
                <w:sz w:val="20"/>
                <w:szCs w:val="20"/>
                <w:lang w:val="sr-Cyrl-CS"/>
              </w:rPr>
            </w:pPr>
            <w:r w:rsidRPr="00827818">
              <w:rPr>
                <w:rFonts w:ascii="Times New Roman" w:eastAsia="Calibri" w:hAnsi="Times New Roman" w:cs="Times New Roman"/>
                <w:b/>
                <w:sz w:val="20"/>
                <w:szCs w:val="20"/>
                <w:lang w:val="sr-Cyrl-CS"/>
              </w:rPr>
              <w:t>Кратак опис показатеља и методологије израчунавања</w:t>
            </w:r>
          </w:p>
          <w:p w:rsidR="005136E4" w:rsidRPr="00827818" w:rsidRDefault="005136E4" w:rsidP="007C5CB6">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sz w:val="20"/>
                <w:szCs w:val="20"/>
                <w:lang w:val="sr-Cyrl-CS"/>
              </w:rPr>
              <w:t>(формуле/ једначине)</w:t>
            </w:r>
          </w:p>
        </w:tc>
        <w:tc>
          <w:tcPr>
            <w:tcW w:w="3614" w:type="pct"/>
            <w:gridSpan w:val="9"/>
            <w:shd w:val="clear" w:color="auto" w:fill="FFFFFF"/>
          </w:tcPr>
          <w:p w:rsidR="005136E4" w:rsidRPr="00827818" w:rsidRDefault="005136E4" w:rsidP="003A56A6">
            <w:pPr>
              <w:spacing w:before="50" w:after="50"/>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 xml:space="preserve">Показатељ се односи на </w:t>
            </w:r>
            <w:r w:rsidRPr="00827818">
              <w:rPr>
                <w:rFonts w:ascii="Times New Roman" w:eastAsia="Calibri" w:hAnsi="Times New Roman" w:cs="Times New Roman"/>
                <w:bCs/>
                <w:sz w:val="20"/>
                <w:szCs w:val="20"/>
                <w:lang w:val="sr-Cyrl-CS"/>
              </w:rPr>
              <w:t>утврђивање процента капиталних пројеката који су укљу</w:t>
            </w:r>
            <w:r w:rsidR="003A56A6" w:rsidRPr="00827818">
              <w:rPr>
                <w:rFonts w:ascii="Times New Roman" w:eastAsia="Calibri" w:hAnsi="Times New Roman" w:cs="Times New Roman"/>
                <w:bCs/>
                <w:sz w:val="20"/>
                <w:szCs w:val="20"/>
                <w:lang w:val="sr-Cyrl-CS"/>
              </w:rPr>
              <w:t xml:space="preserve">чени у буџет (Закон о буџету) и </w:t>
            </w:r>
            <w:r w:rsidRPr="00827818">
              <w:rPr>
                <w:rFonts w:ascii="Times New Roman" w:eastAsia="Calibri" w:hAnsi="Times New Roman" w:cs="Times New Roman"/>
                <w:bCs/>
                <w:sz w:val="20"/>
                <w:szCs w:val="20"/>
                <w:lang w:val="sr-Cyrl-CS"/>
              </w:rPr>
              <w:t>подлежу и оцењени су у складу са методологијом која уређује капиталне пројекте (унети су на листу Републичке комисије за капиталне инвестиције) у односу на капиталне пројекте који су укључ</w:t>
            </w:r>
            <w:r w:rsidR="003A56A6" w:rsidRPr="00827818">
              <w:rPr>
                <w:rFonts w:ascii="Times New Roman" w:eastAsia="Calibri" w:hAnsi="Times New Roman" w:cs="Times New Roman"/>
                <w:bCs/>
                <w:sz w:val="20"/>
                <w:szCs w:val="20"/>
                <w:lang w:val="sr-Cyrl-CS"/>
              </w:rPr>
              <w:t xml:space="preserve">ени у буџет (Закон о буџету) и </w:t>
            </w:r>
            <w:r w:rsidRPr="00827818">
              <w:rPr>
                <w:rFonts w:ascii="Times New Roman" w:eastAsia="Calibri" w:hAnsi="Times New Roman" w:cs="Times New Roman"/>
                <w:bCs/>
                <w:sz w:val="20"/>
                <w:szCs w:val="20"/>
                <w:lang w:val="sr-Cyrl-CS"/>
              </w:rPr>
              <w:t xml:space="preserve">подлежу </w:t>
            </w:r>
            <w:r w:rsidR="003A56A6" w:rsidRPr="00827818">
              <w:rPr>
                <w:rFonts w:ascii="Times New Roman" w:eastAsia="Calibri" w:hAnsi="Times New Roman" w:cs="Times New Roman"/>
                <w:bCs/>
                <w:sz w:val="20"/>
                <w:szCs w:val="20"/>
                <w:lang w:val="sr-Cyrl-CS"/>
              </w:rPr>
              <w:t>методологији</w:t>
            </w:r>
            <w:r w:rsidRPr="00827818">
              <w:rPr>
                <w:rFonts w:ascii="Times New Roman" w:eastAsia="Calibri" w:hAnsi="Times New Roman" w:cs="Times New Roman"/>
                <w:bCs/>
                <w:sz w:val="20"/>
                <w:szCs w:val="20"/>
                <w:lang w:val="sr-Cyrl-CS"/>
              </w:rPr>
              <w:t xml:space="preserve"> која уређује капиталне пројекте.</w:t>
            </w:r>
            <w:r w:rsidR="003A56A6" w:rsidRPr="00827818">
              <w:rPr>
                <w:rFonts w:eastAsia="Calibri"/>
                <w:bCs/>
                <w:sz w:val="20"/>
                <w:szCs w:val="20"/>
                <w:lang w:val="sr-Cyrl-CS"/>
              </w:rPr>
              <w:t xml:space="preserve"> </w:t>
            </w:r>
            <w:r w:rsidR="003A56A6" w:rsidRPr="00827818">
              <w:rPr>
                <w:rFonts w:ascii="Times New Roman" w:eastAsia="Calibri" w:hAnsi="Times New Roman" w:cs="Times New Roman"/>
                <w:bCs/>
                <w:sz w:val="20"/>
                <w:szCs w:val="20"/>
                <w:lang w:val="sr-Cyrl-CS"/>
              </w:rPr>
              <w:t>Утврђивање броја капиталних пројеката који су укључени у буџет (Закон о буџету), а подлежу и оцењени су у складу са методологијом која уређује капиталне пројекте (унети су на листу Републичке комисије за капиталне инвестиције)</w:t>
            </w:r>
          </w:p>
        </w:tc>
      </w:tr>
      <w:tr w:rsidR="005136E4" w:rsidRPr="00827818" w:rsidTr="007C5CB6">
        <w:trPr>
          <w:trHeight w:val="413"/>
          <w:jc w:val="center"/>
        </w:trPr>
        <w:tc>
          <w:tcPr>
            <w:tcW w:w="1386" w:type="pct"/>
            <w:vMerge w:val="restart"/>
            <w:shd w:val="clear" w:color="auto" w:fill="auto"/>
          </w:tcPr>
          <w:p w:rsidR="005136E4" w:rsidRPr="00827818" w:rsidRDefault="005136E4" w:rsidP="007C5CB6">
            <w:pPr>
              <w:spacing w:before="50" w:after="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 xml:space="preserve">Подаци о полазној вредности и години кад је измерена, као и о ранијем тренду </w:t>
            </w:r>
          </w:p>
        </w:tc>
        <w:tc>
          <w:tcPr>
            <w:tcW w:w="2521" w:type="pct"/>
            <w:gridSpan w:val="7"/>
            <w:tcBorders>
              <w:bottom w:val="single" w:sz="4" w:space="0" w:color="auto"/>
            </w:tcBorders>
            <w:shd w:val="clear" w:color="auto" w:fill="FFFFFF"/>
          </w:tcPr>
          <w:p w:rsidR="005136E4" w:rsidRPr="00827818" w:rsidRDefault="005136E4" w:rsidP="007C5CB6">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Ранији тренд</w:t>
            </w:r>
          </w:p>
        </w:tc>
        <w:tc>
          <w:tcPr>
            <w:tcW w:w="1093" w:type="pct"/>
            <w:gridSpan w:val="2"/>
            <w:shd w:val="clear" w:color="auto" w:fill="FFFFFF"/>
          </w:tcPr>
          <w:p w:rsidR="005136E4" w:rsidRPr="00827818" w:rsidRDefault="005136E4" w:rsidP="007C5CB6">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Полазна вредност</w:t>
            </w:r>
          </w:p>
        </w:tc>
      </w:tr>
      <w:tr w:rsidR="005136E4" w:rsidRPr="00827818" w:rsidTr="007C5CB6">
        <w:trPr>
          <w:trHeight w:val="137"/>
          <w:jc w:val="center"/>
        </w:trPr>
        <w:tc>
          <w:tcPr>
            <w:tcW w:w="1386" w:type="pct"/>
            <w:vMerge/>
            <w:tcBorders>
              <w:right w:val="single" w:sz="4" w:space="0" w:color="auto"/>
            </w:tcBorders>
            <w:shd w:val="clear" w:color="auto" w:fill="auto"/>
          </w:tcPr>
          <w:p w:rsidR="005136E4" w:rsidRPr="00827818" w:rsidRDefault="005136E4" w:rsidP="007C5CB6">
            <w:pPr>
              <w:spacing w:before="50" w:after="50"/>
              <w:rPr>
                <w:rFonts w:ascii="Times New Roman" w:eastAsia="Calibri" w:hAnsi="Times New Roman" w:cs="Times New Roman"/>
                <w:b/>
                <w:bCs/>
                <w:sz w:val="20"/>
                <w:szCs w:val="20"/>
                <w:lang w:val="sr-Cyrl-CS"/>
              </w:rPr>
            </w:pPr>
          </w:p>
        </w:tc>
        <w:tc>
          <w:tcPr>
            <w:tcW w:w="891" w:type="pct"/>
            <w:gridSpan w:val="2"/>
            <w:tcBorders>
              <w:top w:val="single" w:sz="4" w:space="0" w:color="auto"/>
              <w:left w:val="single" w:sz="4" w:space="0" w:color="auto"/>
              <w:bottom w:val="single" w:sz="4" w:space="0" w:color="auto"/>
              <w:right w:val="single" w:sz="4" w:space="0" w:color="auto"/>
            </w:tcBorders>
            <w:shd w:val="clear" w:color="auto" w:fill="FFFFFF"/>
          </w:tcPr>
          <w:p w:rsidR="005136E4" w:rsidRPr="00827818" w:rsidRDefault="005136E4" w:rsidP="007C5CB6">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2016.</w:t>
            </w:r>
          </w:p>
        </w:tc>
        <w:tc>
          <w:tcPr>
            <w:tcW w:w="832" w:type="pct"/>
            <w:gridSpan w:val="3"/>
            <w:tcBorders>
              <w:top w:val="single" w:sz="4" w:space="0" w:color="auto"/>
              <w:left w:val="single" w:sz="4" w:space="0" w:color="auto"/>
              <w:bottom w:val="single" w:sz="4" w:space="0" w:color="auto"/>
              <w:right w:val="single" w:sz="4" w:space="0" w:color="auto"/>
            </w:tcBorders>
            <w:shd w:val="clear" w:color="auto" w:fill="FFFFFF"/>
          </w:tcPr>
          <w:p w:rsidR="005136E4" w:rsidRPr="00827818" w:rsidRDefault="005136E4" w:rsidP="007C5CB6">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2018.</w:t>
            </w:r>
          </w:p>
        </w:tc>
        <w:tc>
          <w:tcPr>
            <w:tcW w:w="798" w:type="pct"/>
            <w:gridSpan w:val="2"/>
            <w:tcBorders>
              <w:top w:val="single" w:sz="4" w:space="0" w:color="auto"/>
              <w:left w:val="single" w:sz="4" w:space="0" w:color="auto"/>
              <w:bottom w:val="single" w:sz="4" w:space="0" w:color="auto"/>
              <w:right w:val="single" w:sz="4" w:space="0" w:color="auto"/>
            </w:tcBorders>
            <w:shd w:val="clear" w:color="auto" w:fill="FFFFFF"/>
          </w:tcPr>
          <w:p w:rsidR="005136E4" w:rsidRPr="00827818" w:rsidRDefault="005136E4" w:rsidP="007C5CB6">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2019.</w:t>
            </w:r>
          </w:p>
        </w:tc>
        <w:tc>
          <w:tcPr>
            <w:tcW w:w="1093" w:type="pct"/>
            <w:gridSpan w:val="2"/>
            <w:tcBorders>
              <w:left w:val="single" w:sz="4" w:space="0" w:color="auto"/>
            </w:tcBorders>
            <w:shd w:val="clear" w:color="auto" w:fill="FFFFFF"/>
          </w:tcPr>
          <w:p w:rsidR="005136E4" w:rsidRPr="00827818" w:rsidRDefault="005136E4" w:rsidP="007C5CB6">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 xml:space="preserve">2020. </w:t>
            </w:r>
          </w:p>
        </w:tc>
      </w:tr>
      <w:tr w:rsidR="005136E4" w:rsidRPr="00827818" w:rsidTr="007C5CB6">
        <w:trPr>
          <w:trHeight w:val="323"/>
          <w:jc w:val="center"/>
        </w:trPr>
        <w:tc>
          <w:tcPr>
            <w:tcW w:w="1386" w:type="pct"/>
            <w:vMerge/>
            <w:shd w:val="clear" w:color="auto" w:fill="auto"/>
          </w:tcPr>
          <w:p w:rsidR="005136E4" w:rsidRPr="00827818" w:rsidRDefault="005136E4" w:rsidP="007C5CB6">
            <w:pPr>
              <w:spacing w:before="50" w:after="50"/>
              <w:rPr>
                <w:rFonts w:ascii="Times New Roman" w:eastAsia="Calibri" w:hAnsi="Times New Roman" w:cs="Times New Roman"/>
                <w:b/>
                <w:bCs/>
                <w:sz w:val="20"/>
                <w:szCs w:val="20"/>
                <w:lang w:val="sr-Cyrl-CS"/>
              </w:rPr>
            </w:pPr>
          </w:p>
        </w:tc>
        <w:tc>
          <w:tcPr>
            <w:tcW w:w="891" w:type="pct"/>
            <w:gridSpan w:val="2"/>
            <w:tcBorders>
              <w:top w:val="single" w:sz="4" w:space="0" w:color="auto"/>
            </w:tcBorders>
            <w:shd w:val="clear" w:color="auto" w:fill="FFFFFF"/>
            <w:vAlign w:val="center"/>
          </w:tcPr>
          <w:p w:rsidR="005136E4" w:rsidRPr="00827818" w:rsidRDefault="005136E4" w:rsidP="007C5CB6">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32" w:type="pct"/>
            <w:gridSpan w:val="3"/>
            <w:tcBorders>
              <w:top w:val="single" w:sz="4" w:space="0" w:color="auto"/>
            </w:tcBorders>
            <w:shd w:val="clear" w:color="auto" w:fill="FFFFFF"/>
            <w:vAlign w:val="center"/>
          </w:tcPr>
          <w:p w:rsidR="005136E4" w:rsidRPr="00827818" w:rsidRDefault="005136E4" w:rsidP="007C5CB6">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798" w:type="pct"/>
            <w:gridSpan w:val="2"/>
            <w:tcBorders>
              <w:top w:val="single" w:sz="4" w:space="0" w:color="auto"/>
            </w:tcBorders>
            <w:shd w:val="clear" w:color="auto" w:fill="FFFFFF"/>
            <w:vAlign w:val="center"/>
          </w:tcPr>
          <w:p w:rsidR="005136E4" w:rsidRPr="00827818" w:rsidRDefault="005136E4" w:rsidP="007C5CB6">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1093" w:type="pct"/>
            <w:gridSpan w:val="2"/>
            <w:shd w:val="clear" w:color="auto" w:fill="FFFFFF"/>
            <w:vAlign w:val="center"/>
          </w:tcPr>
          <w:p w:rsidR="005136E4" w:rsidRPr="00827818" w:rsidRDefault="005136E4" w:rsidP="007C5CB6">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r>
      <w:tr w:rsidR="005136E4" w:rsidRPr="00827818" w:rsidTr="007C5CB6">
        <w:trPr>
          <w:trHeight w:val="274"/>
          <w:jc w:val="center"/>
        </w:trPr>
        <w:tc>
          <w:tcPr>
            <w:tcW w:w="1386" w:type="pct"/>
            <w:vMerge w:val="restart"/>
            <w:shd w:val="clear" w:color="auto" w:fill="auto"/>
          </w:tcPr>
          <w:p w:rsidR="005136E4" w:rsidRPr="00827818" w:rsidRDefault="005136E4" w:rsidP="007C5CB6">
            <w:pPr>
              <w:spacing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Подаци о циљним вредностима</w:t>
            </w:r>
          </w:p>
        </w:tc>
        <w:tc>
          <w:tcPr>
            <w:tcW w:w="690" w:type="pct"/>
            <w:shd w:val="clear" w:color="auto" w:fill="FFFFFF"/>
          </w:tcPr>
          <w:p w:rsidR="005136E4" w:rsidRPr="00827818" w:rsidRDefault="005136E4" w:rsidP="007C5CB6">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2021.</w:t>
            </w:r>
          </w:p>
        </w:tc>
        <w:tc>
          <w:tcPr>
            <w:tcW w:w="689" w:type="pct"/>
            <w:gridSpan w:val="2"/>
            <w:shd w:val="clear" w:color="auto" w:fill="FFFFFF"/>
          </w:tcPr>
          <w:p w:rsidR="005136E4" w:rsidRPr="00827818" w:rsidRDefault="005136E4" w:rsidP="007C5CB6">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2022.</w:t>
            </w:r>
          </w:p>
        </w:tc>
        <w:tc>
          <w:tcPr>
            <w:tcW w:w="689" w:type="pct"/>
            <w:gridSpan w:val="3"/>
            <w:shd w:val="clear" w:color="auto" w:fill="FFFFFF"/>
          </w:tcPr>
          <w:p w:rsidR="005136E4" w:rsidRPr="00827818" w:rsidRDefault="005136E4" w:rsidP="007C5CB6">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2023.</w:t>
            </w:r>
          </w:p>
        </w:tc>
        <w:tc>
          <w:tcPr>
            <w:tcW w:w="689" w:type="pct"/>
            <w:gridSpan w:val="2"/>
            <w:shd w:val="clear" w:color="auto" w:fill="FFFFFF"/>
          </w:tcPr>
          <w:p w:rsidR="005136E4" w:rsidRPr="00827818" w:rsidRDefault="005136E4" w:rsidP="007C5CB6">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2024.</w:t>
            </w:r>
          </w:p>
        </w:tc>
        <w:tc>
          <w:tcPr>
            <w:tcW w:w="857" w:type="pct"/>
            <w:shd w:val="clear" w:color="auto" w:fill="FFFFFF"/>
          </w:tcPr>
          <w:p w:rsidR="005136E4" w:rsidRPr="00827818" w:rsidRDefault="005136E4" w:rsidP="007C5CB6">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2025.</w:t>
            </w:r>
          </w:p>
        </w:tc>
      </w:tr>
      <w:tr w:rsidR="005136E4" w:rsidRPr="00827818" w:rsidTr="007C5CB6">
        <w:trPr>
          <w:trHeight w:val="160"/>
          <w:jc w:val="center"/>
        </w:trPr>
        <w:tc>
          <w:tcPr>
            <w:tcW w:w="1386" w:type="pct"/>
            <w:vMerge/>
            <w:shd w:val="clear" w:color="auto" w:fill="auto"/>
          </w:tcPr>
          <w:p w:rsidR="005136E4" w:rsidRPr="00827818" w:rsidRDefault="005136E4" w:rsidP="007C5CB6">
            <w:pPr>
              <w:spacing w:before="50" w:after="50"/>
              <w:rPr>
                <w:rFonts w:ascii="Times New Roman" w:eastAsia="Calibri" w:hAnsi="Times New Roman" w:cs="Times New Roman"/>
                <w:b/>
                <w:bCs/>
                <w:sz w:val="20"/>
                <w:szCs w:val="20"/>
                <w:lang w:val="sr-Cyrl-CS"/>
              </w:rPr>
            </w:pPr>
          </w:p>
        </w:tc>
        <w:tc>
          <w:tcPr>
            <w:tcW w:w="690" w:type="pct"/>
            <w:shd w:val="clear" w:color="auto" w:fill="FFFFFF"/>
            <w:vAlign w:val="center"/>
          </w:tcPr>
          <w:p w:rsidR="005136E4" w:rsidRPr="00827818" w:rsidRDefault="005136E4" w:rsidP="007C5CB6">
            <w:pPr>
              <w:spacing w:before="50" w:after="50"/>
              <w:jc w:val="center"/>
              <w:rPr>
                <w:rFonts w:ascii="Times New Roman" w:eastAsia="Calibri" w:hAnsi="Times New Roman" w:cs="Times New Roman"/>
                <w:iCs/>
                <w:sz w:val="20"/>
                <w:szCs w:val="20"/>
                <w:lang w:val="sr-Cyrl-CS"/>
              </w:rPr>
            </w:pPr>
          </w:p>
        </w:tc>
        <w:tc>
          <w:tcPr>
            <w:tcW w:w="689" w:type="pct"/>
            <w:gridSpan w:val="2"/>
            <w:shd w:val="clear" w:color="auto" w:fill="FFFFFF"/>
          </w:tcPr>
          <w:p w:rsidR="005136E4" w:rsidRPr="00827818" w:rsidRDefault="005136E4" w:rsidP="007C5CB6">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0</w:t>
            </w:r>
          </w:p>
        </w:tc>
        <w:tc>
          <w:tcPr>
            <w:tcW w:w="689" w:type="pct"/>
            <w:gridSpan w:val="3"/>
            <w:shd w:val="clear" w:color="auto" w:fill="FFFFFF"/>
          </w:tcPr>
          <w:p w:rsidR="005136E4" w:rsidRPr="00827818" w:rsidRDefault="005136E4" w:rsidP="007C5CB6">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0</w:t>
            </w:r>
          </w:p>
        </w:tc>
        <w:tc>
          <w:tcPr>
            <w:tcW w:w="689" w:type="pct"/>
            <w:gridSpan w:val="2"/>
            <w:shd w:val="clear" w:color="auto" w:fill="FFFFFF"/>
          </w:tcPr>
          <w:p w:rsidR="005136E4" w:rsidRPr="00827818" w:rsidRDefault="005136E4" w:rsidP="007C5CB6">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40%</w:t>
            </w:r>
          </w:p>
        </w:tc>
        <w:tc>
          <w:tcPr>
            <w:tcW w:w="857" w:type="pct"/>
            <w:shd w:val="clear" w:color="auto" w:fill="FFFFFF"/>
          </w:tcPr>
          <w:p w:rsidR="005136E4" w:rsidRPr="00827818" w:rsidRDefault="005136E4" w:rsidP="007C5CB6">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60%</w:t>
            </w:r>
          </w:p>
        </w:tc>
      </w:tr>
      <w:tr w:rsidR="005136E4" w:rsidRPr="00827818" w:rsidTr="007C5CB6">
        <w:trPr>
          <w:trHeight w:val="160"/>
          <w:jc w:val="center"/>
        </w:trPr>
        <w:tc>
          <w:tcPr>
            <w:tcW w:w="1386" w:type="pct"/>
            <w:shd w:val="clear" w:color="auto" w:fill="auto"/>
          </w:tcPr>
          <w:p w:rsidR="005136E4" w:rsidRPr="00827818" w:rsidRDefault="005136E4" w:rsidP="007C5CB6">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Процена успешности</w:t>
            </w:r>
          </w:p>
        </w:tc>
        <w:tc>
          <w:tcPr>
            <w:tcW w:w="3614" w:type="pct"/>
            <w:gridSpan w:val="9"/>
            <w:shd w:val="clear" w:color="auto" w:fill="FFFFFF"/>
            <w:vAlign w:val="center"/>
          </w:tcPr>
          <w:p w:rsidR="005136E4" w:rsidRPr="00827818" w:rsidRDefault="005136E4" w:rsidP="007C5CB6">
            <w:pPr>
              <w:spacing w:before="50" w:after="50"/>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 xml:space="preserve">Одступање до 5% је прихватљиво. </w:t>
            </w:r>
          </w:p>
        </w:tc>
      </w:tr>
    </w:tbl>
    <w:p w:rsidR="00EA4039" w:rsidRPr="00827818" w:rsidRDefault="00EA4039" w:rsidP="00736982">
      <w:pPr>
        <w:ind w:firstLine="720"/>
        <w:jc w:val="right"/>
        <w:rPr>
          <w:rFonts w:ascii="Times New Roman" w:hAnsi="Times New Roman" w:cs="Times New Roman"/>
          <w:sz w:val="24"/>
          <w:szCs w:val="24"/>
          <w:lang w:val="sr-Cyrl-CS"/>
        </w:rPr>
      </w:pPr>
      <w:r w:rsidRPr="00827818">
        <w:rPr>
          <w:rFonts w:ascii="Times New Roman" w:hAnsi="Times New Roman" w:cs="Times New Roman"/>
          <w:sz w:val="24"/>
          <w:szCs w:val="24"/>
          <w:lang w:val="sr-Cyrl-CS"/>
        </w:rPr>
        <w:t>ˮ .</w:t>
      </w:r>
    </w:p>
    <w:p w:rsidR="00736982" w:rsidRDefault="004A0B7F" w:rsidP="00EA4039">
      <w:pPr>
        <w:ind w:firstLine="720"/>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t>7</w:t>
      </w:r>
      <w:r w:rsidR="00F47AA2">
        <w:rPr>
          <w:rFonts w:ascii="Times New Roman" w:hAnsi="Times New Roman" w:cs="Times New Roman"/>
          <w:sz w:val="24"/>
          <w:szCs w:val="24"/>
          <w:lang w:val="sr-Cyrl-CS"/>
        </w:rPr>
        <w:t>4</w:t>
      </w:r>
      <w:r w:rsidRPr="00827818">
        <w:rPr>
          <w:rFonts w:ascii="Times New Roman" w:hAnsi="Times New Roman" w:cs="Times New Roman"/>
          <w:sz w:val="24"/>
          <w:szCs w:val="24"/>
          <w:lang w:val="sr-Cyrl-CS"/>
        </w:rPr>
        <w:t>. П</w:t>
      </w:r>
      <w:r w:rsidR="00E917DB" w:rsidRPr="00827818">
        <w:rPr>
          <w:rFonts w:ascii="Times New Roman" w:hAnsi="Times New Roman" w:cs="Times New Roman"/>
          <w:sz w:val="24"/>
          <w:szCs w:val="24"/>
          <w:lang w:val="sr-Cyrl-CS"/>
        </w:rPr>
        <w:t>оказатељ</w:t>
      </w:r>
      <w:r w:rsidR="008F6387" w:rsidRPr="00827818">
        <w:rPr>
          <w:rFonts w:ascii="Times New Roman" w:hAnsi="Times New Roman" w:cs="Times New Roman"/>
          <w:sz w:val="24"/>
          <w:szCs w:val="24"/>
          <w:lang w:val="sr-Cyrl-CS"/>
        </w:rPr>
        <w:t xml:space="preserve"> на нивоу </w:t>
      </w:r>
      <w:r w:rsidRPr="00827818">
        <w:rPr>
          <w:rFonts w:ascii="Times New Roman" w:hAnsi="Times New Roman" w:cs="Times New Roman"/>
          <w:sz w:val="24"/>
          <w:szCs w:val="24"/>
          <w:lang w:val="sr-Cyrl-CS"/>
        </w:rPr>
        <w:t>М</w:t>
      </w:r>
      <w:r w:rsidR="008F6387" w:rsidRPr="00827818">
        <w:rPr>
          <w:rFonts w:ascii="Times New Roman" w:hAnsi="Times New Roman" w:cs="Times New Roman"/>
          <w:sz w:val="24"/>
          <w:szCs w:val="24"/>
          <w:lang w:val="sr-Cyrl-CS"/>
        </w:rPr>
        <w:t xml:space="preserve">ере 1.4. </w:t>
      </w:r>
      <w:r w:rsidR="006B53A0" w:rsidRPr="00827818">
        <w:rPr>
          <w:rFonts w:ascii="Times New Roman" w:hAnsi="Times New Roman" w:cs="Times New Roman"/>
          <w:sz w:val="24"/>
          <w:szCs w:val="24"/>
          <w:lang w:val="sr-Cyrl-CS"/>
        </w:rPr>
        <w:t xml:space="preserve">Одржане обуке за државне службенике из ресорних министарстава и других институција који обављају послове управљања пројектима </w:t>
      </w:r>
      <w:r w:rsidR="004F4B72" w:rsidRPr="00827818">
        <w:rPr>
          <w:rFonts w:ascii="Times New Roman" w:hAnsi="Times New Roman" w:cs="Times New Roman"/>
          <w:sz w:val="24"/>
          <w:szCs w:val="24"/>
          <w:lang w:val="sr-Cyrl-CS"/>
        </w:rPr>
        <w:t xml:space="preserve">мења се и </w:t>
      </w:r>
      <w:r w:rsidR="00E917DB" w:rsidRPr="00827818">
        <w:rPr>
          <w:rFonts w:ascii="Times New Roman" w:hAnsi="Times New Roman" w:cs="Times New Roman"/>
          <w:sz w:val="24"/>
          <w:szCs w:val="24"/>
          <w:lang w:val="sr-Cyrl-CS"/>
        </w:rPr>
        <w:t>гласи</w:t>
      </w:r>
      <w:r w:rsidR="008F6387" w:rsidRPr="00827818">
        <w:rPr>
          <w:rFonts w:ascii="Times New Roman" w:hAnsi="Times New Roman" w:cs="Times New Roman"/>
          <w:sz w:val="24"/>
          <w:szCs w:val="24"/>
          <w:lang w:val="sr-Cyrl-CS"/>
        </w:rPr>
        <w:t xml:space="preserve">: </w:t>
      </w:r>
    </w:p>
    <w:p w:rsidR="008F6387" w:rsidRPr="00827818" w:rsidDel="00BF33EF" w:rsidRDefault="008F6387" w:rsidP="00736982">
      <w:pPr>
        <w:jc w:val="both"/>
        <w:rPr>
          <w:rFonts w:ascii="Times New Roman" w:hAnsi="Times New Roman" w:cs="Times New Roman"/>
          <w:sz w:val="24"/>
          <w:szCs w:val="24"/>
          <w:lang w:val="sr-Cyrl-CS"/>
        </w:rPr>
      </w:pPr>
      <w:r w:rsidRPr="00827818">
        <w:rPr>
          <w:rFonts w:ascii="Times New Roman" w:hAnsi="Times New Roman" w:cs="Times New Roman"/>
          <w:sz w:val="24"/>
          <w:szCs w:val="24"/>
          <w:lang w:val="sr-Cyrl-CS"/>
        </w:rPr>
        <w:lastRenderedPageBreak/>
        <w:t>„</w:t>
      </w:r>
      <w:r w:rsidR="00B370AF" w:rsidRPr="00827818">
        <w:rPr>
          <w:rFonts w:ascii="Times New Roman" w:hAnsi="Times New Roman" w:cs="Times New Roman"/>
          <w:sz w:val="24"/>
          <w:szCs w:val="24"/>
          <w:lang w:val="sr-Cyrl-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1333"/>
        <w:gridCol w:w="389"/>
        <w:gridCol w:w="942"/>
        <w:gridCol w:w="466"/>
        <w:gridCol w:w="202"/>
        <w:gridCol w:w="666"/>
        <w:gridCol w:w="875"/>
        <w:gridCol w:w="456"/>
        <w:gridCol w:w="1339"/>
      </w:tblGrid>
      <w:tr w:rsidR="008F6387" w:rsidRPr="00827818" w:rsidTr="00105CD1">
        <w:trPr>
          <w:jc w:val="center"/>
        </w:trPr>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8F6387" w:rsidRPr="00827818" w:rsidRDefault="008F6387" w:rsidP="00D57BAA">
            <w:pPr>
              <w:spacing w:before="100" w:after="100" w:line="276" w:lineRule="auto"/>
              <w:jc w:val="both"/>
              <w:rPr>
                <w:rFonts w:ascii="Times New Roman" w:eastAsia="Calibri" w:hAnsi="Times New Roman" w:cs="Times New Roman"/>
                <w:b/>
                <w:bCs/>
                <w:color w:val="000000" w:themeColor="text1"/>
                <w:sz w:val="20"/>
                <w:szCs w:val="20"/>
                <w:lang w:val="sr-Cyrl-CS"/>
              </w:rPr>
            </w:pPr>
            <w:r w:rsidRPr="00827818">
              <w:rPr>
                <w:rFonts w:ascii="Times New Roman" w:eastAsia="Calibri" w:hAnsi="Times New Roman" w:cs="Times New Roman"/>
                <w:b/>
                <w:bCs/>
                <w:color w:val="000000" w:themeColor="text1"/>
                <w:sz w:val="20"/>
                <w:szCs w:val="20"/>
                <w:lang w:val="sr-Cyrl-CS"/>
              </w:rPr>
              <w:t>Назив показатеља</w:t>
            </w:r>
          </w:p>
        </w:tc>
        <w:tc>
          <w:tcPr>
            <w:tcW w:w="356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F6387" w:rsidRPr="00827818" w:rsidRDefault="008F6387" w:rsidP="00D57BAA">
            <w:pPr>
              <w:spacing w:before="100" w:after="100" w:line="276" w:lineRule="auto"/>
              <w:jc w:val="both"/>
              <w:rPr>
                <w:rFonts w:ascii="Times New Roman" w:eastAsia="Calibri" w:hAnsi="Times New Roman" w:cs="Times New Roman"/>
                <w:bCs/>
                <w:color w:val="000000" w:themeColor="text1"/>
                <w:sz w:val="20"/>
                <w:szCs w:val="20"/>
                <w:lang w:val="sr-Cyrl-CS"/>
              </w:rPr>
            </w:pPr>
            <w:r w:rsidRPr="00827818">
              <w:rPr>
                <w:rFonts w:ascii="Times New Roman" w:eastAsia="Calibri" w:hAnsi="Times New Roman" w:cs="Times New Roman"/>
                <w:bCs/>
                <w:color w:val="000000" w:themeColor="text1"/>
                <w:sz w:val="20"/>
                <w:szCs w:val="20"/>
                <w:lang w:val="sr-Cyrl-CS"/>
              </w:rPr>
              <w:t xml:space="preserve">Одржане обуке за државне службенике из ресорних министарстава и других институција који обављају послове управљања пројектима </w:t>
            </w:r>
          </w:p>
        </w:tc>
      </w:tr>
      <w:tr w:rsidR="008F6387" w:rsidRPr="00827818" w:rsidTr="00881211">
        <w:trPr>
          <w:jc w:val="center"/>
        </w:trPr>
        <w:tc>
          <w:tcPr>
            <w:tcW w:w="1434" w:type="pct"/>
            <w:tcBorders>
              <w:top w:val="single" w:sz="4" w:space="0" w:color="auto"/>
              <w:left w:val="single" w:sz="4" w:space="0" w:color="auto"/>
              <w:bottom w:val="single" w:sz="4" w:space="0" w:color="auto"/>
              <w:right w:val="single" w:sz="4" w:space="0" w:color="auto"/>
            </w:tcBorders>
            <w:shd w:val="clear" w:color="auto" w:fill="auto"/>
          </w:tcPr>
          <w:p w:rsidR="008F6387" w:rsidRPr="00827818" w:rsidRDefault="008F6387" w:rsidP="00D57BAA">
            <w:pPr>
              <w:spacing w:before="100" w:after="10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Одговарајући општи циљ, посебан циљ или мера</w:t>
            </w:r>
          </w:p>
        </w:tc>
        <w:tc>
          <w:tcPr>
            <w:tcW w:w="3566" w:type="pct"/>
            <w:gridSpan w:val="9"/>
            <w:tcBorders>
              <w:top w:val="single" w:sz="4" w:space="0" w:color="auto"/>
              <w:left w:val="single" w:sz="4" w:space="0" w:color="auto"/>
              <w:bottom w:val="single" w:sz="4" w:space="0" w:color="auto"/>
              <w:right w:val="single" w:sz="4" w:space="0" w:color="auto"/>
            </w:tcBorders>
            <w:shd w:val="clear" w:color="auto" w:fill="FFFFFF"/>
          </w:tcPr>
          <w:p w:rsidR="008F6387" w:rsidRPr="00827818" w:rsidRDefault="008F6387" w:rsidP="00D57BAA">
            <w:pPr>
              <w:spacing w:before="100" w:after="100" w:line="276" w:lineRule="auto"/>
              <w:jc w:val="both"/>
              <w:rPr>
                <w:rFonts w:ascii="Times New Roman" w:eastAsia="Calibri" w:hAnsi="Times New Roman" w:cs="Times New Roman"/>
                <w:b/>
                <w:iCs/>
                <w:color w:val="000000"/>
                <w:sz w:val="20"/>
                <w:szCs w:val="20"/>
                <w:lang w:val="sr-Cyrl-CS"/>
              </w:rPr>
            </w:pPr>
            <w:r w:rsidRPr="00827818">
              <w:rPr>
                <w:rFonts w:ascii="Times New Roman" w:eastAsia="Calibri" w:hAnsi="Times New Roman" w:cs="Times New Roman"/>
                <w:b/>
                <w:iCs/>
                <w:color w:val="000000"/>
                <w:sz w:val="20"/>
                <w:szCs w:val="20"/>
                <w:lang w:val="sr-Cyrl-CS"/>
              </w:rPr>
              <w:t xml:space="preserve">Мера 1.4: Унапређење окружења за ефикасно управљање капиталним пројектима </w:t>
            </w:r>
          </w:p>
        </w:tc>
      </w:tr>
      <w:tr w:rsidR="008F6387" w:rsidRPr="00827818" w:rsidTr="00881211">
        <w:trPr>
          <w:jc w:val="center"/>
        </w:trPr>
        <w:tc>
          <w:tcPr>
            <w:tcW w:w="1434" w:type="pct"/>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kern w:val="24"/>
                <w:sz w:val="20"/>
                <w:szCs w:val="20"/>
                <w:lang w:val="sr-Cyrl-CS"/>
              </w:rPr>
              <w:t>Тип и ниво показатеља</w:t>
            </w:r>
          </w:p>
        </w:tc>
        <w:tc>
          <w:tcPr>
            <w:tcW w:w="1674" w:type="pct"/>
            <w:gridSpan w:val="4"/>
            <w:shd w:val="clear" w:color="auto" w:fill="FFFFFF"/>
            <w:vAlign w:val="center"/>
          </w:tcPr>
          <w:p w:rsidR="008F6387" w:rsidRPr="00827818" w:rsidRDefault="008F6387" w:rsidP="00D57BAA">
            <w:pPr>
              <w:spacing w:after="0" w:line="276" w:lineRule="auto"/>
              <w:jc w:val="both"/>
              <w:rPr>
                <w:rFonts w:ascii="Times New Roman" w:eastAsia="Calibri" w:hAnsi="Times New Roman" w:cs="Times New Roman"/>
                <w:bCs/>
                <w:iCs/>
                <w:kern w:val="24"/>
                <w:sz w:val="20"/>
                <w:szCs w:val="20"/>
                <w:lang w:val="sr-Cyrl-CS"/>
              </w:rPr>
            </w:pPr>
            <w:r w:rsidRPr="00827818">
              <w:rPr>
                <w:rFonts w:ascii="Times New Roman" w:eastAsia="Calibri" w:hAnsi="Times New Roman" w:cs="Times New Roman"/>
                <w:bCs/>
                <w:iCs/>
                <w:kern w:val="24"/>
                <w:sz w:val="20"/>
                <w:szCs w:val="20"/>
                <w:lang w:val="sr-Cyrl-CS"/>
              </w:rPr>
              <w:t>Квантитативни</w:t>
            </w:r>
          </w:p>
        </w:tc>
        <w:tc>
          <w:tcPr>
            <w:tcW w:w="1892" w:type="pct"/>
            <w:gridSpan w:val="5"/>
            <w:shd w:val="clear" w:color="auto" w:fill="FFFFFF"/>
            <w:vAlign w:val="center"/>
          </w:tcPr>
          <w:p w:rsidR="008F6387" w:rsidRPr="00827818" w:rsidRDefault="008F6387" w:rsidP="00D57BAA">
            <w:pPr>
              <w:spacing w:after="0" w:line="276" w:lineRule="auto"/>
              <w:jc w:val="both"/>
              <w:rPr>
                <w:rFonts w:ascii="Times New Roman" w:eastAsia="Calibri" w:hAnsi="Times New Roman" w:cs="Times New Roman"/>
                <w:bCs/>
                <w:iCs/>
                <w:kern w:val="24"/>
                <w:sz w:val="20"/>
                <w:szCs w:val="20"/>
                <w:lang w:val="sr-Cyrl-CS"/>
              </w:rPr>
            </w:pPr>
            <w:r w:rsidRPr="00827818">
              <w:rPr>
                <w:rFonts w:ascii="Times New Roman" w:eastAsia="Calibri" w:hAnsi="Times New Roman" w:cs="Times New Roman"/>
                <w:bCs/>
                <w:iCs/>
                <w:kern w:val="24"/>
                <w:sz w:val="20"/>
                <w:szCs w:val="20"/>
                <w:lang w:val="sr-Cyrl-CS"/>
              </w:rPr>
              <w:t>Показатељ на нивоу мере</w:t>
            </w:r>
          </w:p>
        </w:tc>
      </w:tr>
      <w:tr w:rsidR="008F6387" w:rsidRPr="00827818" w:rsidTr="00881211">
        <w:trPr>
          <w:trHeight w:val="373"/>
          <w:jc w:val="center"/>
        </w:trPr>
        <w:tc>
          <w:tcPr>
            <w:tcW w:w="1434" w:type="pct"/>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kern w:val="24"/>
                <w:sz w:val="20"/>
                <w:szCs w:val="20"/>
                <w:lang w:val="sr-Cyrl-CS"/>
              </w:rPr>
            </w:pPr>
            <w:r w:rsidRPr="00827818">
              <w:rPr>
                <w:rFonts w:ascii="Times New Roman" w:eastAsia="Calibri" w:hAnsi="Times New Roman" w:cs="Times New Roman"/>
                <w:b/>
                <w:kern w:val="24"/>
                <w:sz w:val="20"/>
                <w:szCs w:val="20"/>
                <w:lang w:val="sr-Cyrl-CS"/>
              </w:rPr>
              <w:t>Јединица мере и природа</w:t>
            </w:r>
          </w:p>
        </w:tc>
        <w:tc>
          <w:tcPr>
            <w:tcW w:w="1674" w:type="pct"/>
            <w:gridSpan w:val="4"/>
            <w:shd w:val="clear" w:color="auto" w:fill="FFFFFF"/>
            <w:vAlign w:val="center"/>
          </w:tcPr>
          <w:p w:rsidR="008F6387" w:rsidRPr="00827818" w:rsidRDefault="008F6387" w:rsidP="00D57BAA">
            <w:pPr>
              <w:tabs>
                <w:tab w:val="left" w:pos="152"/>
              </w:tabs>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Број</w:t>
            </w:r>
          </w:p>
        </w:tc>
        <w:tc>
          <w:tcPr>
            <w:tcW w:w="1892" w:type="pct"/>
            <w:gridSpan w:val="5"/>
            <w:shd w:val="clear" w:color="auto" w:fill="FFFFFF"/>
            <w:vAlign w:val="center"/>
          </w:tcPr>
          <w:p w:rsidR="008F6387" w:rsidRPr="00827818" w:rsidRDefault="008F6387" w:rsidP="00D57BAA">
            <w:pPr>
              <w:spacing w:after="0" w:line="276" w:lineRule="auto"/>
              <w:jc w:val="both"/>
              <w:rPr>
                <w:rFonts w:ascii="Times New Roman" w:eastAsia="Arial" w:hAnsi="Times New Roman" w:cs="Times New Roman"/>
                <w:iCs/>
                <w:color w:val="000000"/>
                <w:spacing w:val="-1"/>
                <w:kern w:val="24"/>
                <w:sz w:val="20"/>
                <w:szCs w:val="20"/>
                <w:lang w:val="sr-Cyrl-CS"/>
              </w:rPr>
            </w:pPr>
            <w:r w:rsidRPr="00827818">
              <w:rPr>
                <w:rFonts w:ascii="Times New Roman" w:eastAsia="Arial" w:hAnsi="Times New Roman" w:cs="Times New Roman"/>
                <w:iCs/>
                <w:color w:val="000000"/>
                <w:spacing w:val="-1"/>
                <w:kern w:val="24"/>
                <w:sz w:val="20"/>
                <w:szCs w:val="20"/>
                <w:lang w:val="sr-Cyrl-CS"/>
              </w:rPr>
              <w:t>Унапређење управљања капиталним пројектима, пожељна је већа вредност</w:t>
            </w:r>
          </w:p>
        </w:tc>
      </w:tr>
      <w:tr w:rsidR="008F6387" w:rsidRPr="00827818" w:rsidTr="00881211">
        <w:trPr>
          <w:jc w:val="center"/>
        </w:trPr>
        <w:tc>
          <w:tcPr>
            <w:tcW w:w="1434" w:type="pct"/>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Извор података за праћење показатеља учинка</w:t>
            </w:r>
          </w:p>
        </w:tc>
        <w:tc>
          <w:tcPr>
            <w:tcW w:w="3566" w:type="pct"/>
            <w:gridSpan w:val="9"/>
            <w:shd w:val="clear" w:color="auto" w:fill="FFFFFF"/>
            <w:vAlign w:val="center"/>
          </w:tcPr>
          <w:p w:rsidR="008F6387" w:rsidRPr="00827818" w:rsidRDefault="008F6387" w:rsidP="00D57BAA">
            <w:pPr>
              <w:spacing w:before="100" w:after="100" w:line="276" w:lineRule="auto"/>
              <w:jc w:val="both"/>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Извештај о одржаним обукама – НАЈУ/друге институције где се одржавају обуке</w:t>
            </w:r>
          </w:p>
        </w:tc>
      </w:tr>
      <w:tr w:rsidR="008F6387" w:rsidRPr="00827818" w:rsidTr="00881211">
        <w:trPr>
          <w:jc w:val="center"/>
        </w:trPr>
        <w:tc>
          <w:tcPr>
            <w:tcW w:w="1434" w:type="pct"/>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Назив носиоца прикупљања података</w:t>
            </w:r>
          </w:p>
        </w:tc>
        <w:tc>
          <w:tcPr>
            <w:tcW w:w="3566" w:type="pct"/>
            <w:gridSpan w:val="9"/>
            <w:shd w:val="clear" w:color="auto" w:fill="FFFFFF"/>
            <w:vAlign w:val="center"/>
          </w:tcPr>
          <w:p w:rsidR="008F6387" w:rsidRPr="00827818" w:rsidRDefault="008F6387" w:rsidP="00D57BAA">
            <w:pPr>
              <w:spacing w:before="100" w:after="100" w:line="276" w:lineRule="auto"/>
              <w:jc w:val="both"/>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Министарство финансија- Сектор за праћење фискалних ризика</w:t>
            </w:r>
          </w:p>
        </w:tc>
      </w:tr>
      <w:tr w:rsidR="008F6387" w:rsidRPr="00827818" w:rsidTr="00881211">
        <w:trPr>
          <w:jc w:val="center"/>
        </w:trPr>
        <w:tc>
          <w:tcPr>
            <w:tcW w:w="1434" w:type="pct"/>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Учесталост прикупљања података</w:t>
            </w:r>
          </w:p>
        </w:tc>
        <w:tc>
          <w:tcPr>
            <w:tcW w:w="3566" w:type="pct"/>
            <w:gridSpan w:val="9"/>
            <w:shd w:val="clear" w:color="auto" w:fill="FFFFFF"/>
            <w:vAlign w:val="center"/>
          </w:tcPr>
          <w:p w:rsidR="008F6387" w:rsidRPr="00827818" w:rsidRDefault="008F6387" w:rsidP="00D57BAA">
            <w:pPr>
              <w:spacing w:before="50" w:after="50" w:line="276" w:lineRule="auto"/>
              <w:jc w:val="both"/>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 xml:space="preserve">Годишње </w:t>
            </w:r>
          </w:p>
        </w:tc>
      </w:tr>
      <w:tr w:rsidR="008F6387" w:rsidRPr="00827818" w:rsidTr="00881211">
        <w:trPr>
          <w:trHeight w:val="274"/>
          <w:jc w:val="center"/>
        </w:trPr>
        <w:tc>
          <w:tcPr>
            <w:tcW w:w="1434" w:type="pct"/>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sz w:val="20"/>
                <w:szCs w:val="20"/>
                <w:lang w:val="sr-Cyrl-CS"/>
              </w:rPr>
            </w:pPr>
            <w:r w:rsidRPr="00827818">
              <w:rPr>
                <w:rFonts w:ascii="Times New Roman" w:eastAsia="Calibri" w:hAnsi="Times New Roman" w:cs="Times New Roman"/>
                <w:b/>
                <w:sz w:val="20"/>
                <w:szCs w:val="20"/>
                <w:lang w:val="sr-Cyrl-CS"/>
              </w:rPr>
              <w:t>Кратак опис показатеља и методологије израчунавања</w:t>
            </w:r>
          </w:p>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sz w:val="20"/>
                <w:szCs w:val="20"/>
                <w:lang w:val="sr-Cyrl-CS"/>
              </w:rPr>
              <w:t>(формуле/ једначине)</w:t>
            </w:r>
          </w:p>
        </w:tc>
        <w:tc>
          <w:tcPr>
            <w:tcW w:w="3566" w:type="pct"/>
            <w:gridSpan w:val="9"/>
            <w:shd w:val="clear" w:color="auto" w:fill="FFFFFF"/>
          </w:tcPr>
          <w:p w:rsidR="008F6387" w:rsidRPr="00827818" w:rsidRDefault="008F6387" w:rsidP="00D57BAA">
            <w:pPr>
              <w:spacing w:before="50" w:after="50" w:line="276" w:lineRule="auto"/>
              <w:jc w:val="both"/>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Показатељ се односи на број спроведених обука</w:t>
            </w:r>
            <w:r w:rsidR="003A56A6" w:rsidRPr="00827818">
              <w:rPr>
                <w:rFonts w:ascii="Times New Roman" w:eastAsia="Calibri" w:hAnsi="Times New Roman" w:cs="Times New Roman"/>
                <w:sz w:val="20"/>
                <w:szCs w:val="20"/>
                <w:lang w:val="sr-Cyrl-CS"/>
              </w:rPr>
              <w:t xml:space="preserve"> а крајњи циљ је да обукама буду обухваћени представници свих овлашћених предлагача.</w:t>
            </w:r>
            <w:r w:rsidRPr="00827818">
              <w:rPr>
                <w:rFonts w:ascii="Times New Roman" w:eastAsia="Calibri" w:hAnsi="Times New Roman" w:cs="Times New Roman"/>
                <w:sz w:val="20"/>
                <w:szCs w:val="20"/>
                <w:lang w:val="sr-Cyrl-CS"/>
              </w:rPr>
              <w:t xml:space="preserve">. </w:t>
            </w:r>
          </w:p>
        </w:tc>
      </w:tr>
      <w:tr w:rsidR="008F6387" w:rsidRPr="00827818" w:rsidTr="00881211">
        <w:trPr>
          <w:trHeight w:val="413"/>
          <w:jc w:val="center"/>
        </w:trPr>
        <w:tc>
          <w:tcPr>
            <w:tcW w:w="1434" w:type="pct"/>
            <w:vMerge w:val="restart"/>
            <w:shd w:val="clear" w:color="auto" w:fill="auto"/>
          </w:tcPr>
          <w:p w:rsidR="008F6387" w:rsidRPr="00827818" w:rsidRDefault="008F6387" w:rsidP="00D57BAA">
            <w:pPr>
              <w:spacing w:before="50" w:after="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 xml:space="preserve">Подаци о полазној вредности и години кад је измерена, као и о ранијем тренду </w:t>
            </w:r>
          </w:p>
        </w:tc>
        <w:tc>
          <w:tcPr>
            <w:tcW w:w="2606" w:type="pct"/>
            <w:gridSpan w:val="7"/>
            <w:tcBorders>
              <w:bottom w:val="single" w:sz="4" w:space="0" w:color="auto"/>
            </w:tcBorders>
            <w:shd w:val="clear" w:color="auto" w:fill="FFFFFF"/>
          </w:tcPr>
          <w:p w:rsidR="008F6387" w:rsidRPr="00827818" w:rsidRDefault="008F6387"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Ранији тренд</w:t>
            </w:r>
          </w:p>
        </w:tc>
        <w:tc>
          <w:tcPr>
            <w:tcW w:w="960" w:type="pct"/>
            <w:gridSpan w:val="2"/>
            <w:shd w:val="clear" w:color="auto" w:fill="FFFFFF"/>
          </w:tcPr>
          <w:p w:rsidR="008F6387" w:rsidRPr="00827818" w:rsidRDefault="008F6387"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Полазна вредност</w:t>
            </w:r>
          </w:p>
        </w:tc>
      </w:tr>
      <w:tr w:rsidR="008F6387" w:rsidRPr="00827818" w:rsidTr="00881211">
        <w:trPr>
          <w:trHeight w:val="137"/>
          <w:jc w:val="center"/>
        </w:trPr>
        <w:tc>
          <w:tcPr>
            <w:tcW w:w="1434" w:type="pct"/>
            <w:vMerge/>
            <w:tcBorders>
              <w:right w:val="single" w:sz="4" w:space="0" w:color="auto"/>
            </w:tcBorders>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p>
        </w:tc>
        <w:tc>
          <w:tcPr>
            <w:tcW w:w="921" w:type="pct"/>
            <w:gridSpan w:val="2"/>
            <w:tcBorders>
              <w:top w:val="single" w:sz="4" w:space="0" w:color="auto"/>
              <w:left w:val="single" w:sz="4" w:space="0" w:color="auto"/>
              <w:bottom w:val="single" w:sz="4" w:space="0" w:color="auto"/>
              <w:right w:val="single" w:sz="4" w:space="0" w:color="auto"/>
            </w:tcBorders>
            <w:shd w:val="clear" w:color="auto" w:fill="FFFFFF"/>
          </w:tcPr>
          <w:p w:rsidR="008F6387" w:rsidRPr="00827818" w:rsidRDefault="008F6387"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2016.</w:t>
            </w:r>
          </w:p>
        </w:tc>
        <w:tc>
          <w:tcPr>
            <w:tcW w:w="861" w:type="pct"/>
            <w:gridSpan w:val="3"/>
            <w:tcBorders>
              <w:top w:val="single" w:sz="4" w:space="0" w:color="auto"/>
              <w:left w:val="single" w:sz="4" w:space="0" w:color="auto"/>
              <w:bottom w:val="single" w:sz="4" w:space="0" w:color="auto"/>
              <w:right w:val="single" w:sz="4" w:space="0" w:color="auto"/>
            </w:tcBorders>
            <w:shd w:val="clear" w:color="auto" w:fill="FFFFFF"/>
          </w:tcPr>
          <w:p w:rsidR="008F6387" w:rsidRPr="00827818" w:rsidRDefault="008F6387"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2018.</w:t>
            </w:r>
          </w:p>
        </w:tc>
        <w:tc>
          <w:tcPr>
            <w:tcW w:w="824" w:type="pct"/>
            <w:gridSpan w:val="2"/>
            <w:tcBorders>
              <w:top w:val="single" w:sz="4" w:space="0" w:color="auto"/>
              <w:left w:val="single" w:sz="4" w:space="0" w:color="auto"/>
              <w:bottom w:val="single" w:sz="4" w:space="0" w:color="auto"/>
              <w:right w:val="single" w:sz="4" w:space="0" w:color="auto"/>
            </w:tcBorders>
            <w:shd w:val="clear" w:color="auto" w:fill="FFFFFF"/>
          </w:tcPr>
          <w:p w:rsidR="008F6387" w:rsidRPr="00827818" w:rsidRDefault="008F6387"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2019.</w:t>
            </w:r>
          </w:p>
        </w:tc>
        <w:tc>
          <w:tcPr>
            <w:tcW w:w="960" w:type="pct"/>
            <w:gridSpan w:val="2"/>
            <w:tcBorders>
              <w:left w:val="single" w:sz="4" w:space="0" w:color="auto"/>
            </w:tcBorders>
            <w:shd w:val="clear" w:color="auto" w:fill="FFFFFF"/>
          </w:tcPr>
          <w:p w:rsidR="008F6387" w:rsidRPr="00827818" w:rsidRDefault="008F6387"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 xml:space="preserve">2020. </w:t>
            </w:r>
          </w:p>
        </w:tc>
      </w:tr>
      <w:tr w:rsidR="008F6387" w:rsidRPr="00827818" w:rsidTr="00881211">
        <w:trPr>
          <w:trHeight w:val="323"/>
          <w:jc w:val="center"/>
        </w:trPr>
        <w:tc>
          <w:tcPr>
            <w:tcW w:w="1434" w:type="pct"/>
            <w:vMerge/>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p>
        </w:tc>
        <w:tc>
          <w:tcPr>
            <w:tcW w:w="921" w:type="pct"/>
            <w:gridSpan w:val="2"/>
            <w:tcBorders>
              <w:top w:val="single" w:sz="4" w:space="0" w:color="auto"/>
            </w:tcBorders>
            <w:shd w:val="clear" w:color="auto" w:fill="FFFFFF"/>
            <w:vAlign w:val="center"/>
          </w:tcPr>
          <w:p w:rsidR="008F6387" w:rsidRPr="00827818" w:rsidRDefault="008F6387"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61" w:type="pct"/>
            <w:gridSpan w:val="3"/>
            <w:tcBorders>
              <w:top w:val="single" w:sz="4" w:space="0" w:color="auto"/>
            </w:tcBorders>
            <w:shd w:val="clear" w:color="auto" w:fill="FFFFFF"/>
            <w:vAlign w:val="center"/>
          </w:tcPr>
          <w:p w:rsidR="008F6387" w:rsidRPr="00827818" w:rsidRDefault="008F6387"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24" w:type="pct"/>
            <w:gridSpan w:val="2"/>
            <w:tcBorders>
              <w:top w:val="single" w:sz="4" w:space="0" w:color="auto"/>
            </w:tcBorders>
            <w:shd w:val="clear" w:color="auto" w:fill="FFFFFF"/>
            <w:vAlign w:val="center"/>
          </w:tcPr>
          <w:p w:rsidR="008F6387" w:rsidRPr="00827818" w:rsidRDefault="008F6387"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960" w:type="pct"/>
            <w:gridSpan w:val="2"/>
            <w:shd w:val="clear" w:color="auto" w:fill="FFFFFF"/>
            <w:vAlign w:val="center"/>
          </w:tcPr>
          <w:p w:rsidR="008F6387" w:rsidRPr="00827818" w:rsidRDefault="008F6387"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0</w:t>
            </w:r>
          </w:p>
        </w:tc>
      </w:tr>
      <w:tr w:rsidR="008F6387" w:rsidRPr="00827818" w:rsidTr="00881211">
        <w:trPr>
          <w:trHeight w:val="274"/>
          <w:jc w:val="center"/>
        </w:trPr>
        <w:tc>
          <w:tcPr>
            <w:tcW w:w="1434" w:type="pct"/>
            <w:vMerge w:val="restart"/>
            <w:shd w:val="clear" w:color="auto" w:fill="auto"/>
          </w:tcPr>
          <w:p w:rsidR="008F6387" w:rsidRPr="00827818" w:rsidRDefault="008F6387" w:rsidP="00D57BAA">
            <w:pPr>
              <w:spacing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Подаци о циљним вредностима</w:t>
            </w:r>
          </w:p>
        </w:tc>
        <w:tc>
          <w:tcPr>
            <w:tcW w:w="713" w:type="pct"/>
            <w:shd w:val="clear" w:color="auto" w:fill="FFFFFF"/>
          </w:tcPr>
          <w:p w:rsidR="008F6387" w:rsidRPr="00827818" w:rsidRDefault="008F6387"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2021.</w:t>
            </w:r>
          </w:p>
        </w:tc>
        <w:tc>
          <w:tcPr>
            <w:tcW w:w="712" w:type="pct"/>
            <w:gridSpan w:val="2"/>
            <w:shd w:val="clear" w:color="auto" w:fill="FFFFFF"/>
          </w:tcPr>
          <w:p w:rsidR="008F6387" w:rsidRPr="00827818" w:rsidRDefault="008F6387"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2022.</w:t>
            </w:r>
          </w:p>
        </w:tc>
        <w:tc>
          <w:tcPr>
            <w:tcW w:w="713" w:type="pct"/>
            <w:gridSpan w:val="3"/>
            <w:shd w:val="clear" w:color="auto" w:fill="FFFFFF"/>
          </w:tcPr>
          <w:p w:rsidR="008F6387" w:rsidRPr="00827818" w:rsidRDefault="008F6387"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2023.</w:t>
            </w:r>
          </w:p>
        </w:tc>
        <w:tc>
          <w:tcPr>
            <w:tcW w:w="712" w:type="pct"/>
            <w:gridSpan w:val="2"/>
            <w:shd w:val="clear" w:color="auto" w:fill="FFFFFF"/>
          </w:tcPr>
          <w:p w:rsidR="008F6387" w:rsidRPr="00827818" w:rsidRDefault="008F6387"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2024.</w:t>
            </w:r>
          </w:p>
        </w:tc>
        <w:tc>
          <w:tcPr>
            <w:tcW w:w="716" w:type="pct"/>
            <w:shd w:val="clear" w:color="auto" w:fill="FFFFFF"/>
          </w:tcPr>
          <w:p w:rsidR="008F6387" w:rsidRPr="00827818" w:rsidRDefault="008F6387"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2025.</w:t>
            </w:r>
          </w:p>
        </w:tc>
      </w:tr>
      <w:tr w:rsidR="008F6387" w:rsidRPr="00827818" w:rsidTr="00881211">
        <w:trPr>
          <w:trHeight w:val="160"/>
          <w:jc w:val="center"/>
        </w:trPr>
        <w:tc>
          <w:tcPr>
            <w:tcW w:w="1434" w:type="pct"/>
            <w:vMerge/>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p>
        </w:tc>
        <w:tc>
          <w:tcPr>
            <w:tcW w:w="713" w:type="pct"/>
            <w:shd w:val="clear" w:color="auto" w:fill="FFFFFF"/>
            <w:vAlign w:val="center"/>
          </w:tcPr>
          <w:p w:rsidR="008F6387" w:rsidRPr="00827818" w:rsidRDefault="008F6387" w:rsidP="00D57BAA">
            <w:pPr>
              <w:spacing w:before="50" w:after="50" w:line="276" w:lineRule="auto"/>
              <w:jc w:val="both"/>
              <w:rPr>
                <w:rFonts w:ascii="Times New Roman" w:eastAsia="Calibri" w:hAnsi="Times New Roman" w:cs="Times New Roman"/>
                <w:iCs/>
                <w:sz w:val="20"/>
                <w:szCs w:val="20"/>
                <w:lang w:val="sr-Cyrl-CS"/>
              </w:rPr>
            </w:pPr>
          </w:p>
        </w:tc>
        <w:tc>
          <w:tcPr>
            <w:tcW w:w="712" w:type="pct"/>
            <w:gridSpan w:val="2"/>
            <w:shd w:val="clear" w:color="auto" w:fill="FFFFFF"/>
          </w:tcPr>
          <w:p w:rsidR="008F6387" w:rsidRPr="00827818" w:rsidRDefault="008F6387" w:rsidP="00D57BAA">
            <w:pPr>
              <w:spacing w:before="50" w:after="50" w:line="276" w:lineRule="auto"/>
              <w:jc w:val="both"/>
              <w:rPr>
                <w:rFonts w:ascii="Times New Roman" w:eastAsia="Calibri" w:hAnsi="Times New Roman" w:cs="Times New Roman"/>
                <w:iCs/>
                <w:sz w:val="20"/>
                <w:szCs w:val="20"/>
                <w:lang w:val="sr-Cyrl-CS"/>
              </w:rPr>
            </w:pPr>
          </w:p>
        </w:tc>
        <w:tc>
          <w:tcPr>
            <w:tcW w:w="713" w:type="pct"/>
            <w:gridSpan w:val="3"/>
            <w:shd w:val="clear" w:color="auto" w:fill="FFFFFF"/>
          </w:tcPr>
          <w:p w:rsidR="008F6387" w:rsidRPr="00827818" w:rsidRDefault="005136E4"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2</w:t>
            </w:r>
          </w:p>
        </w:tc>
        <w:tc>
          <w:tcPr>
            <w:tcW w:w="712" w:type="pct"/>
            <w:gridSpan w:val="2"/>
            <w:shd w:val="clear" w:color="auto" w:fill="FFFFFF"/>
          </w:tcPr>
          <w:p w:rsidR="008F6387" w:rsidRPr="00827818" w:rsidRDefault="008F6387"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2</w:t>
            </w:r>
          </w:p>
        </w:tc>
        <w:tc>
          <w:tcPr>
            <w:tcW w:w="716" w:type="pct"/>
            <w:shd w:val="clear" w:color="auto" w:fill="FFFFFF"/>
          </w:tcPr>
          <w:p w:rsidR="008F6387" w:rsidRPr="00827818" w:rsidRDefault="003A56A6"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3</w:t>
            </w:r>
          </w:p>
        </w:tc>
      </w:tr>
      <w:tr w:rsidR="008F6387" w:rsidRPr="00827818" w:rsidTr="00881211">
        <w:trPr>
          <w:trHeight w:val="160"/>
          <w:jc w:val="center"/>
        </w:trPr>
        <w:tc>
          <w:tcPr>
            <w:tcW w:w="1434" w:type="pct"/>
            <w:shd w:val="clear" w:color="auto" w:fill="auto"/>
          </w:tcPr>
          <w:p w:rsidR="008F6387" w:rsidRPr="00827818" w:rsidRDefault="008F6387"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Процена успешности</w:t>
            </w:r>
          </w:p>
        </w:tc>
        <w:tc>
          <w:tcPr>
            <w:tcW w:w="3566" w:type="pct"/>
            <w:gridSpan w:val="9"/>
            <w:shd w:val="clear" w:color="auto" w:fill="FFFFFF"/>
            <w:vAlign w:val="center"/>
          </w:tcPr>
          <w:p w:rsidR="008F6387" w:rsidRPr="00827818" w:rsidRDefault="008F6387"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Без одступања.</w:t>
            </w:r>
          </w:p>
        </w:tc>
      </w:tr>
    </w:tbl>
    <w:p w:rsidR="00C76ED1" w:rsidRPr="00827818" w:rsidRDefault="00F55782" w:rsidP="00736982">
      <w:pPr>
        <w:jc w:val="right"/>
        <w:rPr>
          <w:rFonts w:ascii="Times New Roman" w:hAnsi="Times New Roman" w:cs="Times New Roman"/>
          <w:bCs/>
          <w:iCs/>
          <w:sz w:val="24"/>
          <w:szCs w:val="24"/>
          <w:lang w:val="sr-Cyrl-CS"/>
        </w:rPr>
      </w:pPr>
      <w:r w:rsidRPr="00827818">
        <w:rPr>
          <w:rFonts w:ascii="Times New Roman" w:hAnsi="Times New Roman" w:cs="Times New Roman"/>
          <w:sz w:val="24"/>
          <w:szCs w:val="24"/>
          <w:lang w:val="sr-Cyrl-CS"/>
        </w:rPr>
        <w:t>ˮ</w:t>
      </w:r>
      <w:r w:rsidR="00423027" w:rsidRPr="00827818">
        <w:rPr>
          <w:rFonts w:ascii="Times New Roman" w:hAnsi="Times New Roman" w:cs="Times New Roman"/>
          <w:bCs/>
          <w:iCs/>
          <w:sz w:val="24"/>
          <w:szCs w:val="24"/>
          <w:lang w:val="sr-Cyrl-CS"/>
        </w:rPr>
        <w:t>.</w:t>
      </w:r>
    </w:p>
    <w:p w:rsidR="00736982" w:rsidRDefault="007305B4" w:rsidP="007305B4">
      <w:pPr>
        <w:spacing w:after="0" w:line="240" w:lineRule="auto"/>
        <w:ind w:firstLine="720"/>
        <w:jc w:val="both"/>
        <w:rPr>
          <w:rFonts w:ascii="Times New Roman" w:hAnsi="Times New Roman" w:cs="Times New Roman"/>
          <w:iCs/>
          <w:sz w:val="24"/>
          <w:szCs w:val="24"/>
          <w:lang w:val="sr-Cyrl-CS"/>
        </w:rPr>
      </w:pPr>
      <w:r w:rsidRPr="00827818">
        <w:rPr>
          <w:rFonts w:ascii="Times New Roman" w:hAnsi="Times New Roman" w:cs="Times New Roman"/>
          <w:iCs/>
          <w:sz w:val="24"/>
          <w:szCs w:val="24"/>
          <w:lang w:val="sr-Cyrl-CS"/>
        </w:rPr>
        <w:t>7</w:t>
      </w:r>
      <w:r w:rsidR="00F47AA2">
        <w:rPr>
          <w:rFonts w:ascii="Times New Roman" w:hAnsi="Times New Roman" w:cs="Times New Roman"/>
          <w:iCs/>
          <w:sz w:val="24"/>
          <w:szCs w:val="24"/>
          <w:lang w:val="sr-Cyrl-CS"/>
        </w:rPr>
        <w:t>5</w:t>
      </w:r>
      <w:r w:rsidRPr="00827818">
        <w:rPr>
          <w:rFonts w:ascii="Times New Roman" w:hAnsi="Times New Roman" w:cs="Times New Roman"/>
          <w:iCs/>
          <w:sz w:val="24"/>
          <w:szCs w:val="24"/>
          <w:lang w:val="sr-Cyrl-CS"/>
        </w:rPr>
        <w:t xml:space="preserve">. </w:t>
      </w:r>
      <w:r w:rsidR="004A0B7F" w:rsidRPr="00827818">
        <w:rPr>
          <w:rFonts w:ascii="Times New Roman" w:hAnsi="Times New Roman" w:cs="Times New Roman"/>
          <w:iCs/>
          <w:sz w:val="24"/>
          <w:szCs w:val="24"/>
          <w:lang w:val="sr-Cyrl-CS"/>
        </w:rPr>
        <w:t>У оквиру Мере 1.5</w:t>
      </w:r>
      <w:r w:rsidR="00132927" w:rsidRPr="00827818">
        <w:rPr>
          <w:rFonts w:ascii="Times New Roman" w:hAnsi="Times New Roman" w:cs="Times New Roman"/>
          <w:iCs/>
          <w:sz w:val="24"/>
          <w:szCs w:val="24"/>
          <w:lang w:val="sr-Cyrl-CS"/>
        </w:rPr>
        <w:t xml:space="preserve"> Јачање капацитета Сектора за праћење фискалних ризика,</w:t>
      </w:r>
      <w:r w:rsidR="004A0B7F" w:rsidRPr="00827818">
        <w:rPr>
          <w:rFonts w:ascii="Times New Roman" w:hAnsi="Times New Roman" w:cs="Times New Roman"/>
          <w:iCs/>
          <w:sz w:val="24"/>
          <w:szCs w:val="24"/>
          <w:lang w:val="sr-Cyrl-CS"/>
        </w:rPr>
        <w:t xml:space="preserve"> </w:t>
      </w:r>
      <w:r w:rsidR="00C76ED1" w:rsidRPr="00827818">
        <w:rPr>
          <w:rFonts w:ascii="Times New Roman" w:hAnsi="Times New Roman" w:cs="Times New Roman"/>
          <w:iCs/>
          <w:sz w:val="24"/>
          <w:szCs w:val="24"/>
          <w:lang w:val="sr-Cyrl-CS"/>
        </w:rPr>
        <w:t>додаје се нови показатељ</w:t>
      </w:r>
      <w:r w:rsidR="004A0B7F" w:rsidRPr="00827818">
        <w:rPr>
          <w:rFonts w:ascii="Times New Roman" w:hAnsi="Times New Roman" w:cs="Times New Roman"/>
          <w:iCs/>
          <w:sz w:val="24"/>
          <w:szCs w:val="24"/>
          <w:lang w:val="sr-Cyrl-CS"/>
        </w:rPr>
        <w:t xml:space="preserve"> и гласи</w:t>
      </w:r>
      <w:r w:rsidR="005B0BBA" w:rsidRPr="00827818">
        <w:rPr>
          <w:rFonts w:ascii="Times New Roman" w:hAnsi="Times New Roman" w:cs="Times New Roman"/>
          <w:iCs/>
          <w:sz w:val="24"/>
          <w:szCs w:val="24"/>
          <w:lang w:val="sr-Cyrl-CS"/>
        </w:rPr>
        <w:t>:</w:t>
      </w:r>
    </w:p>
    <w:p w:rsidR="005136E4" w:rsidRPr="00827818" w:rsidRDefault="00B370AF" w:rsidP="00736982">
      <w:pPr>
        <w:spacing w:after="0" w:line="240" w:lineRule="auto"/>
        <w:jc w:val="both"/>
        <w:rPr>
          <w:rFonts w:ascii="Times New Roman" w:hAnsi="Times New Roman" w:cs="Times New Roman"/>
          <w:iCs/>
          <w:sz w:val="24"/>
          <w:szCs w:val="24"/>
          <w:lang w:val="sr-Cyrl-CS"/>
        </w:rPr>
      </w:pPr>
      <w:r w:rsidRPr="00827818">
        <w:rPr>
          <w:rFonts w:ascii="Times New Roman" w:hAnsi="Times New Roman" w:cs="Times New Roman"/>
          <w:iCs/>
          <w:sz w:val="24"/>
          <w:szCs w:val="24"/>
          <w:lang w:val="sr-Cyrl-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1348"/>
        <w:gridCol w:w="411"/>
        <w:gridCol w:w="935"/>
        <w:gridCol w:w="471"/>
        <w:gridCol w:w="208"/>
        <w:gridCol w:w="653"/>
        <w:gridCol w:w="1029"/>
        <w:gridCol w:w="292"/>
        <w:gridCol w:w="1322"/>
      </w:tblGrid>
      <w:tr w:rsidR="005136E4" w:rsidRPr="00827818" w:rsidTr="00315903">
        <w:trPr>
          <w:jc w:val="center"/>
        </w:trPr>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5136E4" w:rsidRPr="00827818" w:rsidRDefault="005136E4" w:rsidP="005B0BBA">
            <w:pPr>
              <w:spacing w:before="100" w:after="100" w:line="276" w:lineRule="auto"/>
              <w:jc w:val="both"/>
              <w:rPr>
                <w:rFonts w:ascii="Times New Roman" w:eastAsia="Calibri" w:hAnsi="Times New Roman" w:cs="Times New Roman"/>
                <w:b/>
                <w:bCs/>
                <w:color w:val="000000" w:themeColor="text1"/>
                <w:sz w:val="20"/>
                <w:szCs w:val="20"/>
                <w:lang w:val="sr-Cyrl-CS"/>
              </w:rPr>
            </w:pPr>
            <w:r w:rsidRPr="00827818">
              <w:rPr>
                <w:rFonts w:ascii="Times New Roman" w:eastAsia="Calibri" w:hAnsi="Times New Roman" w:cs="Times New Roman"/>
                <w:b/>
                <w:bCs/>
                <w:color w:val="000000" w:themeColor="text1"/>
                <w:sz w:val="20"/>
                <w:szCs w:val="20"/>
                <w:lang w:val="sr-Cyrl-CS"/>
              </w:rPr>
              <w:t>Назив показатеља</w:t>
            </w:r>
          </w:p>
        </w:tc>
        <w:tc>
          <w:tcPr>
            <w:tcW w:w="356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5136E4" w:rsidRPr="00827818" w:rsidRDefault="005136E4" w:rsidP="005136E4">
            <w:pPr>
              <w:spacing w:after="100"/>
              <w:rPr>
                <w:rFonts w:ascii="Times New Roman" w:eastAsia="Calibri" w:hAnsi="Times New Roman" w:cs="Times New Roman"/>
                <w:bCs/>
                <w:color w:val="000000" w:themeColor="text1"/>
                <w:sz w:val="20"/>
                <w:szCs w:val="20"/>
                <w:lang w:val="sr-Cyrl-CS"/>
              </w:rPr>
            </w:pPr>
            <w:r w:rsidRPr="00827818">
              <w:rPr>
                <w:rFonts w:ascii="Times New Roman" w:eastAsia="Calibri" w:hAnsi="Times New Roman" w:cs="Times New Roman"/>
                <w:bCs/>
                <w:color w:val="000000" w:themeColor="text1"/>
                <w:sz w:val="20"/>
                <w:szCs w:val="20"/>
                <w:lang w:val="sr-Cyrl-CS"/>
              </w:rPr>
              <w:t>Фискална стратегија садржи одељак који се односи на квантификоване кључне фискалне ризике</w:t>
            </w:r>
          </w:p>
        </w:tc>
      </w:tr>
      <w:tr w:rsidR="005136E4" w:rsidRPr="00827818" w:rsidTr="007C5CB6">
        <w:trPr>
          <w:jc w:val="center"/>
        </w:trPr>
        <w:tc>
          <w:tcPr>
            <w:tcW w:w="1434" w:type="pct"/>
            <w:tcBorders>
              <w:top w:val="single" w:sz="4" w:space="0" w:color="auto"/>
              <w:left w:val="single" w:sz="4" w:space="0" w:color="auto"/>
              <w:bottom w:val="single" w:sz="4" w:space="0" w:color="auto"/>
              <w:right w:val="single" w:sz="4" w:space="0" w:color="auto"/>
            </w:tcBorders>
            <w:shd w:val="clear" w:color="auto" w:fill="auto"/>
          </w:tcPr>
          <w:p w:rsidR="005136E4" w:rsidRPr="00827818" w:rsidRDefault="005136E4" w:rsidP="005136E4">
            <w:pPr>
              <w:spacing w:after="10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Одговарајући општи циљ, посебан циљ или мера</w:t>
            </w:r>
          </w:p>
        </w:tc>
        <w:tc>
          <w:tcPr>
            <w:tcW w:w="3566" w:type="pct"/>
            <w:gridSpan w:val="9"/>
            <w:tcBorders>
              <w:top w:val="single" w:sz="4" w:space="0" w:color="auto"/>
              <w:left w:val="single" w:sz="4" w:space="0" w:color="auto"/>
              <w:bottom w:val="single" w:sz="4" w:space="0" w:color="auto"/>
              <w:right w:val="single" w:sz="4" w:space="0" w:color="auto"/>
            </w:tcBorders>
            <w:shd w:val="clear" w:color="auto" w:fill="FFFFFF"/>
          </w:tcPr>
          <w:p w:rsidR="005136E4" w:rsidRPr="00827818" w:rsidRDefault="005136E4" w:rsidP="005136E4">
            <w:pPr>
              <w:spacing w:after="100"/>
              <w:rPr>
                <w:rFonts w:ascii="Times New Roman" w:eastAsia="Calibri" w:hAnsi="Times New Roman" w:cs="Times New Roman"/>
                <w:iCs/>
                <w:color w:val="000000"/>
                <w:sz w:val="20"/>
                <w:szCs w:val="20"/>
                <w:lang w:val="sr-Cyrl-CS"/>
              </w:rPr>
            </w:pPr>
            <w:r w:rsidRPr="00827818">
              <w:rPr>
                <w:rFonts w:ascii="Times New Roman" w:eastAsia="Calibri" w:hAnsi="Times New Roman" w:cs="Times New Roman"/>
                <w:iCs/>
                <w:color w:val="000000"/>
                <w:sz w:val="20"/>
                <w:szCs w:val="20"/>
                <w:lang w:val="sr-Cyrl-CS"/>
              </w:rPr>
              <w:t>Мера 1.5: Јачање капацитета Сектора за праћење фискалних ризика</w:t>
            </w:r>
          </w:p>
        </w:tc>
      </w:tr>
      <w:tr w:rsidR="005136E4" w:rsidRPr="00827818" w:rsidTr="00736982">
        <w:trPr>
          <w:jc w:val="center"/>
        </w:trPr>
        <w:tc>
          <w:tcPr>
            <w:tcW w:w="1434" w:type="pct"/>
            <w:shd w:val="clear" w:color="auto" w:fill="auto"/>
          </w:tcPr>
          <w:p w:rsidR="005136E4" w:rsidRPr="00827818" w:rsidRDefault="005136E4" w:rsidP="005136E4">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kern w:val="24"/>
                <w:sz w:val="20"/>
                <w:szCs w:val="20"/>
                <w:lang w:val="sr-Cyrl-CS"/>
              </w:rPr>
              <w:t>Тип и ниво показатеља</w:t>
            </w:r>
          </w:p>
        </w:tc>
        <w:tc>
          <w:tcPr>
            <w:tcW w:w="1693" w:type="pct"/>
            <w:gridSpan w:val="4"/>
            <w:shd w:val="clear" w:color="auto" w:fill="FFFFFF"/>
            <w:vAlign w:val="center"/>
          </w:tcPr>
          <w:p w:rsidR="005136E4" w:rsidRPr="00827818" w:rsidRDefault="005136E4" w:rsidP="005136E4">
            <w:pPr>
              <w:spacing w:after="0"/>
              <w:rPr>
                <w:rFonts w:ascii="Times New Roman" w:eastAsia="Calibri" w:hAnsi="Times New Roman" w:cs="Times New Roman"/>
                <w:bCs/>
                <w:iCs/>
                <w:kern w:val="24"/>
                <w:sz w:val="20"/>
                <w:szCs w:val="20"/>
                <w:lang w:val="sr-Cyrl-CS"/>
              </w:rPr>
            </w:pPr>
            <w:r w:rsidRPr="00827818">
              <w:rPr>
                <w:rFonts w:ascii="Times New Roman" w:eastAsia="Calibri" w:hAnsi="Times New Roman" w:cs="Times New Roman"/>
                <w:bCs/>
                <w:iCs/>
                <w:kern w:val="24"/>
                <w:sz w:val="20"/>
                <w:szCs w:val="20"/>
                <w:lang w:val="sr-Cyrl-CS"/>
              </w:rPr>
              <w:t>Квалитативни</w:t>
            </w:r>
          </w:p>
        </w:tc>
        <w:tc>
          <w:tcPr>
            <w:tcW w:w="1874" w:type="pct"/>
            <w:gridSpan w:val="5"/>
            <w:shd w:val="clear" w:color="auto" w:fill="FFFFFF"/>
            <w:vAlign w:val="center"/>
          </w:tcPr>
          <w:p w:rsidR="005136E4" w:rsidRPr="00827818" w:rsidRDefault="005136E4" w:rsidP="005136E4">
            <w:pPr>
              <w:spacing w:after="0"/>
              <w:rPr>
                <w:rFonts w:ascii="Times New Roman" w:eastAsia="Calibri" w:hAnsi="Times New Roman" w:cs="Times New Roman"/>
                <w:bCs/>
                <w:iCs/>
                <w:kern w:val="24"/>
                <w:sz w:val="20"/>
                <w:szCs w:val="20"/>
                <w:lang w:val="sr-Cyrl-CS"/>
              </w:rPr>
            </w:pPr>
            <w:r w:rsidRPr="00827818">
              <w:rPr>
                <w:rFonts w:ascii="Times New Roman" w:eastAsia="Calibri" w:hAnsi="Times New Roman" w:cs="Times New Roman"/>
                <w:bCs/>
                <w:iCs/>
                <w:kern w:val="24"/>
                <w:sz w:val="20"/>
                <w:szCs w:val="20"/>
                <w:lang w:val="sr-Cyrl-CS"/>
              </w:rPr>
              <w:t>Показатељ на нивоу мере</w:t>
            </w:r>
          </w:p>
        </w:tc>
      </w:tr>
      <w:tr w:rsidR="005136E4" w:rsidRPr="00827818" w:rsidTr="00736982">
        <w:trPr>
          <w:trHeight w:val="373"/>
          <w:jc w:val="center"/>
        </w:trPr>
        <w:tc>
          <w:tcPr>
            <w:tcW w:w="1434" w:type="pct"/>
            <w:shd w:val="clear" w:color="auto" w:fill="auto"/>
          </w:tcPr>
          <w:p w:rsidR="005136E4" w:rsidRPr="00827818" w:rsidRDefault="005136E4" w:rsidP="005136E4">
            <w:pPr>
              <w:spacing w:before="50" w:after="50"/>
              <w:rPr>
                <w:rFonts w:ascii="Times New Roman" w:eastAsia="Calibri" w:hAnsi="Times New Roman" w:cs="Times New Roman"/>
                <w:b/>
                <w:kern w:val="24"/>
                <w:sz w:val="20"/>
                <w:szCs w:val="20"/>
                <w:lang w:val="sr-Cyrl-CS"/>
              </w:rPr>
            </w:pPr>
            <w:r w:rsidRPr="00827818">
              <w:rPr>
                <w:rFonts w:ascii="Times New Roman" w:eastAsia="Calibri" w:hAnsi="Times New Roman" w:cs="Times New Roman"/>
                <w:b/>
                <w:kern w:val="24"/>
                <w:sz w:val="20"/>
                <w:szCs w:val="20"/>
                <w:lang w:val="sr-Cyrl-CS"/>
              </w:rPr>
              <w:t>Јединица мере и природа</w:t>
            </w:r>
          </w:p>
        </w:tc>
        <w:tc>
          <w:tcPr>
            <w:tcW w:w="1693" w:type="pct"/>
            <w:gridSpan w:val="4"/>
            <w:shd w:val="clear" w:color="auto" w:fill="FFFFFF"/>
            <w:vAlign w:val="center"/>
          </w:tcPr>
          <w:p w:rsidR="005136E4" w:rsidRPr="00827818" w:rsidRDefault="005136E4" w:rsidP="005136E4">
            <w:pPr>
              <w:tabs>
                <w:tab w:val="left" w:pos="152"/>
              </w:tabs>
              <w:spacing w:before="50" w:after="50"/>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Усвојено/Није усвојено</w:t>
            </w:r>
          </w:p>
        </w:tc>
        <w:tc>
          <w:tcPr>
            <w:tcW w:w="1874" w:type="pct"/>
            <w:gridSpan w:val="5"/>
            <w:shd w:val="clear" w:color="auto" w:fill="FFFFFF"/>
            <w:vAlign w:val="center"/>
          </w:tcPr>
          <w:p w:rsidR="005136E4" w:rsidRPr="00827818" w:rsidRDefault="005136E4" w:rsidP="005136E4">
            <w:pPr>
              <w:spacing w:after="0"/>
              <w:rPr>
                <w:rFonts w:ascii="Times New Roman" w:eastAsia="Arial" w:hAnsi="Times New Roman" w:cs="Times New Roman"/>
                <w:iCs/>
                <w:color w:val="000000"/>
                <w:spacing w:val="-1"/>
                <w:kern w:val="24"/>
                <w:sz w:val="20"/>
                <w:szCs w:val="20"/>
                <w:lang w:val="sr-Cyrl-CS"/>
              </w:rPr>
            </w:pPr>
            <w:r w:rsidRPr="00827818">
              <w:rPr>
                <w:rFonts w:ascii="Times New Roman" w:eastAsia="Arial" w:hAnsi="Times New Roman" w:cs="Times New Roman"/>
                <w:iCs/>
                <w:color w:val="000000"/>
                <w:spacing w:val="-1"/>
                <w:kern w:val="24"/>
                <w:sz w:val="20"/>
                <w:szCs w:val="20"/>
                <w:lang w:val="sr-Cyrl-CS"/>
              </w:rPr>
              <w:t>Унапређење праћења фискалних ризика</w:t>
            </w:r>
          </w:p>
        </w:tc>
      </w:tr>
      <w:tr w:rsidR="005136E4" w:rsidRPr="00827818" w:rsidTr="007C5CB6">
        <w:trPr>
          <w:jc w:val="center"/>
        </w:trPr>
        <w:tc>
          <w:tcPr>
            <w:tcW w:w="1434" w:type="pct"/>
            <w:shd w:val="clear" w:color="auto" w:fill="auto"/>
          </w:tcPr>
          <w:p w:rsidR="005136E4" w:rsidRPr="00827818" w:rsidRDefault="005136E4" w:rsidP="005136E4">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lastRenderedPageBreak/>
              <w:t>Извор података за праћење показатеља учинка</w:t>
            </w:r>
          </w:p>
        </w:tc>
        <w:tc>
          <w:tcPr>
            <w:tcW w:w="3566" w:type="pct"/>
            <w:gridSpan w:val="9"/>
            <w:shd w:val="clear" w:color="auto" w:fill="FFFFFF"/>
            <w:vAlign w:val="center"/>
          </w:tcPr>
          <w:p w:rsidR="005136E4" w:rsidRPr="00827818" w:rsidRDefault="005136E4" w:rsidP="005136E4">
            <w:pPr>
              <w:spacing w:after="134"/>
              <w:rPr>
                <w:rFonts w:ascii="Times New Roman" w:eastAsia="Calibri" w:hAnsi="Times New Roman" w:cs="Times New Roman"/>
                <w:sz w:val="20"/>
                <w:szCs w:val="20"/>
                <w:lang w:val="sr-Cyrl-CS"/>
              </w:rPr>
            </w:pPr>
            <w:r w:rsidRPr="00827818">
              <w:rPr>
                <w:rFonts w:ascii="Times New Roman" w:eastAsia="Calibri" w:hAnsi="Times New Roman" w:cs="Times New Roman"/>
                <w:iCs/>
                <w:sz w:val="20"/>
                <w:szCs w:val="20"/>
                <w:lang w:val="sr-Cyrl-CS"/>
              </w:rPr>
              <w:t>Службени гласник РС</w:t>
            </w:r>
          </w:p>
        </w:tc>
      </w:tr>
      <w:tr w:rsidR="005136E4" w:rsidRPr="00827818" w:rsidTr="007C5CB6">
        <w:trPr>
          <w:jc w:val="center"/>
        </w:trPr>
        <w:tc>
          <w:tcPr>
            <w:tcW w:w="1434" w:type="pct"/>
            <w:shd w:val="clear" w:color="auto" w:fill="auto"/>
          </w:tcPr>
          <w:p w:rsidR="005136E4" w:rsidRPr="00827818" w:rsidRDefault="005136E4" w:rsidP="005136E4">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Назив носиоца прикупљања података</w:t>
            </w:r>
          </w:p>
        </w:tc>
        <w:tc>
          <w:tcPr>
            <w:tcW w:w="3566" w:type="pct"/>
            <w:gridSpan w:val="9"/>
            <w:shd w:val="clear" w:color="auto" w:fill="FFFFFF"/>
            <w:vAlign w:val="center"/>
          </w:tcPr>
          <w:p w:rsidR="005136E4" w:rsidRPr="00827818" w:rsidRDefault="005136E4" w:rsidP="005136E4">
            <w:pPr>
              <w:spacing w:before="50" w:after="50"/>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Министарство финансија- Сектор за праћење фискалних ризика</w:t>
            </w:r>
          </w:p>
        </w:tc>
      </w:tr>
      <w:tr w:rsidR="005136E4" w:rsidRPr="00827818" w:rsidTr="007C5CB6">
        <w:trPr>
          <w:jc w:val="center"/>
        </w:trPr>
        <w:tc>
          <w:tcPr>
            <w:tcW w:w="1434" w:type="pct"/>
            <w:shd w:val="clear" w:color="auto" w:fill="auto"/>
          </w:tcPr>
          <w:p w:rsidR="005136E4" w:rsidRPr="00827818" w:rsidRDefault="005136E4" w:rsidP="005136E4">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Учесталост прикупљања података</w:t>
            </w:r>
          </w:p>
        </w:tc>
        <w:tc>
          <w:tcPr>
            <w:tcW w:w="3566" w:type="pct"/>
            <w:gridSpan w:val="9"/>
            <w:shd w:val="clear" w:color="auto" w:fill="FFFFFF"/>
            <w:vAlign w:val="center"/>
          </w:tcPr>
          <w:p w:rsidR="005136E4" w:rsidRPr="00827818" w:rsidRDefault="005136E4" w:rsidP="005136E4">
            <w:pPr>
              <w:spacing w:before="50" w:after="50"/>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w:t>
            </w:r>
          </w:p>
        </w:tc>
      </w:tr>
      <w:tr w:rsidR="005136E4" w:rsidRPr="00827818" w:rsidTr="007C5CB6">
        <w:trPr>
          <w:trHeight w:val="274"/>
          <w:jc w:val="center"/>
        </w:trPr>
        <w:tc>
          <w:tcPr>
            <w:tcW w:w="1434" w:type="pct"/>
            <w:shd w:val="clear" w:color="auto" w:fill="auto"/>
          </w:tcPr>
          <w:p w:rsidR="005136E4" w:rsidRPr="00827818" w:rsidRDefault="005136E4" w:rsidP="005136E4">
            <w:pPr>
              <w:spacing w:before="50" w:after="50"/>
              <w:rPr>
                <w:rFonts w:ascii="Times New Roman" w:eastAsia="Calibri" w:hAnsi="Times New Roman" w:cs="Times New Roman"/>
                <w:b/>
                <w:sz w:val="20"/>
                <w:szCs w:val="20"/>
                <w:lang w:val="sr-Cyrl-CS"/>
              </w:rPr>
            </w:pPr>
            <w:r w:rsidRPr="00827818">
              <w:rPr>
                <w:rFonts w:ascii="Times New Roman" w:eastAsia="Calibri" w:hAnsi="Times New Roman" w:cs="Times New Roman"/>
                <w:b/>
                <w:sz w:val="20"/>
                <w:szCs w:val="20"/>
                <w:lang w:val="sr-Cyrl-CS"/>
              </w:rPr>
              <w:t>Кратак опис показатеља и методологије израчунавања</w:t>
            </w:r>
          </w:p>
          <w:p w:rsidR="005136E4" w:rsidRPr="00827818" w:rsidRDefault="005136E4" w:rsidP="005136E4">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sz w:val="20"/>
                <w:szCs w:val="20"/>
                <w:lang w:val="sr-Cyrl-CS"/>
              </w:rPr>
              <w:t>(формуле/ једначине)</w:t>
            </w:r>
          </w:p>
        </w:tc>
        <w:tc>
          <w:tcPr>
            <w:tcW w:w="3566" w:type="pct"/>
            <w:gridSpan w:val="9"/>
            <w:shd w:val="clear" w:color="auto" w:fill="FFFFFF"/>
          </w:tcPr>
          <w:p w:rsidR="005136E4" w:rsidRPr="00827818" w:rsidRDefault="005136E4" w:rsidP="005136E4">
            <w:pPr>
              <w:spacing w:before="50" w:after="50"/>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Показатељ указује унапређење Фискалне стратегије у делу који се односи на фискалне ризике.</w:t>
            </w:r>
          </w:p>
        </w:tc>
      </w:tr>
      <w:tr w:rsidR="005136E4" w:rsidRPr="00827818" w:rsidTr="007C5CB6">
        <w:trPr>
          <w:trHeight w:val="413"/>
          <w:jc w:val="center"/>
        </w:trPr>
        <w:tc>
          <w:tcPr>
            <w:tcW w:w="1434" w:type="pct"/>
            <w:vMerge w:val="restart"/>
            <w:shd w:val="clear" w:color="auto" w:fill="auto"/>
          </w:tcPr>
          <w:p w:rsidR="005136E4" w:rsidRPr="00827818" w:rsidRDefault="005136E4" w:rsidP="005136E4">
            <w:pPr>
              <w:spacing w:before="50" w:after="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 xml:space="preserve">Подаци о полазној вредности и години кад је измерена, као и о ранијем тренду </w:t>
            </w:r>
          </w:p>
        </w:tc>
        <w:tc>
          <w:tcPr>
            <w:tcW w:w="2703" w:type="pct"/>
            <w:gridSpan w:val="7"/>
            <w:tcBorders>
              <w:bottom w:val="single" w:sz="4" w:space="0" w:color="auto"/>
            </w:tcBorders>
            <w:shd w:val="clear" w:color="auto" w:fill="FFFFFF"/>
          </w:tcPr>
          <w:p w:rsidR="005136E4" w:rsidRPr="00827818" w:rsidRDefault="005136E4" w:rsidP="005136E4">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w:t>
            </w:r>
          </w:p>
        </w:tc>
        <w:tc>
          <w:tcPr>
            <w:tcW w:w="863" w:type="pct"/>
            <w:gridSpan w:val="2"/>
            <w:shd w:val="clear" w:color="auto" w:fill="FFFFFF"/>
          </w:tcPr>
          <w:p w:rsidR="005136E4" w:rsidRPr="00827818" w:rsidRDefault="005136E4" w:rsidP="005136E4">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Полазна вредност</w:t>
            </w:r>
          </w:p>
        </w:tc>
      </w:tr>
      <w:tr w:rsidR="005136E4" w:rsidRPr="00827818" w:rsidTr="007C5CB6">
        <w:trPr>
          <w:trHeight w:val="137"/>
          <w:jc w:val="center"/>
        </w:trPr>
        <w:tc>
          <w:tcPr>
            <w:tcW w:w="1434" w:type="pct"/>
            <w:vMerge/>
            <w:tcBorders>
              <w:right w:val="single" w:sz="4" w:space="0" w:color="auto"/>
            </w:tcBorders>
            <w:shd w:val="clear" w:color="auto" w:fill="auto"/>
          </w:tcPr>
          <w:p w:rsidR="005136E4" w:rsidRPr="00827818" w:rsidRDefault="005136E4" w:rsidP="005136E4">
            <w:pPr>
              <w:spacing w:before="50" w:after="50"/>
              <w:rPr>
                <w:rFonts w:ascii="Times New Roman" w:eastAsia="Calibri" w:hAnsi="Times New Roman" w:cs="Times New Roman"/>
                <w:b/>
                <w:bCs/>
                <w:sz w:val="20"/>
                <w:szCs w:val="20"/>
                <w:lang w:val="sr-Cyrl-CS"/>
              </w:rPr>
            </w:pPr>
          </w:p>
        </w:tc>
        <w:tc>
          <w:tcPr>
            <w:tcW w:w="941" w:type="pct"/>
            <w:gridSpan w:val="2"/>
            <w:tcBorders>
              <w:top w:val="single" w:sz="4" w:space="0" w:color="auto"/>
              <w:left w:val="single" w:sz="4" w:space="0" w:color="auto"/>
              <w:bottom w:val="single" w:sz="4" w:space="0" w:color="auto"/>
              <w:right w:val="single" w:sz="4" w:space="0" w:color="auto"/>
            </w:tcBorders>
            <w:shd w:val="clear" w:color="auto" w:fill="FFFFFF"/>
          </w:tcPr>
          <w:p w:rsidR="005136E4" w:rsidRPr="00827818" w:rsidRDefault="005136E4" w:rsidP="005136E4">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2016.</w:t>
            </w:r>
          </w:p>
        </w:tc>
        <w:tc>
          <w:tcPr>
            <w:tcW w:w="863" w:type="pct"/>
            <w:gridSpan w:val="3"/>
            <w:tcBorders>
              <w:top w:val="single" w:sz="4" w:space="0" w:color="auto"/>
              <w:left w:val="single" w:sz="4" w:space="0" w:color="auto"/>
              <w:bottom w:val="single" w:sz="4" w:space="0" w:color="auto"/>
              <w:right w:val="single" w:sz="4" w:space="0" w:color="auto"/>
            </w:tcBorders>
            <w:shd w:val="clear" w:color="auto" w:fill="FFFFFF"/>
          </w:tcPr>
          <w:p w:rsidR="005136E4" w:rsidRPr="00827818" w:rsidRDefault="005136E4" w:rsidP="005136E4">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2018.</w:t>
            </w:r>
          </w:p>
        </w:tc>
        <w:tc>
          <w:tcPr>
            <w:tcW w:w="899" w:type="pct"/>
            <w:gridSpan w:val="2"/>
            <w:tcBorders>
              <w:top w:val="single" w:sz="4" w:space="0" w:color="auto"/>
              <w:left w:val="single" w:sz="4" w:space="0" w:color="auto"/>
              <w:bottom w:val="single" w:sz="4" w:space="0" w:color="auto"/>
              <w:right w:val="single" w:sz="4" w:space="0" w:color="auto"/>
            </w:tcBorders>
            <w:shd w:val="clear" w:color="auto" w:fill="FFFFFF"/>
          </w:tcPr>
          <w:p w:rsidR="005136E4" w:rsidRPr="00827818" w:rsidRDefault="005136E4" w:rsidP="005136E4">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2019.</w:t>
            </w:r>
          </w:p>
        </w:tc>
        <w:tc>
          <w:tcPr>
            <w:tcW w:w="863" w:type="pct"/>
            <w:gridSpan w:val="2"/>
            <w:tcBorders>
              <w:left w:val="single" w:sz="4" w:space="0" w:color="auto"/>
            </w:tcBorders>
            <w:shd w:val="clear" w:color="auto" w:fill="FFFFFF"/>
          </w:tcPr>
          <w:p w:rsidR="005136E4" w:rsidRPr="00827818" w:rsidRDefault="005136E4" w:rsidP="005136E4">
            <w:pPr>
              <w:rPr>
                <w:rFonts w:ascii="Times New Roman" w:hAnsi="Times New Roman" w:cs="Times New Roman"/>
                <w:sz w:val="20"/>
                <w:szCs w:val="20"/>
                <w:lang w:val="sr-Cyrl-CS"/>
              </w:rPr>
            </w:pPr>
            <w:r w:rsidRPr="00827818">
              <w:rPr>
                <w:rFonts w:ascii="Times New Roman" w:hAnsi="Times New Roman" w:cs="Times New Roman"/>
                <w:sz w:val="20"/>
                <w:szCs w:val="20"/>
                <w:lang w:val="sr-Cyrl-CS"/>
              </w:rPr>
              <w:t xml:space="preserve">2020. </w:t>
            </w:r>
          </w:p>
        </w:tc>
      </w:tr>
      <w:tr w:rsidR="005136E4" w:rsidRPr="00827818" w:rsidTr="007C5CB6">
        <w:trPr>
          <w:trHeight w:val="422"/>
          <w:jc w:val="center"/>
        </w:trPr>
        <w:tc>
          <w:tcPr>
            <w:tcW w:w="1434" w:type="pct"/>
            <w:vMerge/>
            <w:shd w:val="clear" w:color="auto" w:fill="auto"/>
          </w:tcPr>
          <w:p w:rsidR="005136E4" w:rsidRPr="00827818" w:rsidRDefault="005136E4" w:rsidP="005136E4">
            <w:pPr>
              <w:spacing w:before="50" w:after="50"/>
              <w:rPr>
                <w:rFonts w:ascii="Times New Roman" w:eastAsia="Calibri" w:hAnsi="Times New Roman" w:cs="Times New Roman"/>
                <w:b/>
                <w:bCs/>
                <w:sz w:val="20"/>
                <w:szCs w:val="20"/>
                <w:lang w:val="sr-Cyrl-CS"/>
              </w:rPr>
            </w:pPr>
          </w:p>
        </w:tc>
        <w:tc>
          <w:tcPr>
            <w:tcW w:w="941" w:type="pct"/>
            <w:gridSpan w:val="2"/>
            <w:tcBorders>
              <w:top w:val="single" w:sz="4" w:space="0" w:color="auto"/>
            </w:tcBorders>
            <w:shd w:val="clear" w:color="auto" w:fill="FFFFFF"/>
            <w:vAlign w:val="center"/>
          </w:tcPr>
          <w:p w:rsidR="005136E4" w:rsidRPr="00827818" w:rsidRDefault="005136E4" w:rsidP="005136E4">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63" w:type="pct"/>
            <w:gridSpan w:val="3"/>
            <w:tcBorders>
              <w:top w:val="single" w:sz="4" w:space="0" w:color="auto"/>
            </w:tcBorders>
            <w:shd w:val="clear" w:color="auto" w:fill="FFFFFF"/>
            <w:vAlign w:val="center"/>
          </w:tcPr>
          <w:p w:rsidR="005136E4" w:rsidRPr="00827818" w:rsidRDefault="005136E4" w:rsidP="005136E4">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99" w:type="pct"/>
            <w:gridSpan w:val="2"/>
            <w:tcBorders>
              <w:top w:val="single" w:sz="4" w:space="0" w:color="auto"/>
            </w:tcBorders>
            <w:shd w:val="clear" w:color="auto" w:fill="FFFFFF"/>
            <w:vAlign w:val="center"/>
          </w:tcPr>
          <w:p w:rsidR="005136E4" w:rsidRPr="00827818" w:rsidRDefault="005136E4" w:rsidP="005136E4">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63" w:type="pct"/>
            <w:gridSpan w:val="2"/>
            <w:shd w:val="clear" w:color="auto" w:fill="FFFFFF"/>
            <w:vAlign w:val="center"/>
          </w:tcPr>
          <w:p w:rsidR="005136E4" w:rsidRPr="00827818" w:rsidRDefault="005136E4" w:rsidP="005136E4">
            <w:pPr>
              <w:spacing w:before="50" w:after="50"/>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r>
      <w:tr w:rsidR="005136E4" w:rsidRPr="00827818" w:rsidTr="007C5CB6">
        <w:trPr>
          <w:trHeight w:val="274"/>
          <w:jc w:val="center"/>
        </w:trPr>
        <w:tc>
          <w:tcPr>
            <w:tcW w:w="1434" w:type="pct"/>
            <w:vMerge w:val="restart"/>
            <w:shd w:val="clear" w:color="auto" w:fill="auto"/>
          </w:tcPr>
          <w:p w:rsidR="005136E4" w:rsidRPr="00827818" w:rsidRDefault="005136E4" w:rsidP="005136E4">
            <w:pPr>
              <w:spacing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Подаци о циљним вредностима</w:t>
            </w:r>
          </w:p>
        </w:tc>
        <w:tc>
          <w:tcPr>
            <w:tcW w:w="721" w:type="pct"/>
            <w:shd w:val="clear" w:color="auto" w:fill="FFFFFF"/>
          </w:tcPr>
          <w:p w:rsidR="005136E4" w:rsidRPr="00827818" w:rsidRDefault="005136E4" w:rsidP="005136E4">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2021.</w:t>
            </w:r>
          </w:p>
        </w:tc>
        <w:tc>
          <w:tcPr>
            <w:tcW w:w="720" w:type="pct"/>
            <w:gridSpan w:val="2"/>
            <w:shd w:val="clear" w:color="auto" w:fill="FFFFFF"/>
          </w:tcPr>
          <w:p w:rsidR="005136E4" w:rsidRPr="00827818" w:rsidRDefault="005136E4" w:rsidP="005136E4">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2022.</w:t>
            </w:r>
          </w:p>
        </w:tc>
        <w:tc>
          <w:tcPr>
            <w:tcW w:w="712" w:type="pct"/>
            <w:gridSpan w:val="3"/>
            <w:shd w:val="clear" w:color="auto" w:fill="FFFFFF"/>
          </w:tcPr>
          <w:p w:rsidR="005136E4" w:rsidRPr="00827818" w:rsidRDefault="005136E4" w:rsidP="005136E4">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2023.</w:t>
            </w:r>
          </w:p>
        </w:tc>
        <w:tc>
          <w:tcPr>
            <w:tcW w:w="706" w:type="pct"/>
            <w:gridSpan w:val="2"/>
            <w:shd w:val="clear" w:color="auto" w:fill="FFFFFF"/>
          </w:tcPr>
          <w:p w:rsidR="005136E4" w:rsidRPr="00827818" w:rsidRDefault="005136E4" w:rsidP="005136E4">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2024.</w:t>
            </w:r>
          </w:p>
        </w:tc>
        <w:tc>
          <w:tcPr>
            <w:tcW w:w="707" w:type="pct"/>
            <w:shd w:val="clear" w:color="auto" w:fill="FFFFFF"/>
          </w:tcPr>
          <w:p w:rsidR="005136E4" w:rsidRPr="00827818" w:rsidRDefault="005136E4" w:rsidP="005136E4">
            <w:pPr>
              <w:jc w:val="center"/>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2025.</w:t>
            </w:r>
          </w:p>
        </w:tc>
      </w:tr>
      <w:tr w:rsidR="005136E4" w:rsidRPr="00827818" w:rsidTr="007C5CB6">
        <w:trPr>
          <w:trHeight w:val="160"/>
          <w:jc w:val="center"/>
        </w:trPr>
        <w:tc>
          <w:tcPr>
            <w:tcW w:w="1434" w:type="pct"/>
            <w:vMerge/>
            <w:shd w:val="clear" w:color="auto" w:fill="auto"/>
          </w:tcPr>
          <w:p w:rsidR="005136E4" w:rsidRPr="00827818" w:rsidRDefault="005136E4" w:rsidP="005136E4">
            <w:pPr>
              <w:spacing w:before="50" w:after="50"/>
              <w:rPr>
                <w:rFonts w:ascii="Times New Roman" w:eastAsia="Calibri" w:hAnsi="Times New Roman" w:cs="Times New Roman"/>
                <w:b/>
                <w:bCs/>
                <w:sz w:val="20"/>
                <w:szCs w:val="20"/>
                <w:lang w:val="sr-Cyrl-CS"/>
              </w:rPr>
            </w:pPr>
          </w:p>
        </w:tc>
        <w:tc>
          <w:tcPr>
            <w:tcW w:w="721" w:type="pct"/>
            <w:shd w:val="clear" w:color="auto" w:fill="FFFFFF"/>
            <w:vAlign w:val="center"/>
          </w:tcPr>
          <w:p w:rsidR="005136E4" w:rsidRPr="00827818" w:rsidRDefault="005136E4" w:rsidP="005136E4">
            <w:pPr>
              <w:spacing w:before="50" w:after="50"/>
              <w:jc w:val="center"/>
              <w:rPr>
                <w:rFonts w:ascii="Times New Roman" w:eastAsia="Calibri" w:hAnsi="Times New Roman" w:cs="Times New Roman"/>
                <w:iCs/>
                <w:sz w:val="20"/>
                <w:szCs w:val="20"/>
                <w:lang w:val="sr-Cyrl-CS"/>
              </w:rPr>
            </w:pPr>
          </w:p>
        </w:tc>
        <w:tc>
          <w:tcPr>
            <w:tcW w:w="720" w:type="pct"/>
            <w:gridSpan w:val="2"/>
            <w:shd w:val="clear" w:color="auto" w:fill="FFFFFF"/>
            <w:vAlign w:val="center"/>
          </w:tcPr>
          <w:p w:rsidR="005136E4" w:rsidRPr="00827818" w:rsidRDefault="005136E4" w:rsidP="005136E4">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712" w:type="pct"/>
            <w:gridSpan w:val="3"/>
            <w:shd w:val="clear" w:color="auto" w:fill="FFFFFF"/>
            <w:vAlign w:val="center"/>
          </w:tcPr>
          <w:p w:rsidR="005136E4" w:rsidRPr="00827818" w:rsidRDefault="005136E4" w:rsidP="005136E4">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706" w:type="pct"/>
            <w:gridSpan w:val="2"/>
            <w:shd w:val="clear" w:color="auto" w:fill="FFFFFF"/>
          </w:tcPr>
          <w:p w:rsidR="005136E4" w:rsidRPr="00827818" w:rsidRDefault="005136E4" w:rsidP="005136E4">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да</w:t>
            </w:r>
          </w:p>
        </w:tc>
        <w:tc>
          <w:tcPr>
            <w:tcW w:w="707" w:type="pct"/>
            <w:shd w:val="clear" w:color="auto" w:fill="FFFFFF"/>
          </w:tcPr>
          <w:p w:rsidR="005136E4" w:rsidRPr="00827818" w:rsidRDefault="005136E4" w:rsidP="005136E4">
            <w:pPr>
              <w:spacing w:before="50" w:after="50"/>
              <w:jc w:val="center"/>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r>
      <w:tr w:rsidR="005136E4" w:rsidRPr="00827818" w:rsidTr="007C5CB6">
        <w:trPr>
          <w:trHeight w:val="160"/>
          <w:jc w:val="center"/>
        </w:trPr>
        <w:tc>
          <w:tcPr>
            <w:tcW w:w="1434" w:type="pct"/>
            <w:shd w:val="clear" w:color="auto" w:fill="auto"/>
          </w:tcPr>
          <w:p w:rsidR="005136E4" w:rsidRPr="00827818" w:rsidRDefault="005136E4" w:rsidP="005136E4">
            <w:pPr>
              <w:spacing w:before="50" w:after="50"/>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Процена успешности</w:t>
            </w:r>
          </w:p>
        </w:tc>
        <w:tc>
          <w:tcPr>
            <w:tcW w:w="3566" w:type="pct"/>
            <w:gridSpan w:val="9"/>
            <w:shd w:val="clear" w:color="auto" w:fill="FFFFFF"/>
            <w:vAlign w:val="center"/>
          </w:tcPr>
          <w:p w:rsidR="005136E4" w:rsidRPr="00827818" w:rsidRDefault="005136E4" w:rsidP="005136E4">
            <w:pPr>
              <w:spacing w:before="50" w:after="50"/>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Усвајање и објављивање у Службеном гласнику РС</w:t>
            </w:r>
          </w:p>
        </w:tc>
      </w:tr>
    </w:tbl>
    <w:p w:rsidR="00183439" w:rsidRPr="00827818" w:rsidRDefault="00E65243" w:rsidP="00736982">
      <w:pPr>
        <w:pStyle w:val="ListParagraph"/>
        <w:spacing w:after="0" w:line="240" w:lineRule="auto"/>
        <w:jc w:val="right"/>
        <w:rPr>
          <w:rFonts w:ascii="Times New Roman" w:hAnsi="Times New Roman" w:cs="Times New Roman"/>
          <w:sz w:val="24"/>
          <w:szCs w:val="24"/>
          <w:lang w:val="sr-Cyrl-CS"/>
        </w:rPr>
      </w:pPr>
      <w:r w:rsidRPr="00827818">
        <w:rPr>
          <w:rFonts w:ascii="Times New Roman" w:hAnsi="Times New Roman" w:cs="Times New Roman"/>
          <w:iCs/>
          <w:sz w:val="24"/>
          <w:szCs w:val="24"/>
          <w:lang w:val="sr-Cyrl-CS"/>
        </w:rPr>
        <w:t>ˮ</w:t>
      </w:r>
      <w:r w:rsidR="00315903" w:rsidRPr="00827818">
        <w:rPr>
          <w:rFonts w:ascii="Times New Roman" w:hAnsi="Times New Roman" w:cs="Times New Roman"/>
          <w:iCs/>
          <w:sz w:val="24"/>
          <w:szCs w:val="24"/>
          <w:lang w:val="sr-Cyrl-CS"/>
        </w:rPr>
        <w:t>.</w:t>
      </w:r>
    </w:p>
    <w:p w:rsidR="00736982" w:rsidRDefault="00736982" w:rsidP="00183AE0">
      <w:pPr>
        <w:spacing w:after="0" w:line="240" w:lineRule="auto"/>
        <w:ind w:firstLine="720"/>
        <w:jc w:val="both"/>
        <w:rPr>
          <w:rFonts w:ascii="Times New Roman" w:hAnsi="Times New Roman" w:cs="Times New Roman"/>
          <w:iCs/>
          <w:sz w:val="24"/>
          <w:szCs w:val="24"/>
          <w:lang w:val="sr-Cyrl-CS"/>
        </w:rPr>
      </w:pPr>
    </w:p>
    <w:p w:rsidR="00736982" w:rsidRDefault="00183AE0" w:rsidP="00183AE0">
      <w:pPr>
        <w:spacing w:after="0" w:line="240" w:lineRule="auto"/>
        <w:ind w:firstLine="720"/>
        <w:jc w:val="both"/>
        <w:rPr>
          <w:rFonts w:ascii="Times New Roman" w:hAnsi="Times New Roman" w:cs="Times New Roman"/>
          <w:iCs/>
          <w:sz w:val="24"/>
          <w:szCs w:val="24"/>
          <w:lang w:val="sr-Cyrl-CS"/>
        </w:rPr>
      </w:pPr>
      <w:r w:rsidRPr="00827818">
        <w:rPr>
          <w:rFonts w:ascii="Times New Roman" w:hAnsi="Times New Roman" w:cs="Times New Roman"/>
          <w:iCs/>
          <w:sz w:val="24"/>
          <w:szCs w:val="24"/>
          <w:lang w:val="sr-Cyrl-CS"/>
        </w:rPr>
        <w:t>7</w:t>
      </w:r>
      <w:r w:rsidR="00F47AA2">
        <w:rPr>
          <w:rFonts w:ascii="Times New Roman" w:hAnsi="Times New Roman" w:cs="Times New Roman"/>
          <w:iCs/>
          <w:sz w:val="24"/>
          <w:szCs w:val="24"/>
          <w:lang w:val="sr-Cyrl-CS"/>
        </w:rPr>
        <w:t>6</w:t>
      </w:r>
      <w:r w:rsidRPr="00827818">
        <w:rPr>
          <w:rFonts w:ascii="Times New Roman" w:hAnsi="Times New Roman" w:cs="Times New Roman"/>
          <w:iCs/>
          <w:sz w:val="24"/>
          <w:szCs w:val="24"/>
          <w:lang w:val="sr-Cyrl-CS"/>
        </w:rPr>
        <w:t>. У оквиру Мере 1.5 Јачање капацитета Сектора за праћење фискалних ризика, додаје се нови показатељ и гласи:</w:t>
      </w:r>
    </w:p>
    <w:p w:rsidR="00C76ED1" w:rsidRPr="00827818" w:rsidRDefault="00183AE0" w:rsidP="00736982">
      <w:pPr>
        <w:spacing w:after="0" w:line="240" w:lineRule="auto"/>
        <w:jc w:val="both"/>
        <w:rPr>
          <w:rFonts w:ascii="Times New Roman" w:hAnsi="Times New Roman" w:cs="Times New Roman"/>
          <w:sz w:val="24"/>
          <w:szCs w:val="24"/>
          <w:lang w:val="sr-Cyrl-CS"/>
        </w:rPr>
      </w:pPr>
      <w:r w:rsidRPr="00827818">
        <w:rPr>
          <w:rFonts w:ascii="Times New Roman" w:hAnsi="Times New Roman" w:cs="Times New Roman"/>
          <w:iCs/>
          <w:sz w:val="24"/>
          <w:szCs w:val="24"/>
          <w:lang w:val="sr-Cyrl-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1348"/>
        <w:gridCol w:w="411"/>
        <w:gridCol w:w="935"/>
        <w:gridCol w:w="471"/>
        <w:gridCol w:w="208"/>
        <w:gridCol w:w="653"/>
        <w:gridCol w:w="1029"/>
        <w:gridCol w:w="292"/>
        <w:gridCol w:w="1322"/>
      </w:tblGrid>
      <w:tr w:rsidR="00C76ED1" w:rsidRPr="00827818" w:rsidTr="00105CD1">
        <w:trPr>
          <w:jc w:val="center"/>
        </w:trPr>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C76ED1" w:rsidRPr="00827818" w:rsidRDefault="00C76ED1" w:rsidP="00D57BAA">
            <w:pPr>
              <w:spacing w:before="100" w:after="100" w:line="276" w:lineRule="auto"/>
              <w:jc w:val="both"/>
              <w:rPr>
                <w:rFonts w:ascii="Times New Roman" w:eastAsia="Calibri" w:hAnsi="Times New Roman" w:cs="Times New Roman"/>
                <w:b/>
                <w:bCs/>
                <w:color w:val="000000" w:themeColor="text1"/>
                <w:sz w:val="20"/>
                <w:szCs w:val="20"/>
                <w:lang w:val="sr-Cyrl-CS"/>
              </w:rPr>
            </w:pPr>
            <w:r w:rsidRPr="00827818">
              <w:rPr>
                <w:rFonts w:ascii="Times New Roman" w:eastAsia="Calibri" w:hAnsi="Times New Roman" w:cs="Times New Roman"/>
                <w:b/>
                <w:bCs/>
                <w:color w:val="000000" w:themeColor="text1"/>
                <w:sz w:val="20"/>
                <w:szCs w:val="20"/>
                <w:lang w:val="sr-Cyrl-CS"/>
              </w:rPr>
              <w:t>Назив показатеља</w:t>
            </w:r>
          </w:p>
        </w:tc>
        <w:tc>
          <w:tcPr>
            <w:tcW w:w="356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76ED1" w:rsidRPr="00827818" w:rsidRDefault="00C76ED1" w:rsidP="00D57BAA">
            <w:pPr>
              <w:spacing w:before="100" w:after="100" w:line="276" w:lineRule="auto"/>
              <w:jc w:val="both"/>
              <w:rPr>
                <w:rFonts w:ascii="Times New Roman" w:eastAsia="Calibri" w:hAnsi="Times New Roman" w:cs="Times New Roman"/>
                <w:iCs/>
                <w:color w:val="000000" w:themeColor="text1"/>
                <w:sz w:val="20"/>
                <w:szCs w:val="20"/>
                <w:lang w:val="sr-Cyrl-CS"/>
              </w:rPr>
            </w:pPr>
            <w:r w:rsidRPr="00827818">
              <w:rPr>
                <w:rFonts w:ascii="Times New Roman" w:eastAsia="Calibri" w:hAnsi="Times New Roman" w:cs="Times New Roman"/>
                <w:iCs/>
                <w:color w:val="000000" w:themeColor="text1"/>
                <w:sz w:val="20"/>
                <w:szCs w:val="20"/>
                <w:lang w:val="sr-Cyrl-CS"/>
              </w:rPr>
              <w:t>Обучени запослени у Сектору за праћење фискалних ризика (напредни ниво обука)</w:t>
            </w:r>
          </w:p>
        </w:tc>
      </w:tr>
      <w:tr w:rsidR="00C76ED1" w:rsidRPr="00827818" w:rsidTr="00881211">
        <w:trPr>
          <w:jc w:val="center"/>
        </w:trPr>
        <w:tc>
          <w:tcPr>
            <w:tcW w:w="1434" w:type="pct"/>
            <w:tcBorders>
              <w:top w:val="single" w:sz="4" w:space="0" w:color="auto"/>
              <w:left w:val="single" w:sz="4" w:space="0" w:color="auto"/>
              <w:bottom w:val="single" w:sz="4" w:space="0" w:color="auto"/>
              <w:right w:val="single" w:sz="4" w:space="0" w:color="auto"/>
            </w:tcBorders>
            <w:shd w:val="clear" w:color="auto" w:fill="auto"/>
          </w:tcPr>
          <w:p w:rsidR="00C76ED1" w:rsidRPr="00827818" w:rsidRDefault="00C76ED1" w:rsidP="00D57BAA">
            <w:pPr>
              <w:spacing w:before="100" w:after="10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Одговарајући општи циљ, посебан циљ или мера</w:t>
            </w:r>
          </w:p>
        </w:tc>
        <w:tc>
          <w:tcPr>
            <w:tcW w:w="3566" w:type="pct"/>
            <w:gridSpan w:val="9"/>
            <w:tcBorders>
              <w:top w:val="single" w:sz="4" w:space="0" w:color="auto"/>
              <w:left w:val="single" w:sz="4" w:space="0" w:color="auto"/>
              <w:bottom w:val="single" w:sz="4" w:space="0" w:color="auto"/>
              <w:right w:val="single" w:sz="4" w:space="0" w:color="auto"/>
            </w:tcBorders>
            <w:shd w:val="clear" w:color="auto" w:fill="FFFFFF"/>
          </w:tcPr>
          <w:p w:rsidR="00C76ED1" w:rsidRPr="00827818" w:rsidRDefault="00C76ED1" w:rsidP="00D57BAA">
            <w:pPr>
              <w:spacing w:before="100" w:after="100" w:line="276" w:lineRule="auto"/>
              <w:jc w:val="both"/>
              <w:rPr>
                <w:rFonts w:ascii="Times New Roman" w:eastAsia="Calibri" w:hAnsi="Times New Roman" w:cs="Times New Roman"/>
                <w:iCs/>
                <w:color w:val="000000"/>
                <w:sz w:val="20"/>
                <w:szCs w:val="20"/>
                <w:lang w:val="sr-Cyrl-CS"/>
              </w:rPr>
            </w:pPr>
            <w:r w:rsidRPr="00827818">
              <w:rPr>
                <w:rFonts w:ascii="Times New Roman" w:eastAsia="Calibri" w:hAnsi="Times New Roman" w:cs="Times New Roman"/>
                <w:iCs/>
                <w:color w:val="000000"/>
                <w:sz w:val="20"/>
                <w:szCs w:val="20"/>
                <w:lang w:val="sr-Cyrl-CS"/>
              </w:rPr>
              <w:t>Мера 1.5: Унапређење окружења за ефикасно управљање фискалним ризицима</w:t>
            </w:r>
          </w:p>
        </w:tc>
      </w:tr>
      <w:tr w:rsidR="00C76ED1" w:rsidRPr="00827818" w:rsidTr="00881211">
        <w:trPr>
          <w:jc w:val="center"/>
        </w:trPr>
        <w:tc>
          <w:tcPr>
            <w:tcW w:w="1434" w:type="pct"/>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kern w:val="24"/>
                <w:sz w:val="20"/>
                <w:szCs w:val="20"/>
                <w:lang w:val="sr-Cyrl-CS"/>
              </w:rPr>
              <w:t>Тип и ниво показатеља</w:t>
            </w:r>
          </w:p>
        </w:tc>
        <w:tc>
          <w:tcPr>
            <w:tcW w:w="1693" w:type="pct"/>
            <w:gridSpan w:val="4"/>
            <w:shd w:val="clear" w:color="auto" w:fill="FFFFFF"/>
            <w:vAlign w:val="center"/>
          </w:tcPr>
          <w:p w:rsidR="00C76ED1" w:rsidRPr="00827818" w:rsidRDefault="00C76ED1" w:rsidP="00D57BAA">
            <w:pPr>
              <w:spacing w:after="0" w:line="276" w:lineRule="auto"/>
              <w:jc w:val="both"/>
              <w:rPr>
                <w:rFonts w:ascii="Times New Roman" w:eastAsia="Calibri" w:hAnsi="Times New Roman" w:cs="Times New Roman"/>
                <w:bCs/>
                <w:iCs/>
                <w:kern w:val="24"/>
                <w:sz w:val="20"/>
                <w:szCs w:val="20"/>
                <w:lang w:val="sr-Cyrl-CS"/>
              </w:rPr>
            </w:pPr>
            <w:r w:rsidRPr="00827818">
              <w:rPr>
                <w:rFonts w:ascii="Times New Roman" w:eastAsia="Calibri" w:hAnsi="Times New Roman" w:cs="Times New Roman"/>
                <w:bCs/>
                <w:iCs/>
                <w:kern w:val="24"/>
                <w:sz w:val="20"/>
                <w:szCs w:val="20"/>
                <w:lang w:val="sr-Cyrl-CS"/>
              </w:rPr>
              <w:t>Квантитативни</w:t>
            </w:r>
          </w:p>
        </w:tc>
        <w:tc>
          <w:tcPr>
            <w:tcW w:w="1874" w:type="pct"/>
            <w:gridSpan w:val="5"/>
            <w:shd w:val="clear" w:color="auto" w:fill="FFFFFF"/>
            <w:vAlign w:val="center"/>
          </w:tcPr>
          <w:p w:rsidR="00C76ED1" w:rsidRPr="00827818" w:rsidRDefault="00C76ED1" w:rsidP="00D57BAA">
            <w:pPr>
              <w:spacing w:after="0" w:line="276" w:lineRule="auto"/>
              <w:jc w:val="both"/>
              <w:rPr>
                <w:rFonts w:ascii="Times New Roman" w:eastAsia="Calibri" w:hAnsi="Times New Roman" w:cs="Times New Roman"/>
                <w:bCs/>
                <w:iCs/>
                <w:kern w:val="24"/>
                <w:sz w:val="20"/>
                <w:szCs w:val="20"/>
                <w:lang w:val="sr-Cyrl-CS"/>
              </w:rPr>
            </w:pPr>
            <w:r w:rsidRPr="00827818">
              <w:rPr>
                <w:rFonts w:ascii="Times New Roman" w:eastAsia="Calibri" w:hAnsi="Times New Roman" w:cs="Times New Roman"/>
                <w:bCs/>
                <w:iCs/>
                <w:kern w:val="24"/>
                <w:sz w:val="20"/>
                <w:szCs w:val="20"/>
                <w:lang w:val="sr-Cyrl-CS"/>
              </w:rPr>
              <w:t>Показатељ на нивоу мере</w:t>
            </w:r>
          </w:p>
        </w:tc>
      </w:tr>
      <w:tr w:rsidR="00C76ED1" w:rsidRPr="00827818" w:rsidTr="00881211">
        <w:trPr>
          <w:trHeight w:val="373"/>
          <w:jc w:val="center"/>
        </w:trPr>
        <w:tc>
          <w:tcPr>
            <w:tcW w:w="1434" w:type="pct"/>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kern w:val="24"/>
                <w:sz w:val="20"/>
                <w:szCs w:val="20"/>
                <w:lang w:val="sr-Cyrl-CS"/>
              </w:rPr>
            </w:pPr>
            <w:r w:rsidRPr="00827818">
              <w:rPr>
                <w:rFonts w:ascii="Times New Roman" w:eastAsia="Calibri" w:hAnsi="Times New Roman" w:cs="Times New Roman"/>
                <w:b/>
                <w:kern w:val="24"/>
                <w:sz w:val="20"/>
                <w:szCs w:val="20"/>
                <w:lang w:val="sr-Cyrl-CS"/>
              </w:rPr>
              <w:t>Јединица мере и природа</w:t>
            </w:r>
          </w:p>
        </w:tc>
        <w:tc>
          <w:tcPr>
            <w:tcW w:w="1693" w:type="pct"/>
            <w:gridSpan w:val="4"/>
            <w:shd w:val="clear" w:color="auto" w:fill="FFFFFF"/>
            <w:vAlign w:val="center"/>
          </w:tcPr>
          <w:p w:rsidR="00C76ED1" w:rsidRPr="00827818" w:rsidRDefault="00C76ED1" w:rsidP="00D57BAA">
            <w:pPr>
              <w:tabs>
                <w:tab w:val="left" w:pos="152"/>
              </w:tabs>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 xml:space="preserve">Проценат (%) </w:t>
            </w:r>
          </w:p>
        </w:tc>
        <w:tc>
          <w:tcPr>
            <w:tcW w:w="1874" w:type="pct"/>
            <w:gridSpan w:val="5"/>
            <w:shd w:val="clear" w:color="auto" w:fill="FFFFFF"/>
            <w:vAlign w:val="center"/>
          </w:tcPr>
          <w:p w:rsidR="00C76ED1" w:rsidRPr="00827818" w:rsidRDefault="00C76ED1" w:rsidP="00D57BAA">
            <w:pPr>
              <w:spacing w:after="0" w:line="276" w:lineRule="auto"/>
              <w:jc w:val="both"/>
              <w:rPr>
                <w:rFonts w:ascii="Times New Roman" w:eastAsia="Arial" w:hAnsi="Times New Roman" w:cs="Times New Roman"/>
                <w:iCs/>
                <w:color w:val="000000"/>
                <w:spacing w:val="-1"/>
                <w:kern w:val="24"/>
                <w:sz w:val="20"/>
                <w:szCs w:val="20"/>
                <w:lang w:val="sr-Cyrl-CS"/>
              </w:rPr>
            </w:pPr>
            <w:r w:rsidRPr="00827818">
              <w:rPr>
                <w:rFonts w:ascii="Times New Roman" w:eastAsia="Arial" w:hAnsi="Times New Roman" w:cs="Times New Roman"/>
                <w:iCs/>
                <w:color w:val="000000"/>
                <w:spacing w:val="-1"/>
                <w:kern w:val="24"/>
                <w:sz w:val="20"/>
                <w:szCs w:val="20"/>
                <w:lang w:val="sr-Cyrl-CS"/>
              </w:rPr>
              <w:t>Унапређење праћења фискалних ризика, пожељна је већа вредност</w:t>
            </w:r>
          </w:p>
        </w:tc>
      </w:tr>
      <w:tr w:rsidR="00C76ED1" w:rsidRPr="00827818" w:rsidTr="00881211">
        <w:trPr>
          <w:jc w:val="center"/>
        </w:trPr>
        <w:tc>
          <w:tcPr>
            <w:tcW w:w="1434" w:type="pct"/>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Извор података за праћење показатеља учинка</w:t>
            </w:r>
          </w:p>
        </w:tc>
        <w:tc>
          <w:tcPr>
            <w:tcW w:w="3566" w:type="pct"/>
            <w:gridSpan w:val="9"/>
            <w:shd w:val="clear" w:color="auto" w:fill="FFFFFF"/>
            <w:vAlign w:val="center"/>
          </w:tcPr>
          <w:p w:rsidR="00C76ED1" w:rsidRPr="00827818" w:rsidRDefault="00C76ED1" w:rsidP="00D57BAA">
            <w:pPr>
              <w:spacing w:after="134" w:line="276" w:lineRule="auto"/>
              <w:jc w:val="both"/>
              <w:rPr>
                <w:rFonts w:ascii="Times New Roman" w:eastAsia="Calibri" w:hAnsi="Times New Roman" w:cs="Times New Roman"/>
                <w:sz w:val="20"/>
                <w:szCs w:val="20"/>
                <w:lang w:val="sr-Cyrl-CS"/>
              </w:rPr>
            </w:pPr>
            <w:r w:rsidRPr="00827818">
              <w:rPr>
                <w:rFonts w:ascii="Times New Roman" w:eastAsia="Calibri" w:hAnsi="Times New Roman" w:cs="Times New Roman"/>
                <w:iCs/>
                <w:sz w:val="20"/>
                <w:szCs w:val="20"/>
                <w:lang w:val="sr-Cyrl-CS"/>
              </w:rPr>
              <w:t>Извештај о спроведеним обукама</w:t>
            </w:r>
            <w:r w:rsidRPr="00827818">
              <w:rPr>
                <w:rFonts w:ascii="Times New Roman" w:eastAsia="Calibri" w:hAnsi="Times New Roman" w:cs="Times New Roman"/>
                <w:sz w:val="20"/>
                <w:szCs w:val="20"/>
                <w:lang w:val="sr-Cyrl-CS"/>
              </w:rPr>
              <w:t xml:space="preserve">. </w:t>
            </w:r>
          </w:p>
        </w:tc>
      </w:tr>
      <w:tr w:rsidR="00C76ED1" w:rsidRPr="00827818" w:rsidTr="00881211">
        <w:trPr>
          <w:jc w:val="center"/>
        </w:trPr>
        <w:tc>
          <w:tcPr>
            <w:tcW w:w="1434" w:type="pct"/>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Назив носиоца прикупљања података</w:t>
            </w:r>
          </w:p>
        </w:tc>
        <w:tc>
          <w:tcPr>
            <w:tcW w:w="3566" w:type="pct"/>
            <w:gridSpan w:val="9"/>
            <w:shd w:val="clear" w:color="auto" w:fill="FFFFFF"/>
            <w:vAlign w:val="center"/>
          </w:tcPr>
          <w:p w:rsidR="00C76ED1" w:rsidRPr="00827818" w:rsidRDefault="00C76ED1" w:rsidP="00423027">
            <w:pPr>
              <w:spacing w:before="50" w:after="50" w:line="276" w:lineRule="auto"/>
              <w:jc w:val="both"/>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Министарство финансија</w:t>
            </w:r>
            <w:r w:rsidR="00423027" w:rsidRPr="00827818">
              <w:rPr>
                <w:rFonts w:ascii="Times New Roman" w:eastAsia="Calibri" w:hAnsi="Times New Roman" w:cs="Times New Roman"/>
                <w:sz w:val="20"/>
                <w:szCs w:val="20"/>
                <w:lang w:val="sr-Cyrl-CS"/>
              </w:rPr>
              <w:t xml:space="preserve"> </w:t>
            </w:r>
            <w:r w:rsidR="00423027" w:rsidRPr="00827818">
              <w:rPr>
                <w:rFonts w:ascii="Times New Roman" w:eastAsia="Calibri" w:hAnsi="Times New Roman" w:cs="Times New Roman"/>
                <w:sz w:val="20"/>
                <w:szCs w:val="20"/>
                <w:lang w:val="sr-Cyrl-CS"/>
              </w:rPr>
              <w:sym w:font="Symbol" w:char="F02D"/>
            </w:r>
            <w:r w:rsidRPr="00827818">
              <w:rPr>
                <w:rFonts w:ascii="Times New Roman" w:eastAsia="Calibri" w:hAnsi="Times New Roman" w:cs="Times New Roman"/>
                <w:sz w:val="20"/>
                <w:szCs w:val="20"/>
                <w:lang w:val="sr-Cyrl-CS"/>
              </w:rPr>
              <w:t xml:space="preserve"> Сектор за праћење фискалних ризика</w:t>
            </w:r>
          </w:p>
        </w:tc>
      </w:tr>
      <w:tr w:rsidR="00C76ED1" w:rsidRPr="00827818" w:rsidTr="00881211">
        <w:trPr>
          <w:jc w:val="center"/>
        </w:trPr>
        <w:tc>
          <w:tcPr>
            <w:tcW w:w="1434" w:type="pct"/>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Учесталост прикупљања података</w:t>
            </w:r>
          </w:p>
        </w:tc>
        <w:tc>
          <w:tcPr>
            <w:tcW w:w="3566" w:type="pct"/>
            <w:gridSpan w:val="9"/>
            <w:shd w:val="clear" w:color="auto" w:fill="FFFFFF"/>
            <w:vAlign w:val="center"/>
          </w:tcPr>
          <w:p w:rsidR="00C76ED1" w:rsidRPr="00827818" w:rsidRDefault="00C76ED1" w:rsidP="00D57BAA">
            <w:pPr>
              <w:spacing w:before="50" w:after="50" w:line="276" w:lineRule="auto"/>
              <w:jc w:val="both"/>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Годишње</w:t>
            </w:r>
          </w:p>
        </w:tc>
      </w:tr>
      <w:tr w:rsidR="00C76ED1" w:rsidRPr="00827818" w:rsidTr="00881211">
        <w:trPr>
          <w:trHeight w:val="274"/>
          <w:jc w:val="center"/>
        </w:trPr>
        <w:tc>
          <w:tcPr>
            <w:tcW w:w="1434" w:type="pct"/>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sz w:val="20"/>
                <w:szCs w:val="20"/>
                <w:lang w:val="sr-Cyrl-CS"/>
              </w:rPr>
            </w:pPr>
            <w:r w:rsidRPr="00827818">
              <w:rPr>
                <w:rFonts w:ascii="Times New Roman" w:eastAsia="Calibri" w:hAnsi="Times New Roman" w:cs="Times New Roman"/>
                <w:b/>
                <w:sz w:val="20"/>
                <w:szCs w:val="20"/>
                <w:lang w:val="sr-Cyrl-CS"/>
              </w:rPr>
              <w:t>Кратак опис показатеља и методологије израчунавања</w:t>
            </w:r>
          </w:p>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sz w:val="20"/>
                <w:szCs w:val="20"/>
                <w:lang w:val="sr-Cyrl-CS"/>
              </w:rPr>
              <w:t>(формуле/ једначине)</w:t>
            </w:r>
          </w:p>
        </w:tc>
        <w:tc>
          <w:tcPr>
            <w:tcW w:w="3566" w:type="pct"/>
            <w:gridSpan w:val="9"/>
            <w:shd w:val="clear" w:color="auto" w:fill="FFFFFF"/>
          </w:tcPr>
          <w:p w:rsidR="00C76ED1" w:rsidRPr="00827818" w:rsidRDefault="00C76ED1" w:rsidP="00D57BAA">
            <w:pPr>
              <w:spacing w:before="50" w:after="50" w:line="276" w:lineRule="auto"/>
              <w:jc w:val="both"/>
              <w:rPr>
                <w:rFonts w:ascii="Times New Roman" w:eastAsia="Calibri" w:hAnsi="Times New Roman" w:cs="Times New Roman"/>
                <w:sz w:val="20"/>
                <w:szCs w:val="20"/>
                <w:lang w:val="sr-Cyrl-CS"/>
              </w:rPr>
            </w:pPr>
            <w:r w:rsidRPr="00827818">
              <w:rPr>
                <w:rFonts w:ascii="Times New Roman" w:eastAsia="Calibri" w:hAnsi="Times New Roman" w:cs="Times New Roman"/>
                <w:sz w:val="20"/>
                <w:szCs w:val="20"/>
                <w:lang w:val="sr-Cyrl-CS"/>
              </w:rPr>
              <w:t>Показатељ указује на проценат запослених који су прошли предвиђене стручне обуке.</w:t>
            </w:r>
          </w:p>
        </w:tc>
      </w:tr>
      <w:tr w:rsidR="00C76ED1" w:rsidRPr="00827818" w:rsidTr="00881211">
        <w:trPr>
          <w:trHeight w:val="413"/>
          <w:jc w:val="center"/>
        </w:trPr>
        <w:tc>
          <w:tcPr>
            <w:tcW w:w="1434" w:type="pct"/>
            <w:vMerge w:val="restart"/>
            <w:shd w:val="clear" w:color="auto" w:fill="auto"/>
          </w:tcPr>
          <w:p w:rsidR="00C76ED1" w:rsidRPr="00827818" w:rsidRDefault="00C76ED1" w:rsidP="00D57BAA">
            <w:pPr>
              <w:spacing w:before="50" w:after="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lastRenderedPageBreak/>
              <w:t xml:space="preserve">Подаци о полазној вредности и години кад је измерена, као и о ранијем тренду </w:t>
            </w:r>
          </w:p>
        </w:tc>
        <w:tc>
          <w:tcPr>
            <w:tcW w:w="2703" w:type="pct"/>
            <w:gridSpan w:val="7"/>
            <w:tcBorders>
              <w:bottom w:val="single" w:sz="4" w:space="0" w:color="auto"/>
            </w:tcBorders>
            <w:shd w:val="clear" w:color="auto" w:fill="FFFFFF"/>
          </w:tcPr>
          <w:p w:rsidR="00C76ED1" w:rsidRPr="00827818" w:rsidRDefault="00C76ED1"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Ранији тренд</w:t>
            </w:r>
          </w:p>
        </w:tc>
        <w:tc>
          <w:tcPr>
            <w:tcW w:w="863" w:type="pct"/>
            <w:gridSpan w:val="2"/>
            <w:shd w:val="clear" w:color="auto" w:fill="FFFFFF"/>
          </w:tcPr>
          <w:p w:rsidR="00C76ED1" w:rsidRPr="00827818" w:rsidRDefault="00C76ED1"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Полазна вредност</w:t>
            </w:r>
          </w:p>
        </w:tc>
      </w:tr>
      <w:tr w:rsidR="00C76ED1" w:rsidRPr="00827818" w:rsidTr="00881211">
        <w:trPr>
          <w:trHeight w:val="137"/>
          <w:jc w:val="center"/>
        </w:trPr>
        <w:tc>
          <w:tcPr>
            <w:tcW w:w="1434" w:type="pct"/>
            <w:vMerge/>
            <w:tcBorders>
              <w:right w:val="single" w:sz="4" w:space="0" w:color="auto"/>
            </w:tcBorders>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p>
        </w:tc>
        <w:tc>
          <w:tcPr>
            <w:tcW w:w="941" w:type="pct"/>
            <w:gridSpan w:val="2"/>
            <w:tcBorders>
              <w:top w:val="single" w:sz="4" w:space="0" w:color="auto"/>
              <w:left w:val="single" w:sz="4" w:space="0" w:color="auto"/>
              <w:bottom w:val="single" w:sz="4" w:space="0" w:color="auto"/>
              <w:right w:val="single" w:sz="4" w:space="0" w:color="auto"/>
            </w:tcBorders>
            <w:shd w:val="clear" w:color="auto" w:fill="FFFFFF"/>
          </w:tcPr>
          <w:p w:rsidR="00C76ED1" w:rsidRPr="00827818" w:rsidRDefault="00C76ED1"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2016.</w:t>
            </w:r>
          </w:p>
        </w:tc>
        <w:tc>
          <w:tcPr>
            <w:tcW w:w="863" w:type="pct"/>
            <w:gridSpan w:val="3"/>
            <w:tcBorders>
              <w:top w:val="single" w:sz="4" w:space="0" w:color="auto"/>
              <w:left w:val="single" w:sz="4" w:space="0" w:color="auto"/>
              <w:bottom w:val="single" w:sz="4" w:space="0" w:color="auto"/>
              <w:right w:val="single" w:sz="4" w:space="0" w:color="auto"/>
            </w:tcBorders>
            <w:shd w:val="clear" w:color="auto" w:fill="FFFFFF"/>
          </w:tcPr>
          <w:p w:rsidR="00C76ED1" w:rsidRPr="00827818" w:rsidRDefault="00C76ED1"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2018.</w:t>
            </w:r>
          </w:p>
        </w:tc>
        <w:tc>
          <w:tcPr>
            <w:tcW w:w="899" w:type="pct"/>
            <w:gridSpan w:val="2"/>
            <w:tcBorders>
              <w:top w:val="single" w:sz="4" w:space="0" w:color="auto"/>
              <w:left w:val="single" w:sz="4" w:space="0" w:color="auto"/>
              <w:bottom w:val="single" w:sz="4" w:space="0" w:color="auto"/>
              <w:right w:val="single" w:sz="4" w:space="0" w:color="auto"/>
            </w:tcBorders>
            <w:shd w:val="clear" w:color="auto" w:fill="FFFFFF"/>
          </w:tcPr>
          <w:p w:rsidR="00C76ED1" w:rsidRPr="00827818" w:rsidRDefault="00C76ED1"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2019.</w:t>
            </w:r>
          </w:p>
        </w:tc>
        <w:tc>
          <w:tcPr>
            <w:tcW w:w="863" w:type="pct"/>
            <w:gridSpan w:val="2"/>
            <w:tcBorders>
              <w:left w:val="single" w:sz="4" w:space="0" w:color="auto"/>
            </w:tcBorders>
            <w:shd w:val="clear" w:color="auto" w:fill="FFFFFF"/>
          </w:tcPr>
          <w:p w:rsidR="00C76ED1" w:rsidRPr="00827818" w:rsidRDefault="00C76ED1" w:rsidP="00D57BAA">
            <w:pPr>
              <w:spacing w:before="100" w:after="200" w:line="276" w:lineRule="auto"/>
              <w:jc w:val="both"/>
              <w:rPr>
                <w:rFonts w:ascii="Times New Roman" w:eastAsia="Times New Roman" w:hAnsi="Times New Roman" w:cs="Times New Roman"/>
                <w:sz w:val="20"/>
                <w:szCs w:val="20"/>
                <w:lang w:val="sr-Cyrl-CS"/>
              </w:rPr>
            </w:pPr>
            <w:r w:rsidRPr="00827818">
              <w:rPr>
                <w:rFonts w:ascii="Times New Roman" w:eastAsia="Times New Roman" w:hAnsi="Times New Roman" w:cs="Times New Roman"/>
                <w:sz w:val="20"/>
                <w:szCs w:val="20"/>
                <w:lang w:val="sr-Cyrl-CS"/>
              </w:rPr>
              <w:t xml:space="preserve">2020. </w:t>
            </w:r>
          </w:p>
        </w:tc>
      </w:tr>
      <w:tr w:rsidR="00C76ED1" w:rsidRPr="00827818" w:rsidTr="00881211">
        <w:trPr>
          <w:trHeight w:val="422"/>
          <w:jc w:val="center"/>
        </w:trPr>
        <w:tc>
          <w:tcPr>
            <w:tcW w:w="1434" w:type="pct"/>
            <w:vMerge/>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p>
        </w:tc>
        <w:tc>
          <w:tcPr>
            <w:tcW w:w="941" w:type="pct"/>
            <w:gridSpan w:val="2"/>
            <w:tcBorders>
              <w:top w:val="single" w:sz="4" w:space="0" w:color="auto"/>
            </w:tcBorders>
            <w:shd w:val="clear" w:color="auto" w:fill="FFFFFF"/>
            <w:vAlign w:val="center"/>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63" w:type="pct"/>
            <w:gridSpan w:val="3"/>
            <w:tcBorders>
              <w:top w:val="single" w:sz="4" w:space="0" w:color="auto"/>
            </w:tcBorders>
            <w:shd w:val="clear" w:color="auto" w:fill="FFFFFF"/>
            <w:vAlign w:val="center"/>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99" w:type="pct"/>
            <w:gridSpan w:val="2"/>
            <w:tcBorders>
              <w:top w:val="single" w:sz="4" w:space="0" w:color="auto"/>
            </w:tcBorders>
            <w:shd w:val="clear" w:color="auto" w:fill="FFFFFF"/>
            <w:vAlign w:val="center"/>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w:t>
            </w:r>
          </w:p>
        </w:tc>
        <w:tc>
          <w:tcPr>
            <w:tcW w:w="863" w:type="pct"/>
            <w:gridSpan w:val="2"/>
            <w:shd w:val="clear" w:color="auto" w:fill="FFFFFF"/>
            <w:vAlign w:val="center"/>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0%</w:t>
            </w:r>
          </w:p>
        </w:tc>
      </w:tr>
      <w:tr w:rsidR="00C76ED1" w:rsidRPr="00827818" w:rsidTr="007050A6">
        <w:trPr>
          <w:trHeight w:val="274"/>
          <w:jc w:val="center"/>
        </w:trPr>
        <w:tc>
          <w:tcPr>
            <w:tcW w:w="1434" w:type="pct"/>
            <w:vMerge w:val="restart"/>
            <w:shd w:val="clear" w:color="auto" w:fill="auto"/>
          </w:tcPr>
          <w:p w:rsidR="00C76ED1" w:rsidRPr="00827818" w:rsidRDefault="00C76ED1" w:rsidP="00D57BAA">
            <w:pPr>
              <w:spacing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Подаци о циљним вредностима</w:t>
            </w:r>
          </w:p>
        </w:tc>
        <w:tc>
          <w:tcPr>
            <w:tcW w:w="721" w:type="pct"/>
            <w:shd w:val="clear" w:color="auto" w:fill="FFFFFF"/>
          </w:tcPr>
          <w:p w:rsidR="00C76ED1" w:rsidRPr="00827818" w:rsidRDefault="00C76ED1"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2021.</w:t>
            </w:r>
          </w:p>
        </w:tc>
        <w:tc>
          <w:tcPr>
            <w:tcW w:w="720" w:type="pct"/>
            <w:gridSpan w:val="2"/>
            <w:shd w:val="clear" w:color="auto" w:fill="FFFFFF"/>
          </w:tcPr>
          <w:p w:rsidR="00C76ED1" w:rsidRPr="00827818" w:rsidRDefault="00C76ED1"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2022.</w:t>
            </w:r>
          </w:p>
        </w:tc>
        <w:tc>
          <w:tcPr>
            <w:tcW w:w="712" w:type="pct"/>
            <w:gridSpan w:val="3"/>
            <w:shd w:val="clear" w:color="auto" w:fill="FFFFFF"/>
          </w:tcPr>
          <w:p w:rsidR="00C76ED1" w:rsidRPr="00827818" w:rsidRDefault="00C76ED1"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2023.</w:t>
            </w:r>
          </w:p>
        </w:tc>
        <w:tc>
          <w:tcPr>
            <w:tcW w:w="706" w:type="pct"/>
            <w:gridSpan w:val="2"/>
            <w:shd w:val="clear" w:color="auto" w:fill="FFFFFF"/>
          </w:tcPr>
          <w:p w:rsidR="00C76ED1" w:rsidRPr="00827818" w:rsidRDefault="00C76ED1"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2024.</w:t>
            </w:r>
          </w:p>
        </w:tc>
        <w:tc>
          <w:tcPr>
            <w:tcW w:w="707" w:type="pct"/>
            <w:shd w:val="clear" w:color="auto" w:fill="FFFFFF"/>
          </w:tcPr>
          <w:p w:rsidR="00C76ED1" w:rsidRPr="00827818" w:rsidRDefault="00C76ED1" w:rsidP="00D57BAA">
            <w:pPr>
              <w:spacing w:after="200" w:line="276" w:lineRule="auto"/>
              <w:jc w:val="both"/>
              <w:rPr>
                <w:rFonts w:ascii="Times New Roman" w:eastAsia="Calibri" w:hAnsi="Times New Roman" w:cs="Times New Roman"/>
                <w:bCs/>
                <w:sz w:val="20"/>
                <w:szCs w:val="20"/>
                <w:lang w:val="sr-Cyrl-CS"/>
              </w:rPr>
            </w:pPr>
            <w:r w:rsidRPr="00827818">
              <w:rPr>
                <w:rFonts w:ascii="Times New Roman" w:eastAsia="Calibri" w:hAnsi="Times New Roman" w:cs="Times New Roman"/>
                <w:bCs/>
                <w:sz w:val="20"/>
                <w:szCs w:val="20"/>
                <w:lang w:val="sr-Cyrl-CS"/>
              </w:rPr>
              <w:t>2025.</w:t>
            </w:r>
          </w:p>
        </w:tc>
      </w:tr>
      <w:tr w:rsidR="00C76ED1" w:rsidRPr="00827818" w:rsidTr="007050A6">
        <w:trPr>
          <w:trHeight w:val="160"/>
          <w:jc w:val="center"/>
        </w:trPr>
        <w:tc>
          <w:tcPr>
            <w:tcW w:w="1434" w:type="pct"/>
            <w:vMerge/>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p>
        </w:tc>
        <w:tc>
          <w:tcPr>
            <w:tcW w:w="721" w:type="pct"/>
            <w:shd w:val="clear" w:color="auto" w:fill="FFFFFF"/>
            <w:vAlign w:val="center"/>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p>
        </w:tc>
        <w:tc>
          <w:tcPr>
            <w:tcW w:w="720" w:type="pct"/>
            <w:gridSpan w:val="2"/>
            <w:shd w:val="clear" w:color="auto" w:fill="FFFFFF"/>
            <w:vAlign w:val="center"/>
          </w:tcPr>
          <w:p w:rsidR="00C76ED1" w:rsidRPr="00827818" w:rsidRDefault="005136E4"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10%</w:t>
            </w:r>
          </w:p>
        </w:tc>
        <w:tc>
          <w:tcPr>
            <w:tcW w:w="712" w:type="pct"/>
            <w:gridSpan w:val="3"/>
            <w:shd w:val="clear" w:color="auto" w:fill="FFFFFF"/>
            <w:vAlign w:val="center"/>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20%</w:t>
            </w:r>
          </w:p>
        </w:tc>
        <w:tc>
          <w:tcPr>
            <w:tcW w:w="706" w:type="pct"/>
            <w:gridSpan w:val="2"/>
            <w:shd w:val="clear" w:color="auto" w:fill="FFFFFF"/>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50%</w:t>
            </w:r>
          </w:p>
        </w:tc>
        <w:tc>
          <w:tcPr>
            <w:tcW w:w="707" w:type="pct"/>
            <w:shd w:val="clear" w:color="auto" w:fill="FFFFFF"/>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80%</w:t>
            </w:r>
          </w:p>
        </w:tc>
      </w:tr>
      <w:tr w:rsidR="00C76ED1" w:rsidRPr="00827818" w:rsidTr="00881211">
        <w:trPr>
          <w:trHeight w:val="160"/>
          <w:jc w:val="center"/>
        </w:trPr>
        <w:tc>
          <w:tcPr>
            <w:tcW w:w="1434" w:type="pct"/>
            <w:shd w:val="clear" w:color="auto" w:fill="auto"/>
          </w:tcPr>
          <w:p w:rsidR="00C76ED1" w:rsidRPr="00827818" w:rsidRDefault="00C76ED1" w:rsidP="00D57BAA">
            <w:pPr>
              <w:spacing w:before="50" w:after="50" w:line="276" w:lineRule="auto"/>
              <w:jc w:val="both"/>
              <w:rPr>
                <w:rFonts w:ascii="Times New Roman" w:eastAsia="Calibri" w:hAnsi="Times New Roman" w:cs="Times New Roman"/>
                <w:b/>
                <w:bCs/>
                <w:sz w:val="20"/>
                <w:szCs w:val="20"/>
                <w:lang w:val="sr-Cyrl-CS"/>
              </w:rPr>
            </w:pPr>
            <w:r w:rsidRPr="00827818">
              <w:rPr>
                <w:rFonts w:ascii="Times New Roman" w:eastAsia="Calibri" w:hAnsi="Times New Roman" w:cs="Times New Roman"/>
                <w:b/>
                <w:bCs/>
                <w:sz w:val="20"/>
                <w:szCs w:val="20"/>
                <w:lang w:val="sr-Cyrl-CS"/>
              </w:rPr>
              <w:t>Процена успешности</w:t>
            </w:r>
          </w:p>
        </w:tc>
        <w:tc>
          <w:tcPr>
            <w:tcW w:w="3566" w:type="pct"/>
            <w:gridSpan w:val="9"/>
            <w:shd w:val="clear" w:color="auto" w:fill="FFFFFF"/>
            <w:vAlign w:val="center"/>
          </w:tcPr>
          <w:p w:rsidR="00C76ED1" w:rsidRPr="00827818" w:rsidRDefault="00C76ED1" w:rsidP="00D57BAA">
            <w:pPr>
              <w:spacing w:before="50" w:after="50" w:line="276" w:lineRule="auto"/>
              <w:jc w:val="both"/>
              <w:rPr>
                <w:rFonts w:ascii="Times New Roman" w:eastAsia="Calibri" w:hAnsi="Times New Roman" w:cs="Times New Roman"/>
                <w:iCs/>
                <w:sz w:val="20"/>
                <w:szCs w:val="20"/>
                <w:lang w:val="sr-Cyrl-CS"/>
              </w:rPr>
            </w:pPr>
            <w:r w:rsidRPr="00827818">
              <w:rPr>
                <w:rFonts w:ascii="Times New Roman" w:eastAsia="Calibri" w:hAnsi="Times New Roman" w:cs="Times New Roman"/>
                <w:iCs/>
                <w:sz w:val="20"/>
                <w:szCs w:val="20"/>
                <w:lang w:val="sr-Cyrl-CS"/>
              </w:rPr>
              <w:t xml:space="preserve">Прихватљиво одступање до </w:t>
            </w:r>
            <w:r w:rsidR="005136E4" w:rsidRPr="00827818">
              <w:rPr>
                <w:rFonts w:ascii="Times New Roman" w:eastAsia="Calibri" w:hAnsi="Times New Roman" w:cs="Times New Roman"/>
                <w:iCs/>
                <w:sz w:val="20"/>
                <w:szCs w:val="20"/>
                <w:lang w:val="sr-Cyrl-CS"/>
              </w:rPr>
              <w:t>5</w:t>
            </w:r>
            <w:r w:rsidRPr="00827818">
              <w:rPr>
                <w:rFonts w:ascii="Times New Roman" w:eastAsia="Calibri" w:hAnsi="Times New Roman" w:cs="Times New Roman"/>
                <w:iCs/>
                <w:sz w:val="20"/>
                <w:szCs w:val="20"/>
                <w:lang w:val="sr-Cyrl-CS"/>
              </w:rPr>
              <w:t xml:space="preserve">%.   </w:t>
            </w:r>
          </w:p>
        </w:tc>
      </w:tr>
    </w:tbl>
    <w:p w:rsidR="00B37177" w:rsidRPr="00827818" w:rsidRDefault="009221A4" w:rsidP="00736982">
      <w:pPr>
        <w:spacing w:after="0" w:line="240" w:lineRule="auto"/>
        <w:jc w:val="right"/>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w:t>
      </w:r>
      <w:r w:rsidR="00605563" w:rsidRPr="00827818">
        <w:rPr>
          <w:rFonts w:ascii="Times New Roman" w:eastAsia="Times New Roman" w:hAnsi="Times New Roman" w:cs="Times New Roman"/>
          <w:iCs/>
          <w:sz w:val="24"/>
          <w:szCs w:val="24"/>
          <w:lang w:val="sr-Cyrl-CS"/>
        </w:rPr>
        <w:t>.</w:t>
      </w:r>
    </w:p>
    <w:p w:rsidR="00C02153" w:rsidRPr="00827818" w:rsidRDefault="00C02153" w:rsidP="00605563">
      <w:pPr>
        <w:spacing w:after="0" w:line="240" w:lineRule="auto"/>
        <w:jc w:val="both"/>
        <w:rPr>
          <w:rFonts w:ascii="Times New Roman" w:hAnsi="Times New Roman" w:cs="Times New Roman"/>
          <w:sz w:val="24"/>
          <w:szCs w:val="24"/>
          <w:lang w:val="sr-Cyrl-CS"/>
        </w:rPr>
      </w:pPr>
    </w:p>
    <w:p w:rsidR="00255C65" w:rsidRPr="00827818" w:rsidRDefault="00BF23C4" w:rsidP="00BF23C4">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7</w:t>
      </w:r>
      <w:r w:rsidR="00F47AA2">
        <w:rPr>
          <w:rFonts w:ascii="Times New Roman" w:eastAsia="Times New Roman" w:hAnsi="Times New Roman" w:cs="Times New Roman"/>
          <w:iCs/>
          <w:sz w:val="24"/>
          <w:szCs w:val="24"/>
          <w:lang w:val="sr-Cyrl-CS"/>
        </w:rPr>
        <w:t>7</w:t>
      </w:r>
      <w:r w:rsidRPr="00827818">
        <w:rPr>
          <w:rFonts w:ascii="Times New Roman" w:eastAsia="Times New Roman" w:hAnsi="Times New Roman" w:cs="Times New Roman"/>
          <w:iCs/>
          <w:sz w:val="24"/>
          <w:szCs w:val="24"/>
          <w:lang w:val="sr-Cyrl-CS"/>
        </w:rPr>
        <w:t xml:space="preserve">. </w:t>
      </w:r>
      <w:r w:rsidR="00C24FE7" w:rsidRPr="00827818">
        <w:rPr>
          <w:rFonts w:ascii="Times New Roman" w:eastAsia="Times New Roman" w:hAnsi="Times New Roman" w:cs="Times New Roman"/>
          <w:iCs/>
          <w:sz w:val="24"/>
          <w:szCs w:val="24"/>
          <w:lang w:val="sr-Cyrl-CS"/>
        </w:rPr>
        <w:t xml:space="preserve">У </w:t>
      </w:r>
      <w:r w:rsidR="00605563" w:rsidRPr="00827818">
        <w:rPr>
          <w:rFonts w:ascii="Times New Roman" w:eastAsia="Times New Roman" w:hAnsi="Times New Roman" w:cs="Times New Roman"/>
          <w:iCs/>
          <w:sz w:val="24"/>
          <w:szCs w:val="24"/>
          <w:lang w:val="sr-Cyrl-CS"/>
        </w:rPr>
        <w:t>оквиру посебног циља II</w:t>
      </w:r>
      <w:r w:rsidR="00255C65" w:rsidRPr="00827818">
        <w:rPr>
          <w:rFonts w:ascii="Times New Roman" w:eastAsia="Times New Roman" w:hAnsi="Times New Roman" w:cs="Times New Roman"/>
          <w:iCs/>
          <w:sz w:val="24"/>
          <w:szCs w:val="24"/>
          <w:lang w:val="sr-Cyrl-CS"/>
        </w:rPr>
        <w:t xml:space="preserve"> Ефикасно прикупљање и управљање буџетским средствим</w:t>
      </w:r>
      <w:r w:rsidR="00F31DF4" w:rsidRPr="00827818">
        <w:rPr>
          <w:rFonts w:ascii="Times New Roman" w:eastAsia="Times New Roman" w:hAnsi="Times New Roman" w:cs="Times New Roman"/>
          <w:iCs/>
          <w:sz w:val="24"/>
          <w:szCs w:val="24"/>
          <w:lang w:val="sr-Cyrl-CS"/>
        </w:rPr>
        <w:t xml:space="preserve">а, </w:t>
      </w:r>
      <w:r w:rsidR="00255C65" w:rsidRPr="00827818">
        <w:rPr>
          <w:rFonts w:ascii="Times New Roman" w:eastAsia="Times New Roman" w:hAnsi="Times New Roman" w:cs="Times New Roman"/>
          <w:iCs/>
          <w:sz w:val="24"/>
          <w:szCs w:val="24"/>
          <w:lang w:val="sr-Cyrl-CS"/>
        </w:rPr>
        <w:t>за показатељ „Годишње трошкови сервисирања јавног дуга (плаћања камата-нето износ) као % БДП-a</w:t>
      </w:r>
      <w:r w:rsidR="00E65243" w:rsidRPr="00827818">
        <w:rPr>
          <w:rFonts w:ascii="Times New Roman" w:eastAsia="Times New Roman" w:hAnsi="Times New Roman" w:cs="Times New Roman"/>
          <w:iCs/>
          <w:sz w:val="24"/>
          <w:szCs w:val="24"/>
          <w:lang w:val="sr-Cyrl-CS"/>
        </w:rPr>
        <w:t>ˮ</w:t>
      </w:r>
      <w:r w:rsidR="00255C65" w:rsidRPr="00827818">
        <w:rPr>
          <w:rFonts w:ascii="Times New Roman" w:eastAsia="Times New Roman" w:hAnsi="Times New Roman" w:cs="Times New Roman"/>
          <w:iCs/>
          <w:sz w:val="24"/>
          <w:szCs w:val="24"/>
          <w:lang w:val="sr-Cyrl-CS"/>
        </w:rPr>
        <w:t xml:space="preserve"> мењају се подаци о циљаним вредностима </w:t>
      </w:r>
      <w:r w:rsidR="000C7C8F" w:rsidRPr="00827818">
        <w:rPr>
          <w:rFonts w:ascii="Times New Roman" w:eastAsia="Times New Roman" w:hAnsi="Times New Roman" w:cs="Times New Roman"/>
          <w:iCs/>
          <w:sz w:val="24"/>
          <w:szCs w:val="24"/>
          <w:lang w:val="sr-Cyrl-CS"/>
        </w:rPr>
        <w:t>тако да</w:t>
      </w:r>
      <w:r w:rsidR="00255C65" w:rsidRPr="00827818">
        <w:rPr>
          <w:rFonts w:ascii="Times New Roman" w:eastAsia="Times New Roman" w:hAnsi="Times New Roman" w:cs="Times New Roman"/>
          <w:iCs/>
          <w:sz w:val="24"/>
          <w:szCs w:val="24"/>
          <w:lang w:val="sr-Cyrl-CS"/>
        </w:rPr>
        <w:t xml:space="preserve"> глас</w:t>
      </w:r>
      <w:r w:rsidR="000C7C8F" w:rsidRPr="00827818">
        <w:rPr>
          <w:rFonts w:ascii="Times New Roman" w:eastAsia="Times New Roman" w:hAnsi="Times New Roman" w:cs="Times New Roman"/>
          <w:iCs/>
          <w:sz w:val="24"/>
          <w:szCs w:val="24"/>
          <w:lang w:val="sr-Cyrl-CS"/>
        </w:rPr>
        <w:t>е</w:t>
      </w:r>
      <w:r w:rsidR="00255C65" w:rsidRPr="00827818">
        <w:rPr>
          <w:rFonts w:ascii="Times New Roman" w:eastAsia="Times New Roman" w:hAnsi="Times New Roman" w:cs="Times New Roman"/>
          <w:iCs/>
          <w:sz w:val="24"/>
          <w:szCs w:val="24"/>
          <w:lang w:val="sr-Cyrl-CS"/>
        </w:rPr>
        <w:t xml:space="preserve">: </w:t>
      </w:r>
      <w:r w:rsidR="00FA5BE6" w:rsidRPr="00827818">
        <w:rPr>
          <w:rFonts w:ascii="Times New Roman" w:eastAsia="Times New Roman" w:hAnsi="Times New Roman" w:cs="Times New Roman"/>
          <w:iCs/>
          <w:sz w:val="24"/>
          <w:szCs w:val="24"/>
          <w:lang w:val="sr-Cyrl-CS"/>
        </w:rPr>
        <w:t>„</w:t>
      </w:r>
      <w:r w:rsidR="00605563" w:rsidRPr="00827818">
        <w:rPr>
          <w:rFonts w:ascii="Times New Roman" w:eastAsia="Times New Roman" w:hAnsi="Times New Roman" w:cs="Times New Roman"/>
          <w:iCs/>
          <w:sz w:val="24"/>
          <w:szCs w:val="24"/>
          <w:lang w:val="sr-Cyrl-CS"/>
        </w:rPr>
        <w:t>ЦВ 2023 „1,8%</w:t>
      </w:r>
      <w:r w:rsidR="001F3A58" w:rsidRPr="00827818">
        <w:rPr>
          <w:rFonts w:ascii="Times New Roman" w:eastAsia="Times New Roman" w:hAnsi="Times New Roman" w:cs="Times New Roman"/>
          <w:iCs/>
          <w:sz w:val="24"/>
          <w:szCs w:val="24"/>
          <w:lang w:val="sr-Cyrl-CS"/>
        </w:rPr>
        <w:t>”</w:t>
      </w:r>
      <w:r w:rsidR="00FA5BE6" w:rsidRPr="00827818">
        <w:rPr>
          <w:rFonts w:ascii="Times New Roman" w:eastAsia="Times New Roman" w:hAnsi="Times New Roman" w:cs="Times New Roman"/>
          <w:iCs/>
          <w:sz w:val="24"/>
          <w:szCs w:val="24"/>
          <w:lang w:val="sr-Cyrl-CS"/>
        </w:rPr>
        <w:t>;</w:t>
      </w:r>
      <w:r w:rsidR="001F3A58" w:rsidRPr="00827818">
        <w:rPr>
          <w:rFonts w:ascii="Times New Roman" w:eastAsia="Times New Roman" w:hAnsi="Times New Roman" w:cs="Times New Roman"/>
          <w:iCs/>
          <w:sz w:val="24"/>
          <w:szCs w:val="24"/>
          <w:lang w:val="sr-Cyrl-CS"/>
        </w:rPr>
        <w:t xml:space="preserve"> 2024 „2,1%”</w:t>
      </w:r>
      <w:r w:rsidR="00255C65" w:rsidRPr="00827818">
        <w:rPr>
          <w:rFonts w:ascii="Times New Roman" w:eastAsia="Times New Roman" w:hAnsi="Times New Roman" w:cs="Times New Roman"/>
          <w:iCs/>
          <w:sz w:val="24"/>
          <w:szCs w:val="24"/>
          <w:lang w:val="sr-Cyrl-CS"/>
        </w:rPr>
        <w:t xml:space="preserve"> </w:t>
      </w:r>
      <w:r w:rsidR="001F3A58" w:rsidRPr="00827818">
        <w:rPr>
          <w:rFonts w:ascii="Times New Roman" w:eastAsia="Times New Roman" w:hAnsi="Times New Roman" w:cs="Times New Roman"/>
          <w:iCs/>
          <w:sz w:val="24"/>
          <w:szCs w:val="24"/>
          <w:lang w:val="sr-Cyrl-CS"/>
        </w:rPr>
        <w:t>и 2025 „2,1%</w:t>
      </w:r>
      <w:r w:rsidR="00F00299" w:rsidRPr="00827818">
        <w:rPr>
          <w:rFonts w:ascii="Times New Roman" w:eastAsia="Times New Roman" w:hAnsi="Times New Roman" w:cs="Times New Roman"/>
          <w:iCs/>
          <w:sz w:val="24"/>
          <w:szCs w:val="24"/>
          <w:lang w:val="sr-Cyrl-CS"/>
        </w:rPr>
        <w:t>”</w:t>
      </w:r>
      <w:r w:rsidR="00FA5BE6" w:rsidRPr="00827818">
        <w:rPr>
          <w:rFonts w:ascii="Times New Roman" w:eastAsia="Times New Roman" w:hAnsi="Times New Roman" w:cs="Times New Roman"/>
          <w:iCs/>
          <w:sz w:val="24"/>
          <w:szCs w:val="24"/>
          <w:lang w:val="sr-Cyrl-CS"/>
        </w:rPr>
        <w:t xml:space="preserve"> </w:t>
      </w:r>
      <w:r w:rsidR="00F00299" w:rsidRPr="00827818">
        <w:rPr>
          <w:rFonts w:ascii="Times New Roman" w:eastAsia="Times New Roman" w:hAnsi="Times New Roman" w:cs="Times New Roman"/>
          <w:iCs/>
          <w:sz w:val="24"/>
          <w:szCs w:val="24"/>
          <w:lang w:val="sr-Cyrl-CS"/>
        </w:rPr>
        <w:t>и м</w:t>
      </w:r>
      <w:r w:rsidR="00255C65" w:rsidRPr="00827818">
        <w:rPr>
          <w:rFonts w:ascii="Times New Roman" w:eastAsia="Times New Roman" w:hAnsi="Times New Roman" w:cs="Times New Roman"/>
          <w:iCs/>
          <w:sz w:val="24"/>
          <w:szCs w:val="24"/>
          <w:lang w:val="sr-Cyrl-CS"/>
        </w:rPr>
        <w:t xml:space="preserve">ењају се подаци о процени успешности </w:t>
      </w:r>
      <w:r w:rsidR="00FA5BE6" w:rsidRPr="00827818">
        <w:rPr>
          <w:rFonts w:ascii="Times New Roman" w:eastAsia="Times New Roman" w:hAnsi="Times New Roman" w:cs="Times New Roman"/>
          <w:iCs/>
          <w:sz w:val="24"/>
          <w:szCs w:val="24"/>
          <w:lang w:val="sr-Cyrl-CS"/>
        </w:rPr>
        <w:t xml:space="preserve">тако да </w:t>
      </w:r>
      <w:r w:rsidR="00070CDD" w:rsidRPr="00827818">
        <w:rPr>
          <w:rFonts w:ascii="Times New Roman" w:eastAsia="Times New Roman" w:hAnsi="Times New Roman" w:cs="Times New Roman"/>
          <w:iCs/>
          <w:sz w:val="24"/>
          <w:szCs w:val="24"/>
          <w:lang w:val="sr-Cyrl-CS"/>
        </w:rPr>
        <w:t>гласе</w:t>
      </w:r>
      <w:r w:rsidR="001F3A58" w:rsidRPr="00827818">
        <w:rPr>
          <w:rFonts w:ascii="Times New Roman" w:eastAsia="Times New Roman" w:hAnsi="Times New Roman" w:cs="Times New Roman"/>
          <w:iCs/>
          <w:sz w:val="24"/>
          <w:szCs w:val="24"/>
          <w:lang w:val="sr-Cyrl-CS"/>
        </w:rPr>
        <w:t>:</w:t>
      </w:r>
      <w:r w:rsidR="00255C65" w:rsidRPr="00827818">
        <w:rPr>
          <w:rFonts w:ascii="Times New Roman" w:eastAsia="Times New Roman" w:hAnsi="Times New Roman" w:cs="Times New Roman"/>
          <w:iCs/>
          <w:sz w:val="24"/>
          <w:szCs w:val="24"/>
          <w:lang w:val="sr-Cyrl-CS"/>
        </w:rPr>
        <w:t xml:space="preserve"> „Смањење годишњих трошкова сервисирања јавног дуга као проценат БДП-а</w:t>
      </w:r>
      <w:r w:rsidR="00605563" w:rsidRPr="00827818">
        <w:rPr>
          <w:rFonts w:ascii="Times New Roman" w:eastAsia="Times New Roman" w:hAnsi="Times New Roman" w:cs="Times New Roman"/>
          <w:iCs/>
          <w:sz w:val="24"/>
          <w:szCs w:val="24"/>
          <w:lang w:val="sr-Cyrl-CS"/>
        </w:rPr>
        <w:t>,</w:t>
      </w:r>
      <w:r w:rsidR="00070CDD" w:rsidRPr="00827818">
        <w:rPr>
          <w:rFonts w:ascii="Times New Roman" w:eastAsia="Times New Roman" w:hAnsi="Times New Roman" w:cs="Times New Roman"/>
          <w:iCs/>
          <w:sz w:val="24"/>
          <w:szCs w:val="24"/>
          <w:lang w:val="sr-Cyrl-CS"/>
        </w:rPr>
        <w:t xml:space="preserve"> </w:t>
      </w:r>
      <w:r w:rsidR="00FA5BE6" w:rsidRPr="00827818">
        <w:rPr>
          <w:rFonts w:ascii="Times New Roman" w:eastAsia="Times New Roman" w:hAnsi="Times New Roman" w:cs="Times New Roman"/>
          <w:iCs/>
          <w:sz w:val="24"/>
          <w:szCs w:val="24"/>
          <w:lang w:val="sr-Cyrl-CS"/>
        </w:rPr>
        <w:t>одступање од</w:t>
      </w:r>
      <w:r w:rsidR="00255C65" w:rsidRPr="00827818">
        <w:rPr>
          <w:rFonts w:ascii="Times New Roman" w:eastAsia="Times New Roman" w:hAnsi="Times New Roman" w:cs="Times New Roman"/>
          <w:iCs/>
          <w:sz w:val="24"/>
          <w:szCs w:val="24"/>
          <w:lang w:val="sr-Cyrl-CS"/>
        </w:rPr>
        <w:t xml:space="preserve"> 0,21% поена је прихватљиво</w:t>
      </w:r>
      <w:r w:rsidR="00E65243" w:rsidRPr="00827818">
        <w:rPr>
          <w:rFonts w:ascii="Times New Roman" w:eastAsia="Times New Roman" w:hAnsi="Times New Roman" w:cs="Times New Roman"/>
          <w:iCs/>
          <w:sz w:val="24"/>
          <w:szCs w:val="24"/>
          <w:lang w:val="sr-Cyrl-CS"/>
        </w:rPr>
        <w:t>ˮ</w:t>
      </w:r>
      <w:r w:rsidR="00FA5BE6" w:rsidRPr="00827818">
        <w:rPr>
          <w:rFonts w:ascii="Times New Roman" w:eastAsia="Times New Roman" w:hAnsi="Times New Roman" w:cs="Times New Roman"/>
          <w:iCs/>
          <w:sz w:val="24"/>
          <w:szCs w:val="24"/>
          <w:lang w:val="sr-Cyrl-CS"/>
        </w:rPr>
        <w:t>.</w:t>
      </w:r>
      <w:r w:rsidR="000A29AD" w:rsidRPr="00827818">
        <w:rPr>
          <w:rFonts w:ascii="Times New Roman" w:eastAsia="Times New Roman" w:hAnsi="Times New Roman" w:cs="Times New Roman"/>
          <w:iCs/>
          <w:sz w:val="24"/>
          <w:szCs w:val="24"/>
          <w:lang w:val="sr-Cyrl-CS"/>
        </w:rPr>
        <w:t xml:space="preserve"> </w:t>
      </w:r>
    </w:p>
    <w:p w:rsidR="00736982" w:rsidRDefault="00BF23C4" w:rsidP="00BF23C4">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7</w:t>
      </w:r>
      <w:r w:rsidR="00F47AA2">
        <w:rPr>
          <w:rFonts w:ascii="Times New Roman" w:eastAsia="Times New Roman" w:hAnsi="Times New Roman" w:cs="Times New Roman"/>
          <w:iCs/>
          <w:sz w:val="24"/>
          <w:szCs w:val="24"/>
          <w:lang w:val="sr-Cyrl-CS"/>
        </w:rPr>
        <w:t>8</w:t>
      </w:r>
      <w:r w:rsidRPr="00827818">
        <w:rPr>
          <w:rFonts w:ascii="Times New Roman" w:eastAsia="Times New Roman" w:hAnsi="Times New Roman" w:cs="Times New Roman"/>
          <w:iCs/>
          <w:sz w:val="24"/>
          <w:szCs w:val="24"/>
          <w:lang w:val="sr-Cyrl-CS"/>
        </w:rPr>
        <w:t>. З</w:t>
      </w:r>
      <w:r w:rsidR="00255C65" w:rsidRPr="00827818">
        <w:rPr>
          <w:rFonts w:ascii="Times New Roman" w:eastAsia="Times New Roman" w:hAnsi="Times New Roman" w:cs="Times New Roman"/>
          <w:iCs/>
          <w:sz w:val="24"/>
          <w:szCs w:val="24"/>
          <w:lang w:val="sr-Cyrl-CS"/>
        </w:rPr>
        <w:t>а показатељ на нивоу мере 2.2 „Модернизација рада Управе за дуван</w:t>
      </w:r>
      <w:r w:rsidR="00E65243" w:rsidRPr="00827818">
        <w:rPr>
          <w:rFonts w:ascii="Times New Roman" w:eastAsia="Times New Roman" w:hAnsi="Times New Roman" w:cs="Times New Roman"/>
          <w:iCs/>
          <w:sz w:val="24"/>
          <w:szCs w:val="24"/>
          <w:lang w:val="sr-Cyrl-CS"/>
        </w:rPr>
        <w:t>ˮ</w:t>
      </w:r>
      <w:r w:rsidR="00070CDD" w:rsidRPr="00827818">
        <w:rPr>
          <w:rFonts w:ascii="Times New Roman" w:eastAsia="Times New Roman" w:hAnsi="Times New Roman" w:cs="Times New Roman"/>
          <w:iCs/>
          <w:sz w:val="24"/>
          <w:szCs w:val="24"/>
          <w:lang w:val="sr-Cyrl-CS"/>
        </w:rPr>
        <w:t xml:space="preserve"> додаје</w:t>
      </w:r>
      <w:r w:rsidR="00255C65" w:rsidRPr="00827818">
        <w:rPr>
          <w:rFonts w:ascii="Times New Roman" w:eastAsia="Times New Roman" w:hAnsi="Times New Roman" w:cs="Times New Roman"/>
          <w:iCs/>
          <w:sz w:val="24"/>
          <w:szCs w:val="24"/>
          <w:lang w:val="sr-Cyrl-CS"/>
        </w:rPr>
        <w:t xml:space="preserve"> је пасош </w:t>
      </w:r>
      <w:r w:rsidR="00CA3250" w:rsidRPr="00827818">
        <w:rPr>
          <w:rFonts w:ascii="Times New Roman" w:eastAsia="Times New Roman" w:hAnsi="Times New Roman" w:cs="Times New Roman"/>
          <w:iCs/>
          <w:sz w:val="24"/>
          <w:szCs w:val="24"/>
          <w:lang w:val="sr-Cyrl-CS"/>
        </w:rPr>
        <w:t xml:space="preserve"> показатеља тако да </w:t>
      </w:r>
      <w:r w:rsidR="00255C65" w:rsidRPr="00827818">
        <w:rPr>
          <w:rFonts w:ascii="Times New Roman" w:eastAsia="Times New Roman" w:hAnsi="Times New Roman" w:cs="Times New Roman"/>
          <w:iCs/>
          <w:sz w:val="24"/>
          <w:szCs w:val="24"/>
          <w:lang w:val="sr-Cyrl-CS"/>
        </w:rPr>
        <w:t>гласи:</w:t>
      </w:r>
      <w:r w:rsidR="001F3A58" w:rsidRPr="00827818">
        <w:rPr>
          <w:rFonts w:ascii="Times New Roman" w:eastAsia="Times New Roman" w:hAnsi="Times New Roman" w:cs="Times New Roman"/>
          <w:iCs/>
          <w:sz w:val="24"/>
          <w:szCs w:val="24"/>
          <w:lang w:val="sr-Cyrl-CS"/>
        </w:rPr>
        <w:t xml:space="preserve"> </w:t>
      </w:r>
    </w:p>
    <w:p w:rsidR="00255C65" w:rsidRPr="00827818" w:rsidRDefault="001F3A58" w:rsidP="00736982">
      <w:pPr>
        <w:spacing w:after="0" w:line="240" w:lineRule="auto"/>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1349"/>
        <w:gridCol w:w="434"/>
        <w:gridCol w:w="916"/>
        <w:gridCol w:w="477"/>
        <w:gridCol w:w="196"/>
        <w:gridCol w:w="662"/>
        <w:gridCol w:w="1019"/>
        <w:gridCol w:w="297"/>
        <w:gridCol w:w="1316"/>
      </w:tblGrid>
      <w:tr w:rsidR="00255C65" w:rsidRPr="00827818" w:rsidTr="00736982">
        <w:trPr>
          <w:jc w:val="center"/>
        </w:trPr>
        <w:tc>
          <w:tcPr>
            <w:tcW w:w="1435" w:type="pct"/>
            <w:tcBorders>
              <w:top w:val="single" w:sz="4" w:space="0" w:color="auto"/>
              <w:left w:val="single" w:sz="4" w:space="0" w:color="auto"/>
              <w:bottom w:val="single" w:sz="4" w:space="0" w:color="auto"/>
              <w:right w:val="single" w:sz="4" w:space="0" w:color="auto"/>
            </w:tcBorders>
            <w:shd w:val="clear" w:color="auto" w:fill="auto"/>
            <w:vAlign w:val="center"/>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Назив показатеља</w:t>
            </w:r>
          </w:p>
        </w:tc>
        <w:tc>
          <w:tcPr>
            <w:tcW w:w="35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Успостављене нове функционалности у оквиру Интегрисаног информационог система Управе за дуван</w:t>
            </w:r>
          </w:p>
        </w:tc>
      </w:tr>
      <w:tr w:rsidR="00255C65" w:rsidRPr="00827818" w:rsidTr="00736982">
        <w:trPr>
          <w:jc w:val="center"/>
        </w:trPr>
        <w:tc>
          <w:tcPr>
            <w:tcW w:w="1435" w:type="pct"/>
            <w:tcBorders>
              <w:top w:val="single" w:sz="4" w:space="0" w:color="auto"/>
              <w:left w:val="single" w:sz="4" w:space="0" w:color="auto"/>
              <w:bottom w:val="single" w:sz="4" w:space="0" w:color="auto"/>
              <w:right w:val="single" w:sz="4" w:space="0" w:color="auto"/>
            </w:tcBorders>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Одговарајући општи циљ, посебан циљ или мера</w:t>
            </w:r>
          </w:p>
        </w:tc>
        <w:tc>
          <w:tcPr>
            <w:tcW w:w="3565" w:type="pct"/>
            <w:gridSpan w:val="9"/>
            <w:tcBorders>
              <w:top w:val="single" w:sz="4" w:space="0" w:color="auto"/>
              <w:left w:val="single" w:sz="4" w:space="0" w:color="auto"/>
              <w:bottom w:val="single" w:sz="4" w:space="0" w:color="auto"/>
              <w:righ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Мера 2.2: Модернизација процеса рада Управе за дуван</w:t>
            </w:r>
          </w:p>
        </w:tc>
      </w:tr>
      <w:tr w:rsidR="00255C65" w:rsidRPr="00827818" w:rsidTr="00736982">
        <w:trPr>
          <w:jc w:val="center"/>
        </w:trPr>
        <w:tc>
          <w:tcPr>
            <w:tcW w:w="1435"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iCs/>
                <w:sz w:val="20"/>
                <w:szCs w:val="20"/>
                <w:lang w:val="sr-Cyrl-CS"/>
              </w:rPr>
              <w:t>Тип и ниво показатеља</w:t>
            </w:r>
          </w:p>
        </w:tc>
        <w:tc>
          <w:tcPr>
            <w:tcW w:w="1698" w:type="pct"/>
            <w:gridSpan w:val="4"/>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Квантитативни</w:t>
            </w:r>
          </w:p>
        </w:tc>
        <w:tc>
          <w:tcPr>
            <w:tcW w:w="1867" w:type="pct"/>
            <w:gridSpan w:val="5"/>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Показатељ на нивоу мере</w:t>
            </w:r>
          </w:p>
        </w:tc>
      </w:tr>
      <w:tr w:rsidR="00255C65" w:rsidRPr="00827818" w:rsidTr="00736982">
        <w:trPr>
          <w:trHeight w:val="373"/>
          <w:jc w:val="center"/>
        </w:trPr>
        <w:tc>
          <w:tcPr>
            <w:tcW w:w="1435"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iCs/>
                <w:sz w:val="20"/>
                <w:szCs w:val="20"/>
                <w:lang w:val="sr-Cyrl-CS"/>
              </w:rPr>
            </w:pPr>
            <w:r w:rsidRPr="00827818">
              <w:rPr>
                <w:rFonts w:ascii="Times New Roman" w:eastAsia="Times New Roman" w:hAnsi="Times New Roman" w:cs="Times New Roman"/>
                <w:b/>
                <w:iCs/>
                <w:sz w:val="20"/>
                <w:szCs w:val="20"/>
                <w:lang w:val="sr-Cyrl-CS"/>
              </w:rPr>
              <w:t>Јединица мере и природа</w:t>
            </w:r>
          </w:p>
        </w:tc>
        <w:tc>
          <w:tcPr>
            <w:tcW w:w="1698" w:type="pct"/>
            <w:gridSpan w:val="4"/>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 xml:space="preserve">Број </w:t>
            </w:r>
          </w:p>
        </w:tc>
        <w:tc>
          <w:tcPr>
            <w:tcW w:w="1867" w:type="pct"/>
            <w:gridSpan w:val="5"/>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Унапређење прикупљања буџетских прихода</w:t>
            </w:r>
          </w:p>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0-не</w:t>
            </w:r>
          </w:p>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1-да</w:t>
            </w:r>
          </w:p>
        </w:tc>
      </w:tr>
      <w:tr w:rsidR="00255C65" w:rsidRPr="00827818" w:rsidTr="00736982">
        <w:trPr>
          <w:jc w:val="center"/>
        </w:trPr>
        <w:tc>
          <w:tcPr>
            <w:tcW w:w="1435"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Извор података за праћење показатеља учинка</w:t>
            </w:r>
          </w:p>
        </w:tc>
        <w:tc>
          <w:tcPr>
            <w:tcW w:w="3565" w:type="pct"/>
            <w:gridSpan w:val="9"/>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Записник о примопредаји предмета јавне набавке</w:t>
            </w:r>
          </w:p>
        </w:tc>
      </w:tr>
      <w:tr w:rsidR="00255C65" w:rsidRPr="00827818" w:rsidTr="00736982">
        <w:trPr>
          <w:jc w:val="center"/>
        </w:trPr>
        <w:tc>
          <w:tcPr>
            <w:tcW w:w="1435"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Назив носиоца прикупљања података</w:t>
            </w:r>
          </w:p>
        </w:tc>
        <w:tc>
          <w:tcPr>
            <w:tcW w:w="3565" w:type="pct"/>
            <w:gridSpan w:val="9"/>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Министарство финансија - Управа за дуван</w:t>
            </w:r>
          </w:p>
        </w:tc>
      </w:tr>
      <w:tr w:rsidR="00255C65" w:rsidRPr="00827818" w:rsidTr="00736982">
        <w:trPr>
          <w:jc w:val="center"/>
        </w:trPr>
        <w:tc>
          <w:tcPr>
            <w:tcW w:w="1435"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Учесталост прикупљања података</w:t>
            </w:r>
          </w:p>
        </w:tc>
        <w:tc>
          <w:tcPr>
            <w:tcW w:w="3565" w:type="pct"/>
            <w:gridSpan w:val="9"/>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Једном за време трајања Програма</w:t>
            </w:r>
          </w:p>
        </w:tc>
      </w:tr>
      <w:tr w:rsidR="00255C65" w:rsidRPr="00827818" w:rsidTr="00736982">
        <w:trPr>
          <w:trHeight w:val="274"/>
          <w:jc w:val="center"/>
        </w:trPr>
        <w:tc>
          <w:tcPr>
            <w:tcW w:w="1435"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iCs/>
                <w:sz w:val="20"/>
                <w:szCs w:val="20"/>
                <w:lang w:val="sr-Cyrl-CS"/>
              </w:rPr>
            </w:pPr>
            <w:r w:rsidRPr="00827818">
              <w:rPr>
                <w:rFonts w:ascii="Times New Roman" w:eastAsia="Times New Roman" w:hAnsi="Times New Roman" w:cs="Times New Roman"/>
                <w:b/>
                <w:iCs/>
                <w:sz w:val="20"/>
                <w:szCs w:val="20"/>
                <w:lang w:val="sr-Cyrl-CS"/>
              </w:rPr>
              <w:t>Кратак опис показатеља и методологије израчунавања</w:t>
            </w:r>
          </w:p>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iCs/>
                <w:sz w:val="20"/>
                <w:szCs w:val="20"/>
                <w:lang w:val="sr-Cyrl-CS"/>
              </w:rPr>
              <w:t>(формуле/ једначине)</w:t>
            </w:r>
          </w:p>
        </w:tc>
        <w:tc>
          <w:tcPr>
            <w:tcW w:w="3565" w:type="pct"/>
            <w:gridSpan w:val="9"/>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Показатељ указује на успостављање нових функционалности у оквиру Интегрисаног информационог система Управе за дуван ради повећања ефикасности услуга које она пружа, чиме доприноси ефикаснијем прикупљању буџетских средстава</w:t>
            </w:r>
          </w:p>
        </w:tc>
      </w:tr>
      <w:tr w:rsidR="00255C65" w:rsidRPr="00827818" w:rsidTr="00736982">
        <w:trPr>
          <w:trHeight w:val="413"/>
          <w:jc w:val="center"/>
        </w:trPr>
        <w:tc>
          <w:tcPr>
            <w:tcW w:w="1435" w:type="pct"/>
            <w:vMerge w:val="restar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 xml:space="preserve">Подаци о полазној вредности и години кад је измерена, као и о ранијем тренду </w:t>
            </w:r>
          </w:p>
        </w:tc>
        <w:tc>
          <w:tcPr>
            <w:tcW w:w="2702" w:type="pct"/>
            <w:gridSpan w:val="7"/>
            <w:tcBorders>
              <w:bottom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Ранији тренд</w:t>
            </w:r>
          </w:p>
        </w:tc>
        <w:tc>
          <w:tcPr>
            <w:tcW w:w="864" w:type="pct"/>
            <w:gridSpan w:val="2"/>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Полазна вредност</w:t>
            </w:r>
          </w:p>
        </w:tc>
      </w:tr>
      <w:tr w:rsidR="00255C65" w:rsidRPr="00827818" w:rsidTr="00736982">
        <w:trPr>
          <w:trHeight w:val="137"/>
          <w:jc w:val="center"/>
        </w:trPr>
        <w:tc>
          <w:tcPr>
            <w:tcW w:w="1435" w:type="pct"/>
            <w:vMerge/>
            <w:tcBorders>
              <w:right w:val="single" w:sz="4" w:space="0" w:color="auto"/>
            </w:tcBorders>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p>
        </w:tc>
        <w:tc>
          <w:tcPr>
            <w:tcW w:w="953" w:type="pct"/>
            <w:gridSpan w:val="2"/>
            <w:tcBorders>
              <w:top w:val="single" w:sz="4" w:space="0" w:color="auto"/>
              <w:left w:val="single" w:sz="4" w:space="0" w:color="auto"/>
              <w:bottom w:val="single" w:sz="4" w:space="0" w:color="auto"/>
              <w:righ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2016.</w:t>
            </w:r>
          </w:p>
        </w:tc>
        <w:tc>
          <w:tcPr>
            <w:tcW w:w="850" w:type="pct"/>
            <w:gridSpan w:val="3"/>
            <w:tcBorders>
              <w:top w:val="single" w:sz="4" w:space="0" w:color="auto"/>
              <w:left w:val="single" w:sz="4" w:space="0" w:color="auto"/>
              <w:bottom w:val="single" w:sz="4" w:space="0" w:color="auto"/>
              <w:righ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2018.</w:t>
            </w:r>
          </w:p>
        </w:tc>
        <w:tc>
          <w:tcPr>
            <w:tcW w:w="899" w:type="pct"/>
            <w:gridSpan w:val="2"/>
            <w:tcBorders>
              <w:top w:val="single" w:sz="4" w:space="0" w:color="auto"/>
              <w:left w:val="single" w:sz="4" w:space="0" w:color="auto"/>
              <w:bottom w:val="single" w:sz="4" w:space="0" w:color="auto"/>
              <w:righ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2019.</w:t>
            </w:r>
          </w:p>
        </w:tc>
        <w:tc>
          <w:tcPr>
            <w:tcW w:w="864" w:type="pct"/>
            <w:gridSpan w:val="2"/>
            <w:tcBorders>
              <w:lef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 xml:space="preserve">2020. </w:t>
            </w:r>
          </w:p>
        </w:tc>
      </w:tr>
      <w:tr w:rsidR="00255C65" w:rsidRPr="00827818" w:rsidTr="00736982">
        <w:trPr>
          <w:trHeight w:val="323"/>
          <w:jc w:val="center"/>
        </w:trPr>
        <w:tc>
          <w:tcPr>
            <w:tcW w:w="1435" w:type="pct"/>
            <w:vMerge/>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p>
        </w:tc>
        <w:tc>
          <w:tcPr>
            <w:tcW w:w="953" w:type="pct"/>
            <w:gridSpan w:val="2"/>
            <w:tcBorders>
              <w:top w:val="single" w:sz="4" w:space="0" w:color="auto"/>
            </w:tcBorders>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850" w:type="pct"/>
            <w:gridSpan w:val="3"/>
            <w:tcBorders>
              <w:top w:val="single" w:sz="4" w:space="0" w:color="auto"/>
            </w:tcBorders>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899" w:type="pct"/>
            <w:gridSpan w:val="2"/>
            <w:tcBorders>
              <w:top w:val="single" w:sz="4" w:space="0" w:color="auto"/>
            </w:tcBorders>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864" w:type="pct"/>
            <w:gridSpan w:val="2"/>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r>
      <w:tr w:rsidR="00255C65" w:rsidRPr="00827818" w:rsidTr="00736982">
        <w:trPr>
          <w:trHeight w:val="274"/>
          <w:jc w:val="center"/>
        </w:trPr>
        <w:tc>
          <w:tcPr>
            <w:tcW w:w="1435" w:type="pct"/>
            <w:vMerge w:val="restar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Подаци о циљним вредностима</w:t>
            </w:r>
          </w:p>
        </w:tc>
        <w:tc>
          <w:tcPr>
            <w:tcW w:w="721" w:type="pct"/>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2021.</w:t>
            </w:r>
          </w:p>
        </w:tc>
        <w:tc>
          <w:tcPr>
            <w:tcW w:w="722" w:type="pct"/>
            <w:gridSpan w:val="2"/>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2022.</w:t>
            </w:r>
          </w:p>
        </w:tc>
        <w:tc>
          <w:tcPr>
            <w:tcW w:w="714" w:type="pct"/>
            <w:gridSpan w:val="3"/>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2023.</w:t>
            </w:r>
          </w:p>
        </w:tc>
        <w:tc>
          <w:tcPr>
            <w:tcW w:w="704" w:type="pct"/>
            <w:gridSpan w:val="2"/>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2024.</w:t>
            </w:r>
          </w:p>
        </w:tc>
        <w:tc>
          <w:tcPr>
            <w:tcW w:w="705" w:type="pct"/>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2025.</w:t>
            </w:r>
          </w:p>
        </w:tc>
      </w:tr>
      <w:tr w:rsidR="00255C65" w:rsidRPr="00827818" w:rsidTr="00736982">
        <w:trPr>
          <w:trHeight w:val="160"/>
          <w:jc w:val="center"/>
        </w:trPr>
        <w:tc>
          <w:tcPr>
            <w:tcW w:w="1435" w:type="pct"/>
            <w:vMerge/>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p>
        </w:tc>
        <w:tc>
          <w:tcPr>
            <w:tcW w:w="721" w:type="pct"/>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722" w:type="pct"/>
            <w:gridSpan w:val="2"/>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714" w:type="pct"/>
            <w:gridSpan w:val="3"/>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704" w:type="pct"/>
            <w:gridSpan w:val="2"/>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0</w:t>
            </w:r>
          </w:p>
        </w:tc>
        <w:tc>
          <w:tcPr>
            <w:tcW w:w="705" w:type="pct"/>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1</w:t>
            </w:r>
          </w:p>
        </w:tc>
      </w:tr>
      <w:tr w:rsidR="00255C65" w:rsidRPr="00827818" w:rsidTr="00736982">
        <w:trPr>
          <w:trHeight w:val="160"/>
          <w:jc w:val="center"/>
        </w:trPr>
        <w:tc>
          <w:tcPr>
            <w:tcW w:w="1435"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Процена успешности</w:t>
            </w:r>
          </w:p>
        </w:tc>
        <w:tc>
          <w:tcPr>
            <w:tcW w:w="3565" w:type="pct"/>
            <w:gridSpan w:val="9"/>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 xml:space="preserve">Успешно успостављање нових функционалности у оквиру ИИС, одступање није прихватљиво </w:t>
            </w:r>
          </w:p>
        </w:tc>
      </w:tr>
    </w:tbl>
    <w:p w:rsidR="00255C65" w:rsidRPr="00827818" w:rsidRDefault="00842D20" w:rsidP="00736982">
      <w:pPr>
        <w:spacing w:after="0" w:line="240" w:lineRule="auto"/>
        <w:jc w:val="right"/>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ˮ</w:t>
      </w:r>
      <w:r w:rsidR="00CA3250" w:rsidRPr="00827818">
        <w:rPr>
          <w:rFonts w:ascii="Times New Roman" w:eastAsia="Times New Roman" w:hAnsi="Times New Roman" w:cs="Times New Roman"/>
          <w:iCs/>
          <w:sz w:val="24"/>
          <w:szCs w:val="24"/>
          <w:lang w:val="sr-Cyrl-CS"/>
        </w:rPr>
        <w:t>.</w:t>
      </w:r>
    </w:p>
    <w:p w:rsidR="00CA3250" w:rsidRPr="00827818" w:rsidRDefault="00CA3250" w:rsidP="00D57BAA">
      <w:pPr>
        <w:spacing w:after="0" w:line="240" w:lineRule="auto"/>
        <w:jc w:val="both"/>
        <w:rPr>
          <w:rFonts w:ascii="Times New Roman" w:eastAsia="Times New Roman" w:hAnsi="Times New Roman" w:cs="Times New Roman"/>
          <w:iCs/>
          <w:sz w:val="24"/>
          <w:szCs w:val="24"/>
          <w:lang w:val="sr-Cyrl-CS"/>
        </w:rPr>
      </w:pPr>
    </w:p>
    <w:p w:rsidR="00636A45" w:rsidRPr="00827818" w:rsidRDefault="00F47AA2" w:rsidP="002D1889">
      <w:pPr>
        <w:spacing w:after="0" w:line="240" w:lineRule="auto"/>
        <w:ind w:firstLine="720"/>
        <w:jc w:val="both"/>
        <w:rPr>
          <w:rFonts w:ascii="Times New Roman" w:eastAsia="Times New Roman" w:hAnsi="Times New Roman" w:cs="Times New Roman"/>
          <w:iCs/>
          <w:sz w:val="24"/>
          <w:szCs w:val="24"/>
          <w:lang w:val="sr-Cyrl-CS"/>
        </w:rPr>
      </w:pPr>
      <w:r>
        <w:rPr>
          <w:rFonts w:ascii="Times New Roman" w:eastAsia="Times New Roman" w:hAnsi="Times New Roman" w:cs="Times New Roman"/>
          <w:iCs/>
          <w:sz w:val="24"/>
          <w:szCs w:val="24"/>
          <w:lang w:val="sr-Cyrl-CS"/>
        </w:rPr>
        <w:t>79</w:t>
      </w:r>
      <w:r w:rsidR="00AB12B0" w:rsidRPr="00827818">
        <w:rPr>
          <w:rFonts w:ascii="Times New Roman" w:eastAsia="Times New Roman" w:hAnsi="Times New Roman" w:cs="Times New Roman"/>
          <w:iCs/>
          <w:sz w:val="24"/>
          <w:szCs w:val="24"/>
          <w:lang w:val="sr-Cyrl-CS"/>
        </w:rPr>
        <w:t xml:space="preserve">. За показатељ на нивоу мере 2.4 </w:t>
      </w:r>
      <w:r w:rsidR="00255C65" w:rsidRPr="00827818">
        <w:rPr>
          <w:rFonts w:ascii="Times New Roman" w:eastAsia="Times New Roman" w:hAnsi="Times New Roman" w:cs="Times New Roman"/>
          <w:iCs/>
          <w:sz w:val="24"/>
          <w:szCs w:val="24"/>
          <w:lang w:val="sr-Cyrl-CS"/>
        </w:rPr>
        <w:t>Ефикасно управљање јавним дугом мењају се подаци о циљаним вредностима за показатељ „Учешће дуга у домаћој валути у укупном јавном дугу</w:t>
      </w:r>
      <w:r w:rsidR="00423027" w:rsidRPr="00827818">
        <w:rPr>
          <w:rFonts w:ascii="Times New Roman" w:eastAsia="Times New Roman" w:hAnsi="Times New Roman" w:cs="Times New Roman"/>
          <w:iCs/>
          <w:sz w:val="24"/>
          <w:szCs w:val="24"/>
          <w:lang w:val="sr-Cyrl-CS"/>
        </w:rPr>
        <w:t xml:space="preserve"> </w:t>
      </w:r>
      <w:r w:rsidR="00423027" w:rsidRPr="00827818">
        <w:rPr>
          <w:rFonts w:ascii="Times New Roman" w:eastAsia="Times New Roman" w:hAnsi="Times New Roman" w:cs="Times New Roman"/>
          <w:iCs/>
          <w:sz w:val="24"/>
          <w:szCs w:val="24"/>
          <w:lang w:val="sr-Cyrl-CS"/>
        </w:rPr>
        <w:sym w:font="Symbol" w:char="F02D"/>
      </w:r>
      <w:r w:rsidR="00255C65" w:rsidRPr="00827818">
        <w:rPr>
          <w:rFonts w:ascii="Times New Roman" w:eastAsia="Times New Roman" w:hAnsi="Times New Roman" w:cs="Times New Roman"/>
          <w:iCs/>
          <w:sz w:val="24"/>
          <w:szCs w:val="24"/>
          <w:lang w:val="sr-Cyrl-CS"/>
        </w:rPr>
        <w:t xml:space="preserve"> централни ниво власти</w:t>
      </w:r>
      <w:r w:rsidR="00E65243" w:rsidRPr="00827818">
        <w:rPr>
          <w:rFonts w:ascii="Times New Roman" w:eastAsia="Times New Roman" w:hAnsi="Times New Roman" w:cs="Times New Roman"/>
          <w:iCs/>
          <w:sz w:val="24"/>
          <w:szCs w:val="24"/>
          <w:lang w:val="sr-Cyrl-CS"/>
        </w:rPr>
        <w:t>ˮ</w:t>
      </w:r>
      <w:r w:rsidR="00CA3250" w:rsidRPr="00827818">
        <w:rPr>
          <w:rFonts w:ascii="Times New Roman" w:eastAsia="Times New Roman" w:hAnsi="Times New Roman" w:cs="Times New Roman"/>
          <w:iCs/>
          <w:sz w:val="24"/>
          <w:szCs w:val="24"/>
          <w:lang w:val="sr-Cyrl-CS"/>
        </w:rPr>
        <w:t xml:space="preserve"> и гласe</w:t>
      </w:r>
      <w:r w:rsidR="00255C65" w:rsidRPr="00827818">
        <w:rPr>
          <w:rFonts w:ascii="Times New Roman" w:eastAsia="Times New Roman" w:hAnsi="Times New Roman" w:cs="Times New Roman"/>
          <w:iCs/>
          <w:sz w:val="24"/>
          <w:szCs w:val="24"/>
          <w:lang w:val="sr-Cyrl-CS"/>
        </w:rPr>
        <w:t>: ЦВ</w:t>
      </w:r>
      <w:r w:rsidR="001F3A58" w:rsidRPr="00827818">
        <w:rPr>
          <w:rFonts w:ascii="Times New Roman" w:eastAsia="Times New Roman" w:hAnsi="Times New Roman" w:cs="Times New Roman"/>
          <w:iCs/>
          <w:sz w:val="24"/>
          <w:szCs w:val="24"/>
          <w:lang w:val="sr-Cyrl-CS"/>
        </w:rPr>
        <w:t xml:space="preserve">  </w:t>
      </w:r>
      <w:r w:rsidR="00255C65" w:rsidRPr="00827818">
        <w:rPr>
          <w:rFonts w:ascii="Times New Roman" w:eastAsia="Times New Roman" w:hAnsi="Times New Roman" w:cs="Times New Roman"/>
          <w:iCs/>
          <w:sz w:val="24"/>
          <w:szCs w:val="24"/>
          <w:lang w:val="sr-Cyrl-CS"/>
        </w:rPr>
        <w:t>2023</w:t>
      </w:r>
      <w:r w:rsidR="00657C17">
        <w:rPr>
          <w:rFonts w:ascii="Times New Roman" w:eastAsia="Times New Roman" w:hAnsi="Times New Roman" w:cs="Times New Roman"/>
          <w:iCs/>
          <w:sz w:val="24"/>
          <w:szCs w:val="24"/>
          <w:lang w:val="sr-Cyrl-CS"/>
        </w:rPr>
        <w:t>:</w:t>
      </w:r>
      <w:r w:rsidR="001F3A58" w:rsidRPr="00827818">
        <w:rPr>
          <w:rFonts w:ascii="Times New Roman" w:eastAsia="Times New Roman" w:hAnsi="Times New Roman" w:cs="Times New Roman"/>
          <w:iCs/>
          <w:sz w:val="24"/>
          <w:szCs w:val="24"/>
          <w:lang w:val="sr-Cyrl-CS"/>
        </w:rPr>
        <w:t xml:space="preserve"> „20,5%” 2024</w:t>
      </w:r>
      <w:r w:rsidR="00657C17">
        <w:rPr>
          <w:rFonts w:ascii="Times New Roman" w:eastAsia="Times New Roman" w:hAnsi="Times New Roman" w:cs="Times New Roman"/>
          <w:iCs/>
          <w:sz w:val="24"/>
          <w:szCs w:val="24"/>
          <w:lang w:val="sr-Cyrl-CS"/>
        </w:rPr>
        <w:t>:</w:t>
      </w:r>
      <w:r w:rsidR="001F3A58" w:rsidRPr="00827818">
        <w:rPr>
          <w:rFonts w:ascii="Times New Roman" w:eastAsia="Times New Roman" w:hAnsi="Times New Roman" w:cs="Times New Roman"/>
          <w:iCs/>
          <w:sz w:val="24"/>
          <w:szCs w:val="24"/>
          <w:lang w:val="sr-Cyrl-CS"/>
        </w:rPr>
        <w:t xml:space="preserve"> „21%”</w:t>
      </w:r>
      <w:r w:rsidR="00CA3250" w:rsidRPr="00827818">
        <w:rPr>
          <w:rFonts w:ascii="Times New Roman" w:eastAsia="Times New Roman" w:hAnsi="Times New Roman" w:cs="Times New Roman"/>
          <w:iCs/>
          <w:sz w:val="24"/>
          <w:szCs w:val="24"/>
          <w:lang w:val="sr-Cyrl-CS"/>
        </w:rPr>
        <w:t xml:space="preserve"> и 2025</w:t>
      </w:r>
      <w:r w:rsidR="00657C17">
        <w:rPr>
          <w:rFonts w:ascii="Times New Roman" w:eastAsia="Times New Roman" w:hAnsi="Times New Roman" w:cs="Times New Roman"/>
          <w:iCs/>
          <w:sz w:val="24"/>
          <w:szCs w:val="24"/>
          <w:lang w:val="sr-Cyrl-CS"/>
        </w:rPr>
        <w:t>:</w:t>
      </w:r>
      <w:r w:rsidR="00CA3250" w:rsidRPr="00827818">
        <w:rPr>
          <w:rFonts w:ascii="Times New Roman" w:eastAsia="Times New Roman" w:hAnsi="Times New Roman" w:cs="Times New Roman"/>
          <w:iCs/>
          <w:sz w:val="24"/>
          <w:szCs w:val="24"/>
          <w:lang w:val="sr-Cyrl-CS"/>
        </w:rPr>
        <w:t xml:space="preserve"> „22%</w:t>
      </w:r>
      <w:r w:rsidR="00E65243" w:rsidRPr="00827818">
        <w:rPr>
          <w:rFonts w:ascii="Times New Roman" w:eastAsia="Times New Roman" w:hAnsi="Times New Roman" w:cs="Times New Roman"/>
          <w:iCs/>
          <w:sz w:val="24"/>
          <w:szCs w:val="24"/>
          <w:lang w:val="sr-Cyrl-CS"/>
        </w:rPr>
        <w:t>ˮ</w:t>
      </w:r>
      <w:r w:rsidR="00255C65" w:rsidRPr="00827818">
        <w:rPr>
          <w:rFonts w:ascii="Times New Roman" w:eastAsia="Times New Roman" w:hAnsi="Times New Roman" w:cs="Times New Roman"/>
          <w:iCs/>
          <w:sz w:val="24"/>
          <w:szCs w:val="24"/>
          <w:lang w:val="sr-Cyrl-CS"/>
        </w:rPr>
        <w:t>.</w:t>
      </w:r>
      <w:r w:rsidR="00AA1F13" w:rsidRPr="00827818">
        <w:rPr>
          <w:rFonts w:ascii="Times New Roman" w:eastAsia="Times New Roman" w:hAnsi="Times New Roman" w:cs="Times New Roman"/>
          <w:iCs/>
          <w:sz w:val="24"/>
          <w:szCs w:val="24"/>
          <w:lang w:val="sr-Cyrl-CS"/>
        </w:rPr>
        <w:t xml:space="preserve"> </w:t>
      </w:r>
    </w:p>
    <w:p w:rsidR="00736982" w:rsidRDefault="00D42FE6" w:rsidP="00D42FE6">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0</w:t>
      </w:r>
      <w:r w:rsidRPr="00827818">
        <w:rPr>
          <w:rFonts w:ascii="Times New Roman" w:eastAsia="Times New Roman" w:hAnsi="Times New Roman" w:cs="Times New Roman"/>
          <w:iCs/>
          <w:sz w:val="24"/>
          <w:szCs w:val="24"/>
          <w:lang w:val="sr-Cyrl-CS"/>
        </w:rPr>
        <w:t>.</w:t>
      </w:r>
      <w:r w:rsidR="001F3A58" w:rsidRPr="00827818">
        <w:rPr>
          <w:rFonts w:ascii="Times New Roman" w:eastAsia="Times New Roman" w:hAnsi="Times New Roman" w:cs="Times New Roman"/>
          <w:iCs/>
          <w:sz w:val="24"/>
          <w:szCs w:val="24"/>
          <w:lang w:val="sr-Cyrl-CS"/>
        </w:rPr>
        <w:t xml:space="preserve"> </w:t>
      </w:r>
      <w:r w:rsidRPr="00827818">
        <w:rPr>
          <w:rFonts w:ascii="Times New Roman" w:eastAsia="Times New Roman" w:hAnsi="Times New Roman" w:cs="Times New Roman"/>
          <w:iCs/>
          <w:sz w:val="24"/>
          <w:szCs w:val="24"/>
          <w:lang w:val="sr-Cyrl-CS"/>
        </w:rPr>
        <w:t>Д</w:t>
      </w:r>
      <w:r w:rsidR="00EE05B1" w:rsidRPr="00827818">
        <w:rPr>
          <w:rFonts w:ascii="Times New Roman" w:eastAsia="Times New Roman" w:hAnsi="Times New Roman" w:cs="Times New Roman"/>
          <w:iCs/>
          <w:sz w:val="24"/>
          <w:szCs w:val="24"/>
          <w:lang w:val="sr-Cyrl-CS"/>
        </w:rPr>
        <w:t xml:space="preserve">одаје се </w:t>
      </w:r>
      <w:r w:rsidR="00E553AD" w:rsidRPr="00827818">
        <w:rPr>
          <w:rFonts w:ascii="Times New Roman" w:eastAsia="Times New Roman" w:hAnsi="Times New Roman" w:cs="Times New Roman"/>
          <w:iCs/>
          <w:sz w:val="24"/>
          <w:szCs w:val="24"/>
          <w:lang w:val="sr-Cyrl-CS"/>
        </w:rPr>
        <w:t>пасош показатеља</w:t>
      </w:r>
      <w:r w:rsidRPr="00827818">
        <w:rPr>
          <w:rFonts w:ascii="Times New Roman" w:eastAsia="Times New Roman" w:hAnsi="Times New Roman" w:cs="Times New Roman"/>
          <w:iCs/>
          <w:sz w:val="24"/>
          <w:szCs w:val="24"/>
          <w:lang w:val="sr-Cyrl-CS"/>
        </w:rPr>
        <w:t xml:space="preserve"> на нивоу мере 2.5 </w:t>
      </w:r>
      <w:r w:rsidR="00255C65" w:rsidRPr="00827818">
        <w:rPr>
          <w:rFonts w:ascii="Times New Roman" w:eastAsia="Times New Roman" w:hAnsi="Times New Roman" w:cs="Times New Roman"/>
          <w:iCs/>
          <w:sz w:val="24"/>
          <w:szCs w:val="24"/>
          <w:lang w:val="sr-Cyrl-CS"/>
        </w:rPr>
        <w:t>Унапређење електронског система јавних набавки</w:t>
      </w:r>
      <w:r w:rsidR="00E65243" w:rsidRPr="00827818">
        <w:rPr>
          <w:rFonts w:ascii="Times New Roman" w:eastAsia="Times New Roman" w:hAnsi="Times New Roman" w:cs="Times New Roman"/>
          <w:iCs/>
          <w:sz w:val="24"/>
          <w:szCs w:val="24"/>
          <w:lang w:val="sr-Cyrl-CS"/>
        </w:rPr>
        <w:t>ˮ</w:t>
      </w:r>
      <w:r w:rsidR="00255C65" w:rsidRPr="00827818">
        <w:rPr>
          <w:rFonts w:ascii="Times New Roman" w:eastAsia="Times New Roman" w:hAnsi="Times New Roman" w:cs="Times New Roman"/>
          <w:iCs/>
          <w:sz w:val="24"/>
          <w:szCs w:val="24"/>
          <w:lang w:val="sr-Cyrl-CS"/>
        </w:rPr>
        <w:t xml:space="preserve"> тако да гласи: </w:t>
      </w:r>
    </w:p>
    <w:p w:rsidR="00255C65" w:rsidRPr="00827818" w:rsidRDefault="007828F4" w:rsidP="00736982">
      <w:pPr>
        <w:spacing w:after="0" w:line="240" w:lineRule="auto"/>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w:t>
      </w:r>
      <w:r w:rsidR="00AA1F13" w:rsidRPr="00827818">
        <w:rPr>
          <w:rFonts w:ascii="Times New Roman" w:eastAsia="Times New Roman" w:hAnsi="Times New Roman" w:cs="Times New Roman"/>
          <w:iCs/>
          <w:sz w:val="24"/>
          <w:szCs w:val="24"/>
          <w:lang w:val="sr-Cyrl-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9"/>
        <w:gridCol w:w="1341"/>
        <w:gridCol w:w="434"/>
        <w:gridCol w:w="907"/>
        <w:gridCol w:w="475"/>
        <w:gridCol w:w="194"/>
        <w:gridCol w:w="666"/>
        <w:gridCol w:w="1030"/>
        <w:gridCol w:w="301"/>
        <w:gridCol w:w="1333"/>
      </w:tblGrid>
      <w:tr w:rsidR="00255C65" w:rsidRPr="00827818" w:rsidTr="00105CD1">
        <w:trPr>
          <w:jc w:val="center"/>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Назив показатеља</w:t>
            </w:r>
          </w:p>
        </w:tc>
        <w:tc>
          <w:tcPr>
            <w:tcW w:w="357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База података о уговорима на Порталу</w:t>
            </w:r>
          </w:p>
        </w:tc>
      </w:tr>
      <w:tr w:rsidR="00255C65" w:rsidRPr="00827818" w:rsidTr="00881211">
        <w:trPr>
          <w:jc w:val="center"/>
        </w:trPr>
        <w:tc>
          <w:tcPr>
            <w:tcW w:w="1427" w:type="pct"/>
            <w:tcBorders>
              <w:top w:val="single" w:sz="4" w:space="0" w:color="auto"/>
              <w:left w:val="single" w:sz="4" w:space="0" w:color="auto"/>
              <w:bottom w:val="single" w:sz="4" w:space="0" w:color="auto"/>
              <w:right w:val="single" w:sz="4" w:space="0" w:color="auto"/>
            </w:tcBorders>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Одговарајући општи циљ, посебан циљ или мера</w:t>
            </w:r>
          </w:p>
        </w:tc>
        <w:tc>
          <w:tcPr>
            <w:tcW w:w="3573" w:type="pct"/>
            <w:gridSpan w:val="9"/>
            <w:tcBorders>
              <w:top w:val="single" w:sz="4" w:space="0" w:color="auto"/>
              <w:left w:val="single" w:sz="4" w:space="0" w:color="auto"/>
              <w:bottom w:val="single" w:sz="4" w:space="0" w:color="auto"/>
              <w:righ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Мера 2.5: Унапређење електронског система јавних набавки</w:t>
            </w:r>
          </w:p>
        </w:tc>
      </w:tr>
      <w:tr w:rsidR="00255C65" w:rsidRPr="00827818" w:rsidTr="00881211">
        <w:trPr>
          <w:jc w:val="center"/>
        </w:trPr>
        <w:tc>
          <w:tcPr>
            <w:tcW w:w="1427"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iCs/>
                <w:sz w:val="20"/>
                <w:szCs w:val="20"/>
                <w:lang w:val="sr-Cyrl-CS"/>
              </w:rPr>
              <w:t>Тип и ниво показатеља</w:t>
            </w:r>
          </w:p>
        </w:tc>
        <w:tc>
          <w:tcPr>
            <w:tcW w:w="1688" w:type="pct"/>
            <w:gridSpan w:val="4"/>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Квантитативни</w:t>
            </w:r>
          </w:p>
        </w:tc>
        <w:tc>
          <w:tcPr>
            <w:tcW w:w="1884" w:type="pct"/>
            <w:gridSpan w:val="5"/>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Показатељ на нивоу мере</w:t>
            </w:r>
          </w:p>
        </w:tc>
      </w:tr>
      <w:tr w:rsidR="00255C65" w:rsidRPr="00827818" w:rsidTr="00881211">
        <w:trPr>
          <w:trHeight w:val="373"/>
          <w:jc w:val="center"/>
        </w:trPr>
        <w:tc>
          <w:tcPr>
            <w:tcW w:w="1427"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iCs/>
                <w:sz w:val="20"/>
                <w:szCs w:val="20"/>
                <w:lang w:val="sr-Cyrl-CS"/>
              </w:rPr>
            </w:pPr>
            <w:r w:rsidRPr="00827818">
              <w:rPr>
                <w:rFonts w:ascii="Times New Roman" w:eastAsia="Times New Roman" w:hAnsi="Times New Roman" w:cs="Times New Roman"/>
                <w:b/>
                <w:iCs/>
                <w:sz w:val="20"/>
                <w:szCs w:val="20"/>
                <w:lang w:val="sr-Cyrl-CS"/>
              </w:rPr>
              <w:t>Јединица мере и природа</w:t>
            </w:r>
          </w:p>
        </w:tc>
        <w:tc>
          <w:tcPr>
            <w:tcW w:w="1688" w:type="pct"/>
            <w:gridSpan w:val="4"/>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Број</w:t>
            </w:r>
          </w:p>
        </w:tc>
        <w:tc>
          <w:tcPr>
            <w:tcW w:w="1884" w:type="pct"/>
            <w:gridSpan w:val="5"/>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Унапређење система јавних набавки, 0 – Не постоји база</w:t>
            </w:r>
          </w:p>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1 – Успостављена база</w:t>
            </w:r>
          </w:p>
        </w:tc>
      </w:tr>
      <w:tr w:rsidR="00255C65" w:rsidRPr="00827818" w:rsidTr="00881211">
        <w:trPr>
          <w:jc w:val="center"/>
        </w:trPr>
        <w:tc>
          <w:tcPr>
            <w:tcW w:w="1427"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Извор података за праћење показатеља учинка</w:t>
            </w:r>
          </w:p>
        </w:tc>
        <w:tc>
          <w:tcPr>
            <w:tcW w:w="3573" w:type="pct"/>
            <w:gridSpan w:val="9"/>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Портал јавних набавки</w:t>
            </w:r>
          </w:p>
        </w:tc>
      </w:tr>
      <w:tr w:rsidR="00255C65" w:rsidRPr="00827818" w:rsidTr="00881211">
        <w:trPr>
          <w:jc w:val="center"/>
        </w:trPr>
        <w:tc>
          <w:tcPr>
            <w:tcW w:w="1427"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Назив носиоца прикупљања података</w:t>
            </w:r>
          </w:p>
        </w:tc>
        <w:tc>
          <w:tcPr>
            <w:tcW w:w="3573" w:type="pct"/>
            <w:gridSpan w:val="9"/>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Канцеларија за јавне набавке</w:t>
            </w:r>
          </w:p>
        </w:tc>
      </w:tr>
      <w:tr w:rsidR="00255C65" w:rsidRPr="00827818" w:rsidTr="00881211">
        <w:trPr>
          <w:jc w:val="center"/>
        </w:trPr>
        <w:tc>
          <w:tcPr>
            <w:tcW w:w="1427"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Учесталост прикупљања података</w:t>
            </w:r>
          </w:p>
        </w:tc>
        <w:tc>
          <w:tcPr>
            <w:tcW w:w="3573" w:type="pct"/>
            <w:gridSpan w:val="9"/>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Годишње</w:t>
            </w:r>
          </w:p>
        </w:tc>
      </w:tr>
      <w:tr w:rsidR="00255C65" w:rsidRPr="00827818" w:rsidTr="00881211">
        <w:trPr>
          <w:trHeight w:val="274"/>
          <w:jc w:val="center"/>
        </w:trPr>
        <w:tc>
          <w:tcPr>
            <w:tcW w:w="1427"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iCs/>
                <w:sz w:val="20"/>
                <w:szCs w:val="20"/>
                <w:lang w:val="sr-Cyrl-CS"/>
              </w:rPr>
            </w:pPr>
            <w:r w:rsidRPr="00827818">
              <w:rPr>
                <w:rFonts w:ascii="Times New Roman" w:eastAsia="Times New Roman" w:hAnsi="Times New Roman" w:cs="Times New Roman"/>
                <w:b/>
                <w:iCs/>
                <w:sz w:val="20"/>
                <w:szCs w:val="20"/>
                <w:lang w:val="sr-Cyrl-CS"/>
              </w:rPr>
              <w:t>Кратак опис показатеља и методологије израчунавања</w:t>
            </w:r>
          </w:p>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iCs/>
                <w:sz w:val="20"/>
                <w:szCs w:val="20"/>
                <w:lang w:val="sr-Cyrl-CS"/>
              </w:rPr>
              <w:t>(формуле/ једначине)</w:t>
            </w:r>
          </w:p>
        </w:tc>
        <w:tc>
          <w:tcPr>
            <w:tcW w:w="3573" w:type="pct"/>
            <w:gridSpan w:val="9"/>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Показатељ указује на успостављање базе података о уговорима која ће довести до повећања транспарентности у поступцима јавних набавки</w:t>
            </w:r>
          </w:p>
        </w:tc>
      </w:tr>
      <w:tr w:rsidR="00255C65" w:rsidRPr="00827818" w:rsidTr="00881211">
        <w:trPr>
          <w:trHeight w:val="413"/>
          <w:jc w:val="center"/>
        </w:trPr>
        <w:tc>
          <w:tcPr>
            <w:tcW w:w="1427" w:type="pct"/>
            <w:vMerge w:val="restar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 xml:space="preserve">Подаци о полазној вредности и години кад је измерена, као и о ранијем тренду </w:t>
            </w:r>
          </w:p>
        </w:tc>
        <w:tc>
          <w:tcPr>
            <w:tcW w:w="2699" w:type="pct"/>
            <w:gridSpan w:val="7"/>
            <w:tcBorders>
              <w:bottom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Ранији тренд</w:t>
            </w:r>
          </w:p>
        </w:tc>
        <w:tc>
          <w:tcPr>
            <w:tcW w:w="874" w:type="pct"/>
            <w:gridSpan w:val="2"/>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Полазна вредност</w:t>
            </w:r>
          </w:p>
        </w:tc>
      </w:tr>
      <w:tr w:rsidR="00255C65" w:rsidRPr="00827818" w:rsidTr="00881211">
        <w:trPr>
          <w:trHeight w:val="137"/>
          <w:jc w:val="center"/>
        </w:trPr>
        <w:tc>
          <w:tcPr>
            <w:tcW w:w="1427" w:type="pct"/>
            <w:vMerge/>
            <w:tcBorders>
              <w:right w:val="single" w:sz="4" w:space="0" w:color="auto"/>
            </w:tcBorders>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p>
        </w:tc>
        <w:tc>
          <w:tcPr>
            <w:tcW w:w="949" w:type="pct"/>
            <w:gridSpan w:val="2"/>
            <w:tcBorders>
              <w:top w:val="single" w:sz="4" w:space="0" w:color="auto"/>
              <w:left w:val="single" w:sz="4" w:space="0" w:color="auto"/>
              <w:bottom w:val="single" w:sz="4" w:space="0" w:color="auto"/>
              <w:righ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2016.</w:t>
            </w:r>
          </w:p>
        </w:tc>
        <w:tc>
          <w:tcPr>
            <w:tcW w:w="843" w:type="pct"/>
            <w:gridSpan w:val="3"/>
            <w:tcBorders>
              <w:top w:val="single" w:sz="4" w:space="0" w:color="auto"/>
              <w:left w:val="single" w:sz="4" w:space="0" w:color="auto"/>
              <w:bottom w:val="single" w:sz="4" w:space="0" w:color="auto"/>
              <w:righ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2017.</w:t>
            </w:r>
          </w:p>
        </w:tc>
        <w:tc>
          <w:tcPr>
            <w:tcW w:w="907" w:type="pct"/>
            <w:gridSpan w:val="2"/>
            <w:tcBorders>
              <w:top w:val="single" w:sz="4" w:space="0" w:color="auto"/>
              <w:left w:val="single" w:sz="4" w:space="0" w:color="auto"/>
              <w:bottom w:val="single" w:sz="4" w:space="0" w:color="auto"/>
              <w:righ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2018.</w:t>
            </w:r>
          </w:p>
        </w:tc>
        <w:tc>
          <w:tcPr>
            <w:tcW w:w="874" w:type="pct"/>
            <w:gridSpan w:val="2"/>
            <w:tcBorders>
              <w:left w:val="single" w:sz="4" w:space="0" w:color="auto"/>
            </w:tcBorders>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 xml:space="preserve">2019. </w:t>
            </w:r>
          </w:p>
        </w:tc>
      </w:tr>
      <w:tr w:rsidR="00255C65" w:rsidRPr="00827818" w:rsidTr="00881211">
        <w:trPr>
          <w:trHeight w:val="323"/>
          <w:jc w:val="center"/>
        </w:trPr>
        <w:tc>
          <w:tcPr>
            <w:tcW w:w="1427" w:type="pct"/>
            <w:vMerge/>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p>
        </w:tc>
        <w:tc>
          <w:tcPr>
            <w:tcW w:w="949" w:type="pct"/>
            <w:gridSpan w:val="2"/>
            <w:tcBorders>
              <w:top w:val="single" w:sz="4" w:space="0" w:color="auto"/>
            </w:tcBorders>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843" w:type="pct"/>
            <w:gridSpan w:val="3"/>
            <w:tcBorders>
              <w:top w:val="single" w:sz="4" w:space="0" w:color="auto"/>
            </w:tcBorders>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907" w:type="pct"/>
            <w:gridSpan w:val="2"/>
            <w:tcBorders>
              <w:top w:val="single" w:sz="4" w:space="0" w:color="auto"/>
            </w:tcBorders>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874" w:type="pct"/>
            <w:gridSpan w:val="2"/>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0</w:t>
            </w:r>
          </w:p>
        </w:tc>
      </w:tr>
      <w:tr w:rsidR="00255C65" w:rsidRPr="00827818" w:rsidTr="00881211">
        <w:trPr>
          <w:trHeight w:val="274"/>
          <w:jc w:val="center"/>
        </w:trPr>
        <w:tc>
          <w:tcPr>
            <w:tcW w:w="1427" w:type="pct"/>
            <w:vMerge w:val="restar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Подаци о циљним вредностима</w:t>
            </w:r>
          </w:p>
        </w:tc>
        <w:tc>
          <w:tcPr>
            <w:tcW w:w="717" w:type="pct"/>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2021.</w:t>
            </w:r>
          </w:p>
        </w:tc>
        <w:tc>
          <w:tcPr>
            <w:tcW w:w="717" w:type="pct"/>
            <w:gridSpan w:val="2"/>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2022.</w:t>
            </w:r>
          </w:p>
        </w:tc>
        <w:tc>
          <w:tcPr>
            <w:tcW w:w="714" w:type="pct"/>
            <w:gridSpan w:val="3"/>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2023.</w:t>
            </w:r>
          </w:p>
        </w:tc>
        <w:tc>
          <w:tcPr>
            <w:tcW w:w="712" w:type="pct"/>
            <w:gridSpan w:val="2"/>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2024.</w:t>
            </w:r>
          </w:p>
        </w:tc>
        <w:tc>
          <w:tcPr>
            <w:tcW w:w="713" w:type="pct"/>
            <w:shd w:val="clear" w:color="auto" w:fill="FFFFFF"/>
          </w:tcPr>
          <w:p w:rsidR="00255C65" w:rsidRPr="00827818" w:rsidRDefault="00255C65" w:rsidP="00D57BAA">
            <w:pPr>
              <w:spacing w:after="0" w:line="240" w:lineRule="auto"/>
              <w:jc w:val="both"/>
              <w:rPr>
                <w:rFonts w:ascii="Times New Roman" w:eastAsia="Times New Roman" w:hAnsi="Times New Roman" w:cs="Times New Roman"/>
                <w:bCs/>
                <w:iCs/>
                <w:sz w:val="20"/>
                <w:szCs w:val="20"/>
                <w:lang w:val="sr-Cyrl-CS"/>
              </w:rPr>
            </w:pPr>
            <w:r w:rsidRPr="00827818">
              <w:rPr>
                <w:rFonts w:ascii="Times New Roman" w:eastAsia="Times New Roman" w:hAnsi="Times New Roman" w:cs="Times New Roman"/>
                <w:bCs/>
                <w:iCs/>
                <w:sz w:val="20"/>
                <w:szCs w:val="20"/>
                <w:lang w:val="sr-Cyrl-CS"/>
              </w:rPr>
              <w:t>2025.</w:t>
            </w:r>
          </w:p>
        </w:tc>
      </w:tr>
      <w:tr w:rsidR="00255C65" w:rsidRPr="00827818" w:rsidTr="00444BE8">
        <w:trPr>
          <w:trHeight w:val="160"/>
          <w:jc w:val="center"/>
        </w:trPr>
        <w:tc>
          <w:tcPr>
            <w:tcW w:w="1427" w:type="pct"/>
            <w:vMerge/>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p>
        </w:tc>
        <w:tc>
          <w:tcPr>
            <w:tcW w:w="717" w:type="pct"/>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717" w:type="pct"/>
            <w:gridSpan w:val="2"/>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p>
        </w:tc>
        <w:tc>
          <w:tcPr>
            <w:tcW w:w="714" w:type="pct"/>
            <w:gridSpan w:val="3"/>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w:t>
            </w:r>
            <w:r w:rsidR="006506D1" w:rsidRPr="00827818">
              <w:rPr>
                <w:rFonts w:ascii="Times New Roman" w:eastAsia="Times New Roman" w:hAnsi="Times New Roman" w:cs="Times New Roman"/>
                <w:iCs/>
                <w:sz w:val="20"/>
                <w:szCs w:val="20"/>
                <w:lang w:val="sr-Cyrl-CS"/>
              </w:rPr>
              <w:t>-</w:t>
            </w:r>
          </w:p>
        </w:tc>
        <w:tc>
          <w:tcPr>
            <w:tcW w:w="712" w:type="pct"/>
            <w:gridSpan w:val="2"/>
            <w:shd w:val="clear" w:color="auto" w:fill="auto"/>
          </w:tcPr>
          <w:p w:rsidR="00255C65" w:rsidRPr="00827818" w:rsidRDefault="005E5FB4"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1</w:t>
            </w:r>
          </w:p>
        </w:tc>
        <w:tc>
          <w:tcPr>
            <w:tcW w:w="713" w:type="pct"/>
            <w:shd w:val="clear" w:color="auto" w:fill="FFFFFF"/>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1</w:t>
            </w:r>
          </w:p>
        </w:tc>
      </w:tr>
      <w:tr w:rsidR="00255C65" w:rsidRPr="00827818" w:rsidTr="00881211">
        <w:trPr>
          <w:trHeight w:val="160"/>
          <w:jc w:val="center"/>
        </w:trPr>
        <w:tc>
          <w:tcPr>
            <w:tcW w:w="1427" w:type="pct"/>
            <w:shd w:val="clear" w:color="auto" w:fill="auto"/>
          </w:tcPr>
          <w:p w:rsidR="00255C65" w:rsidRPr="00827818" w:rsidRDefault="00255C65" w:rsidP="00D57BAA">
            <w:pPr>
              <w:spacing w:after="0" w:line="240" w:lineRule="auto"/>
              <w:jc w:val="both"/>
              <w:rPr>
                <w:rFonts w:ascii="Times New Roman" w:eastAsia="Times New Roman" w:hAnsi="Times New Roman" w:cs="Times New Roman"/>
                <w:b/>
                <w:bCs/>
                <w:iCs/>
                <w:sz w:val="20"/>
                <w:szCs w:val="20"/>
                <w:lang w:val="sr-Cyrl-CS"/>
              </w:rPr>
            </w:pPr>
            <w:r w:rsidRPr="00827818">
              <w:rPr>
                <w:rFonts w:ascii="Times New Roman" w:eastAsia="Times New Roman" w:hAnsi="Times New Roman" w:cs="Times New Roman"/>
                <w:b/>
                <w:bCs/>
                <w:iCs/>
                <w:sz w:val="20"/>
                <w:szCs w:val="20"/>
                <w:lang w:val="sr-Cyrl-CS"/>
              </w:rPr>
              <w:t>Процена успешности</w:t>
            </w:r>
          </w:p>
        </w:tc>
        <w:tc>
          <w:tcPr>
            <w:tcW w:w="3573" w:type="pct"/>
            <w:gridSpan w:val="9"/>
            <w:shd w:val="clear" w:color="auto" w:fill="FFFFFF"/>
            <w:vAlign w:val="center"/>
          </w:tcPr>
          <w:p w:rsidR="00255C65" w:rsidRPr="00827818" w:rsidRDefault="00255C65" w:rsidP="00D57BAA">
            <w:pPr>
              <w:spacing w:after="0" w:line="240" w:lineRule="auto"/>
              <w:jc w:val="both"/>
              <w:rPr>
                <w:rFonts w:ascii="Times New Roman" w:eastAsia="Times New Roman" w:hAnsi="Times New Roman" w:cs="Times New Roman"/>
                <w:iCs/>
                <w:sz w:val="20"/>
                <w:szCs w:val="20"/>
                <w:lang w:val="sr-Cyrl-CS"/>
              </w:rPr>
            </w:pPr>
            <w:r w:rsidRPr="00827818">
              <w:rPr>
                <w:rFonts w:ascii="Times New Roman" w:eastAsia="Times New Roman" w:hAnsi="Times New Roman" w:cs="Times New Roman"/>
                <w:iCs/>
                <w:sz w:val="20"/>
                <w:szCs w:val="20"/>
                <w:lang w:val="sr-Cyrl-CS"/>
              </w:rPr>
              <w:t>Успостављање базе података о уговорима, одступање није прихватљиво.</w:t>
            </w:r>
          </w:p>
        </w:tc>
      </w:tr>
    </w:tbl>
    <w:p w:rsidR="00105CD1" w:rsidRPr="00827818" w:rsidRDefault="00E553AD" w:rsidP="00736982">
      <w:pPr>
        <w:spacing w:after="0" w:line="240" w:lineRule="auto"/>
        <w:jc w:val="right"/>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ˮ</w:t>
      </w:r>
      <w:r w:rsidR="00A63207" w:rsidRPr="00827818">
        <w:rPr>
          <w:rFonts w:ascii="Times New Roman" w:eastAsia="Times New Roman" w:hAnsi="Times New Roman" w:cs="Times New Roman"/>
          <w:iCs/>
          <w:sz w:val="24"/>
          <w:szCs w:val="24"/>
          <w:lang w:val="sr-Cyrl-CS"/>
        </w:rPr>
        <w:t>.</w:t>
      </w:r>
    </w:p>
    <w:p w:rsidR="00881211" w:rsidRPr="00827818" w:rsidRDefault="00D33E7E" w:rsidP="002D1889">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1</w:t>
      </w:r>
      <w:r w:rsidRPr="00827818">
        <w:rPr>
          <w:rFonts w:ascii="Times New Roman" w:eastAsia="Times New Roman" w:hAnsi="Times New Roman" w:cs="Times New Roman"/>
          <w:iCs/>
          <w:sz w:val="24"/>
          <w:szCs w:val="24"/>
          <w:lang w:val="sr-Cyrl-CS"/>
        </w:rPr>
        <w:t xml:space="preserve">. </w:t>
      </w:r>
      <w:r w:rsidR="0044792C" w:rsidRPr="00827818">
        <w:rPr>
          <w:rFonts w:ascii="Times New Roman" w:eastAsia="Times New Roman" w:hAnsi="Times New Roman" w:cs="Times New Roman"/>
          <w:iCs/>
          <w:sz w:val="24"/>
          <w:szCs w:val="24"/>
          <w:lang w:val="sr-Cyrl-CS"/>
        </w:rPr>
        <w:t xml:space="preserve">У </w:t>
      </w:r>
      <w:r w:rsidR="00AF0C81" w:rsidRPr="00827818">
        <w:rPr>
          <w:rFonts w:ascii="Times New Roman" w:eastAsia="Times New Roman" w:hAnsi="Times New Roman" w:cs="Times New Roman"/>
          <w:iCs/>
          <w:sz w:val="24"/>
          <w:szCs w:val="24"/>
          <w:lang w:val="sr-Cyrl-CS"/>
        </w:rPr>
        <w:t xml:space="preserve">оквиру посебног циља III Унапређење буџетске дисциплине и транспарентније коришћење јавних средстава, </w:t>
      </w:r>
      <w:r w:rsidRPr="00827818">
        <w:rPr>
          <w:rFonts w:ascii="Times New Roman" w:eastAsia="Times New Roman" w:hAnsi="Times New Roman" w:cs="Times New Roman"/>
          <w:iCs/>
          <w:sz w:val="24"/>
          <w:szCs w:val="24"/>
          <w:lang w:val="sr-Cyrl-CS"/>
        </w:rPr>
        <w:t xml:space="preserve"> за </w:t>
      </w:r>
      <w:r w:rsidR="00AF0C81" w:rsidRPr="00827818">
        <w:rPr>
          <w:rFonts w:ascii="Times New Roman" w:eastAsia="Times New Roman" w:hAnsi="Times New Roman" w:cs="Times New Roman"/>
          <w:iCs/>
          <w:sz w:val="24"/>
          <w:szCs w:val="24"/>
          <w:lang w:val="sr-Cyrl-CS"/>
        </w:rPr>
        <w:t>показатељ на нивоу мере 3.1</w:t>
      </w:r>
      <w:r w:rsidR="00272FC7" w:rsidRPr="00827818">
        <w:rPr>
          <w:rFonts w:ascii="Times New Roman" w:eastAsia="Times New Roman" w:hAnsi="Times New Roman" w:cs="Times New Roman"/>
          <w:iCs/>
          <w:sz w:val="24"/>
          <w:szCs w:val="24"/>
          <w:lang w:val="sr-Cyrl-CS"/>
        </w:rPr>
        <w:t xml:space="preserve"> „</w:t>
      </w:r>
      <w:r w:rsidR="001F2AB2" w:rsidRPr="00827818">
        <w:rPr>
          <w:rFonts w:ascii="Times New Roman" w:eastAsia="Times New Roman" w:hAnsi="Times New Roman" w:cs="Times New Roman"/>
          <w:iCs/>
          <w:sz w:val="24"/>
          <w:szCs w:val="24"/>
          <w:lang w:val="sr-Cyrl-CS"/>
        </w:rPr>
        <w:t>Број ревизорских налаза ЕК у односу на број спроведених препорука ревизије</w:t>
      </w:r>
      <w:r w:rsidR="001F3A58" w:rsidRPr="00827818">
        <w:rPr>
          <w:rFonts w:ascii="Times New Roman" w:eastAsia="Times New Roman" w:hAnsi="Times New Roman" w:cs="Times New Roman"/>
          <w:iCs/>
          <w:sz w:val="24"/>
          <w:szCs w:val="24"/>
          <w:lang w:val="sr-Cyrl-CS"/>
        </w:rPr>
        <w:t>”</w:t>
      </w:r>
      <w:r w:rsidR="00AF0C81" w:rsidRPr="00827818">
        <w:rPr>
          <w:rFonts w:ascii="Times New Roman" w:eastAsia="Times New Roman" w:hAnsi="Times New Roman" w:cs="Times New Roman"/>
          <w:iCs/>
          <w:sz w:val="24"/>
          <w:szCs w:val="24"/>
          <w:lang w:val="sr-Cyrl-CS"/>
        </w:rPr>
        <w:t xml:space="preserve">, </w:t>
      </w:r>
      <w:r w:rsidRPr="00827818">
        <w:rPr>
          <w:rFonts w:ascii="Times New Roman" w:eastAsia="Times New Roman" w:hAnsi="Times New Roman" w:cs="Times New Roman"/>
          <w:iCs/>
          <w:sz w:val="24"/>
          <w:szCs w:val="24"/>
          <w:lang w:val="sr-Cyrl-CS"/>
        </w:rPr>
        <w:t>мењају се</w:t>
      </w:r>
      <w:r w:rsidR="001F2AB2" w:rsidRPr="00827818">
        <w:rPr>
          <w:rFonts w:ascii="Times New Roman" w:eastAsia="Times New Roman" w:hAnsi="Times New Roman" w:cs="Times New Roman"/>
          <w:iCs/>
          <w:sz w:val="24"/>
          <w:szCs w:val="24"/>
          <w:lang w:val="sr-Cyrl-CS"/>
        </w:rPr>
        <w:t xml:space="preserve"> </w:t>
      </w:r>
      <w:r w:rsidR="00AF0C81" w:rsidRPr="00827818">
        <w:rPr>
          <w:rFonts w:ascii="Times New Roman" w:eastAsia="Times New Roman" w:hAnsi="Times New Roman" w:cs="Times New Roman"/>
          <w:iCs/>
          <w:sz w:val="24"/>
          <w:szCs w:val="24"/>
          <w:lang w:val="sr-Cyrl-CS"/>
        </w:rPr>
        <w:t>подаци о циљ</w:t>
      </w:r>
      <w:r w:rsidR="001F2AB2" w:rsidRPr="00827818">
        <w:rPr>
          <w:rFonts w:ascii="Times New Roman" w:eastAsia="Times New Roman" w:hAnsi="Times New Roman" w:cs="Times New Roman"/>
          <w:iCs/>
          <w:sz w:val="24"/>
          <w:szCs w:val="24"/>
          <w:lang w:val="sr-Cyrl-CS"/>
        </w:rPr>
        <w:t>а</w:t>
      </w:r>
      <w:r w:rsidR="00AF0C81" w:rsidRPr="00827818">
        <w:rPr>
          <w:rFonts w:ascii="Times New Roman" w:eastAsia="Times New Roman" w:hAnsi="Times New Roman" w:cs="Times New Roman"/>
          <w:iCs/>
          <w:sz w:val="24"/>
          <w:szCs w:val="24"/>
          <w:lang w:val="sr-Cyrl-CS"/>
        </w:rPr>
        <w:t>н</w:t>
      </w:r>
      <w:r w:rsidR="001F3A58" w:rsidRPr="00827818">
        <w:rPr>
          <w:rFonts w:ascii="Times New Roman" w:eastAsia="Times New Roman" w:hAnsi="Times New Roman" w:cs="Times New Roman"/>
          <w:iCs/>
          <w:sz w:val="24"/>
          <w:szCs w:val="24"/>
          <w:lang w:val="sr-Cyrl-CS"/>
        </w:rPr>
        <w:t>им вредностима за 2024. број</w:t>
      </w:r>
      <w:r w:rsidR="00657C17">
        <w:rPr>
          <w:rFonts w:ascii="Times New Roman" w:eastAsia="Times New Roman" w:hAnsi="Times New Roman" w:cs="Times New Roman"/>
          <w:iCs/>
          <w:sz w:val="24"/>
          <w:szCs w:val="24"/>
          <w:lang w:val="sr-Cyrl-CS"/>
        </w:rPr>
        <w:t>:</w:t>
      </w:r>
      <w:r w:rsidR="001F3A58" w:rsidRPr="00827818">
        <w:rPr>
          <w:rFonts w:ascii="Times New Roman" w:eastAsia="Times New Roman" w:hAnsi="Times New Roman" w:cs="Times New Roman"/>
          <w:iCs/>
          <w:sz w:val="24"/>
          <w:szCs w:val="24"/>
          <w:lang w:val="sr-Cyrl-CS"/>
        </w:rPr>
        <w:t xml:space="preserve"> „4” замењује се бројем</w:t>
      </w:r>
      <w:r w:rsidR="00657C17">
        <w:rPr>
          <w:rFonts w:ascii="Times New Roman" w:eastAsia="Times New Roman" w:hAnsi="Times New Roman" w:cs="Times New Roman"/>
          <w:iCs/>
          <w:sz w:val="24"/>
          <w:szCs w:val="24"/>
          <w:lang w:val="sr-Cyrl-CS"/>
        </w:rPr>
        <w:t>:</w:t>
      </w:r>
      <w:r w:rsidR="001F3A58" w:rsidRPr="00827818">
        <w:rPr>
          <w:rFonts w:ascii="Times New Roman" w:eastAsia="Times New Roman" w:hAnsi="Times New Roman" w:cs="Times New Roman"/>
          <w:iCs/>
          <w:sz w:val="24"/>
          <w:szCs w:val="24"/>
          <w:lang w:val="sr-Cyrl-CS"/>
        </w:rPr>
        <w:t xml:space="preserve"> „5”</w:t>
      </w:r>
      <w:r w:rsidRPr="00827818">
        <w:rPr>
          <w:rFonts w:ascii="Times New Roman" w:eastAsia="Times New Roman" w:hAnsi="Times New Roman" w:cs="Times New Roman"/>
          <w:iCs/>
          <w:sz w:val="24"/>
          <w:szCs w:val="24"/>
          <w:lang w:val="sr-Cyrl-CS"/>
        </w:rPr>
        <w:t xml:space="preserve"> и</w:t>
      </w:r>
      <w:r w:rsidR="00AF0C81" w:rsidRPr="00827818">
        <w:rPr>
          <w:rFonts w:ascii="Times New Roman" w:eastAsia="Times New Roman" w:hAnsi="Times New Roman" w:cs="Times New Roman"/>
          <w:iCs/>
          <w:sz w:val="24"/>
          <w:szCs w:val="24"/>
          <w:lang w:val="sr-Cyrl-CS"/>
        </w:rPr>
        <w:t xml:space="preserve"> за 2025. годин</w:t>
      </w:r>
      <w:r w:rsidR="001F3A58" w:rsidRPr="00827818">
        <w:rPr>
          <w:rFonts w:ascii="Times New Roman" w:eastAsia="Times New Roman" w:hAnsi="Times New Roman" w:cs="Times New Roman"/>
          <w:iCs/>
          <w:sz w:val="24"/>
          <w:szCs w:val="24"/>
          <w:lang w:val="sr-Cyrl-CS"/>
        </w:rPr>
        <w:t>у број</w:t>
      </w:r>
      <w:r w:rsidR="00657C17">
        <w:rPr>
          <w:rFonts w:ascii="Times New Roman" w:eastAsia="Times New Roman" w:hAnsi="Times New Roman" w:cs="Times New Roman"/>
          <w:iCs/>
          <w:sz w:val="24"/>
          <w:szCs w:val="24"/>
          <w:lang w:val="sr-Cyrl-CS"/>
        </w:rPr>
        <w:t>:</w:t>
      </w:r>
      <w:r w:rsidR="001F3A58" w:rsidRPr="00827818">
        <w:rPr>
          <w:rFonts w:ascii="Times New Roman" w:eastAsia="Times New Roman" w:hAnsi="Times New Roman" w:cs="Times New Roman"/>
          <w:iCs/>
          <w:sz w:val="24"/>
          <w:szCs w:val="24"/>
          <w:lang w:val="sr-Cyrl-CS"/>
        </w:rPr>
        <w:t xml:space="preserve"> „3” замењује се бројем</w:t>
      </w:r>
      <w:r w:rsidR="00657C17">
        <w:rPr>
          <w:rFonts w:ascii="Times New Roman" w:eastAsia="Times New Roman" w:hAnsi="Times New Roman" w:cs="Times New Roman"/>
          <w:iCs/>
          <w:sz w:val="24"/>
          <w:szCs w:val="24"/>
          <w:lang w:val="sr-Cyrl-CS"/>
        </w:rPr>
        <w:t>:</w:t>
      </w:r>
      <w:r w:rsidR="001F3A58" w:rsidRPr="00827818">
        <w:rPr>
          <w:rFonts w:ascii="Times New Roman" w:eastAsia="Times New Roman" w:hAnsi="Times New Roman" w:cs="Times New Roman"/>
          <w:iCs/>
          <w:sz w:val="24"/>
          <w:szCs w:val="24"/>
          <w:lang w:val="sr-Cyrl-CS"/>
        </w:rPr>
        <w:t xml:space="preserve"> „4”</w:t>
      </w:r>
      <w:r w:rsidR="00AF0C81" w:rsidRPr="00827818">
        <w:rPr>
          <w:rFonts w:ascii="Times New Roman" w:eastAsia="Times New Roman" w:hAnsi="Times New Roman" w:cs="Times New Roman"/>
          <w:iCs/>
          <w:sz w:val="24"/>
          <w:szCs w:val="24"/>
          <w:lang w:val="sr-Cyrl-CS"/>
        </w:rPr>
        <w:t>.</w:t>
      </w:r>
    </w:p>
    <w:p w:rsidR="00A25CED" w:rsidRPr="00827818" w:rsidRDefault="0000797C" w:rsidP="002D1889">
      <w:pPr>
        <w:spacing w:after="0"/>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2</w:t>
      </w:r>
      <w:r w:rsidRPr="00827818">
        <w:rPr>
          <w:rFonts w:ascii="Times New Roman" w:eastAsia="Times New Roman" w:hAnsi="Times New Roman" w:cs="Times New Roman"/>
          <w:iCs/>
          <w:sz w:val="24"/>
          <w:szCs w:val="24"/>
          <w:lang w:val="sr-Cyrl-CS"/>
        </w:rPr>
        <w:t xml:space="preserve">. </w:t>
      </w:r>
      <w:r w:rsidR="0044792C" w:rsidRPr="00827818">
        <w:rPr>
          <w:rFonts w:ascii="Times New Roman" w:eastAsia="Times New Roman" w:hAnsi="Times New Roman" w:cs="Times New Roman"/>
          <w:iCs/>
          <w:sz w:val="24"/>
          <w:szCs w:val="24"/>
          <w:lang w:val="sr-Cyrl-CS"/>
        </w:rPr>
        <w:t>У</w:t>
      </w:r>
      <w:r w:rsidRPr="00827818">
        <w:rPr>
          <w:rFonts w:ascii="Times New Roman" w:eastAsia="Times New Roman" w:hAnsi="Times New Roman" w:cs="Times New Roman"/>
          <w:iCs/>
          <w:sz w:val="24"/>
          <w:szCs w:val="24"/>
          <w:lang w:val="sr-Cyrl-CS"/>
        </w:rPr>
        <w:t xml:space="preserve"> М</w:t>
      </w:r>
      <w:r w:rsidR="00A12F13" w:rsidRPr="00827818">
        <w:rPr>
          <w:rFonts w:ascii="Times New Roman" w:eastAsia="Times New Roman" w:hAnsi="Times New Roman" w:cs="Times New Roman"/>
          <w:iCs/>
          <w:sz w:val="24"/>
          <w:szCs w:val="24"/>
          <w:lang w:val="sr-Cyrl-CS"/>
        </w:rPr>
        <w:t>ер</w:t>
      </w:r>
      <w:r w:rsidRPr="00827818">
        <w:rPr>
          <w:rFonts w:ascii="Times New Roman" w:eastAsia="Times New Roman" w:hAnsi="Times New Roman" w:cs="Times New Roman"/>
          <w:iCs/>
          <w:sz w:val="24"/>
          <w:szCs w:val="24"/>
          <w:lang w:val="sr-Cyrl-CS"/>
        </w:rPr>
        <w:t>и</w:t>
      </w:r>
      <w:r w:rsidR="00A12F13" w:rsidRPr="00827818">
        <w:rPr>
          <w:rFonts w:ascii="Times New Roman" w:eastAsia="Times New Roman" w:hAnsi="Times New Roman" w:cs="Times New Roman"/>
          <w:iCs/>
          <w:sz w:val="24"/>
          <w:szCs w:val="24"/>
          <w:lang w:val="sr-Cyrl-CS"/>
        </w:rPr>
        <w:t xml:space="preserve"> 3.2</w:t>
      </w:r>
      <w:r w:rsidRPr="00827818">
        <w:rPr>
          <w:rFonts w:ascii="Times New Roman" w:eastAsia="Times New Roman" w:hAnsi="Times New Roman" w:cs="Times New Roman"/>
          <w:iCs/>
          <w:sz w:val="24"/>
          <w:szCs w:val="24"/>
          <w:lang w:val="sr-Cyrl-CS"/>
        </w:rPr>
        <w:t xml:space="preserve"> Јачање система за ефикасније и ефективније управљање средствима ЕУ</w:t>
      </w:r>
      <w:r w:rsidR="000F79C9" w:rsidRPr="00827818">
        <w:rPr>
          <w:rFonts w:ascii="Times New Roman" w:eastAsia="Times New Roman" w:hAnsi="Times New Roman" w:cs="Times New Roman"/>
          <w:iCs/>
          <w:sz w:val="24"/>
          <w:szCs w:val="24"/>
          <w:lang w:val="sr-Cyrl-CS"/>
        </w:rPr>
        <w:t>,</w:t>
      </w:r>
      <w:r w:rsidR="00AD1C97" w:rsidRPr="00827818">
        <w:rPr>
          <w:rFonts w:ascii="Times New Roman" w:eastAsia="Times New Roman" w:hAnsi="Times New Roman" w:cs="Times New Roman"/>
          <w:iCs/>
          <w:sz w:val="24"/>
          <w:szCs w:val="24"/>
          <w:lang w:val="sr-Cyrl-CS"/>
        </w:rPr>
        <w:t xml:space="preserve"> </w:t>
      </w:r>
      <w:r w:rsidR="000F79C9" w:rsidRPr="00827818">
        <w:rPr>
          <w:rFonts w:ascii="Times New Roman" w:eastAsia="Times New Roman" w:hAnsi="Times New Roman" w:cs="Times New Roman"/>
          <w:iCs/>
          <w:sz w:val="24"/>
          <w:szCs w:val="24"/>
          <w:lang w:val="sr-Cyrl-CS"/>
        </w:rPr>
        <w:t>институција одговорна за спровођење</w:t>
      </w:r>
      <w:r w:rsidRPr="00827818">
        <w:rPr>
          <w:rFonts w:ascii="Times New Roman" w:eastAsia="Times New Roman" w:hAnsi="Times New Roman" w:cs="Times New Roman"/>
          <w:iCs/>
          <w:sz w:val="24"/>
          <w:szCs w:val="24"/>
          <w:lang w:val="sr-Cyrl-CS"/>
        </w:rPr>
        <w:t xml:space="preserve"> мења се</w:t>
      </w:r>
      <w:r w:rsidR="000F79C9" w:rsidRPr="00827818">
        <w:rPr>
          <w:rFonts w:ascii="Times New Roman" w:eastAsia="Times New Roman" w:hAnsi="Times New Roman" w:cs="Times New Roman"/>
          <w:iCs/>
          <w:sz w:val="24"/>
          <w:szCs w:val="24"/>
          <w:lang w:val="sr-Cyrl-CS"/>
        </w:rPr>
        <w:t xml:space="preserve"> </w:t>
      </w:r>
      <w:r w:rsidRPr="00827818">
        <w:rPr>
          <w:rFonts w:ascii="Times New Roman" w:eastAsia="Times New Roman" w:hAnsi="Times New Roman" w:cs="Times New Roman"/>
          <w:iCs/>
          <w:sz w:val="24"/>
          <w:szCs w:val="24"/>
          <w:lang w:val="sr-Cyrl-CS"/>
        </w:rPr>
        <w:t>и</w:t>
      </w:r>
      <w:r w:rsidR="000F79C9" w:rsidRPr="00827818">
        <w:rPr>
          <w:rFonts w:ascii="Times New Roman" w:eastAsia="Times New Roman" w:hAnsi="Times New Roman" w:cs="Times New Roman"/>
          <w:iCs/>
          <w:sz w:val="24"/>
          <w:szCs w:val="24"/>
          <w:lang w:val="sr-Cyrl-CS"/>
        </w:rPr>
        <w:t xml:space="preserve"> гласи: </w:t>
      </w:r>
      <w:r w:rsidR="00A12F13" w:rsidRPr="00827818">
        <w:rPr>
          <w:rFonts w:ascii="Times New Roman" w:eastAsia="Times New Roman" w:hAnsi="Times New Roman" w:cs="Times New Roman"/>
          <w:iCs/>
          <w:sz w:val="24"/>
          <w:szCs w:val="24"/>
          <w:lang w:val="sr-Cyrl-CS"/>
        </w:rPr>
        <w:t>„Сектор за управљање средствима ЕУ</w:t>
      </w:r>
      <w:r w:rsidR="001F3A58" w:rsidRPr="00827818">
        <w:rPr>
          <w:rFonts w:ascii="Times New Roman" w:eastAsia="Times New Roman" w:hAnsi="Times New Roman" w:cs="Times New Roman"/>
          <w:iCs/>
          <w:sz w:val="24"/>
          <w:szCs w:val="24"/>
          <w:lang w:val="sr-Cyrl-CS"/>
        </w:rPr>
        <w:t>ˮ</w:t>
      </w:r>
      <w:r w:rsidR="00A12F13" w:rsidRPr="00827818">
        <w:rPr>
          <w:rFonts w:ascii="Times New Roman" w:eastAsia="Times New Roman" w:hAnsi="Times New Roman" w:cs="Times New Roman"/>
          <w:iCs/>
          <w:sz w:val="24"/>
          <w:szCs w:val="24"/>
          <w:lang w:val="sr-Cyrl-CS"/>
        </w:rPr>
        <w:t>.</w:t>
      </w:r>
      <w:r w:rsidR="00EE32EA" w:rsidRPr="00827818">
        <w:rPr>
          <w:rFonts w:ascii="Times New Roman" w:hAnsi="Times New Roman" w:cs="Times New Roman"/>
          <w:sz w:val="24"/>
          <w:szCs w:val="24"/>
          <w:lang w:val="sr-Cyrl-CS"/>
        </w:rPr>
        <w:t xml:space="preserve"> У показатељу: </w:t>
      </w:r>
      <w:r w:rsidR="00C84913" w:rsidRPr="00827818">
        <w:rPr>
          <w:rFonts w:ascii="Times New Roman" w:hAnsi="Times New Roman" w:cs="Times New Roman"/>
          <w:sz w:val="24"/>
          <w:szCs w:val="24"/>
          <w:lang w:val="sr-Cyrl-CS"/>
        </w:rPr>
        <w:t>„</w:t>
      </w:r>
      <w:r w:rsidR="00EE32EA" w:rsidRPr="00827818">
        <w:rPr>
          <w:rFonts w:ascii="Times New Roman" w:hAnsi="Times New Roman" w:cs="Times New Roman"/>
          <w:sz w:val="24"/>
          <w:szCs w:val="24"/>
          <w:lang w:val="sr-Cyrl-CS"/>
        </w:rPr>
        <w:t>Извршене провере на лицу места код корисника јавних средстава</w:t>
      </w:r>
      <w:r w:rsidR="001F3A58" w:rsidRPr="00827818">
        <w:rPr>
          <w:rFonts w:ascii="Times New Roman" w:eastAsia="Times New Roman" w:hAnsi="Times New Roman" w:cs="Times New Roman"/>
          <w:iCs/>
          <w:sz w:val="24"/>
          <w:szCs w:val="24"/>
          <w:lang w:val="sr-Cyrl-CS"/>
        </w:rPr>
        <w:t>ˮ</w:t>
      </w:r>
      <w:r w:rsidR="00EE32EA" w:rsidRPr="00827818">
        <w:rPr>
          <w:rFonts w:ascii="Times New Roman" w:hAnsi="Times New Roman" w:cs="Times New Roman"/>
          <w:sz w:val="24"/>
          <w:szCs w:val="24"/>
          <w:lang w:val="sr-Cyrl-CS"/>
        </w:rPr>
        <w:t xml:space="preserve">, </w:t>
      </w:r>
      <w:r w:rsidR="00C8471C" w:rsidRPr="00827818">
        <w:rPr>
          <w:rFonts w:ascii="Times New Roman" w:hAnsi="Times New Roman" w:cs="Times New Roman"/>
          <w:sz w:val="24"/>
          <w:szCs w:val="24"/>
          <w:lang w:val="sr-Cyrl-CS"/>
        </w:rPr>
        <w:t>подаци о циљаним вредностима</w:t>
      </w:r>
      <w:r w:rsidR="00EE32EA" w:rsidRPr="00827818">
        <w:rPr>
          <w:rFonts w:ascii="Times New Roman" w:hAnsi="Times New Roman" w:cs="Times New Roman"/>
          <w:sz w:val="24"/>
          <w:szCs w:val="24"/>
          <w:lang w:val="sr-Cyrl-CS"/>
        </w:rPr>
        <w:t xml:space="preserve"> за 2023: „12</w:t>
      </w:r>
      <w:r w:rsidR="001F3A58" w:rsidRPr="00827818">
        <w:rPr>
          <w:rFonts w:ascii="Times New Roman" w:hAnsi="Times New Roman" w:cs="Times New Roman"/>
          <w:sz w:val="24"/>
          <w:szCs w:val="24"/>
          <w:lang w:val="sr-Cyrl-CS"/>
        </w:rPr>
        <w:t>”</w:t>
      </w:r>
      <w:r w:rsidR="00EE32EA" w:rsidRPr="00827818">
        <w:rPr>
          <w:rFonts w:ascii="Times New Roman" w:hAnsi="Times New Roman" w:cs="Times New Roman"/>
          <w:sz w:val="24"/>
          <w:szCs w:val="24"/>
          <w:lang w:val="sr-Cyrl-CS"/>
        </w:rPr>
        <w:t xml:space="preserve">  замењује се </w:t>
      </w:r>
      <w:r w:rsidR="00C8471C" w:rsidRPr="00827818">
        <w:rPr>
          <w:rFonts w:ascii="Times New Roman" w:hAnsi="Times New Roman" w:cs="Times New Roman"/>
          <w:sz w:val="24"/>
          <w:szCs w:val="24"/>
          <w:lang w:val="sr-Cyrl-CS"/>
        </w:rPr>
        <w:t>и гласи</w:t>
      </w:r>
      <w:r w:rsidR="00657C17">
        <w:rPr>
          <w:rFonts w:ascii="Times New Roman" w:hAnsi="Times New Roman" w:cs="Times New Roman"/>
          <w:sz w:val="24"/>
          <w:szCs w:val="24"/>
          <w:lang w:val="sr-Cyrl-CS"/>
        </w:rPr>
        <w:t>:</w:t>
      </w:r>
      <w:r w:rsidR="00EE32EA" w:rsidRPr="00827818">
        <w:rPr>
          <w:rFonts w:ascii="Times New Roman" w:hAnsi="Times New Roman" w:cs="Times New Roman"/>
          <w:sz w:val="24"/>
          <w:szCs w:val="24"/>
          <w:lang w:val="sr-Cyrl-CS"/>
        </w:rPr>
        <w:t xml:space="preserve"> „6</w:t>
      </w:r>
      <w:r w:rsidR="001F3A58" w:rsidRPr="00827818">
        <w:rPr>
          <w:rFonts w:ascii="Times New Roman" w:hAnsi="Times New Roman" w:cs="Times New Roman"/>
          <w:sz w:val="24"/>
          <w:szCs w:val="24"/>
          <w:lang w:val="sr-Cyrl-CS"/>
        </w:rPr>
        <w:t>”</w:t>
      </w:r>
      <w:r w:rsidR="00EE32EA" w:rsidRPr="00827818">
        <w:rPr>
          <w:rFonts w:ascii="Times New Roman" w:hAnsi="Times New Roman" w:cs="Times New Roman"/>
          <w:sz w:val="24"/>
          <w:szCs w:val="24"/>
          <w:lang w:val="sr-Cyrl-CS"/>
        </w:rPr>
        <w:t>; Циљана вредност за 2024: „12</w:t>
      </w:r>
      <w:r w:rsidR="001F3A58" w:rsidRPr="00827818">
        <w:rPr>
          <w:rFonts w:ascii="Times New Roman" w:hAnsi="Times New Roman" w:cs="Times New Roman"/>
          <w:sz w:val="24"/>
          <w:szCs w:val="24"/>
          <w:lang w:val="sr-Cyrl-CS"/>
        </w:rPr>
        <w:t>”</w:t>
      </w:r>
      <w:r w:rsidR="00EE32EA" w:rsidRPr="00827818">
        <w:rPr>
          <w:rFonts w:ascii="Times New Roman" w:hAnsi="Times New Roman" w:cs="Times New Roman"/>
          <w:sz w:val="24"/>
          <w:szCs w:val="24"/>
          <w:lang w:val="sr-Cyrl-CS"/>
        </w:rPr>
        <w:t xml:space="preserve">  замењује се </w:t>
      </w:r>
      <w:r w:rsidR="00C8471C" w:rsidRPr="00827818">
        <w:rPr>
          <w:rFonts w:ascii="Times New Roman" w:hAnsi="Times New Roman" w:cs="Times New Roman"/>
          <w:sz w:val="24"/>
          <w:szCs w:val="24"/>
          <w:lang w:val="sr-Cyrl-CS"/>
        </w:rPr>
        <w:t>и гласи</w:t>
      </w:r>
      <w:r w:rsidR="00657C17">
        <w:rPr>
          <w:rFonts w:ascii="Times New Roman" w:hAnsi="Times New Roman" w:cs="Times New Roman"/>
          <w:sz w:val="24"/>
          <w:szCs w:val="24"/>
          <w:lang w:val="sr-Cyrl-CS"/>
        </w:rPr>
        <w:t>:</w:t>
      </w:r>
      <w:bookmarkStart w:id="10" w:name="_GoBack"/>
      <w:bookmarkEnd w:id="10"/>
      <w:r w:rsidR="00EE32EA" w:rsidRPr="00827818">
        <w:rPr>
          <w:rFonts w:ascii="Times New Roman" w:hAnsi="Times New Roman" w:cs="Times New Roman"/>
          <w:sz w:val="24"/>
          <w:szCs w:val="24"/>
          <w:lang w:val="sr-Cyrl-CS"/>
        </w:rPr>
        <w:t xml:space="preserve"> „6</w:t>
      </w:r>
      <w:r w:rsidR="00B829D3" w:rsidRPr="00827818">
        <w:rPr>
          <w:rFonts w:ascii="Times New Roman" w:hAnsi="Times New Roman" w:cs="Times New Roman"/>
          <w:sz w:val="24"/>
          <w:szCs w:val="24"/>
          <w:lang w:val="sr-Cyrl-CS"/>
        </w:rPr>
        <w:t>”</w:t>
      </w:r>
      <w:r w:rsidR="00EE32EA" w:rsidRPr="00827818">
        <w:rPr>
          <w:rFonts w:ascii="Times New Roman" w:hAnsi="Times New Roman" w:cs="Times New Roman"/>
          <w:sz w:val="24"/>
          <w:szCs w:val="24"/>
          <w:lang w:val="sr-Cyrl-CS"/>
        </w:rPr>
        <w:t xml:space="preserve"> </w:t>
      </w:r>
      <w:r w:rsidR="00B829D3" w:rsidRPr="00827818">
        <w:rPr>
          <w:rFonts w:ascii="Times New Roman" w:hAnsi="Times New Roman" w:cs="Times New Roman"/>
          <w:sz w:val="24"/>
          <w:szCs w:val="24"/>
          <w:lang w:val="sr-Cyrl-CS"/>
        </w:rPr>
        <w:t xml:space="preserve"> и </w:t>
      </w:r>
      <w:r w:rsidR="00EE32EA" w:rsidRPr="00827818">
        <w:rPr>
          <w:rFonts w:ascii="Times New Roman" w:hAnsi="Times New Roman" w:cs="Times New Roman"/>
          <w:sz w:val="24"/>
          <w:szCs w:val="24"/>
          <w:lang w:val="sr-Cyrl-CS"/>
        </w:rPr>
        <w:t xml:space="preserve">Циљана вредност за 2025: „12”  замењује </w:t>
      </w:r>
      <w:r w:rsidR="00C8471C" w:rsidRPr="00827818">
        <w:rPr>
          <w:rFonts w:ascii="Times New Roman" w:hAnsi="Times New Roman" w:cs="Times New Roman"/>
          <w:sz w:val="24"/>
          <w:szCs w:val="24"/>
          <w:lang w:val="sr-Cyrl-CS"/>
        </w:rPr>
        <w:t>и гласи</w:t>
      </w:r>
      <w:r w:rsidR="00EE32EA" w:rsidRPr="00827818">
        <w:rPr>
          <w:rFonts w:ascii="Times New Roman" w:hAnsi="Times New Roman" w:cs="Times New Roman"/>
          <w:sz w:val="24"/>
          <w:szCs w:val="24"/>
          <w:lang w:val="sr-Cyrl-CS"/>
        </w:rPr>
        <w:t>: „6</w:t>
      </w:r>
      <w:r w:rsidR="00B829D3" w:rsidRPr="00827818">
        <w:rPr>
          <w:rFonts w:ascii="Times New Roman" w:eastAsia="Times New Roman" w:hAnsi="Times New Roman" w:cs="Times New Roman"/>
          <w:iCs/>
          <w:sz w:val="24"/>
          <w:szCs w:val="24"/>
          <w:lang w:val="sr-Cyrl-CS"/>
        </w:rPr>
        <w:t>ˮ</w:t>
      </w:r>
      <w:r w:rsidR="00EE32EA" w:rsidRPr="00827818">
        <w:rPr>
          <w:rFonts w:ascii="Times New Roman" w:hAnsi="Times New Roman" w:cs="Times New Roman"/>
          <w:sz w:val="24"/>
          <w:szCs w:val="24"/>
          <w:lang w:val="sr-Cyrl-CS"/>
        </w:rPr>
        <w:t>.</w:t>
      </w:r>
      <w:r w:rsidR="001F3A58" w:rsidRPr="00827818">
        <w:rPr>
          <w:rFonts w:ascii="Times New Roman" w:hAnsi="Times New Roman" w:cs="Times New Roman"/>
          <w:sz w:val="24"/>
          <w:szCs w:val="24"/>
          <w:lang w:val="sr-Cyrl-CS"/>
        </w:rPr>
        <w:t xml:space="preserve"> </w:t>
      </w:r>
    </w:p>
    <w:p w:rsidR="00881211" w:rsidRPr="00827818" w:rsidRDefault="00B24669" w:rsidP="00647F91">
      <w:pPr>
        <w:spacing w:after="0"/>
        <w:ind w:firstLine="720"/>
        <w:jc w:val="both"/>
        <w:rPr>
          <w:rFonts w:ascii="Times New Roman" w:hAnsi="Times New Roman" w:cs="Times New Roman"/>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3</w:t>
      </w:r>
      <w:r w:rsidRPr="00827818">
        <w:rPr>
          <w:rFonts w:ascii="Times New Roman" w:eastAsia="Times New Roman" w:hAnsi="Times New Roman" w:cs="Times New Roman"/>
          <w:iCs/>
          <w:sz w:val="24"/>
          <w:szCs w:val="24"/>
          <w:lang w:val="sr-Cyrl-CS"/>
        </w:rPr>
        <w:t xml:space="preserve">. </w:t>
      </w:r>
      <w:r w:rsidR="0044792C" w:rsidRPr="00827818">
        <w:rPr>
          <w:rFonts w:ascii="Times New Roman" w:eastAsia="Times New Roman" w:hAnsi="Times New Roman" w:cs="Times New Roman"/>
          <w:iCs/>
          <w:sz w:val="24"/>
          <w:szCs w:val="24"/>
          <w:lang w:val="sr-Cyrl-CS"/>
        </w:rPr>
        <w:t xml:space="preserve">У </w:t>
      </w:r>
      <w:r w:rsidRPr="00827818">
        <w:rPr>
          <w:rFonts w:ascii="Times New Roman" w:eastAsia="Times New Roman" w:hAnsi="Times New Roman" w:cs="Times New Roman"/>
          <w:iCs/>
          <w:sz w:val="24"/>
          <w:szCs w:val="24"/>
          <w:lang w:val="sr-Cyrl-CS"/>
        </w:rPr>
        <w:t>Мери</w:t>
      </w:r>
      <w:r w:rsidR="00AD1C97" w:rsidRPr="00827818">
        <w:rPr>
          <w:rFonts w:ascii="Times New Roman" w:eastAsia="Times New Roman" w:hAnsi="Times New Roman" w:cs="Times New Roman"/>
          <w:iCs/>
          <w:sz w:val="24"/>
          <w:szCs w:val="24"/>
          <w:lang w:val="sr-Cyrl-CS"/>
        </w:rPr>
        <w:t xml:space="preserve"> </w:t>
      </w:r>
      <w:r w:rsidR="00A12F13" w:rsidRPr="00827818">
        <w:rPr>
          <w:rFonts w:ascii="Times New Roman" w:eastAsia="Times New Roman" w:hAnsi="Times New Roman" w:cs="Times New Roman"/>
          <w:iCs/>
          <w:sz w:val="24"/>
          <w:szCs w:val="24"/>
          <w:lang w:val="sr-Cyrl-CS"/>
        </w:rPr>
        <w:t>3.3</w:t>
      </w:r>
      <w:r w:rsidRPr="00827818">
        <w:rPr>
          <w:rFonts w:ascii="Times New Roman" w:eastAsia="Times New Roman" w:hAnsi="Times New Roman" w:cs="Times New Roman"/>
          <w:iCs/>
          <w:sz w:val="24"/>
          <w:szCs w:val="24"/>
          <w:lang w:val="sr-Cyrl-CS"/>
        </w:rPr>
        <w:t xml:space="preserve"> Повећање ефикасности и ефективности инспекцијске контроле</w:t>
      </w:r>
      <w:r w:rsidR="00AD1C97" w:rsidRPr="00827818">
        <w:rPr>
          <w:rFonts w:ascii="Times New Roman" w:eastAsia="Times New Roman" w:hAnsi="Times New Roman" w:cs="Times New Roman"/>
          <w:iCs/>
          <w:sz w:val="24"/>
          <w:szCs w:val="24"/>
          <w:lang w:val="sr-Cyrl-CS"/>
        </w:rPr>
        <w:t>, за показатељ</w:t>
      </w:r>
      <w:r w:rsidR="00A12F13" w:rsidRPr="00827818">
        <w:rPr>
          <w:rFonts w:ascii="Times New Roman" w:eastAsia="Times New Roman" w:hAnsi="Times New Roman" w:cs="Times New Roman"/>
          <w:iCs/>
          <w:sz w:val="24"/>
          <w:szCs w:val="24"/>
          <w:lang w:val="sr-Cyrl-CS"/>
        </w:rPr>
        <w:t xml:space="preserve"> </w:t>
      </w:r>
      <w:r w:rsidR="00AD1C97" w:rsidRPr="00827818">
        <w:rPr>
          <w:rFonts w:ascii="Times New Roman" w:eastAsia="Times New Roman" w:hAnsi="Times New Roman" w:cs="Times New Roman"/>
          <w:iCs/>
          <w:sz w:val="24"/>
          <w:szCs w:val="24"/>
          <w:lang w:val="sr-Cyrl-CS"/>
        </w:rPr>
        <w:t>„</w:t>
      </w:r>
      <w:r w:rsidR="00A12F13" w:rsidRPr="00827818">
        <w:rPr>
          <w:rFonts w:ascii="Times New Roman" w:eastAsia="Times New Roman" w:hAnsi="Times New Roman" w:cs="Times New Roman"/>
          <w:iCs/>
          <w:sz w:val="24"/>
          <w:szCs w:val="24"/>
          <w:lang w:val="sr-Cyrl-CS"/>
        </w:rPr>
        <w:t>Укупан број извршених инспекцијских контрола</w:t>
      </w:r>
      <w:r w:rsidR="00E65243" w:rsidRPr="00827818">
        <w:rPr>
          <w:rFonts w:ascii="Times New Roman" w:eastAsia="Times New Roman" w:hAnsi="Times New Roman" w:cs="Times New Roman"/>
          <w:iCs/>
          <w:sz w:val="24"/>
          <w:szCs w:val="24"/>
          <w:lang w:val="sr-Cyrl-CS"/>
        </w:rPr>
        <w:t>ˮ</w:t>
      </w:r>
      <w:r w:rsidR="00A12F13" w:rsidRPr="00827818">
        <w:rPr>
          <w:rFonts w:ascii="Times New Roman" w:eastAsia="Times New Roman" w:hAnsi="Times New Roman" w:cs="Times New Roman"/>
          <w:iCs/>
          <w:sz w:val="24"/>
          <w:szCs w:val="24"/>
          <w:lang w:val="sr-Cyrl-CS"/>
        </w:rPr>
        <w:t xml:space="preserve"> мењају се </w:t>
      </w:r>
      <w:r w:rsidR="00AD1C97" w:rsidRPr="00827818">
        <w:rPr>
          <w:rFonts w:ascii="Times New Roman" w:eastAsia="Times New Roman" w:hAnsi="Times New Roman" w:cs="Times New Roman"/>
          <w:iCs/>
          <w:sz w:val="24"/>
          <w:szCs w:val="24"/>
          <w:lang w:val="sr-Cyrl-CS"/>
        </w:rPr>
        <w:t xml:space="preserve">циљане </w:t>
      </w:r>
      <w:r w:rsidR="00A12F13" w:rsidRPr="00827818">
        <w:rPr>
          <w:rFonts w:ascii="Times New Roman" w:eastAsia="Times New Roman" w:hAnsi="Times New Roman" w:cs="Times New Roman"/>
          <w:iCs/>
          <w:sz w:val="24"/>
          <w:szCs w:val="24"/>
          <w:lang w:val="sr-Cyrl-CS"/>
        </w:rPr>
        <w:t xml:space="preserve">вредности </w:t>
      </w:r>
      <w:r w:rsidR="00AD1C97" w:rsidRPr="00827818">
        <w:rPr>
          <w:rFonts w:ascii="Times New Roman" w:eastAsia="Times New Roman" w:hAnsi="Times New Roman" w:cs="Times New Roman"/>
          <w:iCs/>
          <w:sz w:val="24"/>
          <w:szCs w:val="24"/>
          <w:lang w:val="sr-Cyrl-CS"/>
        </w:rPr>
        <w:t>тако да гласе</w:t>
      </w:r>
      <w:r w:rsidR="00A12F13" w:rsidRPr="00827818">
        <w:rPr>
          <w:rFonts w:ascii="Times New Roman" w:eastAsia="Times New Roman" w:hAnsi="Times New Roman" w:cs="Times New Roman"/>
          <w:iCs/>
          <w:sz w:val="24"/>
          <w:szCs w:val="24"/>
          <w:lang w:val="sr-Cyrl-CS"/>
        </w:rPr>
        <w:t>: 2023</w:t>
      </w:r>
      <w:r w:rsidR="003222D2" w:rsidRPr="00827818">
        <w:rPr>
          <w:rFonts w:ascii="Times New Roman" w:eastAsia="Times New Roman" w:hAnsi="Times New Roman" w:cs="Times New Roman"/>
          <w:iCs/>
          <w:sz w:val="24"/>
          <w:szCs w:val="24"/>
          <w:lang w:val="sr-Cyrl-CS"/>
        </w:rPr>
        <w:t>:</w:t>
      </w:r>
      <w:r w:rsidR="00B829D3" w:rsidRPr="00827818">
        <w:rPr>
          <w:rFonts w:ascii="Times New Roman" w:eastAsia="Times New Roman" w:hAnsi="Times New Roman" w:cs="Times New Roman"/>
          <w:iCs/>
          <w:sz w:val="24"/>
          <w:szCs w:val="24"/>
          <w:lang w:val="sr-Cyrl-CS"/>
        </w:rPr>
        <w:t xml:space="preserve"> „55”</w:t>
      </w:r>
      <w:r w:rsidR="00AD1C97" w:rsidRPr="00827818">
        <w:rPr>
          <w:rFonts w:ascii="Times New Roman" w:eastAsia="Times New Roman" w:hAnsi="Times New Roman" w:cs="Times New Roman"/>
          <w:iCs/>
          <w:sz w:val="24"/>
          <w:szCs w:val="24"/>
          <w:lang w:val="sr-Cyrl-CS"/>
        </w:rPr>
        <w:t>;</w:t>
      </w:r>
      <w:r w:rsidR="00A12F13" w:rsidRPr="00827818">
        <w:rPr>
          <w:rFonts w:ascii="Times New Roman" w:eastAsia="Times New Roman" w:hAnsi="Times New Roman" w:cs="Times New Roman"/>
          <w:iCs/>
          <w:sz w:val="24"/>
          <w:szCs w:val="24"/>
          <w:lang w:val="sr-Cyrl-CS"/>
        </w:rPr>
        <w:t xml:space="preserve"> 2024</w:t>
      </w:r>
      <w:r w:rsidR="003222D2" w:rsidRPr="00827818">
        <w:rPr>
          <w:rFonts w:ascii="Times New Roman" w:eastAsia="Times New Roman" w:hAnsi="Times New Roman" w:cs="Times New Roman"/>
          <w:iCs/>
          <w:sz w:val="24"/>
          <w:szCs w:val="24"/>
          <w:lang w:val="sr-Cyrl-CS"/>
        </w:rPr>
        <w:t>:</w:t>
      </w:r>
      <w:r w:rsidR="00B829D3" w:rsidRPr="00827818">
        <w:rPr>
          <w:rFonts w:ascii="Times New Roman" w:eastAsia="Times New Roman" w:hAnsi="Times New Roman" w:cs="Times New Roman"/>
          <w:iCs/>
          <w:sz w:val="24"/>
          <w:szCs w:val="24"/>
          <w:lang w:val="sr-Cyrl-CS"/>
        </w:rPr>
        <w:t xml:space="preserve"> „80”</w:t>
      </w:r>
      <w:r w:rsidR="00A12F13" w:rsidRPr="00827818">
        <w:rPr>
          <w:rFonts w:ascii="Times New Roman" w:eastAsia="Times New Roman" w:hAnsi="Times New Roman" w:cs="Times New Roman"/>
          <w:iCs/>
          <w:sz w:val="24"/>
          <w:szCs w:val="24"/>
          <w:lang w:val="sr-Cyrl-CS"/>
        </w:rPr>
        <w:t xml:space="preserve"> и 2025</w:t>
      </w:r>
      <w:r w:rsidR="003222D2" w:rsidRPr="00827818">
        <w:rPr>
          <w:rFonts w:ascii="Times New Roman" w:eastAsia="Times New Roman" w:hAnsi="Times New Roman" w:cs="Times New Roman"/>
          <w:iCs/>
          <w:sz w:val="24"/>
          <w:szCs w:val="24"/>
          <w:lang w:val="sr-Cyrl-CS"/>
        </w:rPr>
        <w:t>:</w:t>
      </w:r>
      <w:r w:rsidR="00B93769" w:rsidRPr="00827818">
        <w:rPr>
          <w:rFonts w:ascii="Times New Roman" w:eastAsia="Times New Roman" w:hAnsi="Times New Roman" w:cs="Times New Roman"/>
          <w:iCs/>
          <w:sz w:val="24"/>
          <w:szCs w:val="24"/>
          <w:lang w:val="sr-Cyrl-CS"/>
        </w:rPr>
        <w:t xml:space="preserve"> „</w:t>
      </w:r>
      <w:r w:rsidR="00AD1C97" w:rsidRPr="00827818">
        <w:rPr>
          <w:rFonts w:ascii="Times New Roman" w:eastAsia="Times New Roman" w:hAnsi="Times New Roman" w:cs="Times New Roman"/>
          <w:iCs/>
          <w:sz w:val="24"/>
          <w:szCs w:val="24"/>
          <w:lang w:val="sr-Cyrl-CS"/>
        </w:rPr>
        <w:t>85</w:t>
      </w:r>
      <w:r w:rsidR="00E65243" w:rsidRPr="00827818">
        <w:rPr>
          <w:rFonts w:ascii="Times New Roman" w:eastAsia="Times New Roman" w:hAnsi="Times New Roman" w:cs="Times New Roman"/>
          <w:iCs/>
          <w:sz w:val="24"/>
          <w:szCs w:val="24"/>
          <w:lang w:val="sr-Cyrl-CS"/>
        </w:rPr>
        <w:t>ˮ</w:t>
      </w:r>
      <w:r w:rsidR="00AD1C97" w:rsidRPr="00827818">
        <w:rPr>
          <w:rFonts w:ascii="Times New Roman" w:eastAsia="Times New Roman" w:hAnsi="Times New Roman" w:cs="Times New Roman"/>
          <w:iCs/>
          <w:sz w:val="24"/>
          <w:szCs w:val="24"/>
          <w:lang w:val="sr-Cyrl-CS"/>
        </w:rPr>
        <w:t>.</w:t>
      </w:r>
      <w:r w:rsidR="00AA1F13" w:rsidRPr="00827818">
        <w:rPr>
          <w:rFonts w:ascii="Times New Roman" w:eastAsia="Times New Roman" w:hAnsi="Times New Roman" w:cs="Times New Roman"/>
          <w:iCs/>
          <w:sz w:val="24"/>
          <w:szCs w:val="24"/>
          <w:lang w:val="sr-Cyrl-CS"/>
        </w:rPr>
        <w:t xml:space="preserve"> </w:t>
      </w:r>
    </w:p>
    <w:p w:rsidR="00A12F13" w:rsidRPr="00827818" w:rsidRDefault="002D1889" w:rsidP="00647F91">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4</w:t>
      </w:r>
      <w:r w:rsidRPr="00827818">
        <w:rPr>
          <w:rFonts w:ascii="Times New Roman" w:eastAsia="Times New Roman" w:hAnsi="Times New Roman" w:cs="Times New Roman"/>
          <w:iCs/>
          <w:sz w:val="24"/>
          <w:szCs w:val="24"/>
          <w:lang w:val="sr-Cyrl-CS"/>
        </w:rPr>
        <w:t xml:space="preserve">. </w:t>
      </w:r>
      <w:r w:rsidR="0044792C" w:rsidRPr="00827818">
        <w:rPr>
          <w:rFonts w:ascii="Times New Roman" w:eastAsia="Times New Roman" w:hAnsi="Times New Roman" w:cs="Times New Roman"/>
          <w:iCs/>
          <w:sz w:val="24"/>
          <w:szCs w:val="24"/>
          <w:lang w:val="sr-Cyrl-CS"/>
        </w:rPr>
        <w:t xml:space="preserve">У </w:t>
      </w:r>
      <w:r w:rsidR="00647F91" w:rsidRPr="00827818">
        <w:rPr>
          <w:rFonts w:ascii="Times New Roman" w:eastAsia="Times New Roman" w:hAnsi="Times New Roman" w:cs="Times New Roman"/>
          <w:iCs/>
          <w:sz w:val="24"/>
          <w:szCs w:val="24"/>
          <w:lang w:val="sr-Cyrl-CS"/>
        </w:rPr>
        <w:t>Мери 3.3 Повећање ефикасности и ефективности инспекцијске контроле</w:t>
      </w:r>
      <w:r w:rsidR="00AD1C97" w:rsidRPr="00827818">
        <w:rPr>
          <w:rFonts w:ascii="Times New Roman" w:eastAsia="Times New Roman" w:hAnsi="Times New Roman" w:cs="Times New Roman"/>
          <w:iCs/>
          <w:sz w:val="24"/>
          <w:szCs w:val="24"/>
          <w:lang w:val="sr-Cyrl-CS"/>
        </w:rPr>
        <w:t xml:space="preserve">, </w:t>
      </w:r>
      <w:r w:rsidR="00647F91" w:rsidRPr="00827818">
        <w:rPr>
          <w:rFonts w:ascii="Times New Roman" w:eastAsia="Times New Roman" w:hAnsi="Times New Roman" w:cs="Times New Roman"/>
          <w:iCs/>
          <w:sz w:val="24"/>
          <w:szCs w:val="24"/>
          <w:lang w:val="sr-Cyrl-CS"/>
        </w:rPr>
        <w:t xml:space="preserve">за </w:t>
      </w:r>
      <w:r w:rsidR="00AD1C97" w:rsidRPr="00827818">
        <w:rPr>
          <w:rFonts w:ascii="Times New Roman" w:eastAsia="Times New Roman" w:hAnsi="Times New Roman" w:cs="Times New Roman"/>
          <w:iCs/>
          <w:sz w:val="24"/>
          <w:szCs w:val="24"/>
          <w:lang w:val="sr-Cyrl-CS"/>
        </w:rPr>
        <w:t>показатељ „</w:t>
      </w:r>
      <w:r w:rsidR="00A12F13" w:rsidRPr="00827818">
        <w:rPr>
          <w:rFonts w:ascii="Times New Roman" w:eastAsia="Times New Roman" w:hAnsi="Times New Roman" w:cs="Times New Roman"/>
          <w:iCs/>
          <w:sz w:val="24"/>
          <w:szCs w:val="24"/>
          <w:lang w:val="sr-Cyrl-CS"/>
        </w:rPr>
        <w:t xml:space="preserve">Проценат планираних контрола у односу на број примљених представки, </w:t>
      </w:r>
      <w:r w:rsidR="00A12F13" w:rsidRPr="00827818">
        <w:rPr>
          <w:rFonts w:ascii="Times New Roman" w:eastAsia="Times New Roman" w:hAnsi="Times New Roman" w:cs="Times New Roman"/>
          <w:iCs/>
          <w:sz w:val="24"/>
          <w:szCs w:val="24"/>
          <w:lang w:val="sr-Cyrl-CS"/>
        </w:rPr>
        <w:lastRenderedPageBreak/>
        <w:t>пријава и захтева за контролу</w:t>
      </w:r>
      <w:r w:rsidR="00E65243" w:rsidRPr="00827818">
        <w:rPr>
          <w:rFonts w:ascii="Times New Roman" w:eastAsia="Times New Roman" w:hAnsi="Times New Roman" w:cs="Times New Roman"/>
          <w:iCs/>
          <w:sz w:val="24"/>
          <w:szCs w:val="24"/>
          <w:lang w:val="sr-Cyrl-CS"/>
        </w:rPr>
        <w:t>ˮ</w:t>
      </w:r>
      <w:r w:rsidR="00A12F13" w:rsidRPr="00827818">
        <w:rPr>
          <w:rFonts w:ascii="Times New Roman" w:eastAsia="Times New Roman" w:hAnsi="Times New Roman" w:cs="Times New Roman"/>
          <w:iCs/>
          <w:sz w:val="24"/>
          <w:szCs w:val="24"/>
          <w:lang w:val="sr-Cyrl-CS"/>
        </w:rPr>
        <w:t xml:space="preserve"> мењају се </w:t>
      </w:r>
      <w:r w:rsidR="00AD1C97" w:rsidRPr="00827818">
        <w:rPr>
          <w:rFonts w:ascii="Times New Roman" w:eastAsia="Times New Roman" w:hAnsi="Times New Roman" w:cs="Times New Roman"/>
          <w:iCs/>
          <w:sz w:val="24"/>
          <w:szCs w:val="24"/>
          <w:lang w:val="sr-Cyrl-CS"/>
        </w:rPr>
        <w:t xml:space="preserve">циљане </w:t>
      </w:r>
      <w:r w:rsidR="00A12F13" w:rsidRPr="00827818">
        <w:rPr>
          <w:rFonts w:ascii="Times New Roman" w:eastAsia="Times New Roman" w:hAnsi="Times New Roman" w:cs="Times New Roman"/>
          <w:iCs/>
          <w:sz w:val="24"/>
          <w:szCs w:val="24"/>
          <w:lang w:val="sr-Cyrl-CS"/>
        </w:rPr>
        <w:t xml:space="preserve">вредности </w:t>
      </w:r>
      <w:r w:rsidR="00AD1C97" w:rsidRPr="00827818">
        <w:rPr>
          <w:rFonts w:ascii="Times New Roman" w:eastAsia="Times New Roman" w:hAnsi="Times New Roman" w:cs="Times New Roman"/>
          <w:iCs/>
          <w:sz w:val="24"/>
          <w:szCs w:val="24"/>
          <w:lang w:val="sr-Cyrl-CS"/>
        </w:rPr>
        <w:t>тако да гласе</w:t>
      </w:r>
      <w:r w:rsidR="00A12F13" w:rsidRPr="00827818">
        <w:rPr>
          <w:rFonts w:ascii="Times New Roman" w:eastAsia="Times New Roman" w:hAnsi="Times New Roman" w:cs="Times New Roman"/>
          <w:iCs/>
          <w:sz w:val="24"/>
          <w:szCs w:val="24"/>
          <w:lang w:val="sr-Cyrl-CS"/>
        </w:rPr>
        <w:t xml:space="preserve">: </w:t>
      </w:r>
      <w:r w:rsidR="003D5EF3" w:rsidRPr="00827818">
        <w:rPr>
          <w:rFonts w:ascii="Times New Roman" w:eastAsia="Times New Roman" w:hAnsi="Times New Roman" w:cs="Times New Roman"/>
          <w:iCs/>
          <w:sz w:val="24"/>
          <w:szCs w:val="24"/>
          <w:lang w:val="sr-Cyrl-CS"/>
        </w:rPr>
        <w:t>2024</w:t>
      </w:r>
      <w:r w:rsidR="009D33F2" w:rsidRPr="00827818">
        <w:rPr>
          <w:rFonts w:ascii="Times New Roman" w:eastAsia="Times New Roman" w:hAnsi="Times New Roman" w:cs="Times New Roman"/>
          <w:iCs/>
          <w:sz w:val="24"/>
          <w:szCs w:val="24"/>
          <w:lang w:val="sr-Cyrl-CS"/>
        </w:rPr>
        <w:t>:</w:t>
      </w:r>
      <w:r w:rsidR="003D5EF3" w:rsidRPr="00827818">
        <w:rPr>
          <w:rFonts w:ascii="Times New Roman" w:eastAsia="Times New Roman" w:hAnsi="Times New Roman" w:cs="Times New Roman"/>
          <w:iCs/>
          <w:sz w:val="24"/>
          <w:szCs w:val="24"/>
          <w:lang w:val="sr-Cyrl-CS"/>
        </w:rPr>
        <w:t xml:space="preserve"> „</w:t>
      </w:r>
      <w:r w:rsidR="00A12F13" w:rsidRPr="00827818">
        <w:rPr>
          <w:rFonts w:ascii="Times New Roman" w:eastAsia="Times New Roman" w:hAnsi="Times New Roman" w:cs="Times New Roman"/>
          <w:iCs/>
          <w:sz w:val="24"/>
          <w:szCs w:val="24"/>
          <w:lang w:val="sr-Cyrl-CS"/>
        </w:rPr>
        <w:t>30%</w:t>
      </w:r>
      <w:r w:rsidR="00B829D3" w:rsidRPr="00827818">
        <w:rPr>
          <w:rFonts w:ascii="Times New Roman" w:eastAsia="Times New Roman" w:hAnsi="Times New Roman" w:cs="Times New Roman"/>
          <w:iCs/>
          <w:sz w:val="24"/>
          <w:szCs w:val="24"/>
          <w:lang w:val="sr-Cyrl-CS"/>
        </w:rPr>
        <w:t>”</w:t>
      </w:r>
      <w:r w:rsidR="00C945A8" w:rsidRPr="00827818">
        <w:rPr>
          <w:rFonts w:ascii="Times New Roman" w:eastAsia="Times New Roman" w:hAnsi="Times New Roman" w:cs="Times New Roman"/>
          <w:iCs/>
          <w:sz w:val="24"/>
          <w:szCs w:val="24"/>
          <w:lang w:val="sr-Cyrl-CS"/>
        </w:rPr>
        <w:t xml:space="preserve"> </w:t>
      </w:r>
      <w:r w:rsidR="00B829D3" w:rsidRPr="00827818">
        <w:rPr>
          <w:rFonts w:ascii="Times New Roman" w:eastAsia="Times New Roman" w:hAnsi="Times New Roman" w:cs="Times New Roman"/>
          <w:iCs/>
          <w:sz w:val="24"/>
          <w:szCs w:val="24"/>
          <w:lang w:val="sr-Cyrl-CS"/>
        </w:rPr>
        <w:t xml:space="preserve">и </w:t>
      </w:r>
      <w:r w:rsidR="003D5EF3" w:rsidRPr="00827818">
        <w:rPr>
          <w:rFonts w:ascii="Times New Roman" w:eastAsia="Times New Roman" w:hAnsi="Times New Roman" w:cs="Times New Roman"/>
          <w:iCs/>
          <w:sz w:val="24"/>
          <w:szCs w:val="24"/>
          <w:lang w:val="sr-Cyrl-CS"/>
        </w:rPr>
        <w:t>2025</w:t>
      </w:r>
      <w:r w:rsidR="009D33F2" w:rsidRPr="00827818">
        <w:rPr>
          <w:rFonts w:ascii="Times New Roman" w:eastAsia="Times New Roman" w:hAnsi="Times New Roman" w:cs="Times New Roman"/>
          <w:iCs/>
          <w:sz w:val="24"/>
          <w:szCs w:val="24"/>
          <w:lang w:val="sr-Cyrl-CS"/>
        </w:rPr>
        <w:t>:</w:t>
      </w:r>
      <w:r w:rsidR="003D5EF3" w:rsidRPr="00827818">
        <w:rPr>
          <w:rFonts w:ascii="Times New Roman" w:eastAsia="Times New Roman" w:hAnsi="Times New Roman" w:cs="Times New Roman"/>
          <w:iCs/>
          <w:sz w:val="24"/>
          <w:szCs w:val="24"/>
          <w:lang w:val="sr-Cyrl-CS"/>
        </w:rPr>
        <w:t xml:space="preserve"> „</w:t>
      </w:r>
      <w:r w:rsidR="00A12F13" w:rsidRPr="00827818">
        <w:rPr>
          <w:rFonts w:ascii="Times New Roman" w:eastAsia="Times New Roman" w:hAnsi="Times New Roman" w:cs="Times New Roman"/>
          <w:iCs/>
          <w:sz w:val="24"/>
          <w:szCs w:val="24"/>
          <w:lang w:val="sr-Cyrl-CS"/>
        </w:rPr>
        <w:t>33%</w:t>
      </w:r>
      <w:r w:rsidR="00E65243" w:rsidRPr="00827818">
        <w:rPr>
          <w:rFonts w:ascii="Times New Roman" w:eastAsia="Times New Roman" w:hAnsi="Times New Roman" w:cs="Times New Roman"/>
          <w:iCs/>
          <w:sz w:val="24"/>
          <w:szCs w:val="24"/>
          <w:lang w:val="sr-Cyrl-CS"/>
        </w:rPr>
        <w:t>ˮ</w:t>
      </w:r>
      <w:r w:rsidR="00A92E4A" w:rsidRPr="00827818">
        <w:rPr>
          <w:rFonts w:ascii="Times New Roman" w:eastAsia="Times New Roman" w:hAnsi="Times New Roman" w:cs="Times New Roman"/>
          <w:iCs/>
          <w:sz w:val="24"/>
          <w:szCs w:val="24"/>
          <w:lang w:val="sr-Cyrl-CS"/>
        </w:rPr>
        <w:t>.</w:t>
      </w:r>
      <w:r w:rsidR="00A12F13" w:rsidRPr="00827818">
        <w:rPr>
          <w:rFonts w:ascii="Times New Roman" w:eastAsia="Times New Roman" w:hAnsi="Times New Roman" w:cs="Times New Roman"/>
          <w:iCs/>
          <w:sz w:val="24"/>
          <w:szCs w:val="24"/>
          <w:lang w:val="sr-Cyrl-CS"/>
        </w:rPr>
        <w:t xml:space="preserve"> </w:t>
      </w:r>
    </w:p>
    <w:p w:rsidR="00F90262" w:rsidRPr="00827818" w:rsidRDefault="00056CA5" w:rsidP="00056CA5">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5</w:t>
      </w:r>
      <w:r w:rsidRPr="00827818">
        <w:rPr>
          <w:rFonts w:ascii="Times New Roman" w:eastAsia="Times New Roman" w:hAnsi="Times New Roman" w:cs="Times New Roman"/>
          <w:iCs/>
          <w:sz w:val="24"/>
          <w:szCs w:val="24"/>
          <w:lang w:val="sr-Cyrl-CS"/>
        </w:rPr>
        <w:t>. У</w:t>
      </w:r>
      <w:r w:rsidR="00F90262" w:rsidRPr="00827818">
        <w:rPr>
          <w:rFonts w:ascii="Times New Roman" w:eastAsia="Times New Roman" w:hAnsi="Times New Roman" w:cs="Times New Roman"/>
          <w:iCs/>
          <w:sz w:val="24"/>
          <w:szCs w:val="24"/>
          <w:lang w:val="sr-Cyrl-CS"/>
        </w:rPr>
        <w:t xml:space="preserve"> оквиру пасоша </w:t>
      </w:r>
      <w:r w:rsidR="00E5154A" w:rsidRPr="00827818">
        <w:rPr>
          <w:rFonts w:ascii="Times New Roman" w:eastAsia="Times New Roman" w:hAnsi="Times New Roman" w:cs="Times New Roman"/>
          <w:iCs/>
          <w:sz w:val="24"/>
          <w:szCs w:val="24"/>
          <w:lang w:val="sr-Cyrl-CS"/>
        </w:rPr>
        <w:t xml:space="preserve">показатеља </w:t>
      </w:r>
      <w:r w:rsidR="00EF49C7" w:rsidRPr="00827818">
        <w:rPr>
          <w:rFonts w:ascii="Times New Roman" w:eastAsia="Times New Roman" w:hAnsi="Times New Roman" w:cs="Times New Roman"/>
          <w:iCs/>
          <w:sz w:val="24"/>
          <w:szCs w:val="24"/>
          <w:lang w:val="sr-Cyrl-CS"/>
        </w:rPr>
        <w:t>за М</w:t>
      </w:r>
      <w:r w:rsidR="00F90262" w:rsidRPr="00827818">
        <w:rPr>
          <w:rFonts w:ascii="Times New Roman" w:eastAsia="Times New Roman" w:hAnsi="Times New Roman" w:cs="Times New Roman"/>
          <w:iCs/>
          <w:sz w:val="24"/>
          <w:szCs w:val="24"/>
          <w:lang w:val="sr-Cyrl-CS"/>
        </w:rPr>
        <w:t>еру 4.2, показатељ „СИГМА показатељ функционисања  интерне ревизије</w:t>
      </w:r>
      <w:r w:rsidR="00B829D3" w:rsidRPr="00827818">
        <w:rPr>
          <w:rFonts w:ascii="Times New Roman" w:eastAsia="Times New Roman" w:hAnsi="Times New Roman" w:cs="Times New Roman"/>
          <w:iCs/>
          <w:sz w:val="24"/>
          <w:szCs w:val="24"/>
          <w:lang w:val="sr-Cyrl-CS"/>
        </w:rPr>
        <w:t>ˮ</w:t>
      </w:r>
      <w:r w:rsidR="00F90262" w:rsidRPr="00827818">
        <w:rPr>
          <w:rFonts w:ascii="Times New Roman" w:eastAsia="Times New Roman" w:hAnsi="Times New Roman" w:cs="Times New Roman"/>
          <w:iCs/>
          <w:sz w:val="24"/>
          <w:szCs w:val="24"/>
          <w:lang w:val="sr-Cyrl-CS"/>
        </w:rPr>
        <w:t xml:space="preserve"> мења се </w:t>
      </w:r>
      <w:r w:rsidRPr="00827818">
        <w:rPr>
          <w:rFonts w:ascii="Times New Roman" w:eastAsia="Times New Roman" w:hAnsi="Times New Roman" w:cs="Times New Roman"/>
          <w:iCs/>
          <w:sz w:val="24"/>
          <w:szCs w:val="24"/>
          <w:lang w:val="sr-Cyrl-CS"/>
        </w:rPr>
        <w:t>и</w:t>
      </w:r>
      <w:r w:rsidR="00B829D3" w:rsidRPr="00827818">
        <w:rPr>
          <w:rFonts w:ascii="Times New Roman" w:eastAsia="Times New Roman" w:hAnsi="Times New Roman" w:cs="Times New Roman"/>
          <w:iCs/>
          <w:sz w:val="24"/>
          <w:szCs w:val="24"/>
          <w:lang w:val="sr-Cyrl-CS"/>
        </w:rPr>
        <w:t xml:space="preserve"> гласи: „</w:t>
      </w:r>
      <w:r w:rsidR="00F90262" w:rsidRPr="00827818">
        <w:rPr>
          <w:rFonts w:ascii="Times New Roman" w:eastAsia="Times New Roman" w:hAnsi="Times New Roman" w:cs="Times New Roman"/>
          <w:iCs/>
          <w:sz w:val="24"/>
          <w:szCs w:val="24"/>
          <w:lang w:val="sr-Cyrl-CS"/>
        </w:rPr>
        <w:t>Број екстерних оцена квалитета рада јединица за интерну ревизију у оквиру институција корисника јавних средстава са постепеним растом броја колегијалних прегледа у оквиру укупног броја прегледа</w:t>
      </w:r>
      <w:r w:rsidR="00B829D3" w:rsidRPr="00827818">
        <w:rPr>
          <w:rFonts w:ascii="Times New Roman" w:eastAsia="Times New Roman" w:hAnsi="Times New Roman" w:cs="Times New Roman"/>
          <w:iCs/>
          <w:sz w:val="24"/>
          <w:szCs w:val="24"/>
          <w:lang w:val="sr-Cyrl-CS"/>
        </w:rPr>
        <w:t>ˮ</w:t>
      </w:r>
      <w:r w:rsidR="00F90262" w:rsidRPr="00827818">
        <w:rPr>
          <w:rFonts w:ascii="Times New Roman" w:eastAsia="Times New Roman" w:hAnsi="Times New Roman" w:cs="Times New Roman"/>
          <w:iCs/>
          <w:sz w:val="24"/>
          <w:szCs w:val="24"/>
          <w:lang w:val="sr-Cyrl-CS"/>
        </w:rPr>
        <w:t>.</w:t>
      </w:r>
      <w:r w:rsidR="00F90262" w:rsidRPr="00827818">
        <w:rPr>
          <w:lang w:val="sr-Cyrl-CS"/>
        </w:rPr>
        <w:t xml:space="preserve"> </w:t>
      </w:r>
      <w:r w:rsidR="00F90262" w:rsidRPr="00827818">
        <w:rPr>
          <w:rFonts w:ascii="Times New Roman" w:eastAsia="Times New Roman" w:hAnsi="Times New Roman" w:cs="Times New Roman"/>
          <w:iCs/>
          <w:sz w:val="24"/>
          <w:szCs w:val="24"/>
          <w:lang w:val="sr-Cyrl-CS"/>
        </w:rPr>
        <w:t xml:space="preserve">Тип и ниво показатеља у пасошу индикатора </w:t>
      </w:r>
      <w:r w:rsidR="00B829D3" w:rsidRPr="00827818">
        <w:rPr>
          <w:rFonts w:ascii="Times New Roman" w:eastAsia="Times New Roman" w:hAnsi="Times New Roman" w:cs="Times New Roman"/>
          <w:iCs/>
          <w:sz w:val="24"/>
          <w:szCs w:val="24"/>
          <w:lang w:val="sr-Cyrl-CS"/>
        </w:rPr>
        <w:t>се мења и гласи: „Квантитативниˮ</w:t>
      </w:r>
      <w:r w:rsidR="00F90262" w:rsidRPr="00827818">
        <w:rPr>
          <w:rFonts w:ascii="Times New Roman" w:eastAsia="Times New Roman" w:hAnsi="Times New Roman" w:cs="Times New Roman"/>
          <w:iCs/>
          <w:sz w:val="24"/>
          <w:szCs w:val="24"/>
          <w:lang w:val="sr-Cyrl-CS"/>
        </w:rPr>
        <w:t>. У</w:t>
      </w:r>
      <w:r w:rsidR="00B829D3" w:rsidRPr="00827818">
        <w:rPr>
          <w:rFonts w:ascii="Times New Roman" w:eastAsia="Times New Roman" w:hAnsi="Times New Roman" w:cs="Times New Roman"/>
          <w:iCs/>
          <w:sz w:val="24"/>
          <w:szCs w:val="24"/>
          <w:lang w:val="sr-Cyrl-CS"/>
        </w:rPr>
        <w:t>честалост прикупљања података</w:t>
      </w:r>
      <w:r w:rsidR="00F90262" w:rsidRPr="00827818">
        <w:rPr>
          <w:rFonts w:ascii="Times New Roman" w:eastAsia="Times New Roman" w:hAnsi="Times New Roman" w:cs="Times New Roman"/>
          <w:iCs/>
          <w:sz w:val="24"/>
          <w:szCs w:val="24"/>
          <w:lang w:val="sr-Cyrl-CS"/>
        </w:rPr>
        <w:t xml:space="preserve"> мења</w:t>
      </w:r>
      <w:r w:rsidR="00B829D3" w:rsidRPr="00827818">
        <w:rPr>
          <w:rFonts w:ascii="Times New Roman" w:eastAsia="Times New Roman" w:hAnsi="Times New Roman" w:cs="Times New Roman"/>
          <w:iCs/>
          <w:sz w:val="24"/>
          <w:szCs w:val="24"/>
          <w:lang w:val="sr-Cyrl-CS"/>
        </w:rPr>
        <w:t xml:space="preserve"> се</w:t>
      </w:r>
      <w:r w:rsidR="00F90262" w:rsidRPr="00827818">
        <w:rPr>
          <w:rFonts w:ascii="Times New Roman" w:eastAsia="Times New Roman" w:hAnsi="Times New Roman" w:cs="Times New Roman"/>
          <w:iCs/>
          <w:sz w:val="24"/>
          <w:szCs w:val="24"/>
          <w:lang w:val="sr-Cyrl-CS"/>
        </w:rPr>
        <w:t xml:space="preserve"> и гласи: „Једном годишње из Извешт</w:t>
      </w:r>
      <w:r w:rsidR="00B829D3" w:rsidRPr="00827818">
        <w:rPr>
          <w:rFonts w:ascii="Times New Roman" w:eastAsia="Times New Roman" w:hAnsi="Times New Roman" w:cs="Times New Roman"/>
          <w:iCs/>
          <w:sz w:val="24"/>
          <w:szCs w:val="24"/>
          <w:lang w:val="sr-Cyrl-CS"/>
        </w:rPr>
        <w:t>аја о екстерној оцени квалитетаˮ</w:t>
      </w:r>
      <w:r w:rsidR="0013058D" w:rsidRPr="00827818">
        <w:rPr>
          <w:rFonts w:ascii="Times New Roman" w:eastAsia="Times New Roman" w:hAnsi="Times New Roman" w:cs="Times New Roman"/>
          <w:iCs/>
          <w:sz w:val="24"/>
          <w:szCs w:val="24"/>
          <w:lang w:val="sr-Cyrl-CS"/>
        </w:rPr>
        <w:t>.</w:t>
      </w:r>
      <w:r w:rsidR="00F90262" w:rsidRPr="00827818">
        <w:rPr>
          <w:rFonts w:ascii="Times New Roman" w:eastAsia="Times New Roman" w:hAnsi="Times New Roman" w:cs="Times New Roman"/>
          <w:iCs/>
          <w:sz w:val="24"/>
          <w:szCs w:val="24"/>
          <w:lang w:val="sr-Cyrl-CS"/>
        </w:rPr>
        <w:t xml:space="preserve"> Кратак опис показатеља и методологије израчунавања </w:t>
      </w:r>
      <w:r w:rsidR="00B829D3" w:rsidRPr="00827818">
        <w:rPr>
          <w:rFonts w:ascii="Times New Roman" w:eastAsia="Times New Roman" w:hAnsi="Times New Roman" w:cs="Times New Roman"/>
          <w:iCs/>
          <w:sz w:val="24"/>
          <w:szCs w:val="24"/>
          <w:lang w:val="sr-Cyrl-CS"/>
        </w:rPr>
        <w:t>(формуле/једначине)</w:t>
      </w:r>
      <w:r w:rsidR="00F90262" w:rsidRPr="00827818">
        <w:rPr>
          <w:rFonts w:ascii="Times New Roman" w:eastAsia="Times New Roman" w:hAnsi="Times New Roman" w:cs="Times New Roman"/>
          <w:iCs/>
          <w:sz w:val="24"/>
          <w:szCs w:val="24"/>
          <w:lang w:val="sr-Cyrl-CS"/>
        </w:rPr>
        <w:t xml:space="preserve"> мења</w:t>
      </w:r>
      <w:r w:rsidR="00B829D3" w:rsidRPr="00827818">
        <w:rPr>
          <w:rFonts w:ascii="Times New Roman" w:eastAsia="Times New Roman" w:hAnsi="Times New Roman" w:cs="Times New Roman"/>
          <w:iCs/>
          <w:sz w:val="24"/>
          <w:szCs w:val="24"/>
          <w:lang w:val="sr-Cyrl-CS"/>
        </w:rPr>
        <w:t xml:space="preserve"> се</w:t>
      </w:r>
      <w:r w:rsidR="00F90262" w:rsidRPr="00827818">
        <w:rPr>
          <w:rFonts w:ascii="Times New Roman" w:eastAsia="Times New Roman" w:hAnsi="Times New Roman" w:cs="Times New Roman"/>
          <w:iCs/>
          <w:sz w:val="24"/>
          <w:szCs w:val="24"/>
          <w:lang w:val="sr-Cyrl-CS"/>
        </w:rPr>
        <w:t xml:space="preserve"> и гласи: „Показатељ указује на број екстерних оцена квалитета</w:t>
      </w:r>
      <w:r w:rsidR="00B829D3" w:rsidRPr="00827818">
        <w:rPr>
          <w:rFonts w:ascii="Times New Roman" w:eastAsia="Times New Roman" w:hAnsi="Times New Roman" w:cs="Times New Roman"/>
          <w:iCs/>
          <w:sz w:val="24"/>
          <w:szCs w:val="24"/>
          <w:lang w:val="sr-Cyrl-CS"/>
        </w:rPr>
        <w:t xml:space="preserve"> рада јединица интерне ревизијеˮ</w:t>
      </w:r>
      <w:r w:rsidR="00F90262" w:rsidRPr="00827818">
        <w:rPr>
          <w:rFonts w:ascii="Times New Roman" w:eastAsia="Times New Roman" w:hAnsi="Times New Roman" w:cs="Times New Roman"/>
          <w:iCs/>
          <w:sz w:val="24"/>
          <w:szCs w:val="24"/>
          <w:lang w:val="sr-Cyrl-CS"/>
        </w:rPr>
        <w:t>. По</w:t>
      </w:r>
      <w:r w:rsidR="0013058D" w:rsidRPr="00827818">
        <w:rPr>
          <w:rFonts w:ascii="Times New Roman" w:eastAsia="Times New Roman" w:hAnsi="Times New Roman" w:cs="Times New Roman"/>
          <w:iCs/>
          <w:sz w:val="24"/>
          <w:szCs w:val="24"/>
          <w:lang w:val="sr-Cyrl-CS"/>
        </w:rPr>
        <w:t>четна</w:t>
      </w:r>
      <w:r w:rsidR="00B829D3" w:rsidRPr="00827818">
        <w:rPr>
          <w:rFonts w:ascii="Times New Roman" w:eastAsia="Times New Roman" w:hAnsi="Times New Roman" w:cs="Times New Roman"/>
          <w:iCs/>
          <w:sz w:val="24"/>
          <w:szCs w:val="24"/>
          <w:lang w:val="sr-Cyrl-CS"/>
        </w:rPr>
        <w:t xml:space="preserve"> вредност и година</w:t>
      </w:r>
      <w:r w:rsidR="00F90262" w:rsidRPr="00827818">
        <w:rPr>
          <w:rFonts w:ascii="Times New Roman" w:eastAsia="Times New Roman" w:hAnsi="Times New Roman" w:cs="Times New Roman"/>
          <w:iCs/>
          <w:sz w:val="24"/>
          <w:szCs w:val="24"/>
          <w:lang w:val="sr-Cyrl-CS"/>
        </w:rPr>
        <w:t xml:space="preserve"> мења</w:t>
      </w:r>
      <w:r w:rsidR="0013058D" w:rsidRPr="00827818">
        <w:rPr>
          <w:rFonts w:ascii="Times New Roman" w:eastAsia="Times New Roman" w:hAnsi="Times New Roman" w:cs="Times New Roman"/>
          <w:iCs/>
          <w:sz w:val="24"/>
          <w:szCs w:val="24"/>
          <w:lang w:val="sr-Cyrl-CS"/>
        </w:rPr>
        <w:t>ју</w:t>
      </w:r>
      <w:r w:rsidR="00B829D3" w:rsidRPr="00827818">
        <w:rPr>
          <w:rFonts w:ascii="Times New Roman" w:eastAsia="Times New Roman" w:hAnsi="Times New Roman" w:cs="Times New Roman"/>
          <w:iCs/>
          <w:sz w:val="24"/>
          <w:szCs w:val="24"/>
          <w:lang w:val="sr-Cyrl-CS"/>
        </w:rPr>
        <w:t xml:space="preserve"> се</w:t>
      </w:r>
      <w:r w:rsidR="0013058D" w:rsidRPr="00827818">
        <w:rPr>
          <w:rFonts w:ascii="Times New Roman" w:eastAsia="Times New Roman" w:hAnsi="Times New Roman" w:cs="Times New Roman"/>
          <w:iCs/>
          <w:sz w:val="24"/>
          <w:szCs w:val="24"/>
          <w:lang w:val="sr-Cyrl-CS"/>
        </w:rPr>
        <w:t xml:space="preserve"> и гласе</w:t>
      </w:r>
      <w:r w:rsidR="00F90262" w:rsidRPr="00827818">
        <w:rPr>
          <w:rFonts w:ascii="Times New Roman" w:eastAsia="Times New Roman" w:hAnsi="Times New Roman" w:cs="Times New Roman"/>
          <w:iCs/>
          <w:sz w:val="24"/>
          <w:szCs w:val="24"/>
          <w:lang w:val="sr-Cyrl-CS"/>
        </w:rPr>
        <w:t>: „</w:t>
      </w:r>
      <w:r w:rsidR="0013058D" w:rsidRPr="00827818">
        <w:rPr>
          <w:rFonts w:ascii="Times New Roman" w:eastAsia="Times New Roman" w:hAnsi="Times New Roman" w:cs="Times New Roman"/>
          <w:iCs/>
          <w:sz w:val="24"/>
          <w:szCs w:val="24"/>
          <w:lang w:val="sr-Cyrl-CS"/>
        </w:rPr>
        <w:t xml:space="preserve">за 2021. годину вредност је </w:t>
      </w:r>
      <w:r w:rsidR="00B829D3" w:rsidRPr="00827818">
        <w:rPr>
          <w:rFonts w:ascii="Times New Roman" w:eastAsia="Times New Roman" w:hAnsi="Times New Roman" w:cs="Times New Roman"/>
          <w:iCs/>
          <w:sz w:val="24"/>
          <w:szCs w:val="24"/>
          <w:lang w:val="sr-Cyrl-CS"/>
        </w:rPr>
        <w:t>„</w:t>
      </w:r>
      <w:r w:rsidR="0013058D" w:rsidRPr="00827818">
        <w:rPr>
          <w:rFonts w:ascii="Times New Roman" w:eastAsia="Times New Roman" w:hAnsi="Times New Roman" w:cs="Times New Roman"/>
          <w:iCs/>
          <w:sz w:val="24"/>
          <w:szCs w:val="24"/>
          <w:lang w:val="sr-Cyrl-CS"/>
        </w:rPr>
        <w:t>8</w:t>
      </w:r>
      <w:r w:rsidR="00B829D3" w:rsidRPr="00827818">
        <w:rPr>
          <w:rFonts w:ascii="Times New Roman" w:eastAsia="Times New Roman" w:hAnsi="Times New Roman" w:cs="Times New Roman"/>
          <w:iCs/>
          <w:sz w:val="24"/>
          <w:szCs w:val="24"/>
          <w:lang w:val="sr-Cyrl-CS"/>
        </w:rPr>
        <w:t>ˮ</w:t>
      </w:r>
      <w:r w:rsidR="00F90262" w:rsidRPr="00827818">
        <w:rPr>
          <w:rFonts w:ascii="Times New Roman" w:eastAsia="Times New Roman" w:hAnsi="Times New Roman" w:cs="Times New Roman"/>
          <w:iCs/>
          <w:sz w:val="24"/>
          <w:szCs w:val="24"/>
          <w:lang w:val="sr-Cyrl-CS"/>
        </w:rPr>
        <w:t>.</w:t>
      </w:r>
      <w:r w:rsidR="00B829D3" w:rsidRPr="00827818">
        <w:rPr>
          <w:rFonts w:ascii="Times New Roman" w:eastAsia="Times New Roman" w:hAnsi="Times New Roman" w:cs="Times New Roman"/>
          <w:iCs/>
          <w:sz w:val="24"/>
          <w:szCs w:val="24"/>
          <w:lang w:val="sr-Cyrl-CS"/>
        </w:rPr>
        <w:t xml:space="preserve"> Подаци о циљаним вредностима</w:t>
      </w:r>
      <w:r w:rsidR="00F90262" w:rsidRPr="00827818">
        <w:rPr>
          <w:rFonts w:ascii="Times New Roman" w:eastAsia="Times New Roman" w:hAnsi="Times New Roman" w:cs="Times New Roman"/>
          <w:iCs/>
          <w:sz w:val="24"/>
          <w:szCs w:val="24"/>
          <w:lang w:val="sr-Cyrl-CS"/>
        </w:rPr>
        <w:t xml:space="preserve"> мења</w:t>
      </w:r>
      <w:r w:rsidR="0013058D" w:rsidRPr="00827818">
        <w:rPr>
          <w:rFonts w:ascii="Times New Roman" w:eastAsia="Times New Roman" w:hAnsi="Times New Roman" w:cs="Times New Roman"/>
          <w:iCs/>
          <w:sz w:val="24"/>
          <w:szCs w:val="24"/>
          <w:lang w:val="sr-Cyrl-CS"/>
        </w:rPr>
        <w:t>ју</w:t>
      </w:r>
      <w:r w:rsidR="00B829D3" w:rsidRPr="00827818">
        <w:rPr>
          <w:rFonts w:ascii="Times New Roman" w:eastAsia="Times New Roman" w:hAnsi="Times New Roman" w:cs="Times New Roman"/>
          <w:iCs/>
          <w:sz w:val="24"/>
          <w:szCs w:val="24"/>
          <w:lang w:val="sr-Cyrl-CS"/>
        </w:rPr>
        <w:t xml:space="preserve"> се</w:t>
      </w:r>
      <w:r w:rsidR="0013058D" w:rsidRPr="00827818">
        <w:rPr>
          <w:rFonts w:ascii="Times New Roman" w:eastAsia="Times New Roman" w:hAnsi="Times New Roman" w:cs="Times New Roman"/>
          <w:iCs/>
          <w:sz w:val="24"/>
          <w:szCs w:val="24"/>
          <w:lang w:val="sr-Cyrl-CS"/>
        </w:rPr>
        <w:t xml:space="preserve"> и гласе: </w:t>
      </w:r>
      <w:r w:rsidR="00F90262" w:rsidRPr="00827818">
        <w:rPr>
          <w:rFonts w:ascii="Times New Roman" w:eastAsia="Times New Roman" w:hAnsi="Times New Roman" w:cs="Times New Roman"/>
          <w:iCs/>
          <w:sz w:val="24"/>
          <w:szCs w:val="24"/>
          <w:lang w:val="sr-Cyrl-CS"/>
        </w:rPr>
        <w:t>ЦВ за 2023:</w:t>
      </w:r>
      <w:r w:rsidR="00B829D3" w:rsidRPr="00827818">
        <w:rPr>
          <w:rFonts w:ascii="Times New Roman" w:eastAsia="Times New Roman" w:hAnsi="Times New Roman" w:cs="Times New Roman"/>
          <w:iCs/>
          <w:sz w:val="24"/>
          <w:szCs w:val="24"/>
          <w:lang w:val="sr-Cyrl-CS"/>
        </w:rPr>
        <w:t xml:space="preserve"> „6ˮ</w:t>
      </w:r>
      <w:r w:rsidR="0013058D" w:rsidRPr="00827818">
        <w:rPr>
          <w:rFonts w:ascii="Times New Roman" w:eastAsia="Times New Roman" w:hAnsi="Times New Roman" w:cs="Times New Roman"/>
          <w:iCs/>
          <w:sz w:val="24"/>
          <w:szCs w:val="24"/>
          <w:lang w:val="sr-Cyrl-CS"/>
        </w:rPr>
        <w:t xml:space="preserve">, </w:t>
      </w:r>
      <w:r w:rsidR="00F90262" w:rsidRPr="00827818">
        <w:rPr>
          <w:rFonts w:ascii="Times New Roman" w:eastAsia="Times New Roman" w:hAnsi="Times New Roman" w:cs="Times New Roman"/>
          <w:iCs/>
          <w:sz w:val="24"/>
          <w:szCs w:val="24"/>
          <w:lang w:val="sr-Cyrl-CS"/>
        </w:rPr>
        <w:t>ЦВ за 2024:</w:t>
      </w:r>
      <w:r w:rsidR="00B829D3" w:rsidRPr="00827818">
        <w:rPr>
          <w:rFonts w:ascii="Times New Roman" w:eastAsia="Times New Roman" w:hAnsi="Times New Roman" w:cs="Times New Roman"/>
          <w:iCs/>
          <w:sz w:val="24"/>
          <w:szCs w:val="24"/>
          <w:lang w:val="sr-Cyrl-CS"/>
        </w:rPr>
        <w:t xml:space="preserve"> „8ˮ</w:t>
      </w:r>
      <w:r w:rsidR="00F90262" w:rsidRPr="00827818">
        <w:rPr>
          <w:rFonts w:ascii="Times New Roman" w:eastAsia="Times New Roman" w:hAnsi="Times New Roman" w:cs="Times New Roman"/>
          <w:iCs/>
          <w:sz w:val="24"/>
          <w:szCs w:val="24"/>
          <w:lang w:val="sr-Cyrl-CS"/>
        </w:rPr>
        <w:t>, ЦВ за 2025: „12</w:t>
      </w:r>
      <w:r w:rsidR="00B829D3" w:rsidRPr="00827818">
        <w:rPr>
          <w:rFonts w:ascii="Times New Roman" w:eastAsia="Times New Roman" w:hAnsi="Times New Roman" w:cs="Times New Roman"/>
          <w:iCs/>
          <w:sz w:val="24"/>
          <w:szCs w:val="24"/>
          <w:lang w:val="sr-Cyrl-CS"/>
        </w:rPr>
        <w:t>ˮ</w:t>
      </w:r>
      <w:r w:rsidR="00F90262" w:rsidRPr="00827818">
        <w:rPr>
          <w:rFonts w:ascii="Times New Roman" w:eastAsia="Times New Roman" w:hAnsi="Times New Roman" w:cs="Times New Roman"/>
          <w:iCs/>
          <w:sz w:val="24"/>
          <w:szCs w:val="24"/>
          <w:lang w:val="sr-Cyrl-CS"/>
        </w:rPr>
        <w:t>. Процен</w:t>
      </w:r>
      <w:r w:rsidR="00B829D3" w:rsidRPr="00827818">
        <w:rPr>
          <w:rFonts w:ascii="Times New Roman" w:eastAsia="Times New Roman" w:hAnsi="Times New Roman" w:cs="Times New Roman"/>
          <w:iCs/>
          <w:sz w:val="24"/>
          <w:szCs w:val="24"/>
          <w:lang w:val="sr-Cyrl-CS"/>
        </w:rPr>
        <w:t>а успешности</w:t>
      </w:r>
      <w:r w:rsidR="0013058D" w:rsidRPr="00827818">
        <w:rPr>
          <w:rFonts w:ascii="Times New Roman" w:eastAsia="Times New Roman" w:hAnsi="Times New Roman" w:cs="Times New Roman"/>
          <w:iCs/>
          <w:sz w:val="24"/>
          <w:szCs w:val="24"/>
          <w:lang w:val="sr-Cyrl-CS"/>
        </w:rPr>
        <w:t xml:space="preserve"> мења </w:t>
      </w:r>
      <w:r w:rsidR="00B829D3" w:rsidRPr="00827818">
        <w:rPr>
          <w:rFonts w:ascii="Times New Roman" w:eastAsia="Times New Roman" w:hAnsi="Times New Roman" w:cs="Times New Roman"/>
          <w:iCs/>
          <w:sz w:val="24"/>
          <w:szCs w:val="24"/>
          <w:lang w:val="sr-Cyrl-CS"/>
        </w:rPr>
        <w:t xml:space="preserve">се </w:t>
      </w:r>
      <w:r w:rsidR="0013058D" w:rsidRPr="00827818">
        <w:rPr>
          <w:rFonts w:ascii="Times New Roman" w:eastAsia="Times New Roman" w:hAnsi="Times New Roman" w:cs="Times New Roman"/>
          <w:iCs/>
          <w:sz w:val="24"/>
          <w:szCs w:val="24"/>
          <w:lang w:val="sr-Cyrl-CS"/>
        </w:rPr>
        <w:t>и гласи: „</w:t>
      </w:r>
      <w:r w:rsidR="00F90262" w:rsidRPr="00827818">
        <w:rPr>
          <w:rFonts w:ascii="Times New Roman" w:eastAsia="Times New Roman" w:hAnsi="Times New Roman" w:cs="Times New Roman"/>
          <w:iCs/>
          <w:sz w:val="24"/>
          <w:szCs w:val="24"/>
          <w:lang w:val="sr-Cyrl-CS"/>
        </w:rPr>
        <w:t>Одступање није прихватљиво</w:t>
      </w:r>
      <w:r w:rsidR="00B829D3" w:rsidRPr="00827818">
        <w:rPr>
          <w:rFonts w:ascii="Times New Roman" w:eastAsia="Times New Roman" w:hAnsi="Times New Roman" w:cs="Times New Roman"/>
          <w:iCs/>
          <w:sz w:val="24"/>
          <w:szCs w:val="24"/>
          <w:lang w:val="sr-Cyrl-CS"/>
        </w:rPr>
        <w:t>ˮ</w:t>
      </w:r>
      <w:r w:rsidR="0017041D" w:rsidRPr="00827818">
        <w:rPr>
          <w:rFonts w:ascii="Times New Roman" w:eastAsia="Times New Roman" w:hAnsi="Times New Roman" w:cs="Times New Roman"/>
          <w:iCs/>
          <w:sz w:val="24"/>
          <w:szCs w:val="24"/>
          <w:lang w:val="sr-Cyrl-CS"/>
        </w:rPr>
        <w:t>.</w:t>
      </w:r>
      <w:r w:rsidR="00B829D3" w:rsidRPr="00827818">
        <w:rPr>
          <w:rFonts w:ascii="Times New Roman" w:eastAsia="Times New Roman" w:hAnsi="Times New Roman" w:cs="Times New Roman"/>
          <w:iCs/>
          <w:sz w:val="24"/>
          <w:szCs w:val="24"/>
          <w:lang w:val="sr-Cyrl-CS"/>
        </w:rPr>
        <w:t xml:space="preserve">  </w:t>
      </w:r>
    </w:p>
    <w:p w:rsidR="00F90262" w:rsidRPr="00827818" w:rsidRDefault="00056CA5" w:rsidP="00056CA5">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6</w:t>
      </w:r>
      <w:r w:rsidRPr="00827818">
        <w:rPr>
          <w:rFonts w:ascii="Times New Roman" w:eastAsia="Times New Roman" w:hAnsi="Times New Roman" w:cs="Times New Roman"/>
          <w:iCs/>
          <w:sz w:val="24"/>
          <w:szCs w:val="24"/>
          <w:lang w:val="sr-Cyrl-CS"/>
        </w:rPr>
        <w:t xml:space="preserve">. </w:t>
      </w:r>
      <w:r w:rsidR="00E25D0E" w:rsidRPr="00827818">
        <w:rPr>
          <w:rFonts w:ascii="Times New Roman" w:eastAsia="Times New Roman" w:hAnsi="Times New Roman" w:cs="Times New Roman"/>
          <w:iCs/>
          <w:sz w:val="24"/>
          <w:szCs w:val="24"/>
          <w:lang w:val="sr-Cyrl-CS"/>
        </w:rPr>
        <w:t xml:space="preserve">У </w:t>
      </w:r>
      <w:r w:rsidR="00F90262" w:rsidRPr="00827818">
        <w:rPr>
          <w:rFonts w:ascii="Times New Roman" w:eastAsia="Times New Roman" w:hAnsi="Times New Roman" w:cs="Times New Roman"/>
          <w:iCs/>
          <w:sz w:val="24"/>
          <w:szCs w:val="24"/>
          <w:lang w:val="sr-Cyrl-CS"/>
        </w:rPr>
        <w:t xml:space="preserve">оквиру пасоша </w:t>
      </w:r>
      <w:r w:rsidR="00E5154A" w:rsidRPr="00827818">
        <w:rPr>
          <w:rFonts w:ascii="Times New Roman" w:eastAsia="Times New Roman" w:hAnsi="Times New Roman" w:cs="Times New Roman"/>
          <w:iCs/>
          <w:sz w:val="24"/>
          <w:szCs w:val="24"/>
          <w:lang w:val="sr-Cyrl-CS"/>
        </w:rPr>
        <w:t xml:space="preserve">показатеља </w:t>
      </w:r>
      <w:r w:rsidR="00EF49C7" w:rsidRPr="00827818">
        <w:rPr>
          <w:rFonts w:ascii="Times New Roman" w:eastAsia="Times New Roman" w:hAnsi="Times New Roman" w:cs="Times New Roman"/>
          <w:iCs/>
          <w:sz w:val="24"/>
          <w:szCs w:val="24"/>
          <w:lang w:val="sr-Cyrl-CS"/>
        </w:rPr>
        <w:t>за М</w:t>
      </w:r>
      <w:r w:rsidR="00F90262" w:rsidRPr="00827818">
        <w:rPr>
          <w:rFonts w:ascii="Times New Roman" w:eastAsia="Times New Roman" w:hAnsi="Times New Roman" w:cs="Times New Roman"/>
          <w:iCs/>
          <w:sz w:val="24"/>
          <w:szCs w:val="24"/>
          <w:lang w:val="sr-Cyrl-CS"/>
        </w:rPr>
        <w:t xml:space="preserve">еру 4.3, </w:t>
      </w:r>
      <w:r w:rsidR="00E5154A" w:rsidRPr="00827818">
        <w:rPr>
          <w:rFonts w:ascii="Times New Roman" w:eastAsia="Times New Roman" w:hAnsi="Times New Roman" w:cs="Times New Roman"/>
          <w:iCs/>
          <w:sz w:val="24"/>
          <w:szCs w:val="24"/>
          <w:lang w:val="sr-Cyrl-CS"/>
        </w:rPr>
        <w:t xml:space="preserve">у </w:t>
      </w:r>
      <w:r w:rsidR="00F90262" w:rsidRPr="00827818">
        <w:rPr>
          <w:rFonts w:ascii="Times New Roman" w:eastAsia="Times New Roman" w:hAnsi="Times New Roman" w:cs="Times New Roman"/>
          <w:iCs/>
          <w:sz w:val="24"/>
          <w:szCs w:val="24"/>
          <w:lang w:val="sr-Cyrl-CS"/>
        </w:rPr>
        <w:t>показатељ</w:t>
      </w:r>
      <w:r w:rsidR="00E5154A" w:rsidRPr="00827818">
        <w:rPr>
          <w:rFonts w:ascii="Times New Roman" w:eastAsia="Times New Roman" w:hAnsi="Times New Roman" w:cs="Times New Roman"/>
          <w:iCs/>
          <w:sz w:val="24"/>
          <w:szCs w:val="24"/>
          <w:lang w:val="sr-Cyrl-CS"/>
        </w:rPr>
        <w:t>у</w:t>
      </w:r>
      <w:r w:rsidR="00F90262" w:rsidRPr="00827818">
        <w:rPr>
          <w:rFonts w:ascii="Times New Roman" w:eastAsia="Times New Roman" w:hAnsi="Times New Roman" w:cs="Times New Roman"/>
          <w:iCs/>
          <w:sz w:val="24"/>
          <w:szCs w:val="24"/>
          <w:lang w:val="sr-Cyrl-CS"/>
        </w:rPr>
        <w:t xml:space="preserve">: </w:t>
      </w:r>
      <w:r w:rsidR="00E5154A" w:rsidRPr="00827818">
        <w:rPr>
          <w:rFonts w:ascii="Times New Roman" w:eastAsia="Times New Roman" w:hAnsi="Times New Roman" w:cs="Times New Roman"/>
          <w:iCs/>
          <w:sz w:val="24"/>
          <w:szCs w:val="24"/>
          <w:lang w:val="sr-Cyrl-CS"/>
        </w:rPr>
        <w:t>„</w:t>
      </w:r>
      <w:r w:rsidR="00F90262" w:rsidRPr="00827818">
        <w:rPr>
          <w:rFonts w:ascii="Times New Roman" w:eastAsia="Times New Roman" w:hAnsi="Times New Roman" w:cs="Times New Roman"/>
          <w:iCs/>
          <w:sz w:val="24"/>
          <w:szCs w:val="24"/>
          <w:lang w:val="sr-Cyrl-CS"/>
        </w:rPr>
        <w:t>Унапређење функционалности апликације, модули за унапређење рада ЦЈХ апликација, обуке, обавезност кроз прописе</w:t>
      </w:r>
      <w:r w:rsidR="00B829D3" w:rsidRPr="00827818">
        <w:rPr>
          <w:rFonts w:ascii="Times New Roman" w:eastAsia="Times New Roman" w:hAnsi="Times New Roman" w:cs="Times New Roman"/>
          <w:iCs/>
          <w:sz w:val="24"/>
          <w:szCs w:val="24"/>
          <w:lang w:val="sr-Cyrl-CS"/>
        </w:rPr>
        <w:t>ˮ</w:t>
      </w:r>
      <w:r w:rsidR="00F90262" w:rsidRPr="00827818">
        <w:rPr>
          <w:rFonts w:ascii="Times New Roman" w:eastAsia="Times New Roman" w:hAnsi="Times New Roman" w:cs="Times New Roman"/>
          <w:iCs/>
          <w:sz w:val="24"/>
          <w:szCs w:val="24"/>
          <w:lang w:val="sr-Cyrl-CS"/>
        </w:rPr>
        <w:t xml:space="preserve">, </w:t>
      </w:r>
      <w:r w:rsidR="00E5154A" w:rsidRPr="00827818">
        <w:rPr>
          <w:rFonts w:ascii="Times New Roman" w:eastAsia="Times New Roman" w:hAnsi="Times New Roman" w:cs="Times New Roman"/>
          <w:iCs/>
          <w:sz w:val="24"/>
          <w:szCs w:val="24"/>
          <w:lang w:val="sr-Cyrl-CS"/>
        </w:rPr>
        <w:t xml:space="preserve">мења </w:t>
      </w:r>
      <w:r w:rsidR="00F90262" w:rsidRPr="00827818">
        <w:rPr>
          <w:rFonts w:ascii="Times New Roman" w:eastAsia="Times New Roman" w:hAnsi="Times New Roman" w:cs="Times New Roman"/>
          <w:iCs/>
          <w:sz w:val="24"/>
          <w:szCs w:val="24"/>
          <w:lang w:val="sr-Cyrl-CS"/>
        </w:rPr>
        <w:t xml:space="preserve">се </w:t>
      </w:r>
      <w:r w:rsidR="00E5154A" w:rsidRPr="00827818">
        <w:rPr>
          <w:rFonts w:ascii="Times New Roman" w:eastAsia="Times New Roman" w:hAnsi="Times New Roman" w:cs="Times New Roman"/>
          <w:iCs/>
          <w:sz w:val="24"/>
          <w:szCs w:val="24"/>
          <w:lang w:val="sr-Cyrl-CS"/>
        </w:rPr>
        <w:t xml:space="preserve">текст </w:t>
      </w:r>
      <w:r w:rsidR="00F90262" w:rsidRPr="00827818">
        <w:rPr>
          <w:rFonts w:ascii="Times New Roman" w:eastAsia="Times New Roman" w:hAnsi="Times New Roman" w:cs="Times New Roman"/>
          <w:iCs/>
          <w:sz w:val="24"/>
          <w:szCs w:val="24"/>
          <w:lang w:val="sr-Cyrl-CS"/>
        </w:rPr>
        <w:t xml:space="preserve">из </w:t>
      </w:r>
      <w:r w:rsidR="00E5154A" w:rsidRPr="00827818">
        <w:rPr>
          <w:rFonts w:ascii="Times New Roman" w:eastAsia="Times New Roman" w:hAnsi="Times New Roman" w:cs="Times New Roman"/>
          <w:iCs/>
          <w:sz w:val="24"/>
          <w:szCs w:val="24"/>
          <w:lang w:val="sr-Cyrl-CS"/>
        </w:rPr>
        <w:t xml:space="preserve">колоне </w:t>
      </w:r>
      <w:r w:rsidR="00F90262" w:rsidRPr="00827818">
        <w:rPr>
          <w:rFonts w:ascii="Times New Roman" w:eastAsia="Times New Roman" w:hAnsi="Times New Roman" w:cs="Times New Roman"/>
          <w:iCs/>
          <w:sz w:val="24"/>
          <w:szCs w:val="24"/>
          <w:lang w:val="sr-Cyrl-CS"/>
        </w:rPr>
        <w:t>Кратак опис показатеља и методологија израчунавања (</w:t>
      </w:r>
      <w:r w:rsidR="00E5154A" w:rsidRPr="00827818">
        <w:rPr>
          <w:rFonts w:ascii="Times New Roman" w:eastAsia="Times New Roman" w:hAnsi="Times New Roman" w:cs="Times New Roman"/>
          <w:iCs/>
          <w:sz w:val="24"/>
          <w:szCs w:val="24"/>
          <w:lang w:val="sr-Cyrl-CS"/>
        </w:rPr>
        <w:t>формуле/једначине)</w:t>
      </w:r>
      <w:r w:rsidR="00055399" w:rsidRPr="00827818">
        <w:rPr>
          <w:rFonts w:ascii="Times New Roman" w:eastAsia="Times New Roman" w:hAnsi="Times New Roman" w:cs="Times New Roman"/>
          <w:iCs/>
          <w:sz w:val="24"/>
          <w:szCs w:val="24"/>
          <w:lang w:val="sr-Cyrl-CS"/>
        </w:rPr>
        <w:t xml:space="preserve">: </w:t>
      </w:r>
      <w:r w:rsidR="00F90262" w:rsidRPr="00827818">
        <w:rPr>
          <w:rFonts w:ascii="Times New Roman" w:eastAsia="Times New Roman" w:hAnsi="Times New Roman" w:cs="Times New Roman"/>
          <w:iCs/>
          <w:sz w:val="24"/>
          <w:szCs w:val="24"/>
          <w:lang w:val="sr-Cyrl-CS"/>
        </w:rPr>
        <w:t>„Набавка и примена софтвера за вођење и документовање ангажмана интерне ревизије и евидентирање и праћење статуса налаза и датих препорука интерне ревизије, препорука из екстерне оцене квалитета интерне ревизије, препорука из сагледавања квалитета система ФУК-а код КЈС и препорука из КГИ, база интерних ревизора, аутоматизација рада ЦЈХ,  повезивање са регистрима других институција, база полазника обука, база Аналитичких јединица и контакт особа за ФУК и слично уз могућност дефинисања додатних модула после обављене анализе система</w:t>
      </w:r>
      <w:r w:rsidR="00B829D3" w:rsidRPr="00827818">
        <w:rPr>
          <w:rFonts w:ascii="Times New Roman" w:eastAsia="Times New Roman" w:hAnsi="Times New Roman" w:cs="Times New Roman"/>
          <w:iCs/>
          <w:sz w:val="24"/>
          <w:szCs w:val="24"/>
          <w:lang w:val="sr-Cyrl-CS"/>
        </w:rPr>
        <w:t>ˮ</w:t>
      </w:r>
      <w:r w:rsidR="00E5154A" w:rsidRPr="00827818">
        <w:rPr>
          <w:rFonts w:ascii="Times New Roman" w:eastAsia="Times New Roman" w:hAnsi="Times New Roman" w:cs="Times New Roman"/>
          <w:iCs/>
          <w:sz w:val="24"/>
          <w:szCs w:val="24"/>
          <w:lang w:val="sr-Cyrl-CS"/>
        </w:rPr>
        <w:t xml:space="preserve"> тако да </w:t>
      </w:r>
      <w:r w:rsidR="00F90262" w:rsidRPr="00827818">
        <w:rPr>
          <w:rFonts w:ascii="Times New Roman" w:eastAsia="Times New Roman" w:hAnsi="Times New Roman" w:cs="Times New Roman"/>
          <w:iCs/>
          <w:sz w:val="24"/>
          <w:szCs w:val="24"/>
          <w:lang w:val="sr-Cyrl-CS"/>
        </w:rPr>
        <w:t>гласи: „Показатељ указује на успостављање и унапређење информационог система за интерну контролу у јавном сектору (функционалности апликације, модули за унапређење рада ЦЈХ апликације, обуке). Успостављање  система допринеће унапређењу система интерне контроле у јавном сектору кроз ојачану функцију праћења</w:t>
      </w:r>
      <w:r w:rsidR="00B829D3" w:rsidRPr="00827818">
        <w:rPr>
          <w:rFonts w:ascii="Times New Roman" w:eastAsia="Times New Roman" w:hAnsi="Times New Roman" w:cs="Times New Roman"/>
          <w:iCs/>
          <w:sz w:val="24"/>
          <w:szCs w:val="24"/>
          <w:lang w:val="sr-Cyrl-CS"/>
        </w:rPr>
        <w:t>ˮ</w:t>
      </w:r>
      <w:r w:rsidR="00F90262" w:rsidRPr="00827818">
        <w:rPr>
          <w:rFonts w:ascii="Times New Roman" w:eastAsia="Times New Roman" w:hAnsi="Times New Roman" w:cs="Times New Roman"/>
          <w:iCs/>
          <w:sz w:val="24"/>
          <w:szCs w:val="24"/>
          <w:lang w:val="sr-Cyrl-CS"/>
        </w:rPr>
        <w:t xml:space="preserve">. </w:t>
      </w:r>
    </w:p>
    <w:p w:rsidR="00467B62" w:rsidRPr="00827818" w:rsidRDefault="00DD37DE" w:rsidP="00DD37DE">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7</w:t>
      </w:r>
      <w:r w:rsidRPr="00827818">
        <w:rPr>
          <w:rFonts w:ascii="Times New Roman" w:eastAsia="Times New Roman" w:hAnsi="Times New Roman" w:cs="Times New Roman"/>
          <w:iCs/>
          <w:sz w:val="24"/>
          <w:szCs w:val="24"/>
          <w:lang w:val="sr-Cyrl-CS"/>
        </w:rPr>
        <w:t xml:space="preserve">. </w:t>
      </w:r>
      <w:r w:rsidR="006B2B76" w:rsidRPr="00827818">
        <w:rPr>
          <w:rFonts w:ascii="Times New Roman" w:eastAsia="Times New Roman" w:hAnsi="Times New Roman" w:cs="Times New Roman"/>
          <w:iCs/>
          <w:sz w:val="24"/>
          <w:szCs w:val="24"/>
          <w:lang w:val="sr-Cyrl-CS"/>
        </w:rPr>
        <w:t xml:space="preserve">У оквиру пасоша </w:t>
      </w:r>
      <w:r w:rsidR="00144C4A" w:rsidRPr="00827818">
        <w:rPr>
          <w:rFonts w:ascii="Times New Roman" w:eastAsia="Times New Roman" w:hAnsi="Times New Roman" w:cs="Times New Roman"/>
          <w:iCs/>
          <w:sz w:val="24"/>
          <w:szCs w:val="24"/>
          <w:lang w:val="sr-Cyrl-CS"/>
        </w:rPr>
        <w:t xml:space="preserve">показатеља </w:t>
      </w:r>
      <w:r w:rsidR="00987CCA" w:rsidRPr="00827818">
        <w:rPr>
          <w:rFonts w:ascii="Times New Roman" w:eastAsia="Times New Roman" w:hAnsi="Times New Roman" w:cs="Times New Roman"/>
          <w:iCs/>
          <w:sz w:val="24"/>
          <w:szCs w:val="24"/>
          <w:lang w:val="sr-Cyrl-CS"/>
        </w:rPr>
        <w:t>за М</w:t>
      </w:r>
      <w:r w:rsidR="006B2B76" w:rsidRPr="00827818">
        <w:rPr>
          <w:rFonts w:ascii="Times New Roman" w:eastAsia="Times New Roman" w:hAnsi="Times New Roman" w:cs="Times New Roman"/>
          <w:iCs/>
          <w:sz w:val="24"/>
          <w:szCs w:val="24"/>
          <w:lang w:val="sr-Cyrl-CS"/>
        </w:rPr>
        <w:t>еру 4.4, показатељ „Број учесника обука из области интерних контрола које је НАЈУ организовала</w:t>
      </w:r>
      <w:r w:rsidR="00E65243" w:rsidRPr="00827818">
        <w:rPr>
          <w:rFonts w:ascii="Times New Roman" w:eastAsia="Times New Roman" w:hAnsi="Times New Roman" w:cs="Times New Roman"/>
          <w:iCs/>
          <w:sz w:val="24"/>
          <w:szCs w:val="24"/>
          <w:lang w:val="sr-Cyrl-CS"/>
        </w:rPr>
        <w:t>ˮ</w:t>
      </w:r>
      <w:r w:rsidR="00144C4A" w:rsidRPr="00827818">
        <w:rPr>
          <w:rFonts w:ascii="Times New Roman" w:eastAsia="Times New Roman" w:hAnsi="Times New Roman" w:cs="Times New Roman"/>
          <w:iCs/>
          <w:sz w:val="24"/>
          <w:szCs w:val="24"/>
          <w:lang w:val="sr-Cyrl-CS"/>
        </w:rPr>
        <w:t xml:space="preserve"> мења се </w:t>
      </w:r>
      <w:r w:rsidR="008A3153" w:rsidRPr="00827818">
        <w:rPr>
          <w:rFonts w:ascii="Times New Roman" w:eastAsia="Times New Roman" w:hAnsi="Times New Roman" w:cs="Times New Roman"/>
          <w:iCs/>
          <w:sz w:val="24"/>
          <w:szCs w:val="24"/>
          <w:lang w:val="sr-Cyrl-CS"/>
        </w:rPr>
        <w:t>и</w:t>
      </w:r>
      <w:r w:rsidR="00144C4A" w:rsidRPr="00827818">
        <w:rPr>
          <w:rFonts w:ascii="Times New Roman" w:eastAsia="Times New Roman" w:hAnsi="Times New Roman" w:cs="Times New Roman"/>
          <w:iCs/>
          <w:sz w:val="24"/>
          <w:szCs w:val="24"/>
          <w:lang w:val="sr-Cyrl-CS"/>
        </w:rPr>
        <w:t xml:space="preserve"> </w:t>
      </w:r>
      <w:r w:rsidR="006B2B76" w:rsidRPr="00827818">
        <w:rPr>
          <w:rFonts w:ascii="Times New Roman" w:eastAsia="Times New Roman" w:hAnsi="Times New Roman" w:cs="Times New Roman"/>
          <w:iCs/>
          <w:sz w:val="24"/>
          <w:szCs w:val="24"/>
          <w:lang w:val="sr-Cyrl-CS"/>
        </w:rPr>
        <w:t xml:space="preserve">гласи  „Број </w:t>
      </w:r>
      <w:r w:rsidR="006B2B76" w:rsidRPr="00827818">
        <w:rPr>
          <w:rFonts w:ascii="Times New Roman" w:eastAsia="Times New Roman" w:hAnsi="Times New Roman" w:cs="Times New Roman"/>
          <w:i/>
          <w:iCs/>
          <w:sz w:val="24"/>
          <w:szCs w:val="24"/>
          <w:lang w:val="sr-Cyrl-CS"/>
        </w:rPr>
        <w:t>e-learning</w:t>
      </w:r>
      <w:r w:rsidR="006B2B76" w:rsidRPr="00827818">
        <w:rPr>
          <w:rFonts w:ascii="Times New Roman" w:eastAsia="Times New Roman" w:hAnsi="Times New Roman" w:cs="Times New Roman"/>
          <w:iCs/>
          <w:sz w:val="24"/>
          <w:szCs w:val="24"/>
          <w:lang w:val="sr-Cyrl-CS"/>
        </w:rPr>
        <w:t xml:space="preserve"> обука из области ИФКЈ</w:t>
      </w:r>
      <w:r w:rsidR="00E65243" w:rsidRPr="00827818">
        <w:rPr>
          <w:rFonts w:ascii="Times New Roman" w:eastAsia="Times New Roman" w:hAnsi="Times New Roman" w:cs="Times New Roman"/>
          <w:iCs/>
          <w:sz w:val="24"/>
          <w:szCs w:val="24"/>
          <w:lang w:val="sr-Cyrl-CS"/>
        </w:rPr>
        <w:t>ˮ</w:t>
      </w:r>
      <w:r w:rsidR="006B2B76" w:rsidRPr="00827818">
        <w:rPr>
          <w:rFonts w:ascii="Times New Roman" w:eastAsia="Times New Roman" w:hAnsi="Times New Roman" w:cs="Times New Roman"/>
          <w:iCs/>
          <w:sz w:val="24"/>
          <w:szCs w:val="24"/>
          <w:lang w:val="sr-Cyrl-CS"/>
        </w:rPr>
        <w:t xml:space="preserve">. </w:t>
      </w:r>
      <w:r w:rsidR="008A3153" w:rsidRPr="00827818">
        <w:rPr>
          <w:rFonts w:ascii="Times New Roman" w:eastAsia="Times New Roman" w:hAnsi="Times New Roman" w:cs="Times New Roman"/>
          <w:iCs/>
          <w:sz w:val="24"/>
          <w:szCs w:val="24"/>
          <w:lang w:val="sr-Cyrl-CS"/>
        </w:rPr>
        <w:t>Мењају се</w:t>
      </w:r>
      <w:r w:rsidR="006B2B76" w:rsidRPr="00827818">
        <w:rPr>
          <w:rFonts w:ascii="Times New Roman" w:eastAsia="Times New Roman" w:hAnsi="Times New Roman" w:cs="Times New Roman"/>
          <w:iCs/>
          <w:sz w:val="24"/>
          <w:szCs w:val="24"/>
          <w:lang w:val="sr-Cyrl-CS"/>
        </w:rPr>
        <w:t xml:space="preserve"> подаци у вези са типом и ниво</w:t>
      </w:r>
      <w:r w:rsidR="008846C2" w:rsidRPr="00827818">
        <w:rPr>
          <w:rFonts w:ascii="Times New Roman" w:eastAsia="Times New Roman" w:hAnsi="Times New Roman" w:cs="Times New Roman"/>
          <w:iCs/>
          <w:sz w:val="24"/>
          <w:szCs w:val="24"/>
          <w:lang w:val="sr-Cyrl-CS"/>
        </w:rPr>
        <w:t>о</w:t>
      </w:r>
      <w:r w:rsidR="006B2B76" w:rsidRPr="00827818">
        <w:rPr>
          <w:rFonts w:ascii="Times New Roman" w:eastAsia="Times New Roman" w:hAnsi="Times New Roman" w:cs="Times New Roman"/>
          <w:iCs/>
          <w:sz w:val="24"/>
          <w:szCs w:val="24"/>
          <w:lang w:val="sr-Cyrl-CS"/>
        </w:rPr>
        <w:t>м</w:t>
      </w:r>
      <w:r w:rsidR="00144C4A" w:rsidRPr="00827818">
        <w:rPr>
          <w:rFonts w:ascii="Times New Roman" w:eastAsia="Times New Roman" w:hAnsi="Times New Roman" w:cs="Times New Roman"/>
          <w:iCs/>
          <w:sz w:val="24"/>
          <w:szCs w:val="24"/>
          <w:lang w:val="sr-Cyrl-CS"/>
        </w:rPr>
        <w:t xml:space="preserve"> </w:t>
      </w:r>
      <w:r w:rsidR="006B2B76" w:rsidRPr="00827818">
        <w:rPr>
          <w:rFonts w:ascii="Times New Roman" w:eastAsia="Times New Roman" w:hAnsi="Times New Roman" w:cs="Times New Roman"/>
          <w:iCs/>
          <w:sz w:val="24"/>
          <w:szCs w:val="24"/>
          <w:lang w:val="sr-Cyrl-CS"/>
        </w:rPr>
        <w:t>показатеља тако да гласи: „Квалитативни</w:t>
      </w:r>
      <w:r w:rsidR="00E65243" w:rsidRPr="00827818">
        <w:rPr>
          <w:rFonts w:ascii="Times New Roman" w:eastAsia="Times New Roman" w:hAnsi="Times New Roman" w:cs="Times New Roman"/>
          <w:iCs/>
          <w:sz w:val="24"/>
          <w:szCs w:val="24"/>
          <w:lang w:val="sr-Cyrl-CS"/>
        </w:rPr>
        <w:t>ˮ</w:t>
      </w:r>
      <w:r w:rsidR="006B2B76" w:rsidRPr="00827818">
        <w:rPr>
          <w:rFonts w:ascii="Times New Roman" w:eastAsia="Times New Roman" w:hAnsi="Times New Roman" w:cs="Times New Roman"/>
          <w:iCs/>
          <w:sz w:val="24"/>
          <w:szCs w:val="24"/>
          <w:lang w:val="sr-Cyrl-CS"/>
        </w:rPr>
        <w:t>. Учесталост прикупљ</w:t>
      </w:r>
      <w:r w:rsidR="00B829D3" w:rsidRPr="00827818">
        <w:rPr>
          <w:rFonts w:ascii="Times New Roman" w:eastAsia="Times New Roman" w:hAnsi="Times New Roman" w:cs="Times New Roman"/>
          <w:iCs/>
          <w:sz w:val="24"/>
          <w:szCs w:val="24"/>
          <w:lang w:val="sr-Cyrl-CS"/>
        </w:rPr>
        <w:t>ања података</w:t>
      </w:r>
      <w:r w:rsidR="007743FA" w:rsidRPr="00827818">
        <w:rPr>
          <w:rFonts w:ascii="Times New Roman" w:eastAsia="Times New Roman" w:hAnsi="Times New Roman" w:cs="Times New Roman"/>
          <w:iCs/>
          <w:sz w:val="24"/>
          <w:szCs w:val="24"/>
          <w:lang w:val="sr-Cyrl-CS"/>
        </w:rPr>
        <w:t xml:space="preserve"> мења</w:t>
      </w:r>
      <w:r w:rsidR="00B829D3" w:rsidRPr="00827818">
        <w:rPr>
          <w:rFonts w:ascii="Times New Roman" w:eastAsia="Times New Roman" w:hAnsi="Times New Roman" w:cs="Times New Roman"/>
          <w:iCs/>
          <w:sz w:val="24"/>
          <w:szCs w:val="24"/>
          <w:lang w:val="sr-Cyrl-CS"/>
        </w:rPr>
        <w:t xml:space="preserve"> се</w:t>
      </w:r>
      <w:r w:rsidR="007743FA" w:rsidRPr="00827818">
        <w:rPr>
          <w:rFonts w:ascii="Times New Roman" w:eastAsia="Times New Roman" w:hAnsi="Times New Roman" w:cs="Times New Roman"/>
          <w:iCs/>
          <w:sz w:val="24"/>
          <w:szCs w:val="24"/>
          <w:lang w:val="sr-Cyrl-CS"/>
        </w:rPr>
        <w:t xml:space="preserve"> и гласи: „годишње</w:t>
      </w:r>
      <w:r w:rsidR="00E65243" w:rsidRPr="00827818">
        <w:rPr>
          <w:rFonts w:ascii="Times New Roman" w:eastAsia="Times New Roman" w:hAnsi="Times New Roman" w:cs="Times New Roman"/>
          <w:iCs/>
          <w:sz w:val="24"/>
          <w:szCs w:val="24"/>
          <w:lang w:val="sr-Cyrl-CS"/>
        </w:rPr>
        <w:t>ˮ</w:t>
      </w:r>
      <w:r w:rsidR="006B2B76" w:rsidRPr="00827818">
        <w:rPr>
          <w:rFonts w:ascii="Times New Roman" w:eastAsia="Times New Roman" w:hAnsi="Times New Roman" w:cs="Times New Roman"/>
          <w:iCs/>
          <w:sz w:val="24"/>
          <w:szCs w:val="24"/>
          <w:lang w:val="sr-Cyrl-CS"/>
        </w:rPr>
        <w:t>.</w:t>
      </w:r>
      <w:r w:rsidR="001241DA" w:rsidRPr="00827818">
        <w:rPr>
          <w:rFonts w:ascii="Times New Roman" w:eastAsia="Times New Roman" w:hAnsi="Times New Roman" w:cs="Times New Roman"/>
          <w:iCs/>
          <w:sz w:val="24"/>
          <w:szCs w:val="24"/>
          <w:lang w:val="sr-Cyrl-CS"/>
        </w:rPr>
        <w:t xml:space="preserve"> </w:t>
      </w:r>
      <w:r w:rsidR="006B2B76" w:rsidRPr="00827818">
        <w:rPr>
          <w:rFonts w:ascii="Times New Roman" w:eastAsia="Times New Roman" w:hAnsi="Times New Roman" w:cs="Times New Roman"/>
          <w:iCs/>
          <w:sz w:val="24"/>
          <w:szCs w:val="24"/>
          <w:lang w:val="sr-Cyrl-CS"/>
        </w:rPr>
        <w:t>Кратак опис показатеља и методологије изр</w:t>
      </w:r>
      <w:r w:rsidR="00B829D3" w:rsidRPr="00827818">
        <w:rPr>
          <w:rFonts w:ascii="Times New Roman" w:eastAsia="Times New Roman" w:hAnsi="Times New Roman" w:cs="Times New Roman"/>
          <w:iCs/>
          <w:sz w:val="24"/>
          <w:szCs w:val="24"/>
          <w:lang w:val="sr-Cyrl-CS"/>
        </w:rPr>
        <w:t>ачунавања (формуле/једначине)</w:t>
      </w:r>
      <w:r w:rsidR="006B2B76" w:rsidRPr="00827818">
        <w:rPr>
          <w:rFonts w:ascii="Times New Roman" w:eastAsia="Times New Roman" w:hAnsi="Times New Roman" w:cs="Times New Roman"/>
          <w:iCs/>
          <w:sz w:val="24"/>
          <w:szCs w:val="24"/>
          <w:lang w:val="sr-Cyrl-CS"/>
        </w:rPr>
        <w:t xml:space="preserve"> мења</w:t>
      </w:r>
      <w:r w:rsidR="00B829D3" w:rsidRPr="00827818">
        <w:rPr>
          <w:rFonts w:ascii="Times New Roman" w:eastAsia="Times New Roman" w:hAnsi="Times New Roman" w:cs="Times New Roman"/>
          <w:iCs/>
          <w:sz w:val="24"/>
          <w:szCs w:val="24"/>
          <w:lang w:val="sr-Cyrl-CS"/>
        </w:rPr>
        <w:t xml:space="preserve"> се</w:t>
      </w:r>
      <w:r w:rsidR="006B2B76" w:rsidRPr="00827818">
        <w:rPr>
          <w:rFonts w:ascii="Times New Roman" w:eastAsia="Times New Roman" w:hAnsi="Times New Roman" w:cs="Times New Roman"/>
          <w:iCs/>
          <w:sz w:val="24"/>
          <w:szCs w:val="24"/>
          <w:lang w:val="sr-Cyrl-CS"/>
        </w:rPr>
        <w:t xml:space="preserve"> и гласи: „Показатељ указује на постојање унапређених обука у виду e-learning материјала који је доступан већем броју КЈС</w:t>
      </w:r>
      <w:r w:rsidR="00E65243" w:rsidRPr="00827818">
        <w:rPr>
          <w:rFonts w:ascii="Times New Roman" w:eastAsia="Times New Roman" w:hAnsi="Times New Roman" w:cs="Times New Roman"/>
          <w:iCs/>
          <w:sz w:val="24"/>
          <w:szCs w:val="24"/>
          <w:lang w:val="sr-Cyrl-CS"/>
        </w:rPr>
        <w:t>ˮ</w:t>
      </w:r>
      <w:r w:rsidR="00B829D3" w:rsidRPr="00827818">
        <w:rPr>
          <w:rFonts w:ascii="Times New Roman" w:eastAsia="Times New Roman" w:hAnsi="Times New Roman" w:cs="Times New Roman"/>
          <w:iCs/>
          <w:sz w:val="24"/>
          <w:szCs w:val="24"/>
          <w:lang w:val="sr-Cyrl-CS"/>
        </w:rPr>
        <w:t>. Полазна вредност и година</w:t>
      </w:r>
      <w:r w:rsidR="006B2B76" w:rsidRPr="00827818">
        <w:rPr>
          <w:rFonts w:ascii="Times New Roman" w:eastAsia="Times New Roman" w:hAnsi="Times New Roman" w:cs="Times New Roman"/>
          <w:iCs/>
          <w:sz w:val="24"/>
          <w:szCs w:val="24"/>
          <w:lang w:val="sr-Cyrl-CS"/>
        </w:rPr>
        <w:t xml:space="preserve"> мења</w:t>
      </w:r>
      <w:r w:rsidR="001241DA" w:rsidRPr="00827818">
        <w:rPr>
          <w:rFonts w:ascii="Times New Roman" w:eastAsia="Times New Roman" w:hAnsi="Times New Roman" w:cs="Times New Roman"/>
          <w:iCs/>
          <w:sz w:val="24"/>
          <w:szCs w:val="24"/>
          <w:lang w:val="sr-Cyrl-CS"/>
        </w:rPr>
        <w:t xml:space="preserve">ју </w:t>
      </w:r>
      <w:r w:rsidR="00B829D3" w:rsidRPr="00827818">
        <w:rPr>
          <w:rFonts w:ascii="Times New Roman" w:eastAsia="Times New Roman" w:hAnsi="Times New Roman" w:cs="Times New Roman"/>
          <w:iCs/>
          <w:sz w:val="24"/>
          <w:szCs w:val="24"/>
          <w:lang w:val="sr-Cyrl-CS"/>
        </w:rPr>
        <w:t xml:space="preserve">се </w:t>
      </w:r>
      <w:r w:rsidR="001241DA" w:rsidRPr="00827818">
        <w:rPr>
          <w:rFonts w:ascii="Times New Roman" w:eastAsia="Times New Roman" w:hAnsi="Times New Roman" w:cs="Times New Roman"/>
          <w:iCs/>
          <w:sz w:val="24"/>
          <w:szCs w:val="24"/>
          <w:lang w:val="sr-Cyrl-CS"/>
        </w:rPr>
        <w:t xml:space="preserve">и гласе: </w:t>
      </w:r>
      <w:r w:rsidR="006B2B76" w:rsidRPr="00827818">
        <w:rPr>
          <w:rFonts w:ascii="Times New Roman" w:eastAsia="Times New Roman" w:hAnsi="Times New Roman" w:cs="Times New Roman"/>
          <w:iCs/>
          <w:sz w:val="24"/>
          <w:szCs w:val="24"/>
          <w:lang w:val="sr-Cyrl-CS"/>
        </w:rPr>
        <w:t>за 2022. годину вредност је „3</w:t>
      </w:r>
      <w:r w:rsidR="00E65243" w:rsidRPr="00827818">
        <w:rPr>
          <w:rFonts w:ascii="Times New Roman" w:eastAsia="Times New Roman" w:hAnsi="Times New Roman" w:cs="Times New Roman"/>
          <w:iCs/>
          <w:sz w:val="24"/>
          <w:szCs w:val="24"/>
          <w:lang w:val="sr-Cyrl-CS"/>
        </w:rPr>
        <w:t>ˮ</w:t>
      </w:r>
      <w:r w:rsidR="006B2B76" w:rsidRPr="00827818">
        <w:rPr>
          <w:rFonts w:ascii="Times New Roman" w:eastAsia="Times New Roman" w:hAnsi="Times New Roman" w:cs="Times New Roman"/>
          <w:iCs/>
          <w:sz w:val="24"/>
          <w:szCs w:val="24"/>
          <w:lang w:val="sr-Cyrl-CS"/>
        </w:rPr>
        <w:t>.</w:t>
      </w:r>
      <w:r w:rsidR="00B829D3" w:rsidRPr="00827818">
        <w:rPr>
          <w:rFonts w:ascii="Times New Roman" w:eastAsia="Times New Roman" w:hAnsi="Times New Roman" w:cs="Times New Roman"/>
          <w:iCs/>
          <w:sz w:val="24"/>
          <w:szCs w:val="24"/>
          <w:lang w:val="sr-Cyrl-CS"/>
        </w:rPr>
        <w:t xml:space="preserve"> Подаци о циљаним вредностима</w:t>
      </w:r>
      <w:r w:rsidR="006B2B76" w:rsidRPr="00827818">
        <w:rPr>
          <w:rFonts w:ascii="Times New Roman" w:eastAsia="Times New Roman" w:hAnsi="Times New Roman" w:cs="Times New Roman"/>
          <w:iCs/>
          <w:sz w:val="24"/>
          <w:szCs w:val="24"/>
          <w:lang w:val="sr-Cyrl-CS"/>
        </w:rPr>
        <w:t xml:space="preserve"> мењају</w:t>
      </w:r>
      <w:r w:rsidR="00B829D3" w:rsidRPr="00827818">
        <w:rPr>
          <w:rFonts w:ascii="Times New Roman" w:eastAsia="Times New Roman" w:hAnsi="Times New Roman" w:cs="Times New Roman"/>
          <w:iCs/>
          <w:sz w:val="24"/>
          <w:szCs w:val="24"/>
          <w:lang w:val="sr-Cyrl-CS"/>
        </w:rPr>
        <w:t xml:space="preserve"> се</w:t>
      </w:r>
      <w:r w:rsidR="006B2B76" w:rsidRPr="00827818">
        <w:rPr>
          <w:rFonts w:ascii="Times New Roman" w:eastAsia="Times New Roman" w:hAnsi="Times New Roman" w:cs="Times New Roman"/>
          <w:iCs/>
          <w:sz w:val="24"/>
          <w:szCs w:val="24"/>
          <w:lang w:val="sr-Cyrl-CS"/>
        </w:rPr>
        <w:t xml:space="preserve"> и гласе:</w:t>
      </w:r>
      <w:r w:rsidR="0006331C" w:rsidRPr="00827818">
        <w:rPr>
          <w:rFonts w:ascii="Times New Roman" w:eastAsia="Times New Roman" w:hAnsi="Times New Roman" w:cs="Times New Roman"/>
          <w:iCs/>
          <w:sz w:val="24"/>
          <w:szCs w:val="24"/>
          <w:lang w:val="sr-Cyrl-CS"/>
        </w:rPr>
        <w:t xml:space="preserve"> </w:t>
      </w:r>
      <w:r w:rsidR="006B2B76" w:rsidRPr="00827818">
        <w:rPr>
          <w:rFonts w:ascii="Times New Roman" w:eastAsia="Times New Roman" w:hAnsi="Times New Roman" w:cs="Times New Roman"/>
          <w:iCs/>
          <w:sz w:val="24"/>
          <w:szCs w:val="24"/>
          <w:lang w:val="sr-Cyrl-CS"/>
        </w:rPr>
        <w:t>за 2023: „4</w:t>
      </w:r>
      <w:r w:rsidR="00E65243" w:rsidRPr="00827818">
        <w:rPr>
          <w:rFonts w:ascii="Times New Roman" w:eastAsia="Times New Roman" w:hAnsi="Times New Roman" w:cs="Times New Roman"/>
          <w:iCs/>
          <w:sz w:val="24"/>
          <w:szCs w:val="24"/>
          <w:lang w:val="sr-Cyrl-CS"/>
        </w:rPr>
        <w:t>ˮ</w:t>
      </w:r>
      <w:r w:rsidR="007743FA" w:rsidRPr="00827818">
        <w:rPr>
          <w:rFonts w:ascii="Times New Roman" w:eastAsia="Times New Roman" w:hAnsi="Times New Roman" w:cs="Times New Roman"/>
          <w:iCs/>
          <w:sz w:val="24"/>
          <w:szCs w:val="24"/>
          <w:lang w:val="sr-Cyrl-CS"/>
        </w:rPr>
        <w:t xml:space="preserve">; </w:t>
      </w:r>
      <w:r w:rsidR="006B2B76" w:rsidRPr="00827818">
        <w:rPr>
          <w:rFonts w:ascii="Times New Roman" w:eastAsia="Times New Roman" w:hAnsi="Times New Roman" w:cs="Times New Roman"/>
          <w:iCs/>
          <w:sz w:val="24"/>
          <w:szCs w:val="24"/>
          <w:lang w:val="sr-Cyrl-CS"/>
        </w:rPr>
        <w:t>за 2024: „5</w:t>
      </w:r>
      <w:r w:rsidR="00E65243" w:rsidRPr="00827818">
        <w:rPr>
          <w:rFonts w:ascii="Times New Roman" w:eastAsia="Times New Roman" w:hAnsi="Times New Roman" w:cs="Times New Roman"/>
          <w:iCs/>
          <w:sz w:val="24"/>
          <w:szCs w:val="24"/>
          <w:lang w:val="sr-Cyrl-CS"/>
        </w:rPr>
        <w:t>ˮ</w:t>
      </w:r>
      <w:r w:rsidR="0080119D" w:rsidRPr="00827818">
        <w:rPr>
          <w:rFonts w:ascii="Times New Roman" w:eastAsia="Times New Roman" w:hAnsi="Times New Roman" w:cs="Times New Roman"/>
          <w:iCs/>
          <w:sz w:val="24"/>
          <w:szCs w:val="24"/>
          <w:lang w:val="sr-Cyrl-CS"/>
        </w:rPr>
        <w:t xml:space="preserve"> и</w:t>
      </w:r>
      <w:r w:rsidR="006B2B76" w:rsidRPr="00827818">
        <w:rPr>
          <w:rFonts w:ascii="Times New Roman" w:eastAsia="Times New Roman" w:hAnsi="Times New Roman" w:cs="Times New Roman"/>
          <w:iCs/>
          <w:sz w:val="24"/>
          <w:szCs w:val="24"/>
          <w:lang w:val="sr-Cyrl-CS"/>
        </w:rPr>
        <w:t xml:space="preserve"> за 2025: „6</w:t>
      </w:r>
      <w:r w:rsidR="00E65243" w:rsidRPr="00827818">
        <w:rPr>
          <w:rFonts w:ascii="Times New Roman" w:eastAsia="Times New Roman" w:hAnsi="Times New Roman" w:cs="Times New Roman"/>
          <w:iCs/>
          <w:sz w:val="24"/>
          <w:szCs w:val="24"/>
          <w:lang w:val="sr-Cyrl-CS"/>
        </w:rPr>
        <w:t>ˮ</w:t>
      </w:r>
      <w:r w:rsidR="00B829D3" w:rsidRPr="00827818">
        <w:rPr>
          <w:rFonts w:ascii="Times New Roman" w:eastAsia="Times New Roman" w:hAnsi="Times New Roman" w:cs="Times New Roman"/>
          <w:iCs/>
          <w:sz w:val="24"/>
          <w:szCs w:val="24"/>
          <w:lang w:val="sr-Cyrl-CS"/>
        </w:rPr>
        <w:t>. Процена успешности</w:t>
      </w:r>
      <w:r w:rsidR="006B2B76" w:rsidRPr="00827818">
        <w:rPr>
          <w:rFonts w:ascii="Times New Roman" w:eastAsia="Times New Roman" w:hAnsi="Times New Roman" w:cs="Times New Roman"/>
          <w:iCs/>
          <w:sz w:val="24"/>
          <w:szCs w:val="24"/>
          <w:lang w:val="sr-Cyrl-CS"/>
        </w:rPr>
        <w:t xml:space="preserve"> мења</w:t>
      </w:r>
      <w:r w:rsidR="00B829D3" w:rsidRPr="00827818">
        <w:rPr>
          <w:rFonts w:ascii="Times New Roman" w:eastAsia="Times New Roman" w:hAnsi="Times New Roman" w:cs="Times New Roman"/>
          <w:iCs/>
          <w:sz w:val="24"/>
          <w:szCs w:val="24"/>
          <w:lang w:val="sr-Cyrl-CS"/>
        </w:rPr>
        <w:t xml:space="preserve"> се</w:t>
      </w:r>
      <w:r w:rsidR="006B2B76" w:rsidRPr="00827818">
        <w:rPr>
          <w:rFonts w:ascii="Times New Roman" w:eastAsia="Times New Roman" w:hAnsi="Times New Roman" w:cs="Times New Roman"/>
          <w:iCs/>
          <w:sz w:val="24"/>
          <w:szCs w:val="24"/>
          <w:lang w:val="sr-Cyrl-CS"/>
        </w:rPr>
        <w:t xml:space="preserve"> и гласи: „Одступање није</w:t>
      </w:r>
      <w:r w:rsidR="007743FA" w:rsidRPr="00827818">
        <w:rPr>
          <w:rFonts w:ascii="Times New Roman" w:eastAsia="Times New Roman" w:hAnsi="Times New Roman" w:cs="Times New Roman"/>
          <w:iCs/>
          <w:sz w:val="24"/>
          <w:szCs w:val="24"/>
          <w:lang w:val="sr-Cyrl-CS"/>
        </w:rPr>
        <w:t xml:space="preserve"> </w:t>
      </w:r>
      <w:r w:rsidR="006B2B76" w:rsidRPr="00827818">
        <w:rPr>
          <w:rFonts w:ascii="Times New Roman" w:eastAsia="Times New Roman" w:hAnsi="Times New Roman" w:cs="Times New Roman"/>
          <w:iCs/>
          <w:sz w:val="24"/>
          <w:szCs w:val="24"/>
          <w:lang w:val="sr-Cyrl-CS"/>
        </w:rPr>
        <w:t>прихватљиво</w:t>
      </w:r>
      <w:r w:rsidR="00E65243" w:rsidRPr="00827818">
        <w:rPr>
          <w:rFonts w:ascii="Times New Roman" w:eastAsia="Times New Roman" w:hAnsi="Times New Roman" w:cs="Times New Roman"/>
          <w:iCs/>
          <w:sz w:val="24"/>
          <w:szCs w:val="24"/>
          <w:lang w:val="sr-Cyrl-CS"/>
        </w:rPr>
        <w:t>ˮ</w:t>
      </w:r>
      <w:r w:rsidR="006B2B76" w:rsidRPr="00827818">
        <w:rPr>
          <w:rFonts w:ascii="Times New Roman" w:eastAsia="Times New Roman" w:hAnsi="Times New Roman" w:cs="Times New Roman"/>
          <w:iCs/>
          <w:sz w:val="24"/>
          <w:szCs w:val="24"/>
          <w:lang w:val="sr-Cyrl-CS"/>
        </w:rPr>
        <w:t>.</w:t>
      </w:r>
      <w:r w:rsidR="00467B62" w:rsidRPr="00827818">
        <w:rPr>
          <w:rFonts w:ascii="Times New Roman" w:hAnsi="Times New Roman" w:cs="Times New Roman"/>
          <w:sz w:val="24"/>
          <w:szCs w:val="24"/>
          <w:lang w:val="sr-Cyrl-CS"/>
        </w:rPr>
        <w:t xml:space="preserve"> </w:t>
      </w:r>
    </w:p>
    <w:p w:rsidR="00335F73" w:rsidRPr="00827818" w:rsidRDefault="00613F34" w:rsidP="00613F34">
      <w:pPr>
        <w:spacing w:after="0" w:line="240" w:lineRule="auto"/>
        <w:ind w:firstLine="720"/>
        <w:jc w:val="both"/>
        <w:rPr>
          <w:rFonts w:ascii="Times New Roman" w:eastAsia="Times New Roman" w:hAnsi="Times New Roman" w:cs="Times New Roman"/>
          <w:iCs/>
          <w:sz w:val="24"/>
          <w:szCs w:val="24"/>
          <w:lang w:val="sr-Cyrl-CS"/>
        </w:rPr>
      </w:pPr>
      <w:r w:rsidRPr="00827818">
        <w:rPr>
          <w:rFonts w:ascii="Times New Roman" w:eastAsia="Times New Roman" w:hAnsi="Times New Roman" w:cs="Times New Roman"/>
          <w:iCs/>
          <w:sz w:val="24"/>
          <w:szCs w:val="24"/>
          <w:lang w:val="sr-Cyrl-CS"/>
        </w:rPr>
        <w:t>8</w:t>
      </w:r>
      <w:r w:rsidR="00F47AA2">
        <w:rPr>
          <w:rFonts w:ascii="Times New Roman" w:eastAsia="Times New Roman" w:hAnsi="Times New Roman" w:cs="Times New Roman"/>
          <w:iCs/>
          <w:sz w:val="24"/>
          <w:szCs w:val="24"/>
          <w:lang w:val="sr-Cyrl-CS"/>
        </w:rPr>
        <w:t>8</w:t>
      </w:r>
      <w:r w:rsidRPr="00827818">
        <w:rPr>
          <w:rFonts w:ascii="Times New Roman" w:eastAsia="Times New Roman" w:hAnsi="Times New Roman" w:cs="Times New Roman"/>
          <w:iCs/>
          <w:sz w:val="24"/>
          <w:szCs w:val="24"/>
          <w:lang w:val="sr-Cyrl-CS"/>
        </w:rPr>
        <w:t xml:space="preserve">. </w:t>
      </w:r>
      <w:r w:rsidR="006B2B76" w:rsidRPr="00827818">
        <w:rPr>
          <w:rFonts w:ascii="Times New Roman" w:eastAsia="Times New Roman" w:hAnsi="Times New Roman" w:cs="Times New Roman"/>
          <w:iCs/>
          <w:sz w:val="24"/>
          <w:szCs w:val="24"/>
          <w:lang w:val="sr-Cyrl-CS"/>
        </w:rPr>
        <w:t xml:space="preserve">У </w:t>
      </w:r>
      <w:r w:rsidRPr="00827818">
        <w:rPr>
          <w:rFonts w:ascii="Times New Roman" w:eastAsia="Times New Roman" w:hAnsi="Times New Roman" w:cs="Times New Roman"/>
          <w:iCs/>
          <w:sz w:val="24"/>
          <w:szCs w:val="24"/>
          <w:lang w:val="sr-Cyrl-CS"/>
        </w:rPr>
        <w:t>Мери</w:t>
      </w:r>
      <w:r w:rsidR="006B2B76" w:rsidRPr="00827818">
        <w:rPr>
          <w:rFonts w:ascii="Times New Roman" w:eastAsia="Times New Roman" w:hAnsi="Times New Roman" w:cs="Times New Roman"/>
          <w:iCs/>
          <w:sz w:val="24"/>
          <w:szCs w:val="24"/>
          <w:lang w:val="sr-Cyrl-CS"/>
        </w:rPr>
        <w:t xml:space="preserve"> 4.4 Модернизација система обуч</w:t>
      </w:r>
      <w:r w:rsidR="003E54C7" w:rsidRPr="00827818">
        <w:rPr>
          <w:rFonts w:ascii="Times New Roman" w:eastAsia="Times New Roman" w:hAnsi="Times New Roman" w:cs="Times New Roman"/>
          <w:iCs/>
          <w:sz w:val="24"/>
          <w:szCs w:val="24"/>
          <w:lang w:val="sr-Cyrl-CS"/>
        </w:rPr>
        <w:t>авања из области ИФКЈ, у оквиру</w:t>
      </w:r>
      <w:r w:rsidR="006B2B76" w:rsidRPr="00827818">
        <w:rPr>
          <w:rFonts w:ascii="Times New Roman" w:eastAsia="Times New Roman" w:hAnsi="Times New Roman" w:cs="Times New Roman"/>
          <w:iCs/>
          <w:sz w:val="24"/>
          <w:szCs w:val="24"/>
          <w:lang w:val="sr-Cyrl-CS"/>
        </w:rPr>
        <w:t xml:space="preserve"> показатеља: „Проценат овлашћених интерних ревизора који је прикупио прописан број бодова у оквиру континуираног стручног усавршавања</w:t>
      </w:r>
      <w:r w:rsidR="00E65243" w:rsidRPr="00827818">
        <w:rPr>
          <w:rFonts w:ascii="Times New Roman" w:eastAsia="Times New Roman" w:hAnsi="Times New Roman" w:cs="Times New Roman"/>
          <w:iCs/>
          <w:sz w:val="24"/>
          <w:szCs w:val="24"/>
          <w:lang w:val="sr-Cyrl-CS"/>
        </w:rPr>
        <w:t>ˮ</w:t>
      </w:r>
      <w:r w:rsidR="007D3874" w:rsidRPr="00827818">
        <w:rPr>
          <w:rFonts w:ascii="Times New Roman" w:eastAsia="Times New Roman" w:hAnsi="Times New Roman" w:cs="Times New Roman"/>
          <w:iCs/>
          <w:sz w:val="24"/>
          <w:szCs w:val="24"/>
          <w:lang w:val="sr-Cyrl-CS"/>
        </w:rPr>
        <w:t xml:space="preserve"> колона</w:t>
      </w:r>
      <w:r w:rsidR="006B2B76" w:rsidRPr="00827818">
        <w:rPr>
          <w:rFonts w:ascii="Times New Roman" w:eastAsia="Times New Roman" w:hAnsi="Times New Roman" w:cs="Times New Roman"/>
          <w:iCs/>
          <w:sz w:val="24"/>
          <w:szCs w:val="24"/>
          <w:lang w:val="sr-Cyrl-CS"/>
        </w:rPr>
        <w:t xml:space="preserve"> Процена успешности </w:t>
      </w:r>
      <w:r w:rsidR="003E54C7" w:rsidRPr="00827818">
        <w:rPr>
          <w:rFonts w:ascii="Times New Roman" w:eastAsia="Times New Roman" w:hAnsi="Times New Roman" w:cs="Times New Roman"/>
          <w:iCs/>
          <w:sz w:val="24"/>
          <w:szCs w:val="24"/>
          <w:lang w:val="sr-Cyrl-CS"/>
        </w:rPr>
        <w:t xml:space="preserve">мења се </w:t>
      </w:r>
      <w:r w:rsidR="007D3874" w:rsidRPr="00827818">
        <w:rPr>
          <w:rFonts w:ascii="Times New Roman" w:eastAsia="Times New Roman" w:hAnsi="Times New Roman" w:cs="Times New Roman"/>
          <w:iCs/>
          <w:sz w:val="24"/>
          <w:szCs w:val="24"/>
          <w:lang w:val="sr-Cyrl-CS"/>
        </w:rPr>
        <w:t>и</w:t>
      </w:r>
      <w:r w:rsidR="00753C2F" w:rsidRPr="00827818">
        <w:rPr>
          <w:rFonts w:ascii="Times New Roman" w:eastAsia="Times New Roman" w:hAnsi="Times New Roman" w:cs="Times New Roman"/>
          <w:iCs/>
          <w:sz w:val="24"/>
          <w:szCs w:val="24"/>
          <w:lang w:val="sr-Cyrl-CS"/>
        </w:rPr>
        <w:t xml:space="preserve"> </w:t>
      </w:r>
      <w:r w:rsidR="003E54C7" w:rsidRPr="00827818">
        <w:rPr>
          <w:rFonts w:ascii="Times New Roman" w:eastAsia="Times New Roman" w:hAnsi="Times New Roman" w:cs="Times New Roman"/>
          <w:iCs/>
          <w:sz w:val="24"/>
          <w:szCs w:val="24"/>
          <w:lang w:val="sr-Cyrl-CS"/>
        </w:rPr>
        <w:t>гласи: „О</w:t>
      </w:r>
      <w:r w:rsidR="006B2B76" w:rsidRPr="00827818">
        <w:rPr>
          <w:rFonts w:ascii="Times New Roman" w:eastAsia="Times New Roman" w:hAnsi="Times New Roman" w:cs="Times New Roman"/>
          <w:iCs/>
          <w:sz w:val="24"/>
          <w:szCs w:val="24"/>
          <w:lang w:val="sr-Cyrl-CS"/>
        </w:rPr>
        <w:t>дступање је прихватљиво до 3%. У току 2020. године вредност индикатора је нижа у односу на претходну годину услед пандемије.</w:t>
      </w:r>
      <w:r w:rsidR="00E65243" w:rsidRPr="00827818">
        <w:rPr>
          <w:rFonts w:ascii="Times New Roman" w:eastAsia="Times New Roman" w:hAnsi="Times New Roman" w:cs="Times New Roman"/>
          <w:iCs/>
          <w:sz w:val="24"/>
          <w:szCs w:val="24"/>
          <w:lang w:val="sr-Cyrl-CS"/>
        </w:rPr>
        <w:t>ˮ</w:t>
      </w:r>
      <w:r w:rsidR="008F6B4B" w:rsidRPr="00827818">
        <w:rPr>
          <w:rFonts w:ascii="Times New Roman" w:eastAsia="Times New Roman" w:hAnsi="Times New Roman" w:cs="Times New Roman"/>
          <w:iCs/>
          <w:sz w:val="24"/>
          <w:szCs w:val="24"/>
          <w:lang w:val="sr-Cyrl-CS"/>
        </w:rPr>
        <w:t>.</w:t>
      </w:r>
    </w:p>
    <w:p w:rsidR="008846C2" w:rsidRDefault="008846C2" w:rsidP="007F7533">
      <w:pPr>
        <w:spacing w:after="0" w:line="240" w:lineRule="auto"/>
        <w:jc w:val="both"/>
        <w:rPr>
          <w:rFonts w:ascii="Times New Roman" w:eastAsia="Times New Roman" w:hAnsi="Times New Roman" w:cs="Times New Roman"/>
          <w:iCs/>
          <w:sz w:val="24"/>
          <w:szCs w:val="24"/>
          <w:lang w:val="sr-Cyrl-CS"/>
        </w:rPr>
      </w:pPr>
    </w:p>
    <w:p w:rsidR="00736982" w:rsidRDefault="00736982" w:rsidP="007F7533">
      <w:pPr>
        <w:spacing w:after="0" w:line="240" w:lineRule="auto"/>
        <w:jc w:val="both"/>
        <w:rPr>
          <w:rFonts w:ascii="Times New Roman" w:eastAsia="Times New Roman" w:hAnsi="Times New Roman" w:cs="Times New Roman"/>
          <w:iCs/>
          <w:sz w:val="24"/>
          <w:szCs w:val="24"/>
          <w:lang w:val="sr-Cyrl-CS"/>
        </w:rPr>
      </w:pPr>
    </w:p>
    <w:p w:rsidR="00736982" w:rsidRDefault="00736982" w:rsidP="007F7533">
      <w:pPr>
        <w:spacing w:after="0" w:line="240" w:lineRule="auto"/>
        <w:jc w:val="both"/>
        <w:rPr>
          <w:rFonts w:ascii="Times New Roman" w:eastAsia="Times New Roman" w:hAnsi="Times New Roman" w:cs="Times New Roman"/>
          <w:iCs/>
          <w:sz w:val="24"/>
          <w:szCs w:val="24"/>
          <w:lang w:val="sr-Cyrl-CS"/>
        </w:rPr>
      </w:pPr>
    </w:p>
    <w:p w:rsidR="00736982" w:rsidRDefault="00736982" w:rsidP="007F7533">
      <w:pPr>
        <w:spacing w:after="0" w:line="240" w:lineRule="auto"/>
        <w:jc w:val="both"/>
        <w:rPr>
          <w:rFonts w:ascii="Times New Roman" w:eastAsia="Times New Roman" w:hAnsi="Times New Roman" w:cs="Times New Roman"/>
          <w:iCs/>
          <w:sz w:val="24"/>
          <w:szCs w:val="24"/>
          <w:lang w:val="sr-Cyrl-CS"/>
        </w:rPr>
      </w:pPr>
    </w:p>
    <w:p w:rsidR="00736982" w:rsidRPr="00827818" w:rsidRDefault="00736982" w:rsidP="007F7533">
      <w:pPr>
        <w:spacing w:after="0" w:line="240" w:lineRule="auto"/>
        <w:jc w:val="both"/>
        <w:rPr>
          <w:rFonts w:ascii="Times New Roman" w:eastAsia="Times New Roman" w:hAnsi="Times New Roman" w:cs="Times New Roman"/>
          <w:iCs/>
          <w:sz w:val="24"/>
          <w:szCs w:val="24"/>
          <w:lang w:val="sr-Cyrl-CS"/>
        </w:rPr>
      </w:pPr>
    </w:p>
    <w:p w:rsidR="00745A6D" w:rsidRPr="00827818" w:rsidRDefault="00F47AA2" w:rsidP="0054034E">
      <w:pPr>
        <w:spacing w:after="0" w:line="240" w:lineRule="auto"/>
        <w:ind w:firstLine="720"/>
        <w:jc w:val="both"/>
        <w:rPr>
          <w:rFonts w:ascii="Times New Roman" w:eastAsia="Times New Roman" w:hAnsi="Times New Roman" w:cs="Times New Roman"/>
          <w:iCs/>
          <w:sz w:val="24"/>
          <w:szCs w:val="24"/>
          <w:lang w:val="sr-Cyrl-CS"/>
        </w:rPr>
      </w:pPr>
      <w:r>
        <w:rPr>
          <w:rFonts w:ascii="Times New Roman" w:eastAsia="Times New Roman" w:hAnsi="Times New Roman" w:cs="Times New Roman"/>
          <w:iCs/>
          <w:sz w:val="24"/>
          <w:szCs w:val="24"/>
          <w:lang w:val="sr-Cyrl-CS"/>
        </w:rPr>
        <w:lastRenderedPageBreak/>
        <w:t>89</w:t>
      </w:r>
      <w:r w:rsidR="001324A9" w:rsidRPr="00827818">
        <w:rPr>
          <w:rFonts w:ascii="Times New Roman" w:eastAsia="Times New Roman" w:hAnsi="Times New Roman" w:cs="Times New Roman"/>
          <w:iCs/>
          <w:sz w:val="24"/>
          <w:szCs w:val="24"/>
          <w:lang w:val="sr-Cyrl-CS"/>
        </w:rPr>
        <w:t xml:space="preserve">. </w:t>
      </w:r>
      <w:r w:rsidR="00043620" w:rsidRPr="00827818">
        <w:rPr>
          <w:rFonts w:ascii="Times New Roman" w:eastAsia="Times New Roman" w:hAnsi="Times New Roman" w:cs="Times New Roman"/>
          <w:iCs/>
          <w:sz w:val="24"/>
          <w:szCs w:val="24"/>
          <w:lang w:val="sr-Cyrl-CS"/>
        </w:rPr>
        <w:t xml:space="preserve">Ову одлуку објавити у „Службеном гласнику Републике </w:t>
      </w:r>
      <w:proofErr w:type="spellStart"/>
      <w:r w:rsidR="00043620" w:rsidRPr="00827818">
        <w:rPr>
          <w:rFonts w:ascii="Times New Roman" w:eastAsia="Times New Roman" w:hAnsi="Times New Roman" w:cs="Times New Roman"/>
          <w:iCs/>
          <w:sz w:val="24"/>
          <w:szCs w:val="24"/>
          <w:lang w:val="sr-Cyrl-CS"/>
        </w:rPr>
        <w:t>Србије</w:t>
      </w:r>
      <w:r w:rsidR="00E65243" w:rsidRPr="00827818">
        <w:rPr>
          <w:rFonts w:ascii="Times New Roman" w:eastAsia="Times New Roman" w:hAnsi="Times New Roman" w:cs="Times New Roman"/>
          <w:iCs/>
          <w:sz w:val="24"/>
          <w:szCs w:val="24"/>
          <w:lang w:val="sr-Cyrl-CS"/>
        </w:rPr>
        <w:t>ˮ</w:t>
      </w:r>
      <w:proofErr w:type="spellEnd"/>
      <w:r w:rsidR="00C24FE7" w:rsidRPr="00827818">
        <w:rPr>
          <w:rFonts w:ascii="Times New Roman" w:eastAsia="Times New Roman" w:hAnsi="Times New Roman" w:cs="Times New Roman"/>
          <w:iCs/>
          <w:sz w:val="24"/>
          <w:szCs w:val="24"/>
          <w:lang w:val="sr-Cyrl-CS"/>
        </w:rPr>
        <w:t>.</w:t>
      </w:r>
    </w:p>
    <w:p w:rsidR="0054034E" w:rsidRPr="00827818" w:rsidRDefault="0054034E" w:rsidP="0054034E">
      <w:pPr>
        <w:spacing w:after="0" w:line="240" w:lineRule="auto"/>
        <w:ind w:firstLine="720"/>
        <w:jc w:val="both"/>
        <w:rPr>
          <w:rFonts w:ascii="Times New Roman" w:eastAsia="Times New Roman" w:hAnsi="Times New Roman" w:cs="Times New Roman"/>
          <w:iCs/>
          <w:sz w:val="24"/>
          <w:szCs w:val="24"/>
          <w:lang w:val="sr-Cyrl-CS"/>
        </w:rPr>
      </w:pPr>
    </w:p>
    <w:p w:rsidR="0054034E" w:rsidRPr="00827818" w:rsidRDefault="0054034E" w:rsidP="0054034E">
      <w:pPr>
        <w:spacing w:after="0" w:line="240" w:lineRule="auto"/>
        <w:ind w:firstLine="720"/>
        <w:jc w:val="both"/>
        <w:rPr>
          <w:rFonts w:ascii="Times New Roman" w:eastAsia="Times New Roman" w:hAnsi="Times New Roman" w:cs="Times New Roman"/>
          <w:iCs/>
          <w:sz w:val="24"/>
          <w:szCs w:val="24"/>
          <w:lang w:val="sr-Cyrl-CS"/>
        </w:rPr>
      </w:pPr>
    </w:p>
    <w:p w:rsidR="0054034E" w:rsidRPr="00827818" w:rsidRDefault="008846C2" w:rsidP="0054034E">
      <w:pPr>
        <w:spacing w:after="0"/>
        <w:jc w:val="both"/>
        <w:rPr>
          <w:rFonts w:ascii="Times New Roman" w:eastAsia="Times New Roman" w:hAnsi="Times New Roman" w:cs="Times New Roman"/>
          <w:sz w:val="24"/>
          <w:szCs w:val="24"/>
          <w:lang w:val="sr-Cyrl-CS"/>
        </w:rPr>
      </w:pPr>
      <w:r w:rsidRPr="00827818">
        <w:rPr>
          <w:rFonts w:ascii="Times New Roman" w:eastAsia="Times New Roman" w:hAnsi="Times New Roman" w:cs="Times New Roman"/>
          <w:sz w:val="24"/>
          <w:szCs w:val="24"/>
          <w:lang w:val="sr-Cyrl-CS"/>
        </w:rPr>
        <w:t xml:space="preserve">05 </w:t>
      </w:r>
      <w:r w:rsidR="00043620" w:rsidRPr="00827818">
        <w:rPr>
          <w:rFonts w:ascii="Times New Roman" w:eastAsia="Times New Roman" w:hAnsi="Times New Roman" w:cs="Times New Roman"/>
          <w:sz w:val="24"/>
          <w:szCs w:val="24"/>
          <w:lang w:val="sr-Cyrl-CS"/>
        </w:rPr>
        <w:t>Број:</w:t>
      </w:r>
    </w:p>
    <w:p w:rsidR="008F6B4B" w:rsidRPr="00827818" w:rsidRDefault="008F6B4B" w:rsidP="0054034E">
      <w:pPr>
        <w:spacing w:after="0"/>
        <w:jc w:val="both"/>
        <w:rPr>
          <w:rFonts w:ascii="Times New Roman" w:eastAsia="Times New Roman" w:hAnsi="Times New Roman" w:cs="Times New Roman"/>
          <w:sz w:val="24"/>
          <w:szCs w:val="24"/>
          <w:lang w:val="sr-Cyrl-CS"/>
        </w:rPr>
      </w:pPr>
      <w:r w:rsidRPr="00827818">
        <w:rPr>
          <w:rFonts w:ascii="Times New Roman" w:eastAsia="Times New Roman" w:hAnsi="Times New Roman" w:cs="Times New Roman"/>
          <w:sz w:val="24"/>
          <w:szCs w:val="24"/>
          <w:lang w:val="sr-Cyrl-CS"/>
        </w:rPr>
        <w:t>У Београду,     децембра 2023. године</w:t>
      </w:r>
    </w:p>
    <w:p w:rsidR="00736982" w:rsidRDefault="00736982" w:rsidP="008F6B4B">
      <w:pPr>
        <w:tabs>
          <w:tab w:val="left" w:pos="3600"/>
        </w:tabs>
        <w:jc w:val="center"/>
        <w:rPr>
          <w:rFonts w:ascii="Times New Roman" w:eastAsia="Times New Roman" w:hAnsi="Times New Roman" w:cs="Times New Roman"/>
          <w:sz w:val="24"/>
          <w:szCs w:val="24"/>
          <w:lang w:val="sr-Cyrl-CS"/>
        </w:rPr>
      </w:pPr>
    </w:p>
    <w:p w:rsidR="00043620" w:rsidRPr="00827818" w:rsidRDefault="003E54C7" w:rsidP="008F6B4B">
      <w:pPr>
        <w:tabs>
          <w:tab w:val="left" w:pos="3600"/>
        </w:tabs>
        <w:jc w:val="center"/>
        <w:rPr>
          <w:rFonts w:ascii="Times New Roman" w:eastAsia="Times New Roman" w:hAnsi="Times New Roman" w:cs="Times New Roman"/>
          <w:sz w:val="24"/>
          <w:szCs w:val="24"/>
          <w:lang w:val="sr-Cyrl-CS"/>
        </w:rPr>
      </w:pPr>
      <w:r w:rsidRPr="00827818">
        <w:rPr>
          <w:rFonts w:ascii="Times New Roman" w:eastAsia="Times New Roman" w:hAnsi="Times New Roman" w:cs="Times New Roman"/>
          <w:sz w:val="24"/>
          <w:szCs w:val="24"/>
          <w:lang w:val="sr-Cyrl-CS"/>
        </w:rPr>
        <w:t>В</w:t>
      </w:r>
      <w:r w:rsidR="008F6B4B" w:rsidRPr="00827818">
        <w:rPr>
          <w:rFonts w:ascii="Times New Roman" w:eastAsia="Times New Roman" w:hAnsi="Times New Roman" w:cs="Times New Roman"/>
          <w:sz w:val="24"/>
          <w:szCs w:val="24"/>
          <w:lang w:val="sr-Cyrl-CS"/>
        </w:rPr>
        <w:t xml:space="preserve"> </w:t>
      </w:r>
      <w:r w:rsidRPr="00827818">
        <w:rPr>
          <w:rFonts w:ascii="Times New Roman" w:eastAsia="Times New Roman" w:hAnsi="Times New Roman" w:cs="Times New Roman"/>
          <w:sz w:val="24"/>
          <w:szCs w:val="24"/>
          <w:lang w:val="sr-Cyrl-CS"/>
        </w:rPr>
        <w:t>Л</w:t>
      </w:r>
      <w:r w:rsidR="008F6B4B" w:rsidRPr="00827818">
        <w:rPr>
          <w:rFonts w:ascii="Times New Roman" w:eastAsia="Times New Roman" w:hAnsi="Times New Roman" w:cs="Times New Roman"/>
          <w:sz w:val="24"/>
          <w:szCs w:val="24"/>
          <w:lang w:val="sr-Cyrl-CS"/>
        </w:rPr>
        <w:t xml:space="preserve"> </w:t>
      </w:r>
      <w:r w:rsidRPr="00827818">
        <w:rPr>
          <w:rFonts w:ascii="Times New Roman" w:eastAsia="Times New Roman" w:hAnsi="Times New Roman" w:cs="Times New Roman"/>
          <w:sz w:val="24"/>
          <w:szCs w:val="24"/>
          <w:lang w:val="sr-Cyrl-CS"/>
        </w:rPr>
        <w:t>А</w:t>
      </w:r>
      <w:r w:rsidR="008F6B4B" w:rsidRPr="00827818">
        <w:rPr>
          <w:rFonts w:ascii="Times New Roman" w:eastAsia="Times New Roman" w:hAnsi="Times New Roman" w:cs="Times New Roman"/>
          <w:sz w:val="24"/>
          <w:szCs w:val="24"/>
          <w:lang w:val="sr-Cyrl-CS"/>
        </w:rPr>
        <w:t xml:space="preserve"> </w:t>
      </w:r>
      <w:r w:rsidRPr="00827818">
        <w:rPr>
          <w:rFonts w:ascii="Times New Roman" w:eastAsia="Times New Roman" w:hAnsi="Times New Roman" w:cs="Times New Roman"/>
          <w:sz w:val="24"/>
          <w:szCs w:val="24"/>
          <w:lang w:val="sr-Cyrl-CS"/>
        </w:rPr>
        <w:t>Д</w:t>
      </w:r>
      <w:r w:rsidR="008F6B4B" w:rsidRPr="00827818">
        <w:rPr>
          <w:rFonts w:ascii="Times New Roman" w:eastAsia="Times New Roman" w:hAnsi="Times New Roman" w:cs="Times New Roman"/>
          <w:sz w:val="24"/>
          <w:szCs w:val="24"/>
          <w:lang w:val="sr-Cyrl-CS"/>
        </w:rPr>
        <w:t xml:space="preserve"> </w:t>
      </w:r>
      <w:r w:rsidRPr="00827818">
        <w:rPr>
          <w:rFonts w:ascii="Times New Roman" w:eastAsia="Times New Roman" w:hAnsi="Times New Roman" w:cs="Times New Roman"/>
          <w:sz w:val="24"/>
          <w:szCs w:val="24"/>
          <w:lang w:val="sr-Cyrl-CS"/>
        </w:rPr>
        <w:t>А</w:t>
      </w:r>
    </w:p>
    <w:p w:rsidR="00BC019B" w:rsidRPr="00827818" w:rsidRDefault="00043620" w:rsidP="00D57BAA">
      <w:pPr>
        <w:tabs>
          <w:tab w:val="left" w:pos="6120"/>
        </w:tabs>
        <w:jc w:val="both"/>
        <w:rPr>
          <w:rFonts w:ascii="Times New Roman" w:eastAsia="Times New Roman" w:hAnsi="Times New Roman" w:cs="Times New Roman"/>
          <w:sz w:val="24"/>
          <w:szCs w:val="24"/>
          <w:lang w:val="sr-Cyrl-CS"/>
        </w:rPr>
      </w:pPr>
      <w:r w:rsidRPr="00827818">
        <w:rPr>
          <w:rFonts w:ascii="Times New Roman" w:eastAsia="Times New Roman" w:hAnsi="Times New Roman" w:cs="Times New Roman"/>
          <w:sz w:val="24"/>
          <w:szCs w:val="24"/>
          <w:lang w:val="sr-Cyrl-CS"/>
        </w:rPr>
        <w:tab/>
      </w:r>
      <w:r w:rsidR="008F6B4B" w:rsidRPr="00827818">
        <w:rPr>
          <w:rFonts w:ascii="Times New Roman" w:eastAsia="Times New Roman" w:hAnsi="Times New Roman" w:cs="Times New Roman"/>
          <w:sz w:val="24"/>
          <w:szCs w:val="24"/>
          <w:lang w:val="sr-Cyrl-CS"/>
        </w:rPr>
        <w:t xml:space="preserve">                </w:t>
      </w:r>
      <w:r w:rsidRPr="00827818">
        <w:rPr>
          <w:rFonts w:ascii="Times New Roman" w:eastAsia="Times New Roman" w:hAnsi="Times New Roman" w:cs="Times New Roman"/>
          <w:sz w:val="24"/>
          <w:szCs w:val="24"/>
          <w:lang w:val="sr-Cyrl-CS"/>
        </w:rPr>
        <w:t>ПРЕДСЕДНИК</w:t>
      </w:r>
    </w:p>
    <w:p w:rsidR="00043620" w:rsidRPr="00827818" w:rsidRDefault="008F6B4B" w:rsidP="00D57BAA">
      <w:pPr>
        <w:tabs>
          <w:tab w:val="left" w:pos="6120"/>
        </w:tabs>
        <w:jc w:val="both"/>
        <w:rPr>
          <w:rFonts w:ascii="Times New Roman" w:eastAsia="Times New Roman" w:hAnsi="Times New Roman" w:cs="Times New Roman"/>
          <w:sz w:val="24"/>
          <w:szCs w:val="24"/>
          <w:lang w:val="sr-Cyrl-CS"/>
        </w:rPr>
      </w:pPr>
      <w:r w:rsidRPr="00827818">
        <w:rPr>
          <w:rFonts w:ascii="Times New Roman" w:eastAsia="Times New Roman" w:hAnsi="Times New Roman" w:cs="Times New Roman"/>
          <w:sz w:val="24"/>
          <w:szCs w:val="24"/>
          <w:lang w:val="sr-Cyrl-CS"/>
        </w:rPr>
        <w:tab/>
        <w:t xml:space="preserve">                  Ана Брнабић</w:t>
      </w:r>
    </w:p>
    <w:sectPr w:rsidR="00043620" w:rsidRPr="00827818" w:rsidSect="005E7F52">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DB" w:rsidRDefault="00297ADB" w:rsidP="005E7F52">
      <w:pPr>
        <w:spacing w:after="0" w:line="240" w:lineRule="auto"/>
      </w:pPr>
      <w:r>
        <w:separator/>
      </w:r>
    </w:p>
  </w:endnote>
  <w:endnote w:type="continuationSeparator" w:id="0">
    <w:p w:rsidR="00297ADB" w:rsidRDefault="00297ADB" w:rsidP="005E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DejaVu Sans Mono">
    <w:altName w:val="Verdana"/>
    <w:charset w:val="00"/>
    <w:family w:val="modern"/>
    <w:pitch w:val="fixed"/>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DB" w:rsidRDefault="00297ADB" w:rsidP="005E7F52">
      <w:pPr>
        <w:spacing w:after="0" w:line="240" w:lineRule="auto"/>
      </w:pPr>
      <w:r>
        <w:separator/>
      </w:r>
    </w:p>
  </w:footnote>
  <w:footnote w:type="continuationSeparator" w:id="0">
    <w:p w:rsidR="00297ADB" w:rsidRDefault="00297ADB" w:rsidP="005E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16527936"/>
      <w:docPartObj>
        <w:docPartGallery w:val="Page Numbers (Top of Page)"/>
        <w:docPartUnique/>
      </w:docPartObj>
    </w:sdtPr>
    <w:sdtEndPr>
      <w:rPr>
        <w:noProof/>
      </w:rPr>
    </w:sdtEndPr>
    <w:sdtContent>
      <w:p w:rsidR="00827818" w:rsidRDefault="00827818" w:rsidP="007C4F7E">
        <w:pPr>
          <w:pStyle w:val="Header"/>
          <w:jc w:val="center"/>
        </w:pPr>
        <w:r w:rsidRPr="00A95B84">
          <w:rPr>
            <w:rFonts w:ascii="Times New Roman" w:hAnsi="Times New Roman" w:cs="Times New Roman"/>
          </w:rPr>
          <w:t xml:space="preserve"> </w:t>
        </w:r>
        <w:r w:rsidRPr="00A95B84">
          <w:rPr>
            <w:rFonts w:ascii="Times New Roman" w:hAnsi="Times New Roman" w:cs="Times New Roman"/>
          </w:rPr>
          <w:fldChar w:fldCharType="begin"/>
        </w:r>
        <w:r w:rsidRPr="00A95B84">
          <w:rPr>
            <w:rFonts w:ascii="Times New Roman" w:hAnsi="Times New Roman" w:cs="Times New Roman"/>
          </w:rPr>
          <w:instrText xml:space="preserve"> PAGE   \* MERGEFORMAT </w:instrText>
        </w:r>
        <w:r w:rsidRPr="00A95B84">
          <w:rPr>
            <w:rFonts w:ascii="Times New Roman" w:hAnsi="Times New Roman" w:cs="Times New Roman"/>
          </w:rPr>
          <w:fldChar w:fldCharType="separate"/>
        </w:r>
        <w:r w:rsidR="00657C17">
          <w:rPr>
            <w:rFonts w:ascii="Times New Roman" w:hAnsi="Times New Roman" w:cs="Times New Roman"/>
            <w:noProof/>
          </w:rPr>
          <w:t>21</w:t>
        </w:r>
        <w:r w:rsidRPr="00A95B84">
          <w:rPr>
            <w:rFonts w:ascii="Times New Roman" w:hAnsi="Times New Roman" w:cs="Times New Roman"/>
            <w:noProof/>
          </w:rPr>
          <w:fldChar w:fldCharType="end"/>
        </w:r>
      </w:p>
    </w:sdtContent>
  </w:sdt>
  <w:p w:rsidR="00827818" w:rsidRDefault="008278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23164"/>
    <w:multiLevelType w:val="hybridMultilevel"/>
    <w:tmpl w:val="6E9257A8"/>
    <w:lvl w:ilvl="0" w:tplc="9438937C">
      <w:start w:val="7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C717C"/>
    <w:multiLevelType w:val="hybridMultilevel"/>
    <w:tmpl w:val="1AA0B852"/>
    <w:lvl w:ilvl="0" w:tplc="0409000F">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A3D65"/>
    <w:multiLevelType w:val="hybridMultilevel"/>
    <w:tmpl w:val="F782B84A"/>
    <w:lvl w:ilvl="0" w:tplc="0409000F">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947D4C"/>
    <w:multiLevelType w:val="hybridMultilevel"/>
    <w:tmpl w:val="9D9E588E"/>
    <w:lvl w:ilvl="0" w:tplc="281A000F">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60"/>
    <w:rsid w:val="00002540"/>
    <w:rsid w:val="0000286A"/>
    <w:rsid w:val="0000377B"/>
    <w:rsid w:val="00006B17"/>
    <w:rsid w:val="0000797C"/>
    <w:rsid w:val="00007AEC"/>
    <w:rsid w:val="0001141D"/>
    <w:rsid w:val="000118C6"/>
    <w:rsid w:val="000122B2"/>
    <w:rsid w:val="00012587"/>
    <w:rsid w:val="00012BDF"/>
    <w:rsid w:val="00014CBB"/>
    <w:rsid w:val="00015BFD"/>
    <w:rsid w:val="00017734"/>
    <w:rsid w:val="00021556"/>
    <w:rsid w:val="000215CF"/>
    <w:rsid w:val="000248B7"/>
    <w:rsid w:val="00024DE1"/>
    <w:rsid w:val="00025229"/>
    <w:rsid w:val="00025B11"/>
    <w:rsid w:val="00025F57"/>
    <w:rsid w:val="00025F9F"/>
    <w:rsid w:val="000261A3"/>
    <w:rsid w:val="00027B39"/>
    <w:rsid w:val="00030726"/>
    <w:rsid w:val="00030CD8"/>
    <w:rsid w:val="00031DF3"/>
    <w:rsid w:val="00032034"/>
    <w:rsid w:val="0003263A"/>
    <w:rsid w:val="00032A41"/>
    <w:rsid w:val="00034310"/>
    <w:rsid w:val="00034491"/>
    <w:rsid w:val="000369DF"/>
    <w:rsid w:val="00036AB6"/>
    <w:rsid w:val="000407B0"/>
    <w:rsid w:val="0004135E"/>
    <w:rsid w:val="00042222"/>
    <w:rsid w:val="00042547"/>
    <w:rsid w:val="00042BCC"/>
    <w:rsid w:val="000431ED"/>
    <w:rsid w:val="00043227"/>
    <w:rsid w:val="00043620"/>
    <w:rsid w:val="00044FB6"/>
    <w:rsid w:val="000452DA"/>
    <w:rsid w:val="0005087C"/>
    <w:rsid w:val="00051828"/>
    <w:rsid w:val="0005295C"/>
    <w:rsid w:val="0005519B"/>
    <w:rsid w:val="00055399"/>
    <w:rsid w:val="00055436"/>
    <w:rsid w:val="00056CA5"/>
    <w:rsid w:val="00057290"/>
    <w:rsid w:val="00060C02"/>
    <w:rsid w:val="00061A06"/>
    <w:rsid w:val="00062FA6"/>
    <w:rsid w:val="0006331C"/>
    <w:rsid w:val="00064F18"/>
    <w:rsid w:val="00067CED"/>
    <w:rsid w:val="0007031A"/>
    <w:rsid w:val="000708A7"/>
    <w:rsid w:val="00070CDD"/>
    <w:rsid w:val="00071822"/>
    <w:rsid w:val="0007319A"/>
    <w:rsid w:val="000732D6"/>
    <w:rsid w:val="00073FF4"/>
    <w:rsid w:val="00076BEC"/>
    <w:rsid w:val="00077D00"/>
    <w:rsid w:val="00081AD2"/>
    <w:rsid w:val="00081F9D"/>
    <w:rsid w:val="0008365B"/>
    <w:rsid w:val="000846A6"/>
    <w:rsid w:val="000846C0"/>
    <w:rsid w:val="00086A7E"/>
    <w:rsid w:val="00086BA5"/>
    <w:rsid w:val="0008757A"/>
    <w:rsid w:val="000877E8"/>
    <w:rsid w:val="00090D82"/>
    <w:rsid w:val="00092B0B"/>
    <w:rsid w:val="0009489A"/>
    <w:rsid w:val="00096930"/>
    <w:rsid w:val="000A29AD"/>
    <w:rsid w:val="000A7BEA"/>
    <w:rsid w:val="000A7C01"/>
    <w:rsid w:val="000B0AB2"/>
    <w:rsid w:val="000B1ECE"/>
    <w:rsid w:val="000B2445"/>
    <w:rsid w:val="000B3930"/>
    <w:rsid w:val="000B3A22"/>
    <w:rsid w:val="000B3C5D"/>
    <w:rsid w:val="000B4613"/>
    <w:rsid w:val="000B46A8"/>
    <w:rsid w:val="000B4F5E"/>
    <w:rsid w:val="000B7785"/>
    <w:rsid w:val="000C0CCA"/>
    <w:rsid w:val="000C105E"/>
    <w:rsid w:val="000C1953"/>
    <w:rsid w:val="000C7C8F"/>
    <w:rsid w:val="000D0F54"/>
    <w:rsid w:val="000D1D17"/>
    <w:rsid w:val="000D27BA"/>
    <w:rsid w:val="000D6B49"/>
    <w:rsid w:val="000D7E5B"/>
    <w:rsid w:val="000E18F8"/>
    <w:rsid w:val="000E1E41"/>
    <w:rsid w:val="000E3CAF"/>
    <w:rsid w:val="000E5448"/>
    <w:rsid w:val="000E5BA1"/>
    <w:rsid w:val="000F02CC"/>
    <w:rsid w:val="000F03DB"/>
    <w:rsid w:val="000F0410"/>
    <w:rsid w:val="000F2482"/>
    <w:rsid w:val="000F75BD"/>
    <w:rsid w:val="000F79C9"/>
    <w:rsid w:val="000F7A50"/>
    <w:rsid w:val="001005CD"/>
    <w:rsid w:val="00100817"/>
    <w:rsid w:val="00101813"/>
    <w:rsid w:val="00101BB7"/>
    <w:rsid w:val="00102E7A"/>
    <w:rsid w:val="001034A7"/>
    <w:rsid w:val="00105659"/>
    <w:rsid w:val="001056B9"/>
    <w:rsid w:val="00105B44"/>
    <w:rsid w:val="00105CD1"/>
    <w:rsid w:val="0010795E"/>
    <w:rsid w:val="00107D7B"/>
    <w:rsid w:val="00110A11"/>
    <w:rsid w:val="00112C28"/>
    <w:rsid w:val="0011314D"/>
    <w:rsid w:val="00115F59"/>
    <w:rsid w:val="00116BD3"/>
    <w:rsid w:val="0012348C"/>
    <w:rsid w:val="00123EB7"/>
    <w:rsid w:val="001241DA"/>
    <w:rsid w:val="0013058D"/>
    <w:rsid w:val="00131D4A"/>
    <w:rsid w:val="00131E2A"/>
    <w:rsid w:val="001324A9"/>
    <w:rsid w:val="00132927"/>
    <w:rsid w:val="00134AEA"/>
    <w:rsid w:val="00135D09"/>
    <w:rsid w:val="0013635D"/>
    <w:rsid w:val="0013641E"/>
    <w:rsid w:val="0014047B"/>
    <w:rsid w:val="00140881"/>
    <w:rsid w:val="00140AB4"/>
    <w:rsid w:val="00144247"/>
    <w:rsid w:val="0014438E"/>
    <w:rsid w:val="00144C4A"/>
    <w:rsid w:val="00145A0B"/>
    <w:rsid w:val="00145A79"/>
    <w:rsid w:val="001474E9"/>
    <w:rsid w:val="001478A8"/>
    <w:rsid w:val="0015027A"/>
    <w:rsid w:val="00150EE5"/>
    <w:rsid w:val="00151363"/>
    <w:rsid w:val="00151CEC"/>
    <w:rsid w:val="00152E29"/>
    <w:rsid w:val="0015418F"/>
    <w:rsid w:val="00154D18"/>
    <w:rsid w:val="0015593C"/>
    <w:rsid w:val="00156852"/>
    <w:rsid w:val="00157438"/>
    <w:rsid w:val="00160FED"/>
    <w:rsid w:val="00163129"/>
    <w:rsid w:val="001634A5"/>
    <w:rsid w:val="00163548"/>
    <w:rsid w:val="0016681C"/>
    <w:rsid w:val="0017041D"/>
    <w:rsid w:val="001732BA"/>
    <w:rsid w:val="00173976"/>
    <w:rsid w:val="001739FE"/>
    <w:rsid w:val="0017423B"/>
    <w:rsid w:val="001748D6"/>
    <w:rsid w:val="00175D0B"/>
    <w:rsid w:val="001774BD"/>
    <w:rsid w:val="00182945"/>
    <w:rsid w:val="00183439"/>
    <w:rsid w:val="00183930"/>
    <w:rsid w:val="00183AE0"/>
    <w:rsid w:val="001845F0"/>
    <w:rsid w:val="00187669"/>
    <w:rsid w:val="001922B1"/>
    <w:rsid w:val="001930DE"/>
    <w:rsid w:val="001939A3"/>
    <w:rsid w:val="00194481"/>
    <w:rsid w:val="00194AC7"/>
    <w:rsid w:val="00196151"/>
    <w:rsid w:val="00197655"/>
    <w:rsid w:val="00197C9E"/>
    <w:rsid w:val="001A02CA"/>
    <w:rsid w:val="001A21FF"/>
    <w:rsid w:val="001A25E8"/>
    <w:rsid w:val="001A2D36"/>
    <w:rsid w:val="001A3B04"/>
    <w:rsid w:val="001A4126"/>
    <w:rsid w:val="001A53CD"/>
    <w:rsid w:val="001A59D3"/>
    <w:rsid w:val="001A7E4C"/>
    <w:rsid w:val="001B067F"/>
    <w:rsid w:val="001B264B"/>
    <w:rsid w:val="001B5ABF"/>
    <w:rsid w:val="001B61CC"/>
    <w:rsid w:val="001C06E9"/>
    <w:rsid w:val="001C1991"/>
    <w:rsid w:val="001C2F4C"/>
    <w:rsid w:val="001C31B9"/>
    <w:rsid w:val="001C38DC"/>
    <w:rsid w:val="001C4D2E"/>
    <w:rsid w:val="001C5740"/>
    <w:rsid w:val="001C5D82"/>
    <w:rsid w:val="001C618F"/>
    <w:rsid w:val="001C706F"/>
    <w:rsid w:val="001C7B35"/>
    <w:rsid w:val="001C7FE3"/>
    <w:rsid w:val="001D022A"/>
    <w:rsid w:val="001D1CC7"/>
    <w:rsid w:val="001D4A41"/>
    <w:rsid w:val="001E143B"/>
    <w:rsid w:val="001E1940"/>
    <w:rsid w:val="001E2C05"/>
    <w:rsid w:val="001E3208"/>
    <w:rsid w:val="001E364A"/>
    <w:rsid w:val="001E3A01"/>
    <w:rsid w:val="001E4F4D"/>
    <w:rsid w:val="001F0D32"/>
    <w:rsid w:val="001F0EF3"/>
    <w:rsid w:val="001F1B81"/>
    <w:rsid w:val="001F2061"/>
    <w:rsid w:val="001F2AB2"/>
    <w:rsid w:val="001F3A58"/>
    <w:rsid w:val="001F439A"/>
    <w:rsid w:val="001F43A8"/>
    <w:rsid w:val="001F46C4"/>
    <w:rsid w:val="001F49AC"/>
    <w:rsid w:val="001F7AEB"/>
    <w:rsid w:val="001F7BA1"/>
    <w:rsid w:val="002004F5"/>
    <w:rsid w:val="00200D10"/>
    <w:rsid w:val="00201B14"/>
    <w:rsid w:val="00201E8C"/>
    <w:rsid w:val="002029ED"/>
    <w:rsid w:val="00204D24"/>
    <w:rsid w:val="00205C4B"/>
    <w:rsid w:val="002060D0"/>
    <w:rsid w:val="00207AC3"/>
    <w:rsid w:val="00210DC8"/>
    <w:rsid w:val="002112FB"/>
    <w:rsid w:val="00211A00"/>
    <w:rsid w:val="00213BC7"/>
    <w:rsid w:val="002202C2"/>
    <w:rsid w:val="00221978"/>
    <w:rsid w:val="00221A61"/>
    <w:rsid w:val="00222391"/>
    <w:rsid w:val="00222422"/>
    <w:rsid w:val="002229C0"/>
    <w:rsid w:val="00222CCF"/>
    <w:rsid w:val="00223ED1"/>
    <w:rsid w:val="00224CC7"/>
    <w:rsid w:val="0022522A"/>
    <w:rsid w:val="002264F5"/>
    <w:rsid w:val="00226A22"/>
    <w:rsid w:val="00226CFC"/>
    <w:rsid w:val="00226EFA"/>
    <w:rsid w:val="002270EB"/>
    <w:rsid w:val="002271DA"/>
    <w:rsid w:val="00230F57"/>
    <w:rsid w:val="00231BB7"/>
    <w:rsid w:val="0023205A"/>
    <w:rsid w:val="00232115"/>
    <w:rsid w:val="00232358"/>
    <w:rsid w:val="00232844"/>
    <w:rsid w:val="00234470"/>
    <w:rsid w:val="00234FCA"/>
    <w:rsid w:val="0023575B"/>
    <w:rsid w:val="002370C2"/>
    <w:rsid w:val="002371F3"/>
    <w:rsid w:val="00237D59"/>
    <w:rsid w:val="0024128F"/>
    <w:rsid w:val="002449B7"/>
    <w:rsid w:val="0024705A"/>
    <w:rsid w:val="002502E4"/>
    <w:rsid w:val="00250785"/>
    <w:rsid w:val="00251270"/>
    <w:rsid w:val="00251734"/>
    <w:rsid w:val="002523F4"/>
    <w:rsid w:val="00252407"/>
    <w:rsid w:val="00252558"/>
    <w:rsid w:val="00254AEF"/>
    <w:rsid w:val="00254B97"/>
    <w:rsid w:val="00255C65"/>
    <w:rsid w:val="0025644E"/>
    <w:rsid w:val="00256B98"/>
    <w:rsid w:val="00257073"/>
    <w:rsid w:val="00260BA0"/>
    <w:rsid w:val="00261196"/>
    <w:rsid w:val="00261DE1"/>
    <w:rsid w:val="00262BF1"/>
    <w:rsid w:val="00264184"/>
    <w:rsid w:val="002651BF"/>
    <w:rsid w:val="00265656"/>
    <w:rsid w:val="00265DF7"/>
    <w:rsid w:val="00266661"/>
    <w:rsid w:val="00267016"/>
    <w:rsid w:val="00267963"/>
    <w:rsid w:val="00267EEA"/>
    <w:rsid w:val="00272B94"/>
    <w:rsid w:val="00272E24"/>
    <w:rsid w:val="00272FC7"/>
    <w:rsid w:val="00274B01"/>
    <w:rsid w:val="0027591E"/>
    <w:rsid w:val="00277AE5"/>
    <w:rsid w:val="00277CBA"/>
    <w:rsid w:val="00283C40"/>
    <w:rsid w:val="00285AB1"/>
    <w:rsid w:val="00286576"/>
    <w:rsid w:val="00286AB2"/>
    <w:rsid w:val="00286E7A"/>
    <w:rsid w:val="00287CB0"/>
    <w:rsid w:val="0029107D"/>
    <w:rsid w:val="00292FD9"/>
    <w:rsid w:val="00294196"/>
    <w:rsid w:val="00294321"/>
    <w:rsid w:val="00295209"/>
    <w:rsid w:val="00295376"/>
    <w:rsid w:val="0029622E"/>
    <w:rsid w:val="00297862"/>
    <w:rsid w:val="00297ADB"/>
    <w:rsid w:val="00297D0F"/>
    <w:rsid w:val="002A0101"/>
    <w:rsid w:val="002A07C0"/>
    <w:rsid w:val="002A18AD"/>
    <w:rsid w:val="002A1C89"/>
    <w:rsid w:val="002A1EA3"/>
    <w:rsid w:val="002A24AB"/>
    <w:rsid w:val="002A29B5"/>
    <w:rsid w:val="002A3D53"/>
    <w:rsid w:val="002A5A65"/>
    <w:rsid w:val="002A6D78"/>
    <w:rsid w:val="002B26DA"/>
    <w:rsid w:val="002B3E80"/>
    <w:rsid w:val="002B4140"/>
    <w:rsid w:val="002B73DD"/>
    <w:rsid w:val="002B75A0"/>
    <w:rsid w:val="002C03C3"/>
    <w:rsid w:val="002C0F7B"/>
    <w:rsid w:val="002C4655"/>
    <w:rsid w:val="002C5787"/>
    <w:rsid w:val="002C78AE"/>
    <w:rsid w:val="002C7C60"/>
    <w:rsid w:val="002C7F12"/>
    <w:rsid w:val="002D107C"/>
    <w:rsid w:val="002D1889"/>
    <w:rsid w:val="002D20A6"/>
    <w:rsid w:val="002D25C4"/>
    <w:rsid w:val="002D2B2B"/>
    <w:rsid w:val="002D2E40"/>
    <w:rsid w:val="002D41CF"/>
    <w:rsid w:val="002D596E"/>
    <w:rsid w:val="002D5A15"/>
    <w:rsid w:val="002D77A2"/>
    <w:rsid w:val="002E0986"/>
    <w:rsid w:val="002E1B76"/>
    <w:rsid w:val="002E2985"/>
    <w:rsid w:val="002E2F7F"/>
    <w:rsid w:val="002E3D36"/>
    <w:rsid w:val="002E4345"/>
    <w:rsid w:val="002E5085"/>
    <w:rsid w:val="002E7789"/>
    <w:rsid w:val="002F189C"/>
    <w:rsid w:val="002F23FA"/>
    <w:rsid w:val="002F2B24"/>
    <w:rsid w:val="002F316A"/>
    <w:rsid w:val="002F361C"/>
    <w:rsid w:val="002F3B75"/>
    <w:rsid w:val="002F49AB"/>
    <w:rsid w:val="002F5B18"/>
    <w:rsid w:val="002F5FC6"/>
    <w:rsid w:val="003006DB"/>
    <w:rsid w:val="00300A80"/>
    <w:rsid w:val="003013E8"/>
    <w:rsid w:val="00301E96"/>
    <w:rsid w:val="0030207B"/>
    <w:rsid w:val="00302461"/>
    <w:rsid w:val="00304CEF"/>
    <w:rsid w:val="00304D69"/>
    <w:rsid w:val="00305097"/>
    <w:rsid w:val="003055BD"/>
    <w:rsid w:val="003060DE"/>
    <w:rsid w:val="00310967"/>
    <w:rsid w:val="003113CD"/>
    <w:rsid w:val="003116B9"/>
    <w:rsid w:val="00311BA1"/>
    <w:rsid w:val="00312E20"/>
    <w:rsid w:val="00313CA6"/>
    <w:rsid w:val="00313CBC"/>
    <w:rsid w:val="00314439"/>
    <w:rsid w:val="00314977"/>
    <w:rsid w:val="00314C03"/>
    <w:rsid w:val="00314FAA"/>
    <w:rsid w:val="00315903"/>
    <w:rsid w:val="00315DD0"/>
    <w:rsid w:val="00316D84"/>
    <w:rsid w:val="003171DC"/>
    <w:rsid w:val="00317B35"/>
    <w:rsid w:val="00317B4E"/>
    <w:rsid w:val="0032052B"/>
    <w:rsid w:val="00320F58"/>
    <w:rsid w:val="00321097"/>
    <w:rsid w:val="00321CD0"/>
    <w:rsid w:val="003222D2"/>
    <w:rsid w:val="00323017"/>
    <w:rsid w:val="0032306D"/>
    <w:rsid w:val="00323483"/>
    <w:rsid w:val="0032389E"/>
    <w:rsid w:val="00324657"/>
    <w:rsid w:val="00326797"/>
    <w:rsid w:val="00326940"/>
    <w:rsid w:val="003278BA"/>
    <w:rsid w:val="00330DF3"/>
    <w:rsid w:val="00331769"/>
    <w:rsid w:val="00331BE8"/>
    <w:rsid w:val="00332FF6"/>
    <w:rsid w:val="003338A0"/>
    <w:rsid w:val="0033596D"/>
    <w:rsid w:val="00335F73"/>
    <w:rsid w:val="00336864"/>
    <w:rsid w:val="00341B7D"/>
    <w:rsid w:val="00343DBA"/>
    <w:rsid w:val="003442D5"/>
    <w:rsid w:val="0034508D"/>
    <w:rsid w:val="003455DC"/>
    <w:rsid w:val="00345969"/>
    <w:rsid w:val="00345FC3"/>
    <w:rsid w:val="0034645F"/>
    <w:rsid w:val="0034781C"/>
    <w:rsid w:val="00347F89"/>
    <w:rsid w:val="003500A3"/>
    <w:rsid w:val="003531F1"/>
    <w:rsid w:val="00354081"/>
    <w:rsid w:val="0035751E"/>
    <w:rsid w:val="00360AAE"/>
    <w:rsid w:val="0036295E"/>
    <w:rsid w:val="00362C4F"/>
    <w:rsid w:val="00363A39"/>
    <w:rsid w:val="003640DC"/>
    <w:rsid w:val="003641AC"/>
    <w:rsid w:val="003649E0"/>
    <w:rsid w:val="0036748D"/>
    <w:rsid w:val="0037038B"/>
    <w:rsid w:val="00370D6D"/>
    <w:rsid w:val="003725BB"/>
    <w:rsid w:val="00372A55"/>
    <w:rsid w:val="00373A85"/>
    <w:rsid w:val="003743DF"/>
    <w:rsid w:val="003765C3"/>
    <w:rsid w:val="00376B6B"/>
    <w:rsid w:val="00377271"/>
    <w:rsid w:val="00380E55"/>
    <w:rsid w:val="00380E73"/>
    <w:rsid w:val="003819FD"/>
    <w:rsid w:val="00383F60"/>
    <w:rsid w:val="00384146"/>
    <w:rsid w:val="003841B8"/>
    <w:rsid w:val="00384853"/>
    <w:rsid w:val="00384FBC"/>
    <w:rsid w:val="0038695A"/>
    <w:rsid w:val="003879AF"/>
    <w:rsid w:val="00390428"/>
    <w:rsid w:val="00391F76"/>
    <w:rsid w:val="00392FEE"/>
    <w:rsid w:val="00393440"/>
    <w:rsid w:val="00397B86"/>
    <w:rsid w:val="003A0879"/>
    <w:rsid w:val="003A176A"/>
    <w:rsid w:val="003A1A50"/>
    <w:rsid w:val="003A1C26"/>
    <w:rsid w:val="003A22E1"/>
    <w:rsid w:val="003A251D"/>
    <w:rsid w:val="003A29B7"/>
    <w:rsid w:val="003A33F5"/>
    <w:rsid w:val="003A37F6"/>
    <w:rsid w:val="003A4B40"/>
    <w:rsid w:val="003A4BC3"/>
    <w:rsid w:val="003A563A"/>
    <w:rsid w:val="003A56A6"/>
    <w:rsid w:val="003A5718"/>
    <w:rsid w:val="003A60B3"/>
    <w:rsid w:val="003A75BF"/>
    <w:rsid w:val="003B2852"/>
    <w:rsid w:val="003B2DAC"/>
    <w:rsid w:val="003B36A8"/>
    <w:rsid w:val="003B56F9"/>
    <w:rsid w:val="003C05C5"/>
    <w:rsid w:val="003C0F4E"/>
    <w:rsid w:val="003C1CED"/>
    <w:rsid w:val="003C2AE1"/>
    <w:rsid w:val="003D1768"/>
    <w:rsid w:val="003D2EF9"/>
    <w:rsid w:val="003D4814"/>
    <w:rsid w:val="003D54B7"/>
    <w:rsid w:val="003D5D67"/>
    <w:rsid w:val="003D5EF3"/>
    <w:rsid w:val="003E1FEF"/>
    <w:rsid w:val="003E28E7"/>
    <w:rsid w:val="003E31D5"/>
    <w:rsid w:val="003E4C28"/>
    <w:rsid w:val="003E54C7"/>
    <w:rsid w:val="003E56DB"/>
    <w:rsid w:val="003E6282"/>
    <w:rsid w:val="003E6F9F"/>
    <w:rsid w:val="003E77B8"/>
    <w:rsid w:val="003F0440"/>
    <w:rsid w:val="003F0FBE"/>
    <w:rsid w:val="003F2C15"/>
    <w:rsid w:val="003F2F7D"/>
    <w:rsid w:val="003F3BE1"/>
    <w:rsid w:val="003F3E24"/>
    <w:rsid w:val="003F4BEE"/>
    <w:rsid w:val="003F5181"/>
    <w:rsid w:val="003F5B78"/>
    <w:rsid w:val="003F68DE"/>
    <w:rsid w:val="00400DEF"/>
    <w:rsid w:val="004029B0"/>
    <w:rsid w:val="004033A6"/>
    <w:rsid w:val="00404171"/>
    <w:rsid w:val="00406A68"/>
    <w:rsid w:val="004117C5"/>
    <w:rsid w:val="00411E04"/>
    <w:rsid w:val="00415C06"/>
    <w:rsid w:val="004163F1"/>
    <w:rsid w:val="00417019"/>
    <w:rsid w:val="004208F0"/>
    <w:rsid w:val="00421EB7"/>
    <w:rsid w:val="00423027"/>
    <w:rsid w:val="004232AC"/>
    <w:rsid w:val="00423AE6"/>
    <w:rsid w:val="00427D26"/>
    <w:rsid w:val="004315F9"/>
    <w:rsid w:val="00432D07"/>
    <w:rsid w:val="00432D86"/>
    <w:rsid w:val="00433022"/>
    <w:rsid w:val="004345D3"/>
    <w:rsid w:val="00434CFA"/>
    <w:rsid w:val="00435409"/>
    <w:rsid w:val="00437884"/>
    <w:rsid w:val="00437BAE"/>
    <w:rsid w:val="004404C1"/>
    <w:rsid w:val="00440DB2"/>
    <w:rsid w:val="004412E7"/>
    <w:rsid w:val="00441F47"/>
    <w:rsid w:val="00444BE8"/>
    <w:rsid w:val="0044521C"/>
    <w:rsid w:val="004464DD"/>
    <w:rsid w:val="0044792C"/>
    <w:rsid w:val="00447A6F"/>
    <w:rsid w:val="00450897"/>
    <w:rsid w:val="00451CDE"/>
    <w:rsid w:val="00452BC8"/>
    <w:rsid w:val="004537D9"/>
    <w:rsid w:val="00455156"/>
    <w:rsid w:val="00457D56"/>
    <w:rsid w:val="0046154A"/>
    <w:rsid w:val="004620A9"/>
    <w:rsid w:val="004632C3"/>
    <w:rsid w:val="00463AED"/>
    <w:rsid w:val="0046538C"/>
    <w:rsid w:val="00467B62"/>
    <w:rsid w:val="00467C64"/>
    <w:rsid w:val="00467E37"/>
    <w:rsid w:val="004704B8"/>
    <w:rsid w:val="0047219F"/>
    <w:rsid w:val="0047613B"/>
    <w:rsid w:val="00476DB5"/>
    <w:rsid w:val="00476DB7"/>
    <w:rsid w:val="00477218"/>
    <w:rsid w:val="00481287"/>
    <w:rsid w:val="00481917"/>
    <w:rsid w:val="00481C80"/>
    <w:rsid w:val="00483786"/>
    <w:rsid w:val="00483E0F"/>
    <w:rsid w:val="00485815"/>
    <w:rsid w:val="004866E2"/>
    <w:rsid w:val="0048786E"/>
    <w:rsid w:val="0048791F"/>
    <w:rsid w:val="00487D59"/>
    <w:rsid w:val="00490A42"/>
    <w:rsid w:val="00493333"/>
    <w:rsid w:val="00493A0A"/>
    <w:rsid w:val="00494449"/>
    <w:rsid w:val="00494FE4"/>
    <w:rsid w:val="00495383"/>
    <w:rsid w:val="00495E7D"/>
    <w:rsid w:val="004A0B7F"/>
    <w:rsid w:val="004A50C6"/>
    <w:rsid w:val="004A527A"/>
    <w:rsid w:val="004A6018"/>
    <w:rsid w:val="004A777D"/>
    <w:rsid w:val="004A77D7"/>
    <w:rsid w:val="004A78E6"/>
    <w:rsid w:val="004B0128"/>
    <w:rsid w:val="004B02EE"/>
    <w:rsid w:val="004B5CC1"/>
    <w:rsid w:val="004B6AF9"/>
    <w:rsid w:val="004B7165"/>
    <w:rsid w:val="004B7377"/>
    <w:rsid w:val="004C02E9"/>
    <w:rsid w:val="004C28DE"/>
    <w:rsid w:val="004C35B3"/>
    <w:rsid w:val="004C3A54"/>
    <w:rsid w:val="004C59C0"/>
    <w:rsid w:val="004C5E42"/>
    <w:rsid w:val="004C6B2E"/>
    <w:rsid w:val="004C7A44"/>
    <w:rsid w:val="004D0F9F"/>
    <w:rsid w:val="004D1D81"/>
    <w:rsid w:val="004D1FD9"/>
    <w:rsid w:val="004D49E4"/>
    <w:rsid w:val="004D5541"/>
    <w:rsid w:val="004E1184"/>
    <w:rsid w:val="004E2905"/>
    <w:rsid w:val="004E34C4"/>
    <w:rsid w:val="004E4540"/>
    <w:rsid w:val="004E46BA"/>
    <w:rsid w:val="004E58FF"/>
    <w:rsid w:val="004E7DE3"/>
    <w:rsid w:val="004F0C32"/>
    <w:rsid w:val="004F1D4A"/>
    <w:rsid w:val="004F3C0F"/>
    <w:rsid w:val="004F3ED0"/>
    <w:rsid w:val="004F4B72"/>
    <w:rsid w:val="004F592E"/>
    <w:rsid w:val="004F6014"/>
    <w:rsid w:val="004F6571"/>
    <w:rsid w:val="004F67D8"/>
    <w:rsid w:val="004F686C"/>
    <w:rsid w:val="004F75D0"/>
    <w:rsid w:val="00500091"/>
    <w:rsid w:val="005011E7"/>
    <w:rsid w:val="0050293B"/>
    <w:rsid w:val="005045F7"/>
    <w:rsid w:val="00504C88"/>
    <w:rsid w:val="00504DCA"/>
    <w:rsid w:val="00506DAE"/>
    <w:rsid w:val="00506EE0"/>
    <w:rsid w:val="005077BE"/>
    <w:rsid w:val="00507F6E"/>
    <w:rsid w:val="005104F5"/>
    <w:rsid w:val="00510522"/>
    <w:rsid w:val="00510932"/>
    <w:rsid w:val="00510FDE"/>
    <w:rsid w:val="005111BC"/>
    <w:rsid w:val="00513031"/>
    <w:rsid w:val="005136E4"/>
    <w:rsid w:val="0051593C"/>
    <w:rsid w:val="005166C7"/>
    <w:rsid w:val="00516B6D"/>
    <w:rsid w:val="005171A3"/>
    <w:rsid w:val="00520135"/>
    <w:rsid w:val="00521F66"/>
    <w:rsid w:val="00522B95"/>
    <w:rsid w:val="00522F60"/>
    <w:rsid w:val="00523BDC"/>
    <w:rsid w:val="00525216"/>
    <w:rsid w:val="0052649A"/>
    <w:rsid w:val="00526CFA"/>
    <w:rsid w:val="005302A1"/>
    <w:rsid w:val="0053100D"/>
    <w:rsid w:val="005310E5"/>
    <w:rsid w:val="00531F23"/>
    <w:rsid w:val="00537006"/>
    <w:rsid w:val="0054034E"/>
    <w:rsid w:val="00541246"/>
    <w:rsid w:val="00541E53"/>
    <w:rsid w:val="00542105"/>
    <w:rsid w:val="00543171"/>
    <w:rsid w:val="0054375F"/>
    <w:rsid w:val="005457F4"/>
    <w:rsid w:val="00545FB7"/>
    <w:rsid w:val="005475D3"/>
    <w:rsid w:val="00547BD8"/>
    <w:rsid w:val="0055003B"/>
    <w:rsid w:val="00551402"/>
    <w:rsid w:val="0055149A"/>
    <w:rsid w:val="005524AA"/>
    <w:rsid w:val="005540AA"/>
    <w:rsid w:val="00555388"/>
    <w:rsid w:val="00560C61"/>
    <w:rsid w:val="0056154A"/>
    <w:rsid w:val="00562296"/>
    <w:rsid w:val="005645E5"/>
    <w:rsid w:val="00564F03"/>
    <w:rsid w:val="00565FA6"/>
    <w:rsid w:val="00566E33"/>
    <w:rsid w:val="005672D2"/>
    <w:rsid w:val="005678B8"/>
    <w:rsid w:val="0057117E"/>
    <w:rsid w:val="005719B6"/>
    <w:rsid w:val="00573918"/>
    <w:rsid w:val="00573F10"/>
    <w:rsid w:val="00574A78"/>
    <w:rsid w:val="0057598F"/>
    <w:rsid w:val="00575D32"/>
    <w:rsid w:val="00577A47"/>
    <w:rsid w:val="00580E34"/>
    <w:rsid w:val="00581303"/>
    <w:rsid w:val="00581E66"/>
    <w:rsid w:val="00583B32"/>
    <w:rsid w:val="00584A4C"/>
    <w:rsid w:val="00584C88"/>
    <w:rsid w:val="00586528"/>
    <w:rsid w:val="00586855"/>
    <w:rsid w:val="00586FAA"/>
    <w:rsid w:val="00590E75"/>
    <w:rsid w:val="005931F2"/>
    <w:rsid w:val="0059340D"/>
    <w:rsid w:val="005944CD"/>
    <w:rsid w:val="00594CB1"/>
    <w:rsid w:val="005970DA"/>
    <w:rsid w:val="00597216"/>
    <w:rsid w:val="005A019A"/>
    <w:rsid w:val="005A09E0"/>
    <w:rsid w:val="005A34CA"/>
    <w:rsid w:val="005A3B6E"/>
    <w:rsid w:val="005A3F2A"/>
    <w:rsid w:val="005A4A14"/>
    <w:rsid w:val="005A52BF"/>
    <w:rsid w:val="005A53C9"/>
    <w:rsid w:val="005A781E"/>
    <w:rsid w:val="005A79FC"/>
    <w:rsid w:val="005B0385"/>
    <w:rsid w:val="005B0BBA"/>
    <w:rsid w:val="005B1012"/>
    <w:rsid w:val="005B115D"/>
    <w:rsid w:val="005B1621"/>
    <w:rsid w:val="005B22F4"/>
    <w:rsid w:val="005B32EB"/>
    <w:rsid w:val="005B33A9"/>
    <w:rsid w:val="005B4661"/>
    <w:rsid w:val="005B669C"/>
    <w:rsid w:val="005B7734"/>
    <w:rsid w:val="005C0AE5"/>
    <w:rsid w:val="005C3960"/>
    <w:rsid w:val="005C39BB"/>
    <w:rsid w:val="005C463B"/>
    <w:rsid w:val="005C6C70"/>
    <w:rsid w:val="005C6EF9"/>
    <w:rsid w:val="005D0B73"/>
    <w:rsid w:val="005D1507"/>
    <w:rsid w:val="005D2B4A"/>
    <w:rsid w:val="005D3548"/>
    <w:rsid w:val="005D40E0"/>
    <w:rsid w:val="005D4898"/>
    <w:rsid w:val="005D5257"/>
    <w:rsid w:val="005D6AC2"/>
    <w:rsid w:val="005D7559"/>
    <w:rsid w:val="005D785E"/>
    <w:rsid w:val="005E0749"/>
    <w:rsid w:val="005E2C33"/>
    <w:rsid w:val="005E4345"/>
    <w:rsid w:val="005E5FB4"/>
    <w:rsid w:val="005E6279"/>
    <w:rsid w:val="005E7217"/>
    <w:rsid w:val="005E7429"/>
    <w:rsid w:val="005E776F"/>
    <w:rsid w:val="005E7F52"/>
    <w:rsid w:val="005F3524"/>
    <w:rsid w:val="005F5879"/>
    <w:rsid w:val="006026BA"/>
    <w:rsid w:val="00603A63"/>
    <w:rsid w:val="006048B3"/>
    <w:rsid w:val="0060520A"/>
    <w:rsid w:val="006053D7"/>
    <w:rsid w:val="00605563"/>
    <w:rsid w:val="00606948"/>
    <w:rsid w:val="006078FB"/>
    <w:rsid w:val="00611A55"/>
    <w:rsid w:val="0061233E"/>
    <w:rsid w:val="00612724"/>
    <w:rsid w:val="0061376F"/>
    <w:rsid w:val="00613F34"/>
    <w:rsid w:val="00616C48"/>
    <w:rsid w:val="00616D0B"/>
    <w:rsid w:val="00617A1A"/>
    <w:rsid w:val="00617D03"/>
    <w:rsid w:val="00617D90"/>
    <w:rsid w:val="00617E21"/>
    <w:rsid w:val="006201F0"/>
    <w:rsid w:val="006222A0"/>
    <w:rsid w:val="0062325F"/>
    <w:rsid w:val="006246D4"/>
    <w:rsid w:val="006253CD"/>
    <w:rsid w:val="006253E9"/>
    <w:rsid w:val="00626FF1"/>
    <w:rsid w:val="0062721E"/>
    <w:rsid w:val="00627A2A"/>
    <w:rsid w:val="00630416"/>
    <w:rsid w:val="00630675"/>
    <w:rsid w:val="0063235A"/>
    <w:rsid w:val="0063252A"/>
    <w:rsid w:val="00632B79"/>
    <w:rsid w:val="006345A7"/>
    <w:rsid w:val="006364EA"/>
    <w:rsid w:val="0063683C"/>
    <w:rsid w:val="006369D8"/>
    <w:rsid w:val="00636A45"/>
    <w:rsid w:val="006379D8"/>
    <w:rsid w:val="00640AB0"/>
    <w:rsid w:val="00641393"/>
    <w:rsid w:val="00641DB2"/>
    <w:rsid w:val="00641E9C"/>
    <w:rsid w:val="00646F80"/>
    <w:rsid w:val="00647F91"/>
    <w:rsid w:val="006506D1"/>
    <w:rsid w:val="00650A2F"/>
    <w:rsid w:val="00650DE6"/>
    <w:rsid w:val="0065121D"/>
    <w:rsid w:val="00652544"/>
    <w:rsid w:val="00653117"/>
    <w:rsid w:val="006535B0"/>
    <w:rsid w:val="0065411D"/>
    <w:rsid w:val="00655DDD"/>
    <w:rsid w:val="00655E41"/>
    <w:rsid w:val="00656026"/>
    <w:rsid w:val="006566BF"/>
    <w:rsid w:val="00657C17"/>
    <w:rsid w:val="0066002A"/>
    <w:rsid w:val="00662637"/>
    <w:rsid w:val="00662B09"/>
    <w:rsid w:val="00663966"/>
    <w:rsid w:val="006640B8"/>
    <w:rsid w:val="006656EA"/>
    <w:rsid w:val="00667095"/>
    <w:rsid w:val="00667C4A"/>
    <w:rsid w:val="0067382F"/>
    <w:rsid w:val="00674DB5"/>
    <w:rsid w:val="00674DDC"/>
    <w:rsid w:val="00674E26"/>
    <w:rsid w:val="0067581F"/>
    <w:rsid w:val="00676B86"/>
    <w:rsid w:val="006806F7"/>
    <w:rsid w:val="006825E1"/>
    <w:rsid w:val="00682C99"/>
    <w:rsid w:val="00684020"/>
    <w:rsid w:val="00684594"/>
    <w:rsid w:val="006849D6"/>
    <w:rsid w:val="006862BA"/>
    <w:rsid w:val="0068639A"/>
    <w:rsid w:val="0069039B"/>
    <w:rsid w:val="00690FAA"/>
    <w:rsid w:val="00692A71"/>
    <w:rsid w:val="006936A2"/>
    <w:rsid w:val="00694A6A"/>
    <w:rsid w:val="00694B71"/>
    <w:rsid w:val="006A1151"/>
    <w:rsid w:val="006A1CAB"/>
    <w:rsid w:val="006A2076"/>
    <w:rsid w:val="006A31F1"/>
    <w:rsid w:val="006A3496"/>
    <w:rsid w:val="006A357B"/>
    <w:rsid w:val="006A3992"/>
    <w:rsid w:val="006A5520"/>
    <w:rsid w:val="006A5DF1"/>
    <w:rsid w:val="006A5FBD"/>
    <w:rsid w:val="006A625F"/>
    <w:rsid w:val="006A6CD3"/>
    <w:rsid w:val="006A6DA1"/>
    <w:rsid w:val="006B1938"/>
    <w:rsid w:val="006B2562"/>
    <w:rsid w:val="006B2596"/>
    <w:rsid w:val="006B2981"/>
    <w:rsid w:val="006B2B76"/>
    <w:rsid w:val="006B3741"/>
    <w:rsid w:val="006B41E9"/>
    <w:rsid w:val="006B50F3"/>
    <w:rsid w:val="006B53A0"/>
    <w:rsid w:val="006B6D22"/>
    <w:rsid w:val="006B766D"/>
    <w:rsid w:val="006C0647"/>
    <w:rsid w:val="006C15CE"/>
    <w:rsid w:val="006C5C20"/>
    <w:rsid w:val="006C6DD5"/>
    <w:rsid w:val="006D01DA"/>
    <w:rsid w:val="006D0A8F"/>
    <w:rsid w:val="006D15D6"/>
    <w:rsid w:val="006D4C66"/>
    <w:rsid w:val="006D5D8E"/>
    <w:rsid w:val="006E0FAF"/>
    <w:rsid w:val="006E1370"/>
    <w:rsid w:val="006E14C9"/>
    <w:rsid w:val="006E25A2"/>
    <w:rsid w:val="006E330F"/>
    <w:rsid w:val="006E366A"/>
    <w:rsid w:val="006E4800"/>
    <w:rsid w:val="006E54F1"/>
    <w:rsid w:val="006E5599"/>
    <w:rsid w:val="006E6B27"/>
    <w:rsid w:val="006E7355"/>
    <w:rsid w:val="006E7515"/>
    <w:rsid w:val="006F07B6"/>
    <w:rsid w:val="006F104E"/>
    <w:rsid w:val="006F1744"/>
    <w:rsid w:val="006F2068"/>
    <w:rsid w:val="006F22D0"/>
    <w:rsid w:val="006F429B"/>
    <w:rsid w:val="006F6C41"/>
    <w:rsid w:val="006F7303"/>
    <w:rsid w:val="006F7BA0"/>
    <w:rsid w:val="007003A7"/>
    <w:rsid w:val="00700FF6"/>
    <w:rsid w:val="00701C64"/>
    <w:rsid w:val="0070245D"/>
    <w:rsid w:val="00702EF5"/>
    <w:rsid w:val="00704BEB"/>
    <w:rsid w:val="007050A6"/>
    <w:rsid w:val="007077A5"/>
    <w:rsid w:val="007122C4"/>
    <w:rsid w:val="00712B99"/>
    <w:rsid w:val="0071351C"/>
    <w:rsid w:val="0071551C"/>
    <w:rsid w:val="00715CED"/>
    <w:rsid w:val="00720A7A"/>
    <w:rsid w:val="0072106B"/>
    <w:rsid w:val="007215AA"/>
    <w:rsid w:val="00722083"/>
    <w:rsid w:val="0072379C"/>
    <w:rsid w:val="00724292"/>
    <w:rsid w:val="00724F9D"/>
    <w:rsid w:val="007256BD"/>
    <w:rsid w:val="00726C28"/>
    <w:rsid w:val="00727B0C"/>
    <w:rsid w:val="00727C46"/>
    <w:rsid w:val="007305B4"/>
    <w:rsid w:val="0073325D"/>
    <w:rsid w:val="00734EED"/>
    <w:rsid w:val="00736982"/>
    <w:rsid w:val="00736CA7"/>
    <w:rsid w:val="00740BE6"/>
    <w:rsid w:val="00740CFD"/>
    <w:rsid w:val="00740DF8"/>
    <w:rsid w:val="00741645"/>
    <w:rsid w:val="00743C3A"/>
    <w:rsid w:val="00743D73"/>
    <w:rsid w:val="00744355"/>
    <w:rsid w:val="007451E0"/>
    <w:rsid w:val="0074549F"/>
    <w:rsid w:val="00745A6D"/>
    <w:rsid w:val="007473C0"/>
    <w:rsid w:val="00747B6C"/>
    <w:rsid w:val="00750984"/>
    <w:rsid w:val="00750CE2"/>
    <w:rsid w:val="00751C51"/>
    <w:rsid w:val="00751DB9"/>
    <w:rsid w:val="00752B64"/>
    <w:rsid w:val="00753C2F"/>
    <w:rsid w:val="00754138"/>
    <w:rsid w:val="00757F5E"/>
    <w:rsid w:val="00760B00"/>
    <w:rsid w:val="0076207D"/>
    <w:rsid w:val="00767295"/>
    <w:rsid w:val="00767CBD"/>
    <w:rsid w:val="00771F2D"/>
    <w:rsid w:val="007721C6"/>
    <w:rsid w:val="00772A5C"/>
    <w:rsid w:val="007743FA"/>
    <w:rsid w:val="00775D96"/>
    <w:rsid w:val="007774CA"/>
    <w:rsid w:val="007810A5"/>
    <w:rsid w:val="007828F4"/>
    <w:rsid w:val="00783B10"/>
    <w:rsid w:val="00784523"/>
    <w:rsid w:val="00784C39"/>
    <w:rsid w:val="0078529D"/>
    <w:rsid w:val="0078625F"/>
    <w:rsid w:val="00786DF5"/>
    <w:rsid w:val="00787E0D"/>
    <w:rsid w:val="007920F1"/>
    <w:rsid w:val="00792F05"/>
    <w:rsid w:val="0079304D"/>
    <w:rsid w:val="00793431"/>
    <w:rsid w:val="00793CC7"/>
    <w:rsid w:val="007A00FA"/>
    <w:rsid w:val="007A09DD"/>
    <w:rsid w:val="007A1C38"/>
    <w:rsid w:val="007A62E7"/>
    <w:rsid w:val="007A6D4D"/>
    <w:rsid w:val="007A7A24"/>
    <w:rsid w:val="007B022A"/>
    <w:rsid w:val="007B0693"/>
    <w:rsid w:val="007B3D18"/>
    <w:rsid w:val="007B4E3C"/>
    <w:rsid w:val="007B6A71"/>
    <w:rsid w:val="007C1EC4"/>
    <w:rsid w:val="007C24D1"/>
    <w:rsid w:val="007C2F11"/>
    <w:rsid w:val="007C2F6F"/>
    <w:rsid w:val="007C3D82"/>
    <w:rsid w:val="007C4F7E"/>
    <w:rsid w:val="007C5CB6"/>
    <w:rsid w:val="007C60A5"/>
    <w:rsid w:val="007C7983"/>
    <w:rsid w:val="007D226C"/>
    <w:rsid w:val="007D3489"/>
    <w:rsid w:val="007D3874"/>
    <w:rsid w:val="007D3C3E"/>
    <w:rsid w:val="007D648A"/>
    <w:rsid w:val="007D6902"/>
    <w:rsid w:val="007D729A"/>
    <w:rsid w:val="007D76EB"/>
    <w:rsid w:val="007D7852"/>
    <w:rsid w:val="007E06D4"/>
    <w:rsid w:val="007E0727"/>
    <w:rsid w:val="007E0DC6"/>
    <w:rsid w:val="007E15E2"/>
    <w:rsid w:val="007E17EC"/>
    <w:rsid w:val="007E1F17"/>
    <w:rsid w:val="007E4743"/>
    <w:rsid w:val="007E4B76"/>
    <w:rsid w:val="007E4BE5"/>
    <w:rsid w:val="007E5A1A"/>
    <w:rsid w:val="007E6E3F"/>
    <w:rsid w:val="007E7514"/>
    <w:rsid w:val="007E7731"/>
    <w:rsid w:val="007F2142"/>
    <w:rsid w:val="007F30C3"/>
    <w:rsid w:val="007F4C57"/>
    <w:rsid w:val="007F6149"/>
    <w:rsid w:val="007F7533"/>
    <w:rsid w:val="007F75F6"/>
    <w:rsid w:val="007F7F5E"/>
    <w:rsid w:val="00800E83"/>
    <w:rsid w:val="00800F68"/>
    <w:rsid w:val="0080119D"/>
    <w:rsid w:val="008015C6"/>
    <w:rsid w:val="008026B5"/>
    <w:rsid w:val="008029BB"/>
    <w:rsid w:val="008034ED"/>
    <w:rsid w:val="00803E8D"/>
    <w:rsid w:val="00804AD2"/>
    <w:rsid w:val="00806D79"/>
    <w:rsid w:val="00807960"/>
    <w:rsid w:val="00807F76"/>
    <w:rsid w:val="00810034"/>
    <w:rsid w:val="008110CF"/>
    <w:rsid w:val="00812777"/>
    <w:rsid w:val="008131E9"/>
    <w:rsid w:val="00813EE5"/>
    <w:rsid w:val="00814224"/>
    <w:rsid w:val="00814D0D"/>
    <w:rsid w:val="00815B0A"/>
    <w:rsid w:val="00821691"/>
    <w:rsid w:val="00821D5E"/>
    <w:rsid w:val="00824C36"/>
    <w:rsid w:val="00824E47"/>
    <w:rsid w:val="00824F4D"/>
    <w:rsid w:val="00827818"/>
    <w:rsid w:val="0082786B"/>
    <w:rsid w:val="00827FC0"/>
    <w:rsid w:val="0083140F"/>
    <w:rsid w:val="008321C9"/>
    <w:rsid w:val="00835581"/>
    <w:rsid w:val="00835BFA"/>
    <w:rsid w:val="00836C93"/>
    <w:rsid w:val="0084010B"/>
    <w:rsid w:val="008405D0"/>
    <w:rsid w:val="008416CF"/>
    <w:rsid w:val="00842D20"/>
    <w:rsid w:val="00842EE9"/>
    <w:rsid w:val="00843F38"/>
    <w:rsid w:val="00844542"/>
    <w:rsid w:val="00844702"/>
    <w:rsid w:val="00844803"/>
    <w:rsid w:val="0084509D"/>
    <w:rsid w:val="00845897"/>
    <w:rsid w:val="00851BF0"/>
    <w:rsid w:val="008539B2"/>
    <w:rsid w:val="00853E9D"/>
    <w:rsid w:val="008544C3"/>
    <w:rsid w:val="00856192"/>
    <w:rsid w:val="00856944"/>
    <w:rsid w:val="00856EFB"/>
    <w:rsid w:val="00857383"/>
    <w:rsid w:val="008574E2"/>
    <w:rsid w:val="00861BFF"/>
    <w:rsid w:val="008620C3"/>
    <w:rsid w:val="00863F91"/>
    <w:rsid w:val="00864432"/>
    <w:rsid w:val="00864999"/>
    <w:rsid w:val="008654C7"/>
    <w:rsid w:val="0086619F"/>
    <w:rsid w:val="00866CAC"/>
    <w:rsid w:val="00870349"/>
    <w:rsid w:val="008709EE"/>
    <w:rsid w:val="0087164B"/>
    <w:rsid w:val="00871CD1"/>
    <w:rsid w:val="008735A1"/>
    <w:rsid w:val="0087546A"/>
    <w:rsid w:val="00880370"/>
    <w:rsid w:val="0088108D"/>
    <w:rsid w:val="008811E9"/>
    <w:rsid w:val="00881211"/>
    <w:rsid w:val="00881B98"/>
    <w:rsid w:val="008835E7"/>
    <w:rsid w:val="008846C2"/>
    <w:rsid w:val="008848A4"/>
    <w:rsid w:val="008869BE"/>
    <w:rsid w:val="00886EF8"/>
    <w:rsid w:val="00887312"/>
    <w:rsid w:val="00890114"/>
    <w:rsid w:val="008906AD"/>
    <w:rsid w:val="00890F32"/>
    <w:rsid w:val="00891060"/>
    <w:rsid w:val="008936F2"/>
    <w:rsid w:val="00894932"/>
    <w:rsid w:val="0089670A"/>
    <w:rsid w:val="00896C89"/>
    <w:rsid w:val="008973B8"/>
    <w:rsid w:val="008975C8"/>
    <w:rsid w:val="008A1BC2"/>
    <w:rsid w:val="008A2B5E"/>
    <w:rsid w:val="008A3153"/>
    <w:rsid w:val="008A378A"/>
    <w:rsid w:val="008A44B8"/>
    <w:rsid w:val="008A4B8B"/>
    <w:rsid w:val="008A72B8"/>
    <w:rsid w:val="008A7B5D"/>
    <w:rsid w:val="008B1FD9"/>
    <w:rsid w:val="008B4B3D"/>
    <w:rsid w:val="008B6A6B"/>
    <w:rsid w:val="008B73ED"/>
    <w:rsid w:val="008B7A6D"/>
    <w:rsid w:val="008C120E"/>
    <w:rsid w:val="008C3557"/>
    <w:rsid w:val="008C61EC"/>
    <w:rsid w:val="008D083D"/>
    <w:rsid w:val="008D277D"/>
    <w:rsid w:val="008D6A54"/>
    <w:rsid w:val="008D7B9E"/>
    <w:rsid w:val="008E2D54"/>
    <w:rsid w:val="008E316C"/>
    <w:rsid w:val="008E3969"/>
    <w:rsid w:val="008E42C7"/>
    <w:rsid w:val="008E5C33"/>
    <w:rsid w:val="008E6303"/>
    <w:rsid w:val="008E790C"/>
    <w:rsid w:val="008F05C4"/>
    <w:rsid w:val="008F0BDD"/>
    <w:rsid w:val="008F0F53"/>
    <w:rsid w:val="008F22F6"/>
    <w:rsid w:val="008F2AD0"/>
    <w:rsid w:val="008F2C15"/>
    <w:rsid w:val="008F30C8"/>
    <w:rsid w:val="008F457C"/>
    <w:rsid w:val="008F6387"/>
    <w:rsid w:val="008F6B4B"/>
    <w:rsid w:val="00900EF7"/>
    <w:rsid w:val="0090111F"/>
    <w:rsid w:val="0090211B"/>
    <w:rsid w:val="009047A7"/>
    <w:rsid w:val="00904840"/>
    <w:rsid w:val="009117E8"/>
    <w:rsid w:val="009144C6"/>
    <w:rsid w:val="0091664F"/>
    <w:rsid w:val="00916B4D"/>
    <w:rsid w:val="009171FF"/>
    <w:rsid w:val="009174EA"/>
    <w:rsid w:val="00917724"/>
    <w:rsid w:val="009209B9"/>
    <w:rsid w:val="009221A4"/>
    <w:rsid w:val="00923115"/>
    <w:rsid w:val="00926262"/>
    <w:rsid w:val="009270E5"/>
    <w:rsid w:val="00930D1C"/>
    <w:rsid w:val="00932334"/>
    <w:rsid w:val="00932DE5"/>
    <w:rsid w:val="009376A4"/>
    <w:rsid w:val="0094072D"/>
    <w:rsid w:val="00940C39"/>
    <w:rsid w:val="00941DE5"/>
    <w:rsid w:val="009431CF"/>
    <w:rsid w:val="009442B4"/>
    <w:rsid w:val="009445E1"/>
    <w:rsid w:val="009457F6"/>
    <w:rsid w:val="009461F9"/>
    <w:rsid w:val="00947303"/>
    <w:rsid w:val="00947976"/>
    <w:rsid w:val="00947A5A"/>
    <w:rsid w:val="00950258"/>
    <w:rsid w:val="009505FE"/>
    <w:rsid w:val="00951E7F"/>
    <w:rsid w:val="00954B3C"/>
    <w:rsid w:val="00955E39"/>
    <w:rsid w:val="00956452"/>
    <w:rsid w:val="00960CF1"/>
    <w:rsid w:val="009629D6"/>
    <w:rsid w:val="0096627A"/>
    <w:rsid w:val="0097097C"/>
    <w:rsid w:val="00971B6F"/>
    <w:rsid w:val="00976586"/>
    <w:rsid w:val="00976AB7"/>
    <w:rsid w:val="00976FB5"/>
    <w:rsid w:val="00983E1C"/>
    <w:rsid w:val="00983F0B"/>
    <w:rsid w:val="00985343"/>
    <w:rsid w:val="00987CCA"/>
    <w:rsid w:val="00990E06"/>
    <w:rsid w:val="009915AE"/>
    <w:rsid w:val="009917C2"/>
    <w:rsid w:val="0099377D"/>
    <w:rsid w:val="0099400F"/>
    <w:rsid w:val="00995C20"/>
    <w:rsid w:val="009A0128"/>
    <w:rsid w:val="009A6B93"/>
    <w:rsid w:val="009A74F1"/>
    <w:rsid w:val="009B0168"/>
    <w:rsid w:val="009B13DC"/>
    <w:rsid w:val="009B1BC9"/>
    <w:rsid w:val="009B2370"/>
    <w:rsid w:val="009B2CC0"/>
    <w:rsid w:val="009B3598"/>
    <w:rsid w:val="009B3A46"/>
    <w:rsid w:val="009B429A"/>
    <w:rsid w:val="009B4EFB"/>
    <w:rsid w:val="009B542F"/>
    <w:rsid w:val="009B5FD3"/>
    <w:rsid w:val="009B6C60"/>
    <w:rsid w:val="009B73BA"/>
    <w:rsid w:val="009B79FB"/>
    <w:rsid w:val="009C0649"/>
    <w:rsid w:val="009C2C48"/>
    <w:rsid w:val="009C46F4"/>
    <w:rsid w:val="009C4FCE"/>
    <w:rsid w:val="009C581E"/>
    <w:rsid w:val="009C77FC"/>
    <w:rsid w:val="009D0861"/>
    <w:rsid w:val="009D19F2"/>
    <w:rsid w:val="009D33F2"/>
    <w:rsid w:val="009D403B"/>
    <w:rsid w:val="009D605C"/>
    <w:rsid w:val="009D60A1"/>
    <w:rsid w:val="009D6299"/>
    <w:rsid w:val="009D66E6"/>
    <w:rsid w:val="009D75E1"/>
    <w:rsid w:val="009D790F"/>
    <w:rsid w:val="009E109F"/>
    <w:rsid w:val="009E24EB"/>
    <w:rsid w:val="009E3DF3"/>
    <w:rsid w:val="009E3F0E"/>
    <w:rsid w:val="009E55B7"/>
    <w:rsid w:val="009E6084"/>
    <w:rsid w:val="009E6FFE"/>
    <w:rsid w:val="009F0482"/>
    <w:rsid w:val="009F0D43"/>
    <w:rsid w:val="009F19F8"/>
    <w:rsid w:val="009F2595"/>
    <w:rsid w:val="009F3472"/>
    <w:rsid w:val="009F45DC"/>
    <w:rsid w:val="009F469C"/>
    <w:rsid w:val="009F53A5"/>
    <w:rsid w:val="00A005B9"/>
    <w:rsid w:val="00A006E2"/>
    <w:rsid w:val="00A00807"/>
    <w:rsid w:val="00A00ECE"/>
    <w:rsid w:val="00A055F9"/>
    <w:rsid w:val="00A0670B"/>
    <w:rsid w:val="00A06DF4"/>
    <w:rsid w:val="00A07529"/>
    <w:rsid w:val="00A07BD5"/>
    <w:rsid w:val="00A07FDA"/>
    <w:rsid w:val="00A10ABB"/>
    <w:rsid w:val="00A11686"/>
    <w:rsid w:val="00A11866"/>
    <w:rsid w:val="00A12312"/>
    <w:rsid w:val="00A12A8D"/>
    <w:rsid w:val="00A12F13"/>
    <w:rsid w:val="00A138A6"/>
    <w:rsid w:val="00A1408D"/>
    <w:rsid w:val="00A148CA"/>
    <w:rsid w:val="00A16455"/>
    <w:rsid w:val="00A16940"/>
    <w:rsid w:val="00A1702F"/>
    <w:rsid w:val="00A20AD6"/>
    <w:rsid w:val="00A20C77"/>
    <w:rsid w:val="00A20F94"/>
    <w:rsid w:val="00A22FE2"/>
    <w:rsid w:val="00A24368"/>
    <w:rsid w:val="00A243EE"/>
    <w:rsid w:val="00A24545"/>
    <w:rsid w:val="00A24DAD"/>
    <w:rsid w:val="00A25958"/>
    <w:rsid w:val="00A25CED"/>
    <w:rsid w:val="00A26E9A"/>
    <w:rsid w:val="00A26FC0"/>
    <w:rsid w:val="00A2712A"/>
    <w:rsid w:val="00A30CFA"/>
    <w:rsid w:val="00A312AD"/>
    <w:rsid w:val="00A325C3"/>
    <w:rsid w:val="00A32C35"/>
    <w:rsid w:val="00A33731"/>
    <w:rsid w:val="00A342AB"/>
    <w:rsid w:val="00A40EC1"/>
    <w:rsid w:val="00A440E5"/>
    <w:rsid w:val="00A455F6"/>
    <w:rsid w:val="00A4798C"/>
    <w:rsid w:val="00A5100B"/>
    <w:rsid w:val="00A53F91"/>
    <w:rsid w:val="00A5664E"/>
    <w:rsid w:val="00A56A86"/>
    <w:rsid w:val="00A601C2"/>
    <w:rsid w:val="00A6068D"/>
    <w:rsid w:val="00A61683"/>
    <w:rsid w:val="00A61D43"/>
    <w:rsid w:val="00A63207"/>
    <w:rsid w:val="00A6415F"/>
    <w:rsid w:val="00A64F3B"/>
    <w:rsid w:val="00A650DD"/>
    <w:rsid w:val="00A65825"/>
    <w:rsid w:val="00A66DE4"/>
    <w:rsid w:val="00A67C3E"/>
    <w:rsid w:val="00A70462"/>
    <w:rsid w:val="00A70780"/>
    <w:rsid w:val="00A70EF5"/>
    <w:rsid w:val="00A71C39"/>
    <w:rsid w:val="00A72E7F"/>
    <w:rsid w:val="00A7488D"/>
    <w:rsid w:val="00A75667"/>
    <w:rsid w:val="00A7679C"/>
    <w:rsid w:val="00A810BD"/>
    <w:rsid w:val="00A82AA8"/>
    <w:rsid w:val="00A8352F"/>
    <w:rsid w:val="00A855F3"/>
    <w:rsid w:val="00A8769B"/>
    <w:rsid w:val="00A92E4A"/>
    <w:rsid w:val="00A937DC"/>
    <w:rsid w:val="00A93824"/>
    <w:rsid w:val="00A95297"/>
    <w:rsid w:val="00A95B84"/>
    <w:rsid w:val="00A96656"/>
    <w:rsid w:val="00A96895"/>
    <w:rsid w:val="00A9779D"/>
    <w:rsid w:val="00AA0BAF"/>
    <w:rsid w:val="00AA119D"/>
    <w:rsid w:val="00AA1390"/>
    <w:rsid w:val="00AA1F13"/>
    <w:rsid w:val="00AA5204"/>
    <w:rsid w:val="00AA64A7"/>
    <w:rsid w:val="00AA7837"/>
    <w:rsid w:val="00AA7A5E"/>
    <w:rsid w:val="00AB0000"/>
    <w:rsid w:val="00AB0583"/>
    <w:rsid w:val="00AB12B0"/>
    <w:rsid w:val="00AB159E"/>
    <w:rsid w:val="00AB2408"/>
    <w:rsid w:val="00AB5244"/>
    <w:rsid w:val="00AB6312"/>
    <w:rsid w:val="00AB7862"/>
    <w:rsid w:val="00AC1468"/>
    <w:rsid w:val="00AC16EE"/>
    <w:rsid w:val="00AC2BA7"/>
    <w:rsid w:val="00AC2C17"/>
    <w:rsid w:val="00AC4974"/>
    <w:rsid w:val="00AC49A4"/>
    <w:rsid w:val="00AC4A59"/>
    <w:rsid w:val="00AC5D41"/>
    <w:rsid w:val="00AC6962"/>
    <w:rsid w:val="00AC7EFA"/>
    <w:rsid w:val="00AD05DF"/>
    <w:rsid w:val="00AD0E54"/>
    <w:rsid w:val="00AD1C97"/>
    <w:rsid w:val="00AD321E"/>
    <w:rsid w:val="00AD365D"/>
    <w:rsid w:val="00AE57CB"/>
    <w:rsid w:val="00AE598F"/>
    <w:rsid w:val="00AF069F"/>
    <w:rsid w:val="00AF0C81"/>
    <w:rsid w:val="00AF2022"/>
    <w:rsid w:val="00AF5440"/>
    <w:rsid w:val="00AF5900"/>
    <w:rsid w:val="00AF5DFD"/>
    <w:rsid w:val="00AF5FC0"/>
    <w:rsid w:val="00AF765B"/>
    <w:rsid w:val="00AF7E94"/>
    <w:rsid w:val="00B0171F"/>
    <w:rsid w:val="00B01F04"/>
    <w:rsid w:val="00B03783"/>
    <w:rsid w:val="00B03B02"/>
    <w:rsid w:val="00B05930"/>
    <w:rsid w:val="00B106DE"/>
    <w:rsid w:val="00B13D24"/>
    <w:rsid w:val="00B13FD5"/>
    <w:rsid w:val="00B16B85"/>
    <w:rsid w:val="00B20A96"/>
    <w:rsid w:val="00B21F60"/>
    <w:rsid w:val="00B2421B"/>
    <w:rsid w:val="00B24669"/>
    <w:rsid w:val="00B24E27"/>
    <w:rsid w:val="00B26562"/>
    <w:rsid w:val="00B2728F"/>
    <w:rsid w:val="00B276A1"/>
    <w:rsid w:val="00B27B05"/>
    <w:rsid w:val="00B27E5B"/>
    <w:rsid w:val="00B30F83"/>
    <w:rsid w:val="00B311F6"/>
    <w:rsid w:val="00B31A0E"/>
    <w:rsid w:val="00B31D86"/>
    <w:rsid w:val="00B36749"/>
    <w:rsid w:val="00B370AF"/>
    <w:rsid w:val="00B37177"/>
    <w:rsid w:val="00B37CCF"/>
    <w:rsid w:val="00B40170"/>
    <w:rsid w:val="00B40617"/>
    <w:rsid w:val="00B41C9F"/>
    <w:rsid w:val="00B433B0"/>
    <w:rsid w:val="00B437E1"/>
    <w:rsid w:val="00B43DFA"/>
    <w:rsid w:val="00B4404B"/>
    <w:rsid w:val="00B464EA"/>
    <w:rsid w:val="00B47870"/>
    <w:rsid w:val="00B506AC"/>
    <w:rsid w:val="00B50FAC"/>
    <w:rsid w:val="00B523BC"/>
    <w:rsid w:val="00B53302"/>
    <w:rsid w:val="00B54A15"/>
    <w:rsid w:val="00B565CD"/>
    <w:rsid w:val="00B56A82"/>
    <w:rsid w:val="00B57173"/>
    <w:rsid w:val="00B57526"/>
    <w:rsid w:val="00B74E95"/>
    <w:rsid w:val="00B7551F"/>
    <w:rsid w:val="00B803A6"/>
    <w:rsid w:val="00B80DC1"/>
    <w:rsid w:val="00B823FD"/>
    <w:rsid w:val="00B829D3"/>
    <w:rsid w:val="00B842B5"/>
    <w:rsid w:val="00B84A6F"/>
    <w:rsid w:val="00B84D1C"/>
    <w:rsid w:val="00B868DD"/>
    <w:rsid w:val="00B87CE2"/>
    <w:rsid w:val="00B91A11"/>
    <w:rsid w:val="00B93769"/>
    <w:rsid w:val="00B943AB"/>
    <w:rsid w:val="00B94865"/>
    <w:rsid w:val="00B94C28"/>
    <w:rsid w:val="00B95082"/>
    <w:rsid w:val="00B97514"/>
    <w:rsid w:val="00B97699"/>
    <w:rsid w:val="00BA27AA"/>
    <w:rsid w:val="00BA2992"/>
    <w:rsid w:val="00BA50A5"/>
    <w:rsid w:val="00BA56B8"/>
    <w:rsid w:val="00BA7323"/>
    <w:rsid w:val="00BA7806"/>
    <w:rsid w:val="00BB0AA7"/>
    <w:rsid w:val="00BB178A"/>
    <w:rsid w:val="00BB25AE"/>
    <w:rsid w:val="00BB5ED4"/>
    <w:rsid w:val="00BC019B"/>
    <w:rsid w:val="00BC0252"/>
    <w:rsid w:val="00BC0FD5"/>
    <w:rsid w:val="00BC1375"/>
    <w:rsid w:val="00BC7B9E"/>
    <w:rsid w:val="00BC7EF1"/>
    <w:rsid w:val="00BD0E89"/>
    <w:rsid w:val="00BD2EA1"/>
    <w:rsid w:val="00BD3FBA"/>
    <w:rsid w:val="00BD45ED"/>
    <w:rsid w:val="00BD756C"/>
    <w:rsid w:val="00BD78D1"/>
    <w:rsid w:val="00BE0CE4"/>
    <w:rsid w:val="00BE1689"/>
    <w:rsid w:val="00BE379B"/>
    <w:rsid w:val="00BE3BFC"/>
    <w:rsid w:val="00BE467C"/>
    <w:rsid w:val="00BE6B17"/>
    <w:rsid w:val="00BE7539"/>
    <w:rsid w:val="00BE7C52"/>
    <w:rsid w:val="00BF027B"/>
    <w:rsid w:val="00BF0498"/>
    <w:rsid w:val="00BF0908"/>
    <w:rsid w:val="00BF0DB4"/>
    <w:rsid w:val="00BF23C4"/>
    <w:rsid w:val="00BF24D8"/>
    <w:rsid w:val="00BF33EF"/>
    <w:rsid w:val="00BF3524"/>
    <w:rsid w:val="00BF3A89"/>
    <w:rsid w:val="00BF3C54"/>
    <w:rsid w:val="00BF41C9"/>
    <w:rsid w:val="00BF4259"/>
    <w:rsid w:val="00BF45A1"/>
    <w:rsid w:val="00BF577A"/>
    <w:rsid w:val="00C00AA5"/>
    <w:rsid w:val="00C01D8B"/>
    <w:rsid w:val="00C02153"/>
    <w:rsid w:val="00C04779"/>
    <w:rsid w:val="00C068DF"/>
    <w:rsid w:val="00C06D81"/>
    <w:rsid w:val="00C06FCC"/>
    <w:rsid w:val="00C07859"/>
    <w:rsid w:val="00C07F12"/>
    <w:rsid w:val="00C07FAA"/>
    <w:rsid w:val="00C116A5"/>
    <w:rsid w:val="00C116B6"/>
    <w:rsid w:val="00C129AF"/>
    <w:rsid w:val="00C13AB2"/>
    <w:rsid w:val="00C156C1"/>
    <w:rsid w:val="00C15AD2"/>
    <w:rsid w:val="00C15DC1"/>
    <w:rsid w:val="00C1637E"/>
    <w:rsid w:val="00C163A9"/>
    <w:rsid w:val="00C16AF3"/>
    <w:rsid w:val="00C17254"/>
    <w:rsid w:val="00C20065"/>
    <w:rsid w:val="00C21722"/>
    <w:rsid w:val="00C218D9"/>
    <w:rsid w:val="00C24FB2"/>
    <w:rsid w:val="00C24FE7"/>
    <w:rsid w:val="00C25B05"/>
    <w:rsid w:val="00C25E86"/>
    <w:rsid w:val="00C274BA"/>
    <w:rsid w:val="00C27B12"/>
    <w:rsid w:val="00C30DEA"/>
    <w:rsid w:val="00C311BF"/>
    <w:rsid w:val="00C32374"/>
    <w:rsid w:val="00C324AA"/>
    <w:rsid w:val="00C3278C"/>
    <w:rsid w:val="00C332E8"/>
    <w:rsid w:val="00C33B38"/>
    <w:rsid w:val="00C33CCC"/>
    <w:rsid w:val="00C34A97"/>
    <w:rsid w:val="00C36887"/>
    <w:rsid w:val="00C37613"/>
    <w:rsid w:val="00C3792F"/>
    <w:rsid w:val="00C40251"/>
    <w:rsid w:val="00C402B1"/>
    <w:rsid w:val="00C42027"/>
    <w:rsid w:val="00C44556"/>
    <w:rsid w:val="00C451CC"/>
    <w:rsid w:val="00C456B2"/>
    <w:rsid w:val="00C457E6"/>
    <w:rsid w:val="00C4591D"/>
    <w:rsid w:val="00C46107"/>
    <w:rsid w:val="00C464A8"/>
    <w:rsid w:val="00C47080"/>
    <w:rsid w:val="00C5239C"/>
    <w:rsid w:val="00C54242"/>
    <w:rsid w:val="00C557B4"/>
    <w:rsid w:val="00C569D5"/>
    <w:rsid w:val="00C5741B"/>
    <w:rsid w:val="00C61EEA"/>
    <w:rsid w:val="00C66747"/>
    <w:rsid w:val="00C66A10"/>
    <w:rsid w:val="00C675E9"/>
    <w:rsid w:val="00C70A58"/>
    <w:rsid w:val="00C70AA6"/>
    <w:rsid w:val="00C70F96"/>
    <w:rsid w:val="00C72880"/>
    <w:rsid w:val="00C72B9B"/>
    <w:rsid w:val="00C74D66"/>
    <w:rsid w:val="00C7588B"/>
    <w:rsid w:val="00C7625E"/>
    <w:rsid w:val="00C76E72"/>
    <w:rsid w:val="00C76ED1"/>
    <w:rsid w:val="00C77052"/>
    <w:rsid w:val="00C7793A"/>
    <w:rsid w:val="00C77BC2"/>
    <w:rsid w:val="00C8121A"/>
    <w:rsid w:val="00C818CD"/>
    <w:rsid w:val="00C82F81"/>
    <w:rsid w:val="00C83296"/>
    <w:rsid w:val="00C8471C"/>
    <w:rsid w:val="00C84913"/>
    <w:rsid w:val="00C85900"/>
    <w:rsid w:val="00C86EFA"/>
    <w:rsid w:val="00C90CDC"/>
    <w:rsid w:val="00C91300"/>
    <w:rsid w:val="00C918D7"/>
    <w:rsid w:val="00C923E0"/>
    <w:rsid w:val="00C92961"/>
    <w:rsid w:val="00C9396F"/>
    <w:rsid w:val="00C94044"/>
    <w:rsid w:val="00C945A8"/>
    <w:rsid w:val="00C94E33"/>
    <w:rsid w:val="00C96978"/>
    <w:rsid w:val="00CA0BCB"/>
    <w:rsid w:val="00CA1600"/>
    <w:rsid w:val="00CA1D63"/>
    <w:rsid w:val="00CA2D85"/>
    <w:rsid w:val="00CA3250"/>
    <w:rsid w:val="00CA33FD"/>
    <w:rsid w:val="00CA4629"/>
    <w:rsid w:val="00CA476F"/>
    <w:rsid w:val="00CA4BDD"/>
    <w:rsid w:val="00CA52B0"/>
    <w:rsid w:val="00CA597E"/>
    <w:rsid w:val="00CA6003"/>
    <w:rsid w:val="00CB0E64"/>
    <w:rsid w:val="00CB1BF5"/>
    <w:rsid w:val="00CB303B"/>
    <w:rsid w:val="00CB3256"/>
    <w:rsid w:val="00CB32B4"/>
    <w:rsid w:val="00CB3DC4"/>
    <w:rsid w:val="00CB4948"/>
    <w:rsid w:val="00CB63A3"/>
    <w:rsid w:val="00CC02D2"/>
    <w:rsid w:val="00CC096C"/>
    <w:rsid w:val="00CC15E6"/>
    <w:rsid w:val="00CC2A8D"/>
    <w:rsid w:val="00CD1879"/>
    <w:rsid w:val="00CD2249"/>
    <w:rsid w:val="00CD224B"/>
    <w:rsid w:val="00CD247A"/>
    <w:rsid w:val="00CD33C2"/>
    <w:rsid w:val="00CD363C"/>
    <w:rsid w:val="00CD3832"/>
    <w:rsid w:val="00CD3931"/>
    <w:rsid w:val="00CD478D"/>
    <w:rsid w:val="00CD51CF"/>
    <w:rsid w:val="00CD6298"/>
    <w:rsid w:val="00CD6713"/>
    <w:rsid w:val="00CE02D6"/>
    <w:rsid w:val="00CE473E"/>
    <w:rsid w:val="00CE4896"/>
    <w:rsid w:val="00CE5744"/>
    <w:rsid w:val="00CE6953"/>
    <w:rsid w:val="00CE7330"/>
    <w:rsid w:val="00CF07D8"/>
    <w:rsid w:val="00CF255D"/>
    <w:rsid w:val="00CF272E"/>
    <w:rsid w:val="00CF3EE6"/>
    <w:rsid w:val="00CF42EB"/>
    <w:rsid w:val="00CF4611"/>
    <w:rsid w:val="00CF4B36"/>
    <w:rsid w:val="00CF63DA"/>
    <w:rsid w:val="00CF75D3"/>
    <w:rsid w:val="00D00601"/>
    <w:rsid w:val="00D0134C"/>
    <w:rsid w:val="00D01628"/>
    <w:rsid w:val="00D02EF6"/>
    <w:rsid w:val="00D0386C"/>
    <w:rsid w:val="00D03CB3"/>
    <w:rsid w:val="00D03EA2"/>
    <w:rsid w:val="00D04CB9"/>
    <w:rsid w:val="00D06BDD"/>
    <w:rsid w:val="00D109E1"/>
    <w:rsid w:val="00D139C6"/>
    <w:rsid w:val="00D13EAA"/>
    <w:rsid w:val="00D15DBB"/>
    <w:rsid w:val="00D163C0"/>
    <w:rsid w:val="00D16C20"/>
    <w:rsid w:val="00D17C05"/>
    <w:rsid w:val="00D208AD"/>
    <w:rsid w:val="00D2193D"/>
    <w:rsid w:val="00D2428F"/>
    <w:rsid w:val="00D250C4"/>
    <w:rsid w:val="00D25496"/>
    <w:rsid w:val="00D25B43"/>
    <w:rsid w:val="00D25C6A"/>
    <w:rsid w:val="00D26F53"/>
    <w:rsid w:val="00D27485"/>
    <w:rsid w:val="00D27561"/>
    <w:rsid w:val="00D30787"/>
    <w:rsid w:val="00D31394"/>
    <w:rsid w:val="00D33050"/>
    <w:rsid w:val="00D333A9"/>
    <w:rsid w:val="00D338A1"/>
    <w:rsid w:val="00D33D81"/>
    <w:rsid w:val="00D33E5D"/>
    <w:rsid w:val="00D33E7E"/>
    <w:rsid w:val="00D343DA"/>
    <w:rsid w:val="00D34B00"/>
    <w:rsid w:val="00D3564E"/>
    <w:rsid w:val="00D35797"/>
    <w:rsid w:val="00D35A68"/>
    <w:rsid w:val="00D36496"/>
    <w:rsid w:val="00D36D7E"/>
    <w:rsid w:val="00D3752A"/>
    <w:rsid w:val="00D37780"/>
    <w:rsid w:val="00D37E18"/>
    <w:rsid w:val="00D405F8"/>
    <w:rsid w:val="00D40709"/>
    <w:rsid w:val="00D4100A"/>
    <w:rsid w:val="00D42FE6"/>
    <w:rsid w:val="00D435A0"/>
    <w:rsid w:val="00D44BC3"/>
    <w:rsid w:val="00D45369"/>
    <w:rsid w:val="00D515F0"/>
    <w:rsid w:val="00D55B22"/>
    <w:rsid w:val="00D56474"/>
    <w:rsid w:val="00D57BAA"/>
    <w:rsid w:val="00D61391"/>
    <w:rsid w:val="00D629A0"/>
    <w:rsid w:val="00D63F75"/>
    <w:rsid w:val="00D65F85"/>
    <w:rsid w:val="00D6650C"/>
    <w:rsid w:val="00D71B74"/>
    <w:rsid w:val="00D7229E"/>
    <w:rsid w:val="00D751A6"/>
    <w:rsid w:val="00D761E3"/>
    <w:rsid w:val="00D76988"/>
    <w:rsid w:val="00D77F6F"/>
    <w:rsid w:val="00D81BFD"/>
    <w:rsid w:val="00D822D8"/>
    <w:rsid w:val="00D8374A"/>
    <w:rsid w:val="00D84126"/>
    <w:rsid w:val="00D84586"/>
    <w:rsid w:val="00D846D5"/>
    <w:rsid w:val="00D851BE"/>
    <w:rsid w:val="00D857BA"/>
    <w:rsid w:val="00D932CB"/>
    <w:rsid w:val="00D9362F"/>
    <w:rsid w:val="00D951B4"/>
    <w:rsid w:val="00D959BB"/>
    <w:rsid w:val="00D95CAB"/>
    <w:rsid w:val="00D9634E"/>
    <w:rsid w:val="00D970AB"/>
    <w:rsid w:val="00DA0377"/>
    <w:rsid w:val="00DA1089"/>
    <w:rsid w:val="00DA329D"/>
    <w:rsid w:val="00DA3717"/>
    <w:rsid w:val="00DA3C7D"/>
    <w:rsid w:val="00DA51EC"/>
    <w:rsid w:val="00DA5704"/>
    <w:rsid w:val="00DA6DFA"/>
    <w:rsid w:val="00DB0DEF"/>
    <w:rsid w:val="00DB1F6A"/>
    <w:rsid w:val="00DB27C7"/>
    <w:rsid w:val="00DB2D9F"/>
    <w:rsid w:val="00DB325B"/>
    <w:rsid w:val="00DB3D04"/>
    <w:rsid w:val="00DB49C6"/>
    <w:rsid w:val="00DB4C7F"/>
    <w:rsid w:val="00DB51E2"/>
    <w:rsid w:val="00DB7E85"/>
    <w:rsid w:val="00DB7EE6"/>
    <w:rsid w:val="00DC1B83"/>
    <w:rsid w:val="00DC2650"/>
    <w:rsid w:val="00DC3920"/>
    <w:rsid w:val="00DC3A7B"/>
    <w:rsid w:val="00DC42AF"/>
    <w:rsid w:val="00DC4F04"/>
    <w:rsid w:val="00DC5A7C"/>
    <w:rsid w:val="00DC6823"/>
    <w:rsid w:val="00DC7451"/>
    <w:rsid w:val="00DD045B"/>
    <w:rsid w:val="00DD2D31"/>
    <w:rsid w:val="00DD37DE"/>
    <w:rsid w:val="00DD4BF5"/>
    <w:rsid w:val="00DD5D4E"/>
    <w:rsid w:val="00DE10F6"/>
    <w:rsid w:val="00DE1977"/>
    <w:rsid w:val="00DE27DC"/>
    <w:rsid w:val="00DE3135"/>
    <w:rsid w:val="00DE6AB5"/>
    <w:rsid w:val="00DE7ED4"/>
    <w:rsid w:val="00DF1239"/>
    <w:rsid w:val="00DF1904"/>
    <w:rsid w:val="00DF1EEA"/>
    <w:rsid w:val="00DF20F4"/>
    <w:rsid w:val="00DF2C8F"/>
    <w:rsid w:val="00DF3EAC"/>
    <w:rsid w:val="00DF440E"/>
    <w:rsid w:val="00DF6359"/>
    <w:rsid w:val="00DF7390"/>
    <w:rsid w:val="00E00514"/>
    <w:rsid w:val="00E0064B"/>
    <w:rsid w:val="00E00BD8"/>
    <w:rsid w:val="00E015F2"/>
    <w:rsid w:val="00E01D4F"/>
    <w:rsid w:val="00E020EC"/>
    <w:rsid w:val="00E04C9B"/>
    <w:rsid w:val="00E065CA"/>
    <w:rsid w:val="00E0673D"/>
    <w:rsid w:val="00E067FC"/>
    <w:rsid w:val="00E06D19"/>
    <w:rsid w:val="00E103AD"/>
    <w:rsid w:val="00E10641"/>
    <w:rsid w:val="00E112EF"/>
    <w:rsid w:val="00E11493"/>
    <w:rsid w:val="00E11FA0"/>
    <w:rsid w:val="00E12F1D"/>
    <w:rsid w:val="00E14871"/>
    <w:rsid w:val="00E14E9D"/>
    <w:rsid w:val="00E15035"/>
    <w:rsid w:val="00E16F36"/>
    <w:rsid w:val="00E1728A"/>
    <w:rsid w:val="00E17329"/>
    <w:rsid w:val="00E1746C"/>
    <w:rsid w:val="00E176CB"/>
    <w:rsid w:val="00E17EA3"/>
    <w:rsid w:val="00E17ECF"/>
    <w:rsid w:val="00E25545"/>
    <w:rsid w:val="00E25CB4"/>
    <w:rsid w:val="00E25D0E"/>
    <w:rsid w:val="00E25D58"/>
    <w:rsid w:val="00E25E49"/>
    <w:rsid w:val="00E26E7E"/>
    <w:rsid w:val="00E27441"/>
    <w:rsid w:val="00E27A37"/>
    <w:rsid w:val="00E32D14"/>
    <w:rsid w:val="00E32EA2"/>
    <w:rsid w:val="00E3397B"/>
    <w:rsid w:val="00E36145"/>
    <w:rsid w:val="00E3723A"/>
    <w:rsid w:val="00E37DF5"/>
    <w:rsid w:val="00E40247"/>
    <w:rsid w:val="00E43873"/>
    <w:rsid w:val="00E43DC7"/>
    <w:rsid w:val="00E442F8"/>
    <w:rsid w:val="00E45143"/>
    <w:rsid w:val="00E47216"/>
    <w:rsid w:val="00E50038"/>
    <w:rsid w:val="00E50819"/>
    <w:rsid w:val="00E509E4"/>
    <w:rsid w:val="00E5154A"/>
    <w:rsid w:val="00E517FB"/>
    <w:rsid w:val="00E54169"/>
    <w:rsid w:val="00E54DA0"/>
    <w:rsid w:val="00E553AD"/>
    <w:rsid w:val="00E55AE0"/>
    <w:rsid w:val="00E569D6"/>
    <w:rsid w:val="00E604FD"/>
    <w:rsid w:val="00E61BFD"/>
    <w:rsid w:val="00E64A9C"/>
    <w:rsid w:val="00E64FEE"/>
    <w:rsid w:val="00E65243"/>
    <w:rsid w:val="00E65FB4"/>
    <w:rsid w:val="00E665FB"/>
    <w:rsid w:val="00E66737"/>
    <w:rsid w:val="00E669EE"/>
    <w:rsid w:val="00E71542"/>
    <w:rsid w:val="00E718D2"/>
    <w:rsid w:val="00E71DB2"/>
    <w:rsid w:val="00E71E97"/>
    <w:rsid w:val="00E72F9A"/>
    <w:rsid w:val="00E7435E"/>
    <w:rsid w:val="00E765E5"/>
    <w:rsid w:val="00E76B06"/>
    <w:rsid w:val="00E76E87"/>
    <w:rsid w:val="00E778BE"/>
    <w:rsid w:val="00E77B09"/>
    <w:rsid w:val="00E77CDD"/>
    <w:rsid w:val="00E80969"/>
    <w:rsid w:val="00E84098"/>
    <w:rsid w:val="00E86643"/>
    <w:rsid w:val="00E86B08"/>
    <w:rsid w:val="00E90A87"/>
    <w:rsid w:val="00E916DC"/>
    <w:rsid w:val="00E91785"/>
    <w:rsid w:val="00E917DB"/>
    <w:rsid w:val="00E93FCB"/>
    <w:rsid w:val="00E966ED"/>
    <w:rsid w:val="00E97AF8"/>
    <w:rsid w:val="00EA044B"/>
    <w:rsid w:val="00EA19CC"/>
    <w:rsid w:val="00EA1ABA"/>
    <w:rsid w:val="00EA1BE1"/>
    <w:rsid w:val="00EA28AD"/>
    <w:rsid w:val="00EA299D"/>
    <w:rsid w:val="00EA4039"/>
    <w:rsid w:val="00EA5231"/>
    <w:rsid w:val="00EA5298"/>
    <w:rsid w:val="00EA64F7"/>
    <w:rsid w:val="00EA681A"/>
    <w:rsid w:val="00EA7205"/>
    <w:rsid w:val="00EA77C1"/>
    <w:rsid w:val="00EB3CCF"/>
    <w:rsid w:val="00EB4A35"/>
    <w:rsid w:val="00EB5400"/>
    <w:rsid w:val="00EB610E"/>
    <w:rsid w:val="00EB63DA"/>
    <w:rsid w:val="00EB7472"/>
    <w:rsid w:val="00EB7732"/>
    <w:rsid w:val="00EC0A31"/>
    <w:rsid w:val="00EC15FC"/>
    <w:rsid w:val="00EC1D64"/>
    <w:rsid w:val="00EC1DB9"/>
    <w:rsid w:val="00EC2B8C"/>
    <w:rsid w:val="00EC2CE4"/>
    <w:rsid w:val="00EC375A"/>
    <w:rsid w:val="00EC3786"/>
    <w:rsid w:val="00EC48BD"/>
    <w:rsid w:val="00EC4C89"/>
    <w:rsid w:val="00EC53C1"/>
    <w:rsid w:val="00EC67C2"/>
    <w:rsid w:val="00EC7B63"/>
    <w:rsid w:val="00ED1E18"/>
    <w:rsid w:val="00ED235B"/>
    <w:rsid w:val="00ED32D2"/>
    <w:rsid w:val="00ED5205"/>
    <w:rsid w:val="00ED6285"/>
    <w:rsid w:val="00ED6B09"/>
    <w:rsid w:val="00EE05B1"/>
    <w:rsid w:val="00EE1275"/>
    <w:rsid w:val="00EE1DDE"/>
    <w:rsid w:val="00EE2575"/>
    <w:rsid w:val="00EE32EA"/>
    <w:rsid w:val="00EE36A8"/>
    <w:rsid w:val="00EE3C55"/>
    <w:rsid w:val="00EE61D2"/>
    <w:rsid w:val="00EF0E62"/>
    <w:rsid w:val="00EF159E"/>
    <w:rsid w:val="00EF19B2"/>
    <w:rsid w:val="00EF2CB2"/>
    <w:rsid w:val="00EF49C7"/>
    <w:rsid w:val="00EF58DE"/>
    <w:rsid w:val="00EF682C"/>
    <w:rsid w:val="00F0011B"/>
    <w:rsid w:val="00F00299"/>
    <w:rsid w:val="00F00B42"/>
    <w:rsid w:val="00F00D85"/>
    <w:rsid w:val="00F02B78"/>
    <w:rsid w:val="00F02C8D"/>
    <w:rsid w:val="00F04921"/>
    <w:rsid w:val="00F05A7C"/>
    <w:rsid w:val="00F06200"/>
    <w:rsid w:val="00F06342"/>
    <w:rsid w:val="00F0741A"/>
    <w:rsid w:val="00F07853"/>
    <w:rsid w:val="00F10031"/>
    <w:rsid w:val="00F13E43"/>
    <w:rsid w:val="00F16873"/>
    <w:rsid w:val="00F175B4"/>
    <w:rsid w:val="00F177AA"/>
    <w:rsid w:val="00F17A1F"/>
    <w:rsid w:val="00F21DA1"/>
    <w:rsid w:val="00F2290C"/>
    <w:rsid w:val="00F23621"/>
    <w:rsid w:val="00F23E90"/>
    <w:rsid w:val="00F24A28"/>
    <w:rsid w:val="00F25E93"/>
    <w:rsid w:val="00F26374"/>
    <w:rsid w:val="00F2691A"/>
    <w:rsid w:val="00F276B1"/>
    <w:rsid w:val="00F302DD"/>
    <w:rsid w:val="00F317E4"/>
    <w:rsid w:val="00F31DF4"/>
    <w:rsid w:val="00F322DE"/>
    <w:rsid w:val="00F33548"/>
    <w:rsid w:val="00F33A96"/>
    <w:rsid w:val="00F33ADD"/>
    <w:rsid w:val="00F362E8"/>
    <w:rsid w:val="00F36A96"/>
    <w:rsid w:val="00F37C9F"/>
    <w:rsid w:val="00F4078F"/>
    <w:rsid w:val="00F43E85"/>
    <w:rsid w:val="00F4429D"/>
    <w:rsid w:val="00F4471B"/>
    <w:rsid w:val="00F45B1B"/>
    <w:rsid w:val="00F45DD1"/>
    <w:rsid w:val="00F45FA5"/>
    <w:rsid w:val="00F47148"/>
    <w:rsid w:val="00F47AA2"/>
    <w:rsid w:val="00F51E7E"/>
    <w:rsid w:val="00F529B4"/>
    <w:rsid w:val="00F53920"/>
    <w:rsid w:val="00F55782"/>
    <w:rsid w:val="00F625E1"/>
    <w:rsid w:val="00F627AA"/>
    <w:rsid w:val="00F63B50"/>
    <w:rsid w:val="00F63D80"/>
    <w:rsid w:val="00F649BA"/>
    <w:rsid w:val="00F64EEE"/>
    <w:rsid w:val="00F650FC"/>
    <w:rsid w:val="00F67D87"/>
    <w:rsid w:val="00F71047"/>
    <w:rsid w:val="00F73CD4"/>
    <w:rsid w:val="00F73DC2"/>
    <w:rsid w:val="00F76A07"/>
    <w:rsid w:val="00F76A16"/>
    <w:rsid w:val="00F81D86"/>
    <w:rsid w:val="00F84223"/>
    <w:rsid w:val="00F844A3"/>
    <w:rsid w:val="00F845FA"/>
    <w:rsid w:val="00F84BCD"/>
    <w:rsid w:val="00F867F8"/>
    <w:rsid w:val="00F90262"/>
    <w:rsid w:val="00F90470"/>
    <w:rsid w:val="00F90573"/>
    <w:rsid w:val="00F906A5"/>
    <w:rsid w:val="00F92FE1"/>
    <w:rsid w:val="00F955F9"/>
    <w:rsid w:val="00F96D26"/>
    <w:rsid w:val="00F96EC9"/>
    <w:rsid w:val="00F97123"/>
    <w:rsid w:val="00F97954"/>
    <w:rsid w:val="00FA08C4"/>
    <w:rsid w:val="00FA09C5"/>
    <w:rsid w:val="00FA5BE6"/>
    <w:rsid w:val="00FA7649"/>
    <w:rsid w:val="00FB023A"/>
    <w:rsid w:val="00FB6215"/>
    <w:rsid w:val="00FB63AC"/>
    <w:rsid w:val="00FB7DE2"/>
    <w:rsid w:val="00FC042B"/>
    <w:rsid w:val="00FC0AF2"/>
    <w:rsid w:val="00FC2200"/>
    <w:rsid w:val="00FC22A3"/>
    <w:rsid w:val="00FC26C6"/>
    <w:rsid w:val="00FC2C4C"/>
    <w:rsid w:val="00FC43B1"/>
    <w:rsid w:val="00FC606F"/>
    <w:rsid w:val="00FC661F"/>
    <w:rsid w:val="00FD0F9C"/>
    <w:rsid w:val="00FD3748"/>
    <w:rsid w:val="00FD61B4"/>
    <w:rsid w:val="00FD68AE"/>
    <w:rsid w:val="00FE0874"/>
    <w:rsid w:val="00FE2579"/>
    <w:rsid w:val="00FE37B8"/>
    <w:rsid w:val="00FE3CE2"/>
    <w:rsid w:val="00FE48AC"/>
    <w:rsid w:val="00FE6657"/>
    <w:rsid w:val="00FE7A31"/>
    <w:rsid w:val="00FF12FB"/>
    <w:rsid w:val="00FF1D80"/>
    <w:rsid w:val="00FF37EC"/>
    <w:rsid w:val="00FF40A2"/>
    <w:rsid w:val="00FF53E4"/>
    <w:rsid w:val="00FF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EE5F9"/>
  <w15:docId w15:val="{828240F0-AE80-40A7-BCBE-3D42D393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60"/>
    <w:rPr>
      <w:lang w:val="sr-Cyrl-RS"/>
    </w:rPr>
  </w:style>
  <w:style w:type="paragraph" w:styleId="Heading2">
    <w:name w:val="heading 2"/>
    <w:basedOn w:val="Normal"/>
    <w:next w:val="Normal"/>
    <w:link w:val="Heading2Char"/>
    <w:uiPriority w:val="9"/>
    <w:unhideWhenUsed/>
    <w:qFormat/>
    <w:rsid w:val="007B6A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0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51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891060"/>
    <w:rPr>
      <w:rFonts w:asciiTheme="majorHAnsi" w:eastAsiaTheme="majorEastAsia" w:hAnsiTheme="majorHAnsi" w:cstheme="majorBidi"/>
      <w:color w:val="1F3763" w:themeColor="accent1" w:themeShade="7F"/>
      <w:sz w:val="24"/>
      <w:szCs w:val="24"/>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891060"/>
    <w:pPr>
      <w:ind w:left="720"/>
      <w:contextualSpacing/>
    </w:pPr>
  </w:style>
  <w:style w:type="paragraph" w:customStyle="1" w:styleId="Bullet1">
    <w:name w:val="Bullet 1"/>
    <w:basedOn w:val="ListBullet"/>
    <w:qFormat/>
    <w:rsid w:val="00891060"/>
    <w:pPr>
      <w:suppressAutoHyphens/>
      <w:autoSpaceDN w:val="0"/>
      <w:spacing w:before="20" w:after="20" w:line="240" w:lineRule="exact"/>
      <w:ind w:left="142" w:hanging="142"/>
      <w:contextualSpacing w:val="0"/>
      <w:textAlignment w:val="baseline"/>
    </w:pPr>
    <w:rPr>
      <w:rFonts w:ascii="DejaVu Sans" w:eastAsia="DejaVu Sans Mono" w:hAnsi="DejaVu Sans" w:cs="DejaVu Sans"/>
      <w:kern w:val="3"/>
      <w:sz w:val="18"/>
      <w:szCs w:val="18"/>
      <w:lang w:eastAsia="zh-CN" w:bidi="hi-IN"/>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basedOn w:val="DefaultParagraphFont"/>
    <w:link w:val="ListParagraph"/>
    <w:uiPriority w:val="34"/>
    <w:qFormat/>
    <w:locked/>
    <w:rsid w:val="00891060"/>
  </w:style>
  <w:style w:type="paragraph" w:styleId="ListBullet">
    <w:name w:val="List Bullet"/>
    <w:basedOn w:val="Normal"/>
    <w:uiPriority w:val="99"/>
    <w:unhideWhenUsed/>
    <w:rsid w:val="00891060"/>
    <w:pPr>
      <w:contextualSpacing/>
    </w:pPr>
  </w:style>
  <w:style w:type="character" w:styleId="CommentReference">
    <w:name w:val="annotation reference"/>
    <w:uiPriority w:val="99"/>
    <w:unhideWhenUsed/>
    <w:qFormat/>
    <w:rsid w:val="003E4C28"/>
    <w:rPr>
      <w:sz w:val="16"/>
      <w:szCs w:val="16"/>
    </w:rPr>
  </w:style>
  <w:style w:type="paragraph" w:styleId="CommentText">
    <w:name w:val="annotation text"/>
    <w:aliases w:val="Char2"/>
    <w:basedOn w:val="Normal"/>
    <w:link w:val="CommentTextChar"/>
    <w:uiPriority w:val="99"/>
    <w:unhideWhenUsed/>
    <w:qFormat/>
    <w:rsid w:val="003E4C28"/>
    <w:pPr>
      <w:suppressAutoHyphens/>
      <w:autoSpaceDN w:val="0"/>
      <w:spacing w:before="120" w:after="120" w:line="240" w:lineRule="auto"/>
      <w:ind w:firstLine="357"/>
      <w:jc w:val="both"/>
      <w:textAlignment w:val="baseline"/>
    </w:pPr>
    <w:rPr>
      <w:rFonts w:ascii="Times New Roman" w:eastAsia="DejaVu Sans Mono" w:hAnsi="Times New Roman" w:cs="Times New Roman"/>
      <w:kern w:val="3"/>
      <w:sz w:val="20"/>
      <w:szCs w:val="20"/>
      <w:lang w:val="de-DE" w:eastAsia="zh-CN" w:bidi="hi-IN"/>
    </w:rPr>
  </w:style>
  <w:style w:type="character" w:customStyle="1" w:styleId="CommentTextChar">
    <w:name w:val="Comment Text Char"/>
    <w:aliases w:val="Char2 Char"/>
    <w:basedOn w:val="DefaultParagraphFont"/>
    <w:link w:val="CommentText"/>
    <w:uiPriority w:val="99"/>
    <w:qFormat/>
    <w:rsid w:val="003E4C28"/>
    <w:rPr>
      <w:rFonts w:ascii="Times New Roman" w:eastAsia="DejaVu Sans Mono" w:hAnsi="Times New Roman" w:cs="Times New Roman"/>
      <w:kern w:val="3"/>
      <w:sz w:val="20"/>
      <w:szCs w:val="20"/>
      <w:lang w:val="de-DE" w:eastAsia="zh-CN" w:bidi="hi-IN"/>
    </w:rPr>
  </w:style>
  <w:style w:type="character" w:customStyle="1" w:styleId="Heading2Char">
    <w:name w:val="Heading 2 Char"/>
    <w:basedOn w:val="DefaultParagraphFont"/>
    <w:link w:val="Heading2"/>
    <w:uiPriority w:val="9"/>
    <w:rsid w:val="007B6A7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C542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4242"/>
    <w:rPr>
      <w:rFonts w:ascii="Calibri" w:eastAsia="Times New Roman" w:hAnsi="Calibri" w:cs="Times New Roman"/>
    </w:rPr>
  </w:style>
  <w:style w:type="character" w:styleId="Hyperlink">
    <w:name w:val="Hyperlink"/>
    <w:uiPriority w:val="99"/>
    <w:unhideWhenUsed/>
    <w:rsid w:val="00F96D26"/>
    <w:rPr>
      <w:color w:val="0563C1"/>
      <w:u w:val="single"/>
    </w:rPr>
  </w:style>
  <w:style w:type="paragraph" w:styleId="CommentSubject">
    <w:name w:val="annotation subject"/>
    <w:basedOn w:val="CommentText"/>
    <w:next w:val="CommentText"/>
    <w:link w:val="CommentSubjectChar"/>
    <w:uiPriority w:val="99"/>
    <w:semiHidden/>
    <w:unhideWhenUsed/>
    <w:rsid w:val="00A601C2"/>
    <w:pPr>
      <w:suppressAutoHyphens w:val="0"/>
      <w:autoSpaceDN/>
      <w:spacing w:before="0" w:after="160"/>
      <w:ind w:firstLine="0"/>
      <w:jc w:val="left"/>
      <w:textAlignment w:val="auto"/>
    </w:pPr>
    <w:rPr>
      <w:rFonts w:asciiTheme="minorHAnsi" w:eastAsiaTheme="minorHAnsi" w:hAnsiTheme="minorHAnsi" w:cstheme="minorBidi"/>
      <w:b/>
      <w:bCs/>
      <w:kern w:val="0"/>
      <w:lang w:val="en-US" w:eastAsia="en-US" w:bidi="ar-SA"/>
    </w:rPr>
  </w:style>
  <w:style w:type="character" w:customStyle="1" w:styleId="CommentSubjectChar">
    <w:name w:val="Comment Subject Char"/>
    <w:basedOn w:val="CommentTextChar"/>
    <w:link w:val="CommentSubject"/>
    <w:uiPriority w:val="99"/>
    <w:semiHidden/>
    <w:rsid w:val="00A601C2"/>
    <w:rPr>
      <w:rFonts w:ascii="Times New Roman" w:eastAsia="DejaVu Sans Mono" w:hAnsi="Times New Roman" w:cs="Times New Roman"/>
      <w:b/>
      <w:bCs/>
      <w:kern w:val="3"/>
      <w:sz w:val="20"/>
      <w:szCs w:val="20"/>
      <w:lang w:val="de-DE" w:eastAsia="zh-CN" w:bidi="hi-IN"/>
    </w:rPr>
  </w:style>
  <w:style w:type="paragraph" w:styleId="BalloonText">
    <w:name w:val="Balloon Text"/>
    <w:basedOn w:val="Normal"/>
    <w:link w:val="BalloonTextChar"/>
    <w:uiPriority w:val="99"/>
    <w:semiHidden/>
    <w:unhideWhenUsed/>
    <w:rsid w:val="00A6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2"/>
    <w:rPr>
      <w:rFonts w:ascii="Segoe UI" w:hAnsi="Segoe UI" w:cs="Segoe UI"/>
      <w:sz w:val="18"/>
      <w:szCs w:val="18"/>
    </w:rPr>
  </w:style>
  <w:style w:type="paragraph" w:styleId="Caption">
    <w:name w:val="caption"/>
    <w:basedOn w:val="Normal"/>
    <w:next w:val="Normal"/>
    <w:uiPriority w:val="35"/>
    <w:unhideWhenUsed/>
    <w:qFormat/>
    <w:rsid w:val="009C581E"/>
    <w:pPr>
      <w:suppressAutoHyphens/>
      <w:autoSpaceDN w:val="0"/>
      <w:spacing w:before="120" w:after="200" w:line="240" w:lineRule="auto"/>
      <w:ind w:firstLine="357"/>
      <w:jc w:val="both"/>
      <w:textAlignment w:val="baseline"/>
    </w:pPr>
    <w:rPr>
      <w:rFonts w:ascii="Times New Roman" w:eastAsia="DejaVu Sans Mono" w:hAnsi="Times New Roman" w:cs="Times New Roman"/>
      <w:i/>
      <w:iCs/>
      <w:color w:val="44546A"/>
      <w:kern w:val="3"/>
      <w:sz w:val="18"/>
      <w:szCs w:val="18"/>
      <w:lang w:val="de-DE" w:eastAsia="zh-CN" w:bidi="hi-IN"/>
    </w:rPr>
  </w:style>
  <w:style w:type="paragraph" w:customStyle="1" w:styleId="clan">
    <w:name w:val="clan"/>
    <w:basedOn w:val="Normal"/>
    <w:rsid w:val="00C57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851BE"/>
    <w:rPr>
      <w:rFonts w:asciiTheme="majorHAnsi" w:eastAsiaTheme="majorEastAsia" w:hAnsiTheme="majorHAnsi" w:cstheme="majorBidi"/>
      <w:i/>
      <w:iCs/>
      <w:color w:val="2F5496" w:themeColor="accent1" w:themeShade="BF"/>
    </w:rPr>
  </w:style>
  <w:style w:type="paragraph" w:customStyle="1" w:styleId="1tekst">
    <w:name w:val="1tekst"/>
    <w:basedOn w:val="Normal"/>
    <w:rsid w:val="00CD247A"/>
    <w:pPr>
      <w:spacing w:before="100" w:after="100" w:line="240" w:lineRule="auto"/>
      <w:ind w:firstLine="240"/>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E7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F52"/>
  </w:style>
  <w:style w:type="paragraph" w:styleId="Footer">
    <w:name w:val="footer"/>
    <w:basedOn w:val="Normal"/>
    <w:link w:val="FooterChar"/>
    <w:uiPriority w:val="99"/>
    <w:unhideWhenUsed/>
    <w:rsid w:val="005E7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F52"/>
  </w:style>
  <w:style w:type="paragraph" w:styleId="Revision">
    <w:name w:val="Revision"/>
    <w:hidden/>
    <w:uiPriority w:val="99"/>
    <w:semiHidden/>
    <w:rsid w:val="00B80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4025">
      <w:bodyDiv w:val="1"/>
      <w:marLeft w:val="0"/>
      <w:marRight w:val="0"/>
      <w:marTop w:val="0"/>
      <w:marBottom w:val="0"/>
      <w:divBdr>
        <w:top w:val="none" w:sz="0" w:space="0" w:color="auto"/>
        <w:left w:val="none" w:sz="0" w:space="0" w:color="auto"/>
        <w:bottom w:val="none" w:sz="0" w:space="0" w:color="auto"/>
        <w:right w:val="none" w:sz="0" w:space="0" w:color="auto"/>
      </w:divBdr>
    </w:div>
    <w:div w:id="271668198">
      <w:bodyDiv w:val="1"/>
      <w:marLeft w:val="0"/>
      <w:marRight w:val="0"/>
      <w:marTop w:val="0"/>
      <w:marBottom w:val="0"/>
      <w:divBdr>
        <w:top w:val="none" w:sz="0" w:space="0" w:color="auto"/>
        <w:left w:val="none" w:sz="0" w:space="0" w:color="auto"/>
        <w:bottom w:val="none" w:sz="0" w:space="0" w:color="auto"/>
        <w:right w:val="none" w:sz="0" w:space="0" w:color="auto"/>
      </w:divBdr>
    </w:div>
    <w:div w:id="377973009">
      <w:bodyDiv w:val="1"/>
      <w:marLeft w:val="0"/>
      <w:marRight w:val="0"/>
      <w:marTop w:val="0"/>
      <w:marBottom w:val="0"/>
      <w:divBdr>
        <w:top w:val="none" w:sz="0" w:space="0" w:color="auto"/>
        <w:left w:val="none" w:sz="0" w:space="0" w:color="auto"/>
        <w:bottom w:val="none" w:sz="0" w:space="0" w:color="auto"/>
        <w:right w:val="none" w:sz="0" w:space="0" w:color="auto"/>
      </w:divBdr>
    </w:div>
    <w:div w:id="425225280">
      <w:bodyDiv w:val="1"/>
      <w:marLeft w:val="0"/>
      <w:marRight w:val="0"/>
      <w:marTop w:val="0"/>
      <w:marBottom w:val="0"/>
      <w:divBdr>
        <w:top w:val="none" w:sz="0" w:space="0" w:color="auto"/>
        <w:left w:val="none" w:sz="0" w:space="0" w:color="auto"/>
        <w:bottom w:val="none" w:sz="0" w:space="0" w:color="auto"/>
        <w:right w:val="none" w:sz="0" w:space="0" w:color="auto"/>
      </w:divBdr>
    </w:div>
    <w:div w:id="643705727">
      <w:bodyDiv w:val="1"/>
      <w:marLeft w:val="0"/>
      <w:marRight w:val="0"/>
      <w:marTop w:val="0"/>
      <w:marBottom w:val="0"/>
      <w:divBdr>
        <w:top w:val="none" w:sz="0" w:space="0" w:color="auto"/>
        <w:left w:val="none" w:sz="0" w:space="0" w:color="auto"/>
        <w:bottom w:val="none" w:sz="0" w:space="0" w:color="auto"/>
        <w:right w:val="none" w:sz="0" w:space="0" w:color="auto"/>
      </w:divBdr>
    </w:div>
    <w:div w:id="1089428637">
      <w:bodyDiv w:val="1"/>
      <w:marLeft w:val="0"/>
      <w:marRight w:val="0"/>
      <w:marTop w:val="0"/>
      <w:marBottom w:val="0"/>
      <w:divBdr>
        <w:top w:val="none" w:sz="0" w:space="0" w:color="auto"/>
        <w:left w:val="none" w:sz="0" w:space="0" w:color="auto"/>
        <w:bottom w:val="none" w:sz="0" w:space="0" w:color="auto"/>
        <w:right w:val="none" w:sz="0" w:space="0" w:color="auto"/>
      </w:divBdr>
    </w:div>
    <w:div w:id="1595439006">
      <w:bodyDiv w:val="1"/>
      <w:marLeft w:val="0"/>
      <w:marRight w:val="0"/>
      <w:marTop w:val="0"/>
      <w:marBottom w:val="0"/>
      <w:divBdr>
        <w:top w:val="none" w:sz="0" w:space="0" w:color="auto"/>
        <w:left w:val="none" w:sz="0" w:space="0" w:color="auto"/>
        <w:bottom w:val="none" w:sz="0" w:space="0" w:color="auto"/>
        <w:right w:val="none" w:sz="0" w:space="0" w:color="auto"/>
      </w:divBdr>
    </w:div>
    <w:div w:id="1643581949">
      <w:bodyDiv w:val="1"/>
      <w:marLeft w:val="0"/>
      <w:marRight w:val="0"/>
      <w:marTop w:val="0"/>
      <w:marBottom w:val="0"/>
      <w:divBdr>
        <w:top w:val="none" w:sz="0" w:space="0" w:color="auto"/>
        <w:left w:val="none" w:sz="0" w:space="0" w:color="auto"/>
        <w:bottom w:val="none" w:sz="0" w:space="0" w:color="auto"/>
        <w:right w:val="none" w:sz="0" w:space="0" w:color="auto"/>
      </w:divBdr>
    </w:div>
    <w:div w:id="166778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sr-Cyrl-RS" sz="1200">
                <a:latin typeface="Times New Roman" panose="02020603050405020304" pitchFamily="18" charset="0"/>
                <a:cs typeface="Times New Roman" panose="02020603050405020304" pitchFamily="18" charset="0"/>
              </a:rPr>
              <a:t>Процена трошкова за реализацију мера у Акционом плану Програма реформе управљања јавним финансијама 2021-2025</a:t>
            </a:r>
          </a:p>
          <a:p>
            <a:pPr>
              <a:defRPr sz="1200" b="1" i="0" u="none" strike="noStrike" kern="1200" baseline="0">
                <a:solidFill>
                  <a:schemeClr val="dk1">
                    <a:lumMod val="75000"/>
                    <a:lumOff val="25000"/>
                  </a:schemeClr>
                </a:solidFill>
                <a:latin typeface="+mn-lt"/>
                <a:ea typeface="+mn-ea"/>
                <a:cs typeface="+mn-cs"/>
              </a:defRPr>
            </a:pPr>
            <a:r>
              <a:rPr lang="sr-Cyrl-RS" sz="1200">
                <a:latin typeface="Times New Roman" panose="02020603050405020304" pitchFamily="18" charset="0"/>
                <a:cs typeface="Times New Roman" panose="02020603050405020304" pitchFamily="18" charset="0"/>
              </a:rPr>
              <a:t>Укупно: 9,</a:t>
            </a:r>
            <a:r>
              <a:rPr lang="en-US" sz="1200">
                <a:latin typeface="Times New Roman" panose="02020603050405020304" pitchFamily="18" charset="0"/>
                <a:cs typeface="Times New Roman" panose="02020603050405020304" pitchFamily="18" charset="0"/>
              </a:rPr>
              <a:t>3</a:t>
            </a:r>
            <a:r>
              <a:rPr lang="sr-Cyrl-RS" sz="1200">
                <a:latin typeface="Times New Roman" panose="02020603050405020304" pitchFamily="18" charset="0"/>
                <a:cs typeface="Times New Roman" panose="02020603050405020304" pitchFamily="18" charset="0"/>
              </a:rPr>
              <a:t>65,</a:t>
            </a:r>
            <a:r>
              <a:rPr lang="en-US" sz="1200">
                <a:latin typeface="Times New Roman" panose="02020603050405020304" pitchFamily="18" charset="0"/>
                <a:cs typeface="Times New Roman" panose="02020603050405020304" pitchFamily="18" charset="0"/>
              </a:rPr>
              <a:t>486</a:t>
            </a:r>
            <a:r>
              <a:rPr lang="sr-Cyrl-RS" sz="1200">
                <a:latin typeface="Times New Roman" panose="02020603050405020304" pitchFamily="18" charset="0"/>
                <a:cs typeface="Times New Roman" panose="02020603050405020304" pitchFamily="18" charset="0"/>
              </a:rPr>
              <a:t>,</a:t>
            </a:r>
            <a:r>
              <a:rPr lang="sr-Latn-RS" sz="1200">
                <a:latin typeface="Times New Roman" panose="02020603050405020304" pitchFamily="18" charset="0"/>
                <a:cs typeface="Times New Roman" panose="02020603050405020304" pitchFamily="18" charset="0"/>
              </a:rPr>
              <a:t>0</a:t>
            </a:r>
            <a:r>
              <a:rPr lang="sr-Cyrl-RS" sz="1200">
                <a:latin typeface="Times New Roman" panose="02020603050405020304" pitchFamily="18" charset="0"/>
                <a:cs typeface="Times New Roman" panose="02020603050405020304" pitchFamily="18" charset="0"/>
              </a:rPr>
              <a:t>00 РСД</a:t>
            </a:r>
          </a:p>
        </c:rich>
      </c:tx>
      <c:layout>
        <c:manualLayout>
          <c:xMode val="edge"/>
          <c:yMode val="edge"/>
          <c:x val="0.10261574074074074"/>
          <c:y val="2.7777777777777776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Процена трошкова за реализацију мера у Акционом плану Програма реформе управљања јавним финансијама 2021-2025</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203-40CA-9FB4-AFD9BDB2D8F3}"/>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203-40CA-9FB4-AFD9BDB2D8F3}"/>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203-40CA-9FB4-AFD9BDB2D8F3}"/>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203-40CA-9FB4-AFD9BDB2D8F3}"/>
              </c:ext>
            </c:extLst>
          </c:dPt>
          <c:dLbls>
            <c:dLbl>
              <c:idx val="0"/>
              <c:layout>
                <c:manualLayout>
                  <c:x val="0.25883737444408184"/>
                  <c:y val="0.10005915594434975"/>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5E0B7DC4-BA19-43C3-92EF-21600B6C5976}" type="CATEGORYNAME">
                      <a:rPr lang="sr-Cyrl-CS" sz="1000"/>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t>[CATEGORY NAME]</a:t>
                    </a:fld>
                    <a:r>
                      <a:rPr lang="sr-Cyrl-CS" sz="1000" baseline="0"/>
                      <a:t>, 2,380,453,900, 25%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18816751606470197"/>
                      <c:h val="0.16117491682966381"/>
                    </c:manualLayout>
                  </c15:layout>
                  <c15:dlblFieldTable/>
                  <c15:showDataLabelsRange val="0"/>
                </c:ext>
                <c:ext xmlns:c16="http://schemas.microsoft.com/office/drawing/2014/chart" uri="{C3380CC4-5D6E-409C-BE32-E72D297353CC}">
                  <c16:uniqueId val="{00000001-2203-40CA-9FB4-AFD9BDB2D8F3}"/>
                </c:ext>
              </c:extLst>
            </c:dLbl>
            <c:dLbl>
              <c:idx val="1"/>
              <c:layout>
                <c:manualLayout>
                  <c:x val="4.427245176227556E-2"/>
                  <c:y val="1.4896755332604001E-2"/>
                </c:manualLayout>
              </c:layout>
              <c:tx>
                <c:rich>
                  <a:bodyPr/>
                  <a:lstStyle/>
                  <a:p>
                    <a:fld id="{F61D4E89-3912-417E-BF3E-3C9296E10CF4}" type="CATEGORYNAME">
                      <a:rPr lang="sr-Cyrl-CS" baseline="0"/>
                      <a:pPr/>
                      <a:t>[CATEGORY NAME]</a:t>
                    </a:fld>
                    <a:r>
                      <a:rPr lang="sr-Cyrl-CS" baseline="0"/>
                      <a:t>, </a:t>
                    </a:r>
                    <a:fld id="{729DB14A-A3E4-4FBF-916B-22FD0A3BE519}" type="VALUE">
                      <a:rPr lang="sr-Cyrl-CS" baseline="0"/>
                      <a:pPr/>
                      <a:t>[VALUE]</a:t>
                    </a:fld>
                    <a:r>
                      <a:rPr lang="sr-Cyrl-CS" baseline="0"/>
                      <a:t>, 58%</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203-40CA-9FB4-AFD9BDB2D8F3}"/>
                </c:ext>
              </c:extLst>
            </c:dLbl>
            <c:dLbl>
              <c:idx val="2"/>
              <c:layout>
                <c:manualLayout>
                  <c:x val="-4.4831641225436231E-2"/>
                  <c:y val="6.5140901973240609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203-40CA-9FB4-AFD9BDB2D8F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Буџетска средства</c:v>
                </c:pt>
                <c:pt idx="1">
                  <c:v> Средства развојне помоћи</c:v>
                </c:pt>
                <c:pt idx="2">
                  <c:v>Недостајућа средства</c:v>
                </c:pt>
              </c:strCache>
            </c:strRef>
          </c:cat>
          <c:val>
            <c:numRef>
              <c:f>Sheet1!$B$2:$B$5</c:f>
              <c:numCache>
                <c:formatCode>#,##0</c:formatCode>
                <c:ptCount val="4"/>
                <c:pt idx="0">
                  <c:v>2380453900</c:v>
                </c:pt>
                <c:pt idx="1">
                  <c:v>5375526600</c:v>
                </c:pt>
                <c:pt idx="2">
                  <c:v>1609505500</c:v>
                </c:pt>
              </c:numCache>
            </c:numRef>
          </c:val>
          <c:extLst>
            <c:ext xmlns:c16="http://schemas.microsoft.com/office/drawing/2014/chart" uri="{C3380CC4-5D6E-409C-BE32-E72D297353CC}">
              <c16:uniqueId val="{00000008-2203-40CA-9FB4-AFD9BDB2D8F3}"/>
            </c:ext>
          </c:extLst>
        </c:ser>
        <c:dLbls>
          <c:dLblPos val="ctr"/>
          <c:showLegendKey val="0"/>
          <c:showVal val="1"/>
          <c:showCatName val="0"/>
          <c:showSerName val="0"/>
          <c:showPercent val="0"/>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Sheet1!$B$2</c:f>
              <c:strCache>
                <c:ptCount val="1"/>
                <c:pt idx="0">
                  <c:v>Буџетска средства</c:v>
                </c:pt>
              </c:strCache>
            </c:strRef>
          </c:tx>
          <c:spPr>
            <a:solidFill>
              <a:schemeClr val="accent1"/>
            </a:solidFill>
            <a:ln>
              <a:noFill/>
            </a:ln>
            <a:effectLst/>
          </c:spPr>
          <c:invertIfNegative val="0"/>
          <c:cat>
            <c:strRef>
              <c:f>Sheet1!$A$3:$A$8</c:f>
              <c:strCache>
                <c:ptCount val="6"/>
                <c:pt idx="0">
                  <c:v>Посебни циљ 1</c:v>
                </c:pt>
                <c:pt idx="1">
                  <c:v>Посебни циљ 2</c:v>
                </c:pt>
                <c:pt idx="2">
                  <c:v>Посебни циљ 3</c:v>
                </c:pt>
                <c:pt idx="3">
                  <c:v>Посебни циљ 4</c:v>
                </c:pt>
                <c:pt idx="4">
                  <c:v>Посебни циљ 5</c:v>
                </c:pt>
                <c:pt idx="5">
                  <c:v>Посебни циљ 6</c:v>
                </c:pt>
              </c:strCache>
            </c:strRef>
          </c:cat>
          <c:val>
            <c:numRef>
              <c:f>Sheet1!$B$3:$B$8</c:f>
              <c:numCache>
                <c:formatCode>#,##0</c:formatCode>
                <c:ptCount val="6"/>
                <c:pt idx="0">
                  <c:v>75</c:v>
                </c:pt>
                <c:pt idx="1">
                  <c:v>16</c:v>
                </c:pt>
                <c:pt idx="2">
                  <c:v>83</c:v>
                </c:pt>
                <c:pt idx="3" formatCode="General">
                  <c:v>27</c:v>
                </c:pt>
                <c:pt idx="4" formatCode="General">
                  <c:v>51</c:v>
                </c:pt>
                <c:pt idx="5" formatCode="General">
                  <c:v>0</c:v>
                </c:pt>
              </c:numCache>
            </c:numRef>
          </c:val>
          <c:extLst>
            <c:ext xmlns:c16="http://schemas.microsoft.com/office/drawing/2014/chart" uri="{C3380CC4-5D6E-409C-BE32-E72D297353CC}">
              <c16:uniqueId val="{00000000-4933-4C55-BCCF-FC2A67E271C1}"/>
            </c:ext>
          </c:extLst>
        </c:ser>
        <c:ser>
          <c:idx val="1"/>
          <c:order val="1"/>
          <c:tx>
            <c:strRef>
              <c:f>Sheet1!$C$2</c:f>
              <c:strCache>
                <c:ptCount val="1"/>
                <c:pt idx="0">
                  <c:v> Средства развојне помоћи</c:v>
                </c:pt>
              </c:strCache>
            </c:strRef>
          </c:tx>
          <c:spPr>
            <a:solidFill>
              <a:schemeClr val="accent2"/>
            </a:solidFill>
            <a:ln>
              <a:noFill/>
            </a:ln>
            <a:effectLst/>
          </c:spPr>
          <c:invertIfNegative val="0"/>
          <c:cat>
            <c:strRef>
              <c:f>Sheet1!$A$3:$A$8</c:f>
              <c:strCache>
                <c:ptCount val="6"/>
                <c:pt idx="0">
                  <c:v>Посебни циљ 1</c:v>
                </c:pt>
                <c:pt idx="1">
                  <c:v>Посебни циљ 2</c:v>
                </c:pt>
                <c:pt idx="2">
                  <c:v>Посебни циљ 3</c:v>
                </c:pt>
                <c:pt idx="3">
                  <c:v>Посебни циљ 4</c:v>
                </c:pt>
                <c:pt idx="4">
                  <c:v>Посебни циљ 5</c:v>
                </c:pt>
                <c:pt idx="5">
                  <c:v>Посебни циљ 6</c:v>
                </c:pt>
              </c:strCache>
            </c:strRef>
          </c:cat>
          <c:val>
            <c:numRef>
              <c:f>Sheet1!$C$3:$C$8</c:f>
              <c:numCache>
                <c:formatCode>General</c:formatCode>
                <c:ptCount val="6"/>
                <c:pt idx="0">
                  <c:v>25</c:v>
                </c:pt>
                <c:pt idx="1">
                  <c:v>58</c:v>
                </c:pt>
                <c:pt idx="2">
                  <c:v>11</c:v>
                </c:pt>
                <c:pt idx="3">
                  <c:v>17</c:v>
                </c:pt>
                <c:pt idx="4">
                  <c:v>0.3</c:v>
                </c:pt>
                <c:pt idx="5">
                  <c:v>0</c:v>
                </c:pt>
              </c:numCache>
            </c:numRef>
          </c:val>
          <c:extLst>
            <c:ext xmlns:c16="http://schemas.microsoft.com/office/drawing/2014/chart" uri="{C3380CC4-5D6E-409C-BE32-E72D297353CC}">
              <c16:uniqueId val="{00000001-4933-4C55-BCCF-FC2A67E271C1}"/>
            </c:ext>
          </c:extLst>
        </c:ser>
        <c:ser>
          <c:idx val="2"/>
          <c:order val="2"/>
          <c:tx>
            <c:strRef>
              <c:f>Sheet1!$D$2</c:f>
              <c:strCache>
                <c:ptCount val="1"/>
                <c:pt idx="0">
                  <c:v>Недостајућа средства</c:v>
                </c:pt>
              </c:strCache>
            </c:strRef>
          </c:tx>
          <c:spPr>
            <a:solidFill>
              <a:schemeClr val="accent3"/>
            </a:solidFill>
            <a:ln>
              <a:noFill/>
            </a:ln>
            <a:effectLst/>
          </c:spPr>
          <c:invertIfNegative val="0"/>
          <c:cat>
            <c:strRef>
              <c:f>Sheet1!$A$3:$A$8</c:f>
              <c:strCache>
                <c:ptCount val="6"/>
                <c:pt idx="0">
                  <c:v>Посебни циљ 1</c:v>
                </c:pt>
                <c:pt idx="1">
                  <c:v>Посебни циљ 2</c:v>
                </c:pt>
                <c:pt idx="2">
                  <c:v>Посебни циљ 3</c:v>
                </c:pt>
                <c:pt idx="3">
                  <c:v>Посебни циљ 4</c:v>
                </c:pt>
                <c:pt idx="4">
                  <c:v>Посебни циљ 5</c:v>
                </c:pt>
                <c:pt idx="5">
                  <c:v>Посебни циљ 6</c:v>
                </c:pt>
              </c:strCache>
            </c:strRef>
          </c:cat>
          <c:val>
            <c:numRef>
              <c:f>Sheet1!$D$3:$D$8</c:f>
              <c:numCache>
                <c:formatCode>General</c:formatCode>
                <c:ptCount val="6"/>
                <c:pt idx="0">
                  <c:v>0.8</c:v>
                </c:pt>
                <c:pt idx="1">
                  <c:v>26</c:v>
                </c:pt>
                <c:pt idx="2">
                  <c:v>6</c:v>
                </c:pt>
                <c:pt idx="3">
                  <c:v>56</c:v>
                </c:pt>
                <c:pt idx="4">
                  <c:v>49</c:v>
                </c:pt>
                <c:pt idx="5">
                  <c:v>100</c:v>
                </c:pt>
              </c:numCache>
            </c:numRef>
          </c:val>
          <c:extLst>
            <c:ext xmlns:c16="http://schemas.microsoft.com/office/drawing/2014/chart" uri="{C3380CC4-5D6E-409C-BE32-E72D297353CC}">
              <c16:uniqueId val="{00000002-4933-4C55-BCCF-FC2A67E271C1}"/>
            </c:ext>
          </c:extLst>
        </c:ser>
        <c:dLbls>
          <c:showLegendKey val="0"/>
          <c:showVal val="0"/>
          <c:showCatName val="0"/>
          <c:showSerName val="0"/>
          <c:showPercent val="0"/>
          <c:showBubbleSize val="0"/>
        </c:dLbls>
        <c:gapWidth val="150"/>
        <c:overlap val="100"/>
        <c:axId val="640940544"/>
        <c:axId val="646005312"/>
      </c:barChart>
      <c:valAx>
        <c:axId val="646005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640940544"/>
        <c:crosses val="autoZero"/>
        <c:crossBetween val="between"/>
      </c:valAx>
      <c:catAx>
        <c:axId val="640940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46005312"/>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5FBA8-D7AD-4CB6-BA1B-B8447553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9318</Words>
  <Characters>53115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Petrović</dc:creator>
  <cp:keywords/>
  <dc:description/>
  <cp:lastModifiedBy>Snezana Marinovic</cp:lastModifiedBy>
  <cp:revision>7</cp:revision>
  <cp:lastPrinted>2023-12-22T12:35:00Z</cp:lastPrinted>
  <dcterms:created xsi:type="dcterms:W3CDTF">2023-12-22T11:49:00Z</dcterms:created>
  <dcterms:modified xsi:type="dcterms:W3CDTF">2023-12-22T13:28:00Z</dcterms:modified>
</cp:coreProperties>
</file>