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801" w:rsidRDefault="001B30B2">
      <w:pPr>
        <w:spacing w:line="210" w:lineRule="atLeast"/>
      </w:pPr>
      <w:bookmarkStart w:id="0" w:name="_GoBack"/>
      <w:bookmarkEnd w:id="0"/>
      <w:r>
        <w:rPr>
          <w:rFonts w:ascii="Verdana" w:eastAsia="Verdana" w:hAnsi="Verdana" w:cs="Verdana"/>
        </w:rPr>
        <w:t>На основу члана 75. ст. 2. и 4. Закона о буџетском систему („Службени гласник РС”, бр. 54/09, 73/10, 101/10, 101/11, 93/12, 62/13, 63/13 – исправка, 108/13, 142/14, 68/15 – др. закон, 103/15, 99/16, 113/17, 95/18, 31/19, 72/19, 149/20, 118/21, 118/21 – др.</w:t>
      </w:r>
      <w:r>
        <w:rPr>
          <w:rFonts w:ascii="Verdana" w:eastAsia="Verdana" w:hAnsi="Verdana" w:cs="Verdana"/>
        </w:rPr>
        <w:t xml:space="preserve"> закон, 138/22, 92/23 и 94/24),</w:t>
      </w:r>
    </w:p>
    <w:p w:rsidR="003C6801" w:rsidRDefault="001B30B2">
      <w:pPr>
        <w:spacing w:line="210" w:lineRule="atLeast"/>
      </w:pPr>
      <w:r>
        <w:rPr>
          <w:rFonts w:ascii="Verdana" w:eastAsia="Verdana" w:hAnsi="Verdana" w:cs="Verdana"/>
        </w:rPr>
        <w:t>Министар финансија доноси</w:t>
      </w:r>
    </w:p>
    <w:p w:rsidR="003C6801" w:rsidRDefault="001B30B2">
      <w:pPr>
        <w:spacing w:line="210" w:lineRule="atLeast"/>
        <w:jc w:val="center"/>
      </w:pPr>
      <w:r>
        <w:rPr>
          <w:rFonts w:ascii="Verdana" w:eastAsia="Verdana" w:hAnsi="Verdana" w:cs="Verdana"/>
          <w:b/>
        </w:rPr>
        <w:t>ПРАВИЛНИК</w:t>
      </w:r>
    </w:p>
    <w:p w:rsidR="003C6801" w:rsidRDefault="001B30B2">
      <w:pPr>
        <w:spacing w:line="210" w:lineRule="atLeast"/>
        <w:jc w:val="center"/>
      </w:pPr>
      <w:r>
        <w:rPr>
          <w:rFonts w:ascii="Verdana" w:eastAsia="Verdana" w:hAnsi="Verdana" w:cs="Verdana"/>
          <w:b/>
        </w:rPr>
        <w:t>о рачуноводственим политикама корисника буџетских средстава и корисника средстава организација за обавезно социјално осигурање</w:t>
      </w:r>
    </w:p>
    <w:p w:rsidR="003C6801" w:rsidRDefault="001B30B2">
      <w:pPr>
        <w:spacing w:line="210" w:lineRule="atLeast"/>
        <w:jc w:val="center"/>
      </w:pPr>
      <w:r>
        <w:rPr>
          <w:rFonts w:ascii="Verdana" w:eastAsia="Verdana" w:hAnsi="Verdana" w:cs="Verdana"/>
        </w:rPr>
        <w:t>I. ОСНОВНЕ ОДРЕДБЕ</w:t>
      </w:r>
    </w:p>
    <w:p w:rsidR="003C6801" w:rsidRDefault="001B30B2">
      <w:pPr>
        <w:spacing w:line="210" w:lineRule="atLeast"/>
        <w:jc w:val="center"/>
      </w:pPr>
      <w:r>
        <w:rPr>
          <w:rFonts w:ascii="Verdana" w:eastAsia="Verdana" w:hAnsi="Verdana" w:cs="Verdana"/>
        </w:rPr>
        <w:t>Члан 1.</w:t>
      </w:r>
    </w:p>
    <w:p w:rsidR="003C6801" w:rsidRDefault="001B30B2">
      <w:pPr>
        <w:spacing w:line="210" w:lineRule="atLeast"/>
      </w:pPr>
      <w:r>
        <w:rPr>
          <w:rFonts w:ascii="Verdana" w:eastAsia="Verdana" w:hAnsi="Verdana" w:cs="Verdana"/>
        </w:rPr>
        <w:t>Овим правилником прописују се рачу</w:t>
      </w:r>
      <w:r>
        <w:rPr>
          <w:rFonts w:ascii="Verdana" w:eastAsia="Verdana" w:hAnsi="Verdana" w:cs="Verdana"/>
        </w:rPr>
        <w:t>новодствене политике које се користе за припрему, састављање и презентацију финансијских извештаја на принципима готовинске основе, у складу са Међународним рачуноводственим стандардом за јавни сектор (</w:t>
      </w:r>
      <w:r>
        <w:rPr>
          <w:rFonts w:ascii="Verdana" w:eastAsia="Verdana" w:hAnsi="Verdana" w:cs="Verdana"/>
          <w:i/>
        </w:rPr>
        <w:t>International Public Sector Accounting Standards</w:t>
      </w:r>
      <w:r>
        <w:rPr>
          <w:rFonts w:ascii="Verdana" w:eastAsia="Verdana" w:hAnsi="Verdana" w:cs="Verdana"/>
        </w:rPr>
        <w:t xml:space="preserve"> – IPS</w:t>
      </w:r>
      <w:r>
        <w:rPr>
          <w:rFonts w:ascii="Verdana" w:eastAsia="Verdana" w:hAnsi="Verdana" w:cs="Verdana"/>
        </w:rPr>
        <w:t>AS) на готовинској основи (у даљем тексту: IPSAS на готовинској основи).</w:t>
      </w:r>
    </w:p>
    <w:p w:rsidR="003C6801" w:rsidRDefault="001B30B2">
      <w:pPr>
        <w:spacing w:line="210" w:lineRule="atLeast"/>
        <w:jc w:val="center"/>
      </w:pPr>
      <w:r>
        <w:rPr>
          <w:rFonts w:ascii="Verdana" w:eastAsia="Verdana" w:hAnsi="Verdana" w:cs="Verdana"/>
        </w:rPr>
        <w:t>Члан 2.</w:t>
      </w:r>
    </w:p>
    <w:p w:rsidR="003C6801" w:rsidRDefault="001B30B2">
      <w:pPr>
        <w:spacing w:line="210" w:lineRule="atLeast"/>
      </w:pPr>
      <w:r>
        <w:rPr>
          <w:rFonts w:ascii="Verdana" w:eastAsia="Verdana" w:hAnsi="Verdana" w:cs="Verdana"/>
        </w:rPr>
        <w:t>Основ за успостављање и вођење система двојног књиговодства и јединственог система буџетског рачуноводства (у даљем тексту: рачуноводства) корисника буџетских средстава и кори</w:t>
      </w:r>
      <w:r>
        <w:rPr>
          <w:rFonts w:ascii="Verdana" w:eastAsia="Verdana" w:hAnsi="Verdana" w:cs="Verdana"/>
        </w:rPr>
        <w:t>сника средстава организација за обавезно социјално осигурање је закон којим се уређује буџетски систем, уредба којом се уређује буџетско рачуноводство и уредба којом се уређује примена Међународних рачуноводствених стандарда за јавни сектор.</w:t>
      </w:r>
    </w:p>
    <w:p w:rsidR="003C6801" w:rsidRDefault="001B30B2">
      <w:pPr>
        <w:spacing w:line="210" w:lineRule="atLeast"/>
      </w:pPr>
      <w:r>
        <w:rPr>
          <w:rFonts w:ascii="Verdana" w:eastAsia="Verdana" w:hAnsi="Verdana" w:cs="Verdana"/>
        </w:rPr>
        <w:t>Основ за утврђ</w:t>
      </w:r>
      <w:r>
        <w:rPr>
          <w:rFonts w:ascii="Verdana" w:eastAsia="Verdana" w:hAnsi="Verdana" w:cs="Verdana"/>
        </w:rPr>
        <w:t>ивање рачуноводствених политика су IPSAS на готовинској основи, који објављује Одбор за међународне рачуноводствене стандарде за јавни сектор (</w:t>
      </w:r>
      <w:r>
        <w:rPr>
          <w:rFonts w:ascii="Verdana" w:eastAsia="Verdana" w:hAnsi="Verdana" w:cs="Verdana"/>
          <w:i/>
        </w:rPr>
        <w:t>International Public Sector Accounting Standards Board</w:t>
      </w:r>
      <w:r>
        <w:rPr>
          <w:rFonts w:ascii="Verdana" w:eastAsia="Verdana" w:hAnsi="Verdana" w:cs="Verdana"/>
        </w:rPr>
        <w:t xml:space="preserve"> – IPSASB).</w:t>
      </w:r>
    </w:p>
    <w:p w:rsidR="003C6801" w:rsidRDefault="001B30B2">
      <w:pPr>
        <w:spacing w:line="210" w:lineRule="atLeast"/>
        <w:jc w:val="center"/>
      </w:pPr>
      <w:r>
        <w:rPr>
          <w:rFonts w:ascii="Verdana" w:eastAsia="Verdana" w:hAnsi="Verdana" w:cs="Verdana"/>
        </w:rPr>
        <w:t>Члан 3.</w:t>
      </w:r>
    </w:p>
    <w:p w:rsidR="003C6801" w:rsidRDefault="001B30B2">
      <w:pPr>
        <w:spacing w:line="210" w:lineRule="atLeast"/>
      </w:pPr>
      <w:r>
        <w:rPr>
          <w:rFonts w:ascii="Verdana" w:eastAsia="Verdana" w:hAnsi="Verdana" w:cs="Verdana"/>
        </w:rPr>
        <w:t>Одредбе овог правилника примењују се на</w:t>
      </w:r>
      <w:r>
        <w:rPr>
          <w:rFonts w:ascii="Verdana" w:eastAsia="Verdana" w:hAnsi="Verdana" w:cs="Verdana"/>
        </w:rPr>
        <w:t xml:space="preserve"> буџет Републике Србије, буџете аутономних покрајина и јединица локалне самоуправе (у даљем тексту: локалне власти), као и на њихове директне и индиректне кориснике буџетских средстава, Републички фонд за здравствено осигурање, Републички фонд за пензијско</w:t>
      </w:r>
      <w:r>
        <w:rPr>
          <w:rFonts w:ascii="Verdana" w:eastAsia="Verdana" w:hAnsi="Verdana" w:cs="Verdana"/>
        </w:rPr>
        <w:t xml:space="preserve"> и инвалидско осигурање, Фонд за социјално осигурање војних осигураника и Националну службу за запошљавање, као и на кориснике средстава Републичког фонда за здравствено осигурање (у даљем тексту: ентитети).</w:t>
      </w:r>
    </w:p>
    <w:p w:rsidR="003C6801" w:rsidRDefault="001B30B2">
      <w:pPr>
        <w:spacing w:line="210" w:lineRule="atLeast"/>
        <w:jc w:val="center"/>
      </w:pPr>
      <w:r>
        <w:rPr>
          <w:rFonts w:ascii="Verdana" w:eastAsia="Verdana" w:hAnsi="Verdana" w:cs="Verdana"/>
          <w:b/>
        </w:rPr>
        <w:t>Дефиниције</w:t>
      </w:r>
    </w:p>
    <w:p w:rsidR="003C6801" w:rsidRDefault="001B30B2">
      <w:pPr>
        <w:spacing w:line="210" w:lineRule="atLeast"/>
        <w:jc w:val="center"/>
      </w:pPr>
      <w:r>
        <w:rPr>
          <w:rFonts w:ascii="Verdana" w:eastAsia="Verdana" w:hAnsi="Verdana" w:cs="Verdana"/>
        </w:rPr>
        <w:t>Члан 4.</w:t>
      </w:r>
    </w:p>
    <w:p w:rsidR="003C6801" w:rsidRDefault="001B30B2">
      <w:pPr>
        <w:spacing w:line="210" w:lineRule="atLeast"/>
      </w:pPr>
      <w:r>
        <w:rPr>
          <w:rFonts w:ascii="Verdana" w:eastAsia="Verdana" w:hAnsi="Verdana" w:cs="Verdana"/>
        </w:rPr>
        <w:t>Термини који се користе у ово</w:t>
      </w:r>
      <w:r>
        <w:rPr>
          <w:rFonts w:ascii="Verdana" w:eastAsia="Verdana" w:hAnsi="Verdana" w:cs="Verdana"/>
        </w:rPr>
        <w:t>м правилнику имају следеће значење:</w:t>
      </w:r>
    </w:p>
    <w:p w:rsidR="003C6801" w:rsidRDefault="001B30B2">
      <w:pPr>
        <w:spacing w:line="210" w:lineRule="atLeast"/>
      </w:pPr>
      <w:r>
        <w:rPr>
          <w:rFonts w:ascii="Verdana" w:eastAsia="Verdana" w:hAnsi="Verdana" w:cs="Verdana"/>
        </w:rPr>
        <w:t xml:space="preserve">1) Међународни рачуноводствени стандарди за јавни сектор јесу Међународни рачуноводствени стандарди за јавни сектор (International Public Sector Accounting Standards – IPSAS), које објављује Одбор за </w:t>
      </w:r>
      <w:r>
        <w:rPr>
          <w:rFonts w:ascii="Verdana" w:eastAsia="Verdana" w:hAnsi="Verdana" w:cs="Verdana"/>
        </w:rPr>
        <w:lastRenderedPageBreak/>
        <w:t>међународне рачуново</w:t>
      </w:r>
      <w:r>
        <w:rPr>
          <w:rFonts w:ascii="Verdana" w:eastAsia="Verdana" w:hAnsi="Verdana" w:cs="Verdana"/>
        </w:rPr>
        <w:t>дствене стандарде за јавни сектор (International Public Sector Accounting Standards Board – IPSASB), организациони део Међународне федерације рачуновођа (International Federation of Accountants – IFAC);</w:t>
      </w:r>
    </w:p>
    <w:p w:rsidR="003C6801" w:rsidRDefault="001B30B2">
      <w:pPr>
        <w:spacing w:line="210" w:lineRule="atLeast"/>
      </w:pPr>
      <w:r>
        <w:rPr>
          <w:rFonts w:ascii="Verdana" w:eastAsia="Verdana" w:hAnsi="Verdana" w:cs="Verdana"/>
        </w:rPr>
        <w:t>2) готовинска основа је рачуноводствена основа по кој</w:t>
      </w:r>
      <w:r>
        <w:rPr>
          <w:rFonts w:ascii="Verdana" w:eastAsia="Verdana" w:hAnsi="Verdana" w:cs="Verdana"/>
        </w:rPr>
        <w:t>ој се трансакције и остали догађаји признају тек када се готовина прими или плати;</w:t>
      </w:r>
    </w:p>
    <w:p w:rsidR="003C6801" w:rsidRDefault="001B30B2">
      <w:pPr>
        <w:spacing w:line="210" w:lineRule="atLeast"/>
      </w:pPr>
      <w:r>
        <w:rPr>
          <w:rFonts w:ascii="Verdana" w:eastAsia="Verdana" w:hAnsi="Verdana" w:cs="Verdana"/>
        </w:rPr>
        <w:t>3) финансијске активности су активности које доводе до измена величине и састава сопственог капитала и позајмица ентитета;</w:t>
      </w:r>
    </w:p>
    <w:p w:rsidR="003C6801" w:rsidRDefault="001B30B2">
      <w:pPr>
        <w:spacing w:line="210" w:lineRule="atLeast"/>
      </w:pPr>
      <w:r>
        <w:rPr>
          <w:rFonts w:ascii="Verdana" w:eastAsia="Verdana" w:hAnsi="Verdana" w:cs="Verdana"/>
        </w:rPr>
        <w:t xml:space="preserve">4) инвестиционе активности представљају стицање и </w:t>
      </w:r>
      <w:r>
        <w:rPr>
          <w:rFonts w:ascii="Verdana" w:eastAsia="Verdana" w:hAnsi="Verdana" w:cs="Verdana"/>
        </w:rPr>
        <w:t>отуђење дугорочне имовине и других улагања која не представљају готовинске еквиваленте;</w:t>
      </w:r>
    </w:p>
    <w:p w:rsidR="003C6801" w:rsidRDefault="001B30B2">
      <w:pPr>
        <w:spacing w:line="210" w:lineRule="atLeast"/>
      </w:pPr>
      <w:r>
        <w:rPr>
          <w:rFonts w:ascii="Verdana" w:eastAsia="Verdana" w:hAnsi="Verdana" w:cs="Verdana"/>
        </w:rPr>
        <w:t>5) пословне активности су активности ентитета које не спадају у активности инвестирања или финансијске активности;</w:t>
      </w:r>
    </w:p>
    <w:p w:rsidR="003C6801" w:rsidRDefault="001B30B2">
      <w:pPr>
        <w:spacing w:line="210" w:lineRule="atLeast"/>
      </w:pPr>
      <w:r>
        <w:rPr>
          <w:rFonts w:ascii="Verdana" w:eastAsia="Verdana" w:hAnsi="Verdana" w:cs="Verdana"/>
        </w:rPr>
        <w:t>6) готовина представља готовинска средства на распола</w:t>
      </w:r>
      <w:r>
        <w:rPr>
          <w:rFonts w:ascii="Verdana" w:eastAsia="Verdana" w:hAnsi="Verdana" w:cs="Verdana"/>
        </w:rPr>
        <w:t>гању и депозите у банкарским институцијама, који се могу повући на захтев;</w:t>
      </w:r>
    </w:p>
    <w:p w:rsidR="003C6801" w:rsidRDefault="001B30B2">
      <w:pPr>
        <w:spacing w:line="210" w:lineRule="atLeast"/>
      </w:pPr>
      <w:r>
        <w:rPr>
          <w:rFonts w:ascii="Verdana" w:eastAsia="Verdana" w:hAnsi="Verdana" w:cs="Verdana"/>
        </w:rPr>
        <w:t>7) готовински еквиваленти јесу краткорочни високоликвидни пласмани који се могу лако конвертовати у познате износе готовине уз минималан ризик промене вредности;</w:t>
      </w:r>
    </w:p>
    <w:p w:rsidR="003C6801" w:rsidRDefault="001B30B2">
      <w:pPr>
        <w:spacing w:line="210" w:lineRule="atLeast"/>
      </w:pPr>
      <w:r>
        <w:rPr>
          <w:rFonts w:ascii="Verdana" w:eastAsia="Verdana" w:hAnsi="Verdana" w:cs="Verdana"/>
        </w:rPr>
        <w:t>8) обрачунска основ</w:t>
      </w:r>
      <w:r>
        <w:rPr>
          <w:rFonts w:ascii="Verdana" w:eastAsia="Verdana" w:hAnsi="Verdana" w:cs="Verdana"/>
        </w:rPr>
        <w:t>а представља рачуноводствену основу према којој се трансакције и други догађаји признају у тренутку њиховог настанка (а не само када се прими или изда готовина или готовински еквивалент);</w:t>
      </w:r>
    </w:p>
    <w:p w:rsidR="003C6801" w:rsidRDefault="001B30B2">
      <w:pPr>
        <w:spacing w:line="210" w:lineRule="atLeast"/>
      </w:pPr>
      <w:r>
        <w:rPr>
          <w:rFonts w:ascii="Verdana" w:eastAsia="Verdana" w:hAnsi="Verdana" w:cs="Verdana"/>
        </w:rPr>
        <w:t>9) готовински токови су приливи и одливи готовине;</w:t>
      </w:r>
    </w:p>
    <w:p w:rsidR="003C6801" w:rsidRDefault="001B30B2">
      <w:pPr>
        <w:spacing w:line="210" w:lineRule="atLeast"/>
      </w:pPr>
      <w:r>
        <w:rPr>
          <w:rFonts w:ascii="Verdana" w:eastAsia="Verdana" w:hAnsi="Verdana" w:cs="Verdana"/>
        </w:rPr>
        <w:t>10) контрола гото</w:t>
      </w:r>
      <w:r>
        <w:rPr>
          <w:rFonts w:ascii="Verdana" w:eastAsia="Verdana" w:hAnsi="Verdana" w:cs="Verdana"/>
        </w:rPr>
        <w:t>вине настаје када ентитет може употребити, или на други начин имати користи од готовине за сврхе остваривања својих циљева и када може спречити или контролисати приступ другим субјектима да остваре сопствене користи;</w:t>
      </w:r>
    </w:p>
    <w:p w:rsidR="003C6801" w:rsidRDefault="001B30B2">
      <w:pPr>
        <w:spacing w:line="210" w:lineRule="atLeast"/>
      </w:pPr>
      <w:r>
        <w:rPr>
          <w:rFonts w:ascii="Verdana" w:eastAsia="Verdana" w:hAnsi="Verdana" w:cs="Verdana"/>
        </w:rPr>
        <w:t>11) рачуноводствене политике су посебни принципи, основе, конвенције, правила и праксе које је усвојио ентитет за припрему, састављање и презентацију финансијских извештаја;</w:t>
      </w:r>
    </w:p>
    <w:p w:rsidR="003C6801" w:rsidRDefault="001B30B2">
      <w:pPr>
        <w:spacing w:line="210" w:lineRule="atLeast"/>
      </w:pPr>
      <w:r>
        <w:rPr>
          <w:rFonts w:ascii="Verdana" w:eastAsia="Verdana" w:hAnsi="Verdana" w:cs="Verdana"/>
        </w:rPr>
        <w:t>12) датум извештавања је датум последњег дана периода извештавања на које се однос</w:t>
      </w:r>
      <w:r>
        <w:rPr>
          <w:rFonts w:ascii="Verdana" w:eastAsia="Verdana" w:hAnsi="Verdana" w:cs="Verdana"/>
        </w:rPr>
        <w:t>е финансијски извештаји;</w:t>
      </w:r>
    </w:p>
    <w:p w:rsidR="003C6801" w:rsidRDefault="001B30B2">
      <w:pPr>
        <w:spacing w:line="210" w:lineRule="atLeast"/>
      </w:pPr>
      <w:r>
        <w:rPr>
          <w:rFonts w:ascii="Verdana" w:eastAsia="Verdana" w:hAnsi="Verdana" w:cs="Verdana"/>
        </w:rPr>
        <w:t>13) консолидовани финансијски извештаји су финансијски извештаји економских ентитета у којима су готовински приливи, одливи и салда готовине матичног ентитета и ентитета које он контролише, приказани као извештаји појединачног енти</w:t>
      </w:r>
      <w:r>
        <w:rPr>
          <w:rFonts w:ascii="Verdana" w:eastAsia="Verdana" w:hAnsi="Verdana" w:cs="Verdana"/>
        </w:rPr>
        <w:t>тета;</w:t>
      </w:r>
    </w:p>
    <w:p w:rsidR="003C6801" w:rsidRDefault="001B30B2">
      <w:pPr>
        <w:spacing w:line="210" w:lineRule="atLeast"/>
      </w:pPr>
      <w:r>
        <w:rPr>
          <w:rFonts w:ascii="Verdana" w:eastAsia="Verdana" w:hAnsi="Verdana" w:cs="Verdana"/>
        </w:rPr>
        <w:t>14) економски ентитет је група ентитета састављена од матичног ентитета и једног или више контролисаних ентитета;</w:t>
      </w:r>
    </w:p>
    <w:p w:rsidR="003C6801" w:rsidRDefault="001B30B2">
      <w:pPr>
        <w:spacing w:line="210" w:lineRule="atLeast"/>
      </w:pPr>
      <w:r>
        <w:rPr>
          <w:rFonts w:ascii="Verdana" w:eastAsia="Verdana" w:hAnsi="Verdana" w:cs="Verdana"/>
        </w:rPr>
        <w:t>15) контролисани ентитет је ентитет који је под контролом другог ентитета (матичног ентитета), односно индиректни корисник буџетских средстава и корисник средстава Републичког фонда за здравствено осигурање у смислу закона којим се уређује буџетски систем;</w:t>
      </w:r>
    </w:p>
    <w:p w:rsidR="003C6801" w:rsidRDefault="001B30B2">
      <w:pPr>
        <w:spacing w:line="210" w:lineRule="atLeast"/>
      </w:pPr>
      <w:r>
        <w:rPr>
          <w:rFonts w:ascii="Verdana" w:eastAsia="Verdana" w:hAnsi="Verdana" w:cs="Verdana"/>
        </w:rPr>
        <w:t xml:space="preserve">16) матични ентитет је ентитет који има контролу над једним или више других ентитета, односно директни корисник буџетских средстава, који у својој надлежности има индиректне кориснике буџетских средстава, као и </w:t>
      </w:r>
      <w:r>
        <w:rPr>
          <w:rFonts w:ascii="Verdana" w:eastAsia="Verdana" w:hAnsi="Verdana" w:cs="Verdana"/>
        </w:rPr>
        <w:lastRenderedPageBreak/>
        <w:t xml:space="preserve">Републички фонд за здравствено осигурање, у </w:t>
      </w:r>
      <w:r>
        <w:rPr>
          <w:rFonts w:ascii="Verdana" w:eastAsia="Verdana" w:hAnsi="Verdana" w:cs="Verdana"/>
        </w:rPr>
        <w:t>смислу закона којим се уређује буџетски систем;</w:t>
      </w:r>
    </w:p>
    <w:p w:rsidR="003C6801" w:rsidRDefault="001B30B2">
      <w:pPr>
        <w:spacing w:line="210" w:lineRule="atLeast"/>
      </w:pPr>
      <w:r>
        <w:rPr>
          <w:rFonts w:ascii="Verdana" w:eastAsia="Verdana" w:hAnsi="Verdana" w:cs="Verdana"/>
        </w:rPr>
        <w:t>17) курсна разлика је разлика која проистиче из превођења датог броја јединица једне валуте у другу валуту по различитим девизним курсевима;</w:t>
      </w:r>
    </w:p>
    <w:p w:rsidR="003C6801" w:rsidRDefault="001B30B2">
      <w:pPr>
        <w:spacing w:line="210" w:lineRule="atLeast"/>
      </w:pPr>
      <w:r>
        <w:rPr>
          <w:rFonts w:ascii="Verdana" w:eastAsia="Verdana" w:hAnsi="Verdana" w:cs="Verdana"/>
        </w:rPr>
        <w:t>18) девизни курс је коефицијент размене двеју валута;</w:t>
      </w:r>
    </w:p>
    <w:p w:rsidR="003C6801" w:rsidRDefault="001B30B2">
      <w:pPr>
        <w:spacing w:line="210" w:lineRule="atLeast"/>
      </w:pPr>
      <w:r>
        <w:rPr>
          <w:rFonts w:ascii="Verdana" w:eastAsia="Verdana" w:hAnsi="Verdana" w:cs="Verdana"/>
        </w:rPr>
        <w:t>19) страна ва</w:t>
      </w:r>
      <w:r>
        <w:rPr>
          <w:rFonts w:ascii="Verdana" w:eastAsia="Verdana" w:hAnsi="Verdana" w:cs="Verdana"/>
        </w:rPr>
        <w:t>лута је валута различита од динара;</w:t>
      </w:r>
    </w:p>
    <w:p w:rsidR="003C6801" w:rsidRDefault="001B30B2">
      <w:pPr>
        <w:spacing w:line="210" w:lineRule="atLeast"/>
      </w:pPr>
      <w:r>
        <w:rPr>
          <w:rFonts w:ascii="Verdana" w:eastAsia="Verdana" w:hAnsi="Verdana" w:cs="Verdana"/>
        </w:rPr>
        <w:t xml:space="preserve">20) рачуноводствена основа подразумева обрачунску или готовинску основу рачуноводства према дефиницији у Међународним рачуноводственим стандардима за јавни сектор према обрачунској основи и Међународном рачуноводственом </w:t>
      </w:r>
      <w:r>
        <w:rPr>
          <w:rFonts w:ascii="Verdana" w:eastAsia="Verdana" w:hAnsi="Verdana" w:cs="Verdana"/>
        </w:rPr>
        <w:t>стандарду за јавни сектор према готовинској основи;</w:t>
      </w:r>
    </w:p>
    <w:p w:rsidR="003C6801" w:rsidRDefault="001B30B2">
      <w:pPr>
        <w:spacing w:line="210" w:lineRule="atLeast"/>
      </w:pPr>
      <w:r>
        <w:rPr>
          <w:rFonts w:ascii="Verdana" w:eastAsia="Verdana" w:hAnsi="Verdana" w:cs="Verdana"/>
        </w:rPr>
        <w:t>21) буџетска основа подразумева обрачунску, готовинску или другу основу рачуноводства усвојену за буџет коју је одобрило законодавно тело;</w:t>
      </w:r>
    </w:p>
    <w:p w:rsidR="003C6801" w:rsidRDefault="001B30B2">
      <w:pPr>
        <w:spacing w:line="210" w:lineRule="atLeast"/>
      </w:pPr>
      <w:r>
        <w:rPr>
          <w:rFonts w:ascii="Verdana" w:eastAsia="Verdana" w:hAnsi="Verdana" w:cs="Verdana"/>
        </w:rPr>
        <w:t>22) грешке из претходних периода су изостављања информација из фи</w:t>
      </w:r>
      <w:r>
        <w:rPr>
          <w:rFonts w:ascii="Verdana" w:eastAsia="Verdana" w:hAnsi="Verdana" w:cs="Verdana"/>
        </w:rPr>
        <w:t>нансијских извештаја ентитета или погрешна приказивања информација за један или више претходних периода која се јављају услед некоришћења или злоупотребе поузданих информација:</w:t>
      </w:r>
    </w:p>
    <w:p w:rsidR="003C6801" w:rsidRDefault="001B30B2">
      <w:pPr>
        <w:spacing w:line="210" w:lineRule="atLeast"/>
      </w:pPr>
      <w:r>
        <w:rPr>
          <w:rFonts w:ascii="Verdana" w:eastAsia="Verdana" w:hAnsi="Verdana" w:cs="Verdana"/>
        </w:rPr>
        <w:t xml:space="preserve">– које су биле доступне када је одобрено објављивање финансијских извештаја за </w:t>
      </w:r>
      <w:r>
        <w:rPr>
          <w:rFonts w:ascii="Verdana" w:eastAsia="Verdana" w:hAnsi="Verdana" w:cs="Verdana"/>
        </w:rPr>
        <w:t>те периоде,</w:t>
      </w:r>
    </w:p>
    <w:p w:rsidR="003C6801" w:rsidRDefault="001B30B2">
      <w:pPr>
        <w:spacing w:line="210" w:lineRule="atLeast"/>
      </w:pPr>
      <w:r>
        <w:rPr>
          <w:rFonts w:ascii="Verdana" w:eastAsia="Verdana" w:hAnsi="Verdana" w:cs="Verdana"/>
        </w:rPr>
        <w:t>– за које би се могло оправдано очекивати да су добијене и узете у разматрање у припреми или презентацији тих финансијских извештаја.</w:t>
      </w:r>
    </w:p>
    <w:p w:rsidR="003C6801" w:rsidRDefault="001B30B2">
      <w:pPr>
        <w:spacing w:line="210" w:lineRule="atLeast"/>
        <w:jc w:val="center"/>
      </w:pPr>
      <w:r>
        <w:rPr>
          <w:rFonts w:ascii="Verdana" w:eastAsia="Verdana" w:hAnsi="Verdana" w:cs="Verdana"/>
          <w:b/>
        </w:rPr>
        <w:t>Основа за вођење рачуноводства</w:t>
      </w:r>
    </w:p>
    <w:p w:rsidR="003C6801" w:rsidRDefault="001B30B2">
      <w:pPr>
        <w:spacing w:line="210" w:lineRule="atLeast"/>
        <w:jc w:val="center"/>
      </w:pPr>
      <w:r>
        <w:rPr>
          <w:rFonts w:ascii="Verdana" w:eastAsia="Verdana" w:hAnsi="Verdana" w:cs="Verdana"/>
        </w:rPr>
        <w:t>Члан 5.</w:t>
      </w:r>
    </w:p>
    <w:p w:rsidR="003C6801" w:rsidRDefault="001B30B2">
      <w:pPr>
        <w:spacing w:line="210" w:lineRule="atLeast"/>
      </w:pPr>
      <w:r>
        <w:rPr>
          <w:rFonts w:ascii="Verdana" w:eastAsia="Verdana" w:hAnsi="Verdana" w:cs="Verdana"/>
        </w:rPr>
        <w:t xml:space="preserve">Основа за вођење рачуноводства у циљу праћења извршења буџета, односно </w:t>
      </w:r>
      <w:r>
        <w:rPr>
          <w:rFonts w:ascii="Verdana" w:eastAsia="Verdana" w:hAnsi="Verdana" w:cs="Verdana"/>
        </w:rPr>
        <w:t>финансијског плана јесте готовинска основа и користи се за припрему и састављање извештаја о извршењу буџета.</w:t>
      </w:r>
    </w:p>
    <w:p w:rsidR="003C6801" w:rsidRDefault="001B30B2">
      <w:pPr>
        <w:spacing w:line="210" w:lineRule="atLeast"/>
      </w:pPr>
      <w:r>
        <w:rPr>
          <w:rFonts w:ascii="Verdana" w:eastAsia="Verdana" w:hAnsi="Verdana" w:cs="Verdana"/>
        </w:rPr>
        <w:t>Трансакције и остали догађаји евидентирају се у тренутку када се готовинска средства приме, односно исплате.</w:t>
      </w:r>
    </w:p>
    <w:p w:rsidR="003C6801" w:rsidRDefault="001B30B2">
      <w:pPr>
        <w:spacing w:line="210" w:lineRule="atLeast"/>
      </w:pPr>
      <w:r>
        <w:rPr>
          <w:rFonts w:ascii="Verdana" w:eastAsia="Verdana" w:hAnsi="Verdana" w:cs="Verdana"/>
        </w:rPr>
        <w:t>Изузетно од става 2. овог члана, прим</w:t>
      </w:r>
      <w:r>
        <w:rPr>
          <w:rFonts w:ascii="Verdana" w:eastAsia="Verdana" w:hAnsi="Verdana" w:cs="Verdana"/>
        </w:rPr>
        <w:t>љена средства од донација, хуманитарне помоћи и финансијске помоћи Европске уније у девизама, евидентирају се као приход у моменту конвертовања и уплате тих средстава у динарима на прописани уплатни рачун јавног прихода, односно у моменту евидентирања дина</w:t>
      </w:r>
      <w:r>
        <w:rPr>
          <w:rFonts w:ascii="Verdana" w:eastAsia="Verdana" w:hAnsi="Verdana" w:cs="Verdana"/>
        </w:rPr>
        <w:t>рске противвредности плаћања извршеног у девизама из средстава донација, хуманитарне помоћи и финансијске помоћи Европске уније преко подрачуна извршења буџета Републике Србије, односно локалне власти, организација за обавезно социјално осигурање и корисни</w:t>
      </w:r>
      <w:r>
        <w:rPr>
          <w:rFonts w:ascii="Verdana" w:eastAsia="Verdana" w:hAnsi="Verdana" w:cs="Verdana"/>
        </w:rPr>
        <w:t>ка средстава Републичког фонда за здравствено осигурање.</w:t>
      </w:r>
    </w:p>
    <w:p w:rsidR="003C6801" w:rsidRDefault="001B30B2">
      <w:pPr>
        <w:spacing w:line="210" w:lineRule="atLeast"/>
      </w:pPr>
      <w:r>
        <w:rPr>
          <w:rFonts w:ascii="Verdana" w:eastAsia="Verdana" w:hAnsi="Verdana" w:cs="Verdana"/>
        </w:rPr>
        <w:t>Основни елементи рачуноводства су приходи, примања, расходи и издаци, дефинисани законом којим се уређује буџетски систем.</w:t>
      </w:r>
    </w:p>
    <w:p w:rsidR="003C6801" w:rsidRDefault="001B30B2">
      <w:pPr>
        <w:spacing w:line="210" w:lineRule="atLeast"/>
      </w:pPr>
      <w:r>
        <w:rPr>
          <w:rFonts w:ascii="Verdana" w:eastAsia="Verdana" w:hAnsi="Verdana" w:cs="Verdana"/>
        </w:rPr>
        <w:t>Приходи су порези, доприноси за обавезно социјално осигурање, непорески прих</w:t>
      </w:r>
      <w:r>
        <w:rPr>
          <w:rFonts w:ascii="Verdana" w:eastAsia="Verdana" w:hAnsi="Verdana" w:cs="Verdana"/>
        </w:rPr>
        <w:t>оди, самодопринос, донације, трансфер и финансијска помоћ Европске уније у смислу закона којим се уређује буџетски систем.</w:t>
      </w:r>
    </w:p>
    <w:p w:rsidR="003C6801" w:rsidRDefault="001B30B2">
      <w:pPr>
        <w:spacing w:line="210" w:lineRule="atLeast"/>
      </w:pPr>
      <w:r>
        <w:rPr>
          <w:rFonts w:ascii="Verdana" w:eastAsia="Verdana" w:hAnsi="Verdana" w:cs="Verdana"/>
        </w:rPr>
        <w:lastRenderedPageBreak/>
        <w:t>Примања су средства која се остварују продајом нефинансијске и финансијске имовине и задуживањем.</w:t>
      </w:r>
    </w:p>
    <w:p w:rsidR="003C6801" w:rsidRDefault="001B30B2">
      <w:pPr>
        <w:spacing w:line="210" w:lineRule="atLeast"/>
      </w:pPr>
      <w:r>
        <w:rPr>
          <w:rFonts w:ascii="Verdana" w:eastAsia="Verdana" w:hAnsi="Verdana" w:cs="Verdana"/>
        </w:rPr>
        <w:t>Расходи су текући расходи за запосл</w:t>
      </w:r>
      <w:r>
        <w:rPr>
          <w:rFonts w:ascii="Verdana" w:eastAsia="Verdana" w:hAnsi="Verdana" w:cs="Verdana"/>
        </w:rPr>
        <w:t>ене, за коришћења услуга и роба, за отплату камата и пратећих трошкова задуживања, субвенције, дотације, трансфери, расходи за социјално осигурање и социјалну заштиту, и остали текући расходи.</w:t>
      </w:r>
    </w:p>
    <w:p w:rsidR="003C6801" w:rsidRDefault="001B30B2">
      <w:pPr>
        <w:spacing w:line="210" w:lineRule="atLeast"/>
      </w:pPr>
      <w:r>
        <w:rPr>
          <w:rFonts w:ascii="Verdana" w:eastAsia="Verdana" w:hAnsi="Verdana" w:cs="Verdana"/>
        </w:rPr>
        <w:t>Издаци су издаци настали у сврху набавке нефинансијске и финанс</w:t>
      </w:r>
      <w:r>
        <w:rPr>
          <w:rFonts w:ascii="Verdana" w:eastAsia="Verdana" w:hAnsi="Verdana" w:cs="Verdana"/>
        </w:rPr>
        <w:t>ијске имовине и за отплату главнице.</w:t>
      </w:r>
    </w:p>
    <w:p w:rsidR="003C6801" w:rsidRDefault="001B30B2">
      <w:pPr>
        <w:spacing w:line="210" w:lineRule="atLeast"/>
      </w:pPr>
      <w:r>
        <w:rPr>
          <w:rFonts w:ascii="Verdana" w:eastAsia="Verdana" w:hAnsi="Verdana" w:cs="Verdana"/>
        </w:rPr>
        <w:t>Приходи и расходи из ст. 5. и 7. овог члана, нису једнаки појмовима прихода и расхода који су дефинисани у IPSAS.</w:t>
      </w:r>
    </w:p>
    <w:p w:rsidR="003C6801" w:rsidRDefault="001B30B2">
      <w:pPr>
        <w:spacing w:line="210" w:lineRule="atLeast"/>
        <w:jc w:val="center"/>
      </w:pPr>
      <w:r>
        <w:rPr>
          <w:rFonts w:ascii="Verdana" w:eastAsia="Verdana" w:hAnsi="Verdana" w:cs="Verdana"/>
          <w:b/>
        </w:rPr>
        <w:t>Основа финансијског извештавања</w:t>
      </w:r>
    </w:p>
    <w:p w:rsidR="003C6801" w:rsidRDefault="001B30B2">
      <w:pPr>
        <w:spacing w:line="210" w:lineRule="atLeast"/>
        <w:jc w:val="center"/>
      </w:pPr>
      <w:r>
        <w:rPr>
          <w:rFonts w:ascii="Verdana" w:eastAsia="Verdana" w:hAnsi="Verdana" w:cs="Verdana"/>
        </w:rPr>
        <w:t>Члан 6.</w:t>
      </w:r>
    </w:p>
    <w:p w:rsidR="003C6801" w:rsidRDefault="001B30B2">
      <w:pPr>
        <w:spacing w:line="210" w:lineRule="atLeast"/>
      </w:pPr>
      <w:r>
        <w:rPr>
          <w:rFonts w:ascii="Verdana" w:eastAsia="Verdana" w:hAnsi="Verdana" w:cs="Verdana"/>
        </w:rPr>
        <w:t xml:space="preserve">За потребе припреме и састављања Извештаја о новчаним токовима у </w:t>
      </w:r>
      <w:r>
        <w:rPr>
          <w:rFonts w:ascii="Verdana" w:eastAsia="Verdana" w:hAnsi="Verdana" w:cs="Verdana"/>
        </w:rPr>
        <w:t>складу са IPSAS на готовинској основи, приливи и одливи евидентирају се и презентују на готовинској основи, у периоду када је готовина примљена, односно исплаћена.</w:t>
      </w:r>
    </w:p>
    <w:p w:rsidR="003C6801" w:rsidRDefault="001B30B2">
      <w:pPr>
        <w:spacing w:line="210" w:lineRule="atLeast"/>
        <w:jc w:val="center"/>
      </w:pPr>
      <w:r>
        <w:rPr>
          <w:rFonts w:ascii="Verdana" w:eastAsia="Verdana" w:hAnsi="Verdana" w:cs="Verdana"/>
          <w:b/>
        </w:rPr>
        <w:t>Квалитативне карактеристике информација у финансијским извештајима</w:t>
      </w:r>
    </w:p>
    <w:p w:rsidR="003C6801" w:rsidRDefault="001B30B2">
      <w:pPr>
        <w:spacing w:line="210" w:lineRule="atLeast"/>
        <w:jc w:val="center"/>
      </w:pPr>
      <w:r>
        <w:rPr>
          <w:rFonts w:ascii="Verdana" w:eastAsia="Verdana" w:hAnsi="Verdana" w:cs="Verdana"/>
        </w:rPr>
        <w:t>Члан 7.</w:t>
      </w:r>
    </w:p>
    <w:p w:rsidR="003C6801" w:rsidRDefault="001B30B2">
      <w:pPr>
        <w:spacing w:line="210" w:lineRule="atLeast"/>
      </w:pPr>
      <w:r>
        <w:rPr>
          <w:rFonts w:ascii="Verdana" w:eastAsia="Verdana" w:hAnsi="Verdana" w:cs="Verdana"/>
        </w:rPr>
        <w:t>Финансијски извештаји треба да прикажу информације које су:</w:t>
      </w:r>
    </w:p>
    <w:p w:rsidR="003C6801" w:rsidRDefault="001B30B2">
      <w:pPr>
        <w:spacing w:line="210" w:lineRule="atLeast"/>
      </w:pPr>
      <w:r>
        <w:rPr>
          <w:rFonts w:ascii="Verdana" w:eastAsia="Verdana" w:hAnsi="Verdana" w:cs="Verdana"/>
        </w:rPr>
        <w:t>– разумљиве;</w:t>
      </w:r>
    </w:p>
    <w:p w:rsidR="003C6801" w:rsidRDefault="001B30B2">
      <w:pPr>
        <w:spacing w:line="210" w:lineRule="atLeast"/>
      </w:pPr>
      <w:r>
        <w:rPr>
          <w:rFonts w:ascii="Verdana" w:eastAsia="Verdana" w:hAnsi="Verdana" w:cs="Verdana"/>
        </w:rPr>
        <w:t>– релевантне за потребе одлучивања и одговорности корисника;</w:t>
      </w:r>
    </w:p>
    <w:p w:rsidR="003C6801" w:rsidRDefault="001B30B2">
      <w:pPr>
        <w:spacing w:line="210" w:lineRule="atLeast"/>
      </w:pPr>
      <w:r>
        <w:rPr>
          <w:rFonts w:ascii="Verdana" w:eastAsia="Verdana" w:hAnsi="Verdana" w:cs="Verdana"/>
        </w:rPr>
        <w:t>– упоредиве;</w:t>
      </w:r>
    </w:p>
    <w:p w:rsidR="003C6801" w:rsidRDefault="001B30B2">
      <w:pPr>
        <w:spacing w:line="210" w:lineRule="atLeast"/>
      </w:pPr>
      <w:r>
        <w:rPr>
          <w:rFonts w:ascii="Verdana" w:eastAsia="Verdana" w:hAnsi="Verdana" w:cs="Verdana"/>
        </w:rPr>
        <w:t>– благовремене;</w:t>
      </w:r>
    </w:p>
    <w:p w:rsidR="003C6801" w:rsidRDefault="001B30B2">
      <w:pPr>
        <w:spacing w:line="210" w:lineRule="atLeast"/>
      </w:pPr>
      <w:r>
        <w:rPr>
          <w:rFonts w:ascii="Verdana" w:eastAsia="Verdana" w:hAnsi="Verdana" w:cs="Verdana"/>
        </w:rPr>
        <w:t>– проверљиве и</w:t>
      </w:r>
    </w:p>
    <w:p w:rsidR="003C6801" w:rsidRDefault="001B30B2">
      <w:pPr>
        <w:spacing w:line="210" w:lineRule="atLeast"/>
      </w:pPr>
      <w:r>
        <w:rPr>
          <w:rFonts w:ascii="Verdana" w:eastAsia="Verdana" w:hAnsi="Verdana" w:cs="Verdana"/>
        </w:rPr>
        <w:t>– верно представљају приливе готовине, одливе готовине и готовинска салда енти</w:t>
      </w:r>
      <w:r>
        <w:rPr>
          <w:rFonts w:ascii="Verdana" w:eastAsia="Verdana" w:hAnsi="Verdana" w:cs="Verdana"/>
        </w:rPr>
        <w:t>тета и остале обелодањене информације на начин да су потпуне, неутралне и без материјалних грешака.</w:t>
      </w:r>
    </w:p>
    <w:p w:rsidR="003C6801" w:rsidRDefault="001B30B2">
      <w:pPr>
        <w:spacing w:line="210" w:lineRule="atLeast"/>
        <w:jc w:val="center"/>
      </w:pPr>
      <w:r>
        <w:rPr>
          <w:rFonts w:ascii="Verdana" w:eastAsia="Verdana" w:hAnsi="Verdana" w:cs="Verdana"/>
          <w:b/>
        </w:rPr>
        <w:t>Материјалност информација</w:t>
      </w:r>
    </w:p>
    <w:p w:rsidR="003C6801" w:rsidRDefault="001B30B2">
      <w:pPr>
        <w:spacing w:line="210" w:lineRule="atLeast"/>
        <w:jc w:val="center"/>
      </w:pPr>
      <w:r>
        <w:rPr>
          <w:rFonts w:ascii="Verdana" w:eastAsia="Verdana" w:hAnsi="Verdana" w:cs="Verdana"/>
        </w:rPr>
        <w:t>Члан 8.</w:t>
      </w:r>
    </w:p>
    <w:p w:rsidR="003C6801" w:rsidRDefault="001B30B2">
      <w:pPr>
        <w:spacing w:line="210" w:lineRule="atLeast"/>
      </w:pPr>
      <w:r>
        <w:rPr>
          <w:rFonts w:ascii="Verdana" w:eastAsia="Verdana" w:hAnsi="Verdana" w:cs="Verdana"/>
        </w:rPr>
        <w:t>Материјалну значајност поседује информација уколико њено изостављање или нетачно приказивање може утицати на одлуке или пр</w:t>
      </w:r>
      <w:r>
        <w:rPr>
          <w:rFonts w:ascii="Verdana" w:eastAsia="Verdana" w:hAnsi="Verdana" w:cs="Verdana"/>
        </w:rPr>
        <w:t>оцене корисника финансијских извештаја. Тaкође, информација је материјално значајна ако би њено изостављање, односно погрешно приказивање могло утицати на ослобађање од одговорности.</w:t>
      </w:r>
    </w:p>
    <w:p w:rsidR="003C6801" w:rsidRDefault="001B30B2">
      <w:pPr>
        <w:spacing w:line="210" w:lineRule="atLeast"/>
      </w:pPr>
      <w:r>
        <w:rPr>
          <w:rFonts w:ascii="Verdana" w:eastAsia="Verdana" w:hAnsi="Verdana" w:cs="Verdana"/>
        </w:rPr>
        <w:t>Материјална значајност зависи од природе или величине ставке, која се раз</w:t>
      </w:r>
      <w:r>
        <w:rPr>
          <w:rFonts w:ascii="Verdana" w:eastAsia="Verdana" w:hAnsi="Verdana" w:cs="Verdana"/>
        </w:rPr>
        <w:t>матра у посебним околностима сваког ентитета.</w:t>
      </w:r>
    </w:p>
    <w:p w:rsidR="003C6801" w:rsidRDefault="001B30B2">
      <w:pPr>
        <w:spacing w:line="210" w:lineRule="atLeast"/>
      </w:pPr>
      <w:r>
        <w:rPr>
          <w:rFonts w:ascii="Verdana" w:eastAsia="Verdana" w:hAnsi="Verdana" w:cs="Verdana"/>
        </w:rPr>
        <w:t xml:space="preserve">Процена материјалности се врши у контексту законодавног, институционалног и оперативног окружења у којем ентитет послује, као и </w:t>
      </w:r>
      <w:r>
        <w:rPr>
          <w:rFonts w:ascii="Verdana" w:eastAsia="Verdana" w:hAnsi="Verdana" w:cs="Verdana"/>
        </w:rPr>
        <w:lastRenderedPageBreak/>
        <w:t>знања и очекивања састављача извештаја о будућности у погледу потенцијалних финанс</w:t>
      </w:r>
      <w:r>
        <w:rPr>
          <w:rFonts w:ascii="Verdana" w:eastAsia="Verdana" w:hAnsi="Verdana" w:cs="Verdana"/>
        </w:rPr>
        <w:t>ијских и нефинансијских информација.</w:t>
      </w:r>
    </w:p>
    <w:p w:rsidR="003C6801" w:rsidRDefault="001B30B2">
      <w:pPr>
        <w:spacing w:line="210" w:lineRule="atLeast"/>
        <w:jc w:val="center"/>
      </w:pPr>
      <w:r>
        <w:rPr>
          <w:rFonts w:ascii="Verdana" w:eastAsia="Verdana" w:hAnsi="Verdana" w:cs="Verdana"/>
        </w:rPr>
        <w:t>II. РАЧУНОВОДСТВЕНЕ ПОЛИТИКЕ</w:t>
      </w:r>
    </w:p>
    <w:p w:rsidR="003C6801" w:rsidRDefault="001B30B2">
      <w:pPr>
        <w:spacing w:line="210" w:lineRule="atLeast"/>
        <w:jc w:val="center"/>
      </w:pPr>
      <w:r>
        <w:rPr>
          <w:rFonts w:ascii="Verdana" w:eastAsia="Verdana" w:hAnsi="Verdana" w:cs="Verdana"/>
          <w:b/>
        </w:rPr>
        <w:t>Рачуноводствена основа</w:t>
      </w:r>
    </w:p>
    <w:p w:rsidR="003C6801" w:rsidRDefault="001B30B2">
      <w:pPr>
        <w:spacing w:line="210" w:lineRule="atLeast"/>
        <w:jc w:val="center"/>
      </w:pPr>
      <w:r>
        <w:rPr>
          <w:rFonts w:ascii="Verdana" w:eastAsia="Verdana" w:hAnsi="Verdana" w:cs="Verdana"/>
        </w:rPr>
        <w:t>Члан 9.</w:t>
      </w:r>
    </w:p>
    <w:p w:rsidR="003C6801" w:rsidRDefault="001B30B2">
      <w:pPr>
        <w:spacing w:line="210" w:lineRule="atLeast"/>
      </w:pPr>
      <w:r>
        <w:rPr>
          <w:rFonts w:ascii="Verdana" w:eastAsia="Verdana" w:hAnsi="Verdana" w:cs="Verdana"/>
        </w:rPr>
        <w:t>Ентитети за признавање прихода и примања, расхода и издатака користе готовинску основу рачуноводства према којој се трансакције и догађаји признају када ентите</w:t>
      </w:r>
      <w:r>
        <w:rPr>
          <w:rFonts w:ascii="Verdana" w:eastAsia="Verdana" w:hAnsi="Verdana" w:cs="Verdana"/>
        </w:rPr>
        <w:t>т прими или исплати готовину (или готовинске еквиваленте).</w:t>
      </w:r>
    </w:p>
    <w:p w:rsidR="003C6801" w:rsidRDefault="001B30B2">
      <w:pPr>
        <w:spacing w:line="210" w:lineRule="atLeast"/>
        <w:jc w:val="center"/>
      </w:pPr>
      <w:r>
        <w:rPr>
          <w:rFonts w:ascii="Verdana" w:eastAsia="Verdana" w:hAnsi="Verdana" w:cs="Verdana"/>
          <w:b/>
        </w:rPr>
        <w:t>Готовина</w:t>
      </w:r>
    </w:p>
    <w:p w:rsidR="003C6801" w:rsidRDefault="001B30B2">
      <w:pPr>
        <w:spacing w:line="210" w:lineRule="atLeast"/>
        <w:jc w:val="center"/>
      </w:pPr>
      <w:r>
        <w:rPr>
          <w:rFonts w:ascii="Verdana" w:eastAsia="Verdana" w:hAnsi="Verdana" w:cs="Verdana"/>
        </w:rPr>
        <w:t>Члан 10.</w:t>
      </w:r>
    </w:p>
    <w:p w:rsidR="003C6801" w:rsidRDefault="001B30B2">
      <w:pPr>
        <w:spacing w:line="210" w:lineRule="atLeast"/>
      </w:pPr>
      <w:r>
        <w:rPr>
          <w:rFonts w:ascii="Verdana" w:eastAsia="Verdana" w:hAnsi="Verdana" w:cs="Verdana"/>
        </w:rPr>
        <w:t>Готовина представља готовинска средства обухваћена на синтетичким контима, и то: 121100 – Жиро и текући рачуни, 121200 – Издвојена новчана средства и акредитиви, 121300 – Благајна</w:t>
      </w:r>
      <w:r>
        <w:rPr>
          <w:rFonts w:ascii="Verdana" w:eastAsia="Verdana" w:hAnsi="Verdana" w:cs="Verdana"/>
        </w:rPr>
        <w:t>, 121400 – Девизни рачун, 121500 – Девизни акредитиви, 121600 – Девизна благајна и 121700 – Остала новчана средства.</w:t>
      </w:r>
    </w:p>
    <w:p w:rsidR="003C6801" w:rsidRDefault="001B30B2">
      <w:pPr>
        <w:spacing w:line="210" w:lineRule="atLeast"/>
      </w:pPr>
      <w:r>
        <w:rPr>
          <w:rFonts w:ascii="Verdana" w:eastAsia="Verdana" w:hAnsi="Verdana" w:cs="Verdana"/>
        </w:rPr>
        <w:t>Готовина обухвата и депозите по виђењу који се могу повући на захтев ентитета, а који су обухваћени на аналитичким контима: 123910 – Краткорочно орочена динарска средства и 123920 – Краткорочно орочена девизна средства.</w:t>
      </w:r>
    </w:p>
    <w:p w:rsidR="003C6801" w:rsidRDefault="001B30B2">
      <w:pPr>
        <w:spacing w:line="210" w:lineRule="atLeast"/>
      </w:pPr>
      <w:r>
        <w:rPr>
          <w:rFonts w:ascii="Verdana" w:eastAsia="Verdana" w:hAnsi="Verdana" w:cs="Verdana"/>
        </w:rPr>
        <w:t>Готовина у домаћој валути исказује с</w:t>
      </w:r>
      <w:r>
        <w:rPr>
          <w:rFonts w:ascii="Verdana" w:eastAsia="Verdana" w:hAnsi="Verdana" w:cs="Verdana"/>
        </w:rPr>
        <w:t>е по номиналној вредности. Готовина у страној валути исказује се у динарима, према одговарајућој противвредности стране валуте по средњем курсу Народне банке Србије на датум стицања.</w:t>
      </w:r>
    </w:p>
    <w:p w:rsidR="003C6801" w:rsidRDefault="001B30B2">
      <w:pPr>
        <w:spacing w:line="210" w:lineRule="atLeast"/>
      </w:pPr>
      <w:r>
        <w:rPr>
          <w:rFonts w:ascii="Verdana" w:eastAsia="Verdana" w:hAnsi="Verdana" w:cs="Verdana"/>
        </w:rPr>
        <w:t>На последњи дан извештајног периода на који се односи финансијски извешта</w:t>
      </w:r>
      <w:r>
        <w:rPr>
          <w:rFonts w:ascii="Verdana" w:eastAsia="Verdana" w:hAnsi="Verdana" w:cs="Verdana"/>
        </w:rPr>
        <w:t>ј, готовина у страној валути исказује се у динарима, према одговарајућој противвредности стране валуте по средњем курсу Народне банке Србије на датум извештавања.</w:t>
      </w:r>
    </w:p>
    <w:p w:rsidR="003C6801" w:rsidRDefault="001B30B2">
      <w:pPr>
        <w:spacing w:line="210" w:lineRule="atLeast"/>
      </w:pPr>
      <w:r>
        <w:rPr>
          <w:rFonts w:ascii="Verdana" w:eastAsia="Verdana" w:hAnsi="Verdana" w:cs="Verdana"/>
        </w:rPr>
        <w:t>Нереализовани добици и губици, који произлазе из промена курсева страних валута, нису новчани</w:t>
      </w:r>
      <w:r>
        <w:rPr>
          <w:rFonts w:ascii="Verdana" w:eastAsia="Verdana" w:hAnsi="Verdana" w:cs="Verdana"/>
        </w:rPr>
        <w:t xml:space="preserve"> токови.</w:t>
      </w:r>
    </w:p>
    <w:p w:rsidR="003C6801" w:rsidRDefault="001B30B2">
      <w:pPr>
        <w:spacing w:line="210" w:lineRule="atLeast"/>
      </w:pPr>
      <w:r>
        <w:rPr>
          <w:rFonts w:ascii="Verdana" w:eastAsia="Verdana" w:hAnsi="Verdana" w:cs="Verdana"/>
        </w:rPr>
        <w:t>Негативне и позитивне курсне разлике настале на готовини у страној валути исказују се у Извештају о новчаним токовима као ефекти курсних разлика на салдо готовине у девизама.</w:t>
      </w:r>
    </w:p>
    <w:p w:rsidR="003C6801" w:rsidRDefault="001B30B2">
      <w:pPr>
        <w:spacing w:line="210" w:lineRule="atLeast"/>
        <w:jc w:val="center"/>
      </w:pPr>
      <w:r>
        <w:rPr>
          <w:rFonts w:ascii="Verdana" w:eastAsia="Verdana" w:hAnsi="Verdana" w:cs="Verdana"/>
          <w:b/>
        </w:rPr>
        <w:t>Готовински еквиваленти</w:t>
      </w:r>
    </w:p>
    <w:p w:rsidR="003C6801" w:rsidRDefault="001B30B2">
      <w:pPr>
        <w:spacing w:line="210" w:lineRule="atLeast"/>
        <w:jc w:val="center"/>
      </w:pPr>
      <w:r>
        <w:rPr>
          <w:rFonts w:ascii="Verdana" w:eastAsia="Verdana" w:hAnsi="Verdana" w:cs="Verdana"/>
        </w:rPr>
        <w:t>Члан 11.</w:t>
      </w:r>
    </w:p>
    <w:p w:rsidR="003C6801" w:rsidRDefault="001B30B2">
      <w:pPr>
        <w:spacing w:line="210" w:lineRule="atLeast"/>
      </w:pPr>
      <w:r>
        <w:rPr>
          <w:rFonts w:ascii="Verdana" w:eastAsia="Verdana" w:hAnsi="Verdana" w:cs="Verdana"/>
        </w:rPr>
        <w:t>Готовински еквиваленти се држе ради измиривања краткорочних готовинских обавеза, пре него за сврхе улагања или за неке друге намене. Да би се улагање класификовало као готовински еквивалент, треба да постоји могућност његовог брзог и једноставног претварањ</w:t>
      </w:r>
      <w:r>
        <w:rPr>
          <w:rFonts w:ascii="Verdana" w:eastAsia="Verdana" w:hAnsi="Verdana" w:cs="Verdana"/>
        </w:rPr>
        <w:t>а у познати износ готовине, као и то да буде подложно занемарљивом ризику од промене вредности. Улагање је готовински еквивалент једино ако има краткорочно доспеће, до три месеца или краће, од датума стицања.</w:t>
      </w:r>
    </w:p>
    <w:p w:rsidR="003C6801" w:rsidRDefault="001B30B2">
      <w:pPr>
        <w:spacing w:line="210" w:lineRule="atLeast"/>
      </w:pPr>
      <w:r>
        <w:rPr>
          <w:rFonts w:ascii="Verdana" w:eastAsia="Verdana" w:hAnsi="Verdana" w:cs="Verdana"/>
        </w:rPr>
        <w:lastRenderedPageBreak/>
        <w:t>Готовински еквиваленти који задовољавају наведе</w:t>
      </w:r>
      <w:r>
        <w:rPr>
          <w:rFonts w:ascii="Verdana" w:eastAsia="Verdana" w:hAnsi="Verdana" w:cs="Verdana"/>
        </w:rPr>
        <w:t>не критеријуме обухваћени су на појединим аналитичким, односно субаналитичким контима у оквиру синтетичких конта: 121900 – Хартије од вредности и 123300 – Хартије од вредности намењене продаји.</w:t>
      </w:r>
    </w:p>
    <w:p w:rsidR="003C6801" w:rsidRDefault="001B30B2">
      <w:pPr>
        <w:spacing w:line="210" w:lineRule="atLeast"/>
      </w:pPr>
      <w:r>
        <w:rPr>
          <w:rFonts w:ascii="Verdana" w:eastAsia="Verdana" w:hAnsi="Verdana" w:cs="Verdana"/>
        </w:rPr>
        <w:t>Улагања у капитал искључују се из готовинских еквивалената, ос</w:t>
      </w:r>
      <w:r>
        <w:rPr>
          <w:rFonts w:ascii="Verdana" w:eastAsia="Verdana" w:hAnsi="Verdana" w:cs="Verdana"/>
        </w:rPr>
        <w:t>им у случају да су, суштински, готовински еквиваленти, сагласно одредбама става 1. овог члана.</w:t>
      </w:r>
    </w:p>
    <w:p w:rsidR="003C6801" w:rsidRDefault="001B30B2">
      <w:pPr>
        <w:spacing w:line="210" w:lineRule="atLeast"/>
        <w:jc w:val="center"/>
      </w:pPr>
      <w:r>
        <w:rPr>
          <w:rFonts w:ascii="Verdana" w:eastAsia="Verdana" w:hAnsi="Verdana" w:cs="Verdana"/>
          <w:b/>
        </w:rPr>
        <w:t>Готовина коју контролише ентитет</w:t>
      </w:r>
    </w:p>
    <w:p w:rsidR="003C6801" w:rsidRDefault="001B30B2">
      <w:pPr>
        <w:spacing w:line="210" w:lineRule="atLeast"/>
        <w:jc w:val="center"/>
      </w:pPr>
      <w:r>
        <w:rPr>
          <w:rFonts w:ascii="Verdana" w:eastAsia="Verdana" w:hAnsi="Verdana" w:cs="Verdana"/>
        </w:rPr>
        <w:t>Члан 12.</w:t>
      </w:r>
    </w:p>
    <w:p w:rsidR="003C6801" w:rsidRDefault="001B30B2">
      <w:pPr>
        <w:spacing w:line="210" w:lineRule="atLeast"/>
      </w:pPr>
      <w:r>
        <w:rPr>
          <w:rFonts w:ascii="Verdana" w:eastAsia="Verdana" w:hAnsi="Verdana" w:cs="Verdana"/>
        </w:rPr>
        <w:t>Ентитет у Извештају о новчаним токовима презентује готовину коју контролише.</w:t>
      </w:r>
    </w:p>
    <w:p w:rsidR="003C6801" w:rsidRDefault="001B30B2">
      <w:pPr>
        <w:spacing w:line="210" w:lineRule="atLeast"/>
      </w:pPr>
      <w:r>
        <w:rPr>
          <w:rFonts w:ascii="Verdana" w:eastAsia="Verdana" w:hAnsi="Verdana" w:cs="Verdana"/>
        </w:rPr>
        <w:t>Ентитет контролише готовину када може да к</w:t>
      </w:r>
      <w:r>
        <w:rPr>
          <w:rFonts w:ascii="Verdana" w:eastAsia="Verdana" w:hAnsi="Verdana" w:cs="Verdana"/>
        </w:rPr>
        <w:t>ористи ту готовину за остварење сопствених циљева, или када може на други начин да остварује користи од готовине и када може да онемогући или контролише приступ других тој користи. Готовина коју је ентитет остварио или која му је додељена, а коју може да к</w:t>
      </w:r>
      <w:r>
        <w:rPr>
          <w:rFonts w:ascii="Verdana" w:eastAsia="Verdana" w:hAnsi="Verdana" w:cs="Verdana"/>
        </w:rPr>
        <w:t>ористи за финансирање својих пословних циљева, стицање капиталне имовине или за отплату дуга, јесте готовина коју контролише ентитет.</w:t>
      </w:r>
    </w:p>
    <w:p w:rsidR="003C6801" w:rsidRDefault="001B30B2">
      <w:pPr>
        <w:spacing w:line="210" w:lineRule="atLeast"/>
        <w:jc w:val="center"/>
      </w:pPr>
      <w:r>
        <w:rPr>
          <w:rFonts w:ascii="Verdana" w:eastAsia="Verdana" w:hAnsi="Verdana" w:cs="Verdana"/>
          <w:b/>
        </w:rPr>
        <w:t>Готовински токови</w:t>
      </w:r>
    </w:p>
    <w:p w:rsidR="003C6801" w:rsidRDefault="001B30B2">
      <w:pPr>
        <w:spacing w:line="210" w:lineRule="atLeast"/>
        <w:jc w:val="center"/>
      </w:pPr>
      <w:r>
        <w:rPr>
          <w:rFonts w:ascii="Verdana" w:eastAsia="Verdana" w:hAnsi="Verdana" w:cs="Verdana"/>
        </w:rPr>
        <w:t>Члан 13.</w:t>
      </w:r>
    </w:p>
    <w:p w:rsidR="003C6801" w:rsidRDefault="001B30B2">
      <w:pPr>
        <w:spacing w:line="210" w:lineRule="atLeast"/>
      </w:pPr>
      <w:r>
        <w:rPr>
          <w:rFonts w:ascii="Verdana" w:eastAsia="Verdana" w:hAnsi="Verdana" w:cs="Verdana"/>
        </w:rPr>
        <w:t>Готовински токови представљају приливе и одливе готовине и готовинских еквивалената.</w:t>
      </w:r>
    </w:p>
    <w:p w:rsidR="003C6801" w:rsidRDefault="001B30B2">
      <w:pPr>
        <w:spacing w:line="210" w:lineRule="atLeast"/>
      </w:pPr>
      <w:r>
        <w:rPr>
          <w:rFonts w:ascii="Verdana" w:eastAsia="Verdana" w:hAnsi="Verdana" w:cs="Verdana"/>
        </w:rPr>
        <w:t>Готовински</w:t>
      </w:r>
      <w:r>
        <w:rPr>
          <w:rFonts w:ascii="Verdana" w:eastAsia="Verdana" w:hAnsi="Verdana" w:cs="Verdana"/>
        </w:rPr>
        <w:t xml:space="preserve"> токови искључују кретања између ставки које чине готовину, јер су ове компоненте део управљања готовином ентитета, а не повећања или умањења готовине коју ентитет контролише.</w:t>
      </w:r>
    </w:p>
    <w:p w:rsidR="003C6801" w:rsidRDefault="001B30B2">
      <w:pPr>
        <w:spacing w:line="210" w:lineRule="atLeast"/>
      </w:pPr>
      <w:r>
        <w:rPr>
          <w:rFonts w:ascii="Verdana" w:eastAsia="Verdana" w:hAnsi="Verdana" w:cs="Verdana"/>
        </w:rPr>
        <w:t>Управљање готовином укључује улагања вишка расположиве готовине у готовинске екв</w:t>
      </w:r>
      <w:r>
        <w:rPr>
          <w:rFonts w:ascii="Verdana" w:eastAsia="Verdana" w:hAnsi="Verdana" w:cs="Verdana"/>
        </w:rPr>
        <w:t>иваленте.</w:t>
      </w:r>
    </w:p>
    <w:p w:rsidR="003C6801" w:rsidRDefault="001B30B2">
      <w:pPr>
        <w:spacing w:line="210" w:lineRule="atLeast"/>
      </w:pPr>
      <w:r>
        <w:rPr>
          <w:rFonts w:ascii="Verdana" w:eastAsia="Verdana" w:hAnsi="Verdana" w:cs="Verdana"/>
        </w:rPr>
        <w:t>Готовински токови у Извештају о новчаним токовима обухватају новчане токове из пословне активности, новчане токове из активности инвестирања и новчане токове из финансијске активности.</w:t>
      </w:r>
    </w:p>
    <w:p w:rsidR="003C6801" w:rsidRDefault="001B30B2">
      <w:pPr>
        <w:spacing w:line="210" w:lineRule="atLeast"/>
      </w:pPr>
      <w:r>
        <w:rPr>
          <w:rFonts w:ascii="Verdana" w:eastAsia="Verdana" w:hAnsi="Verdana" w:cs="Verdana"/>
        </w:rPr>
        <w:t>Готовински приливи из пословних активности обухватају приливе</w:t>
      </w:r>
      <w:r>
        <w:rPr>
          <w:rFonts w:ascii="Verdana" w:eastAsia="Verdana" w:hAnsi="Verdana" w:cs="Verdana"/>
        </w:rPr>
        <w:t xml:space="preserve"> од пореза, приливе од акциза, приливе од социјалних доприноса, приливе од донација, помоћи и трансфера, приливе од имовине, приливе од продаје добара и услуга, приливе од новчаних казни и одузете имовинске користи, приливе од добровољних трансфера од физи</w:t>
      </w:r>
      <w:r>
        <w:rPr>
          <w:rFonts w:ascii="Verdana" w:eastAsia="Verdana" w:hAnsi="Verdana" w:cs="Verdana"/>
        </w:rPr>
        <w:t>чких и правних лица, приливе од мешовитих и неодређених прихода, приливе за меморандумске ставке за рефундацију расхода и приливе од трансфера између ентитета.</w:t>
      </w:r>
    </w:p>
    <w:p w:rsidR="003C6801" w:rsidRDefault="001B30B2">
      <w:pPr>
        <w:spacing w:line="210" w:lineRule="atLeast"/>
      </w:pPr>
      <w:r>
        <w:rPr>
          <w:rFonts w:ascii="Verdana" w:eastAsia="Verdana" w:hAnsi="Verdana" w:cs="Verdana"/>
        </w:rPr>
        <w:t>Износ појединих врста новчаних прилива из пословних активности у Извештају о новчаним токовима п</w:t>
      </w:r>
      <w:r>
        <w:rPr>
          <w:rFonts w:ascii="Verdana" w:eastAsia="Verdana" w:hAnsi="Verdana" w:cs="Verdana"/>
        </w:rPr>
        <w:t>реузима се са истоимених субаналитичких конта класе 7 – Приходи. Уколико су одређени приходи наплаћени, али нису исказани на субаналитичким контима класе 7 – Приходи, потребно их је додати у Извештају о новчаним токовима. Уколико су одређени приходи исказа</w:t>
      </w:r>
      <w:r>
        <w:rPr>
          <w:rFonts w:ascii="Verdana" w:eastAsia="Verdana" w:hAnsi="Verdana" w:cs="Verdana"/>
        </w:rPr>
        <w:t>ни на субаналитичким контима класе 7 – Приходи, а нису наплаћени, не исказују се као готовински приливи у Извештају о новчаним токовима.</w:t>
      </w:r>
    </w:p>
    <w:p w:rsidR="003C6801" w:rsidRDefault="001B30B2">
      <w:pPr>
        <w:spacing w:line="210" w:lineRule="atLeast"/>
      </w:pPr>
      <w:r>
        <w:rPr>
          <w:rFonts w:ascii="Verdana" w:eastAsia="Verdana" w:hAnsi="Verdana" w:cs="Verdana"/>
        </w:rPr>
        <w:lastRenderedPageBreak/>
        <w:t>Неискоришћена средства донација, хуманитарне помоћи и финансијске помоћи Европске уније у девизама која су прилив извеш</w:t>
      </w:r>
      <w:r>
        <w:rPr>
          <w:rFonts w:ascii="Verdana" w:eastAsia="Verdana" w:hAnsi="Verdana" w:cs="Verdana"/>
        </w:rPr>
        <w:t>тајног периода и чине салдо девизних рачуна примаоца донације на дан 31. децембра, књижена на одговарајућим субаналитичким контима у оквиру синтетичког конта 121400 – Девизни рачун, додају се на одговарајуће износе прилива исказане на одговарајућим синтети</w:t>
      </w:r>
      <w:r>
        <w:rPr>
          <w:rFonts w:ascii="Verdana" w:eastAsia="Verdana" w:hAnsi="Verdana" w:cs="Verdana"/>
        </w:rPr>
        <w:t>чким контима категорије 730000 – Донације, помоћи и трансфери.</w:t>
      </w:r>
    </w:p>
    <w:p w:rsidR="003C6801" w:rsidRDefault="001B30B2">
      <w:pPr>
        <w:spacing w:line="210" w:lineRule="atLeast"/>
      </w:pPr>
      <w:r>
        <w:rPr>
          <w:rFonts w:ascii="Verdana" w:eastAsia="Verdana" w:hAnsi="Verdana" w:cs="Verdana"/>
        </w:rPr>
        <w:t>Готовински одливи из пословних активности обухватају одливе по основу расхода за запослене, одливе по основу коришћења услуга и роба, одливе за отплату камате и пратеће трошкове задуживања, одл</w:t>
      </w:r>
      <w:r>
        <w:rPr>
          <w:rFonts w:ascii="Verdana" w:eastAsia="Verdana" w:hAnsi="Verdana" w:cs="Verdana"/>
        </w:rPr>
        <w:t>иве за субвенције, донације, дотације и трансфере, одливе за социјално осигурање и социјалну заштиту и одливе за остале расходе.</w:t>
      </w:r>
    </w:p>
    <w:p w:rsidR="003C6801" w:rsidRDefault="001B30B2">
      <w:pPr>
        <w:spacing w:line="210" w:lineRule="atLeast"/>
      </w:pPr>
      <w:r>
        <w:rPr>
          <w:rFonts w:ascii="Verdana" w:eastAsia="Verdana" w:hAnsi="Verdana" w:cs="Verdana"/>
        </w:rPr>
        <w:t>Износ појединих врста готовинских одлива из пословних активности у Извештај о новчаним токовима преузима се са истоимених субан</w:t>
      </w:r>
      <w:r>
        <w:rPr>
          <w:rFonts w:ascii="Verdana" w:eastAsia="Verdana" w:hAnsi="Verdana" w:cs="Verdana"/>
        </w:rPr>
        <w:t>алитичких конта класе 4 – Расходи. Уколико су одређени расходи плаћени, али нису исказани на субаналитичким контима класе 4 – Расходи, потребно их је додати у Извештају о новчаним токовима. Расходи евидентирани на одговарајућим субаналитичким контима класе</w:t>
      </w:r>
      <w:r>
        <w:rPr>
          <w:rFonts w:ascii="Verdana" w:eastAsia="Verdana" w:hAnsi="Verdana" w:cs="Verdana"/>
        </w:rPr>
        <w:t xml:space="preserve"> 4 – Расходи који нису плаћени, не исказују се као готовински одливи у Извештају о новчаним токовима.</w:t>
      </w:r>
    </w:p>
    <w:p w:rsidR="003C6801" w:rsidRDefault="001B30B2">
      <w:pPr>
        <w:spacing w:line="210" w:lineRule="atLeast"/>
      </w:pPr>
      <w:r>
        <w:rPr>
          <w:rFonts w:ascii="Verdana" w:eastAsia="Verdana" w:hAnsi="Verdana" w:cs="Verdana"/>
        </w:rPr>
        <w:t xml:space="preserve">Готовински приливи из инвестиционих активности обухватају приливе настале продајом нефинансијске и финансијске имовине. Износ појединих врста готовинских </w:t>
      </w:r>
      <w:r>
        <w:rPr>
          <w:rFonts w:ascii="Verdana" w:eastAsia="Verdana" w:hAnsi="Verdana" w:cs="Verdana"/>
        </w:rPr>
        <w:t>прилива од продаје нефинансијске имовине преузима се са истоимених субаналитичких конта класе 8 – Примања од продаје нефинансијске имовине, док се износ појединих врста готовинских прилива од продаје финансијске имовине преузима са истоимених субаналитички</w:t>
      </w:r>
      <w:r>
        <w:rPr>
          <w:rFonts w:ascii="Verdana" w:eastAsia="Verdana" w:hAnsi="Verdana" w:cs="Verdana"/>
        </w:rPr>
        <w:t>х конта класе 9 – Примања од задуживања и продаје финансијске имовине, категорије 920000 – Примања од продаје финансијске имовине. Примања евидентирана на одговарајућим субаналитичким контима класе 8 – Примања од продаје нефинансијске имовине и одговарајућ</w:t>
      </w:r>
      <w:r>
        <w:rPr>
          <w:rFonts w:ascii="Verdana" w:eastAsia="Verdana" w:hAnsi="Verdana" w:cs="Verdana"/>
        </w:rPr>
        <w:t>им субаналитичким контима категорије 920000 – Примања од продаје финансијске имовине која нису довела до новчаних токова, не исказују се у Извештају о новчаним токовима као готовински приливи. Наплаћена примања од продаје нефинансијске и финансијске имовин</w:t>
      </w:r>
      <w:r>
        <w:rPr>
          <w:rFonts w:ascii="Verdana" w:eastAsia="Verdana" w:hAnsi="Verdana" w:cs="Verdana"/>
        </w:rPr>
        <w:t>е, која нису исказана на одговарајућим субаналитичким контима класе 8 – Примања од продаје нефинансијске имовине и одговарајућим субаналитичким контима категорије 920000 – Примања од продаје финансијске имовине, исказују се као приливи готовине из инвестиц</w:t>
      </w:r>
      <w:r>
        <w:rPr>
          <w:rFonts w:ascii="Verdana" w:eastAsia="Verdana" w:hAnsi="Verdana" w:cs="Verdana"/>
        </w:rPr>
        <w:t>ионе активности.</w:t>
      </w:r>
    </w:p>
    <w:p w:rsidR="003C6801" w:rsidRDefault="001B30B2">
      <w:pPr>
        <w:spacing w:line="210" w:lineRule="atLeast"/>
      </w:pPr>
      <w:r>
        <w:rPr>
          <w:rFonts w:ascii="Verdana" w:eastAsia="Verdana" w:hAnsi="Verdana" w:cs="Verdana"/>
        </w:rPr>
        <w:t>Готовински одливи из инвестиционе активности обухватају одливе настале куповином нефинансијске и финансијске имовине. Износ појединих врста готовинских одлива за куповину нефинансијске имовине преузима се са истоимених субаналитичких конта</w:t>
      </w:r>
      <w:r>
        <w:rPr>
          <w:rFonts w:ascii="Verdana" w:eastAsia="Verdana" w:hAnsi="Verdana" w:cs="Verdana"/>
        </w:rPr>
        <w:t xml:space="preserve"> класе 5 – Издаци за нефинансијску имовину, док се износ појединих врста готовинских одлива за набавку финансијске имовине преузима са истоимених субаналитичких конта класе 6 – Издаци за отплату главнице и набавку финансијске имовине, категорије 620000 – Н</w:t>
      </w:r>
      <w:r>
        <w:rPr>
          <w:rFonts w:ascii="Verdana" w:eastAsia="Verdana" w:hAnsi="Verdana" w:cs="Verdana"/>
        </w:rPr>
        <w:t xml:space="preserve">абавка финансијске имовине. Издаци евидентирани на субаналитичким контима класе 5 – Издаци за нефинансијску имовину и одговарајућим субаналитичким контима категорије 620000 – Набавка финансијске имовине, који нису довели до новчаних токова, не исказују се </w:t>
      </w:r>
      <w:r>
        <w:rPr>
          <w:rFonts w:ascii="Verdana" w:eastAsia="Verdana" w:hAnsi="Verdana" w:cs="Verdana"/>
        </w:rPr>
        <w:t xml:space="preserve">у </w:t>
      </w:r>
      <w:r>
        <w:rPr>
          <w:rFonts w:ascii="Verdana" w:eastAsia="Verdana" w:hAnsi="Verdana" w:cs="Verdana"/>
        </w:rPr>
        <w:lastRenderedPageBreak/>
        <w:t>Извештају о новчаним токовима као готовински одливи. Плаћени издаци за набавку нефинансијске и финансијске имовине, који нису исказани на субаналитичким контима класе 5 – Издаци за нефинансијску имовину и одговарајућим субаналитичким контима категорије 6</w:t>
      </w:r>
      <w:r>
        <w:rPr>
          <w:rFonts w:ascii="Verdana" w:eastAsia="Verdana" w:hAnsi="Verdana" w:cs="Verdana"/>
        </w:rPr>
        <w:t>20000 – Набавка финансијске имовине, исказују се као одливи готовине из инвестиционе активности.</w:t>
      </w:r>
    </w:p>
    <w:p w:rsidR="003C6801" w:rsidRDefault="001B30B2">
      <w:pPr>
        <w:spacing w:line="210" w:lineRule="atLeast"/>
      </w:pPr>
      <w:r>
        <w:rPr>
          <w:rFonts w:ascii="Verdana" w:eastAsia="Verdana" w:hAnsi="Verdana" w:cs="Verdana"/>
        </w:rPr>
        <w:t>Готовински приливи из финансијских активности обухватају приливе настале задуживањем. Износ појединих врста готовинских прилива од задуживања преузима се са ис</w:t>
      </w:r>
      <w:r>
        <w:rPr>
          <w:rFonts w:ascii="Verdana" w:eastAsia="Verdana" w:hAnsi="Verdana" w:cs="Verdana"/>
        </w:rPr>
        <w:t>тоимених субаналитичких конта класе 9 – Примања од задуживања и продаје финансијске имовине, категорије 910000 – Примања од задуживања. Приливи готовине настали задуживањем, који нису евидентирани на одговарајућим субаналитичким контима категорије 910000 –</w:t>
      </w:r>
      <w:r>
        <w:rPr>
          <w:rFonts w:ascii="Verdana" w:eastAsia="Verdana" w:hAnsi="Verdana" w:cs="Verdana"/>
        </w:rPr>
        <w:t xml:space="preserve"> Примања од задуживања, исказују се као приливи од финансијске активности. Примања од задуживања евидентирана на одговарајућим субаналитичким контима категорије 910000 – Примања од задуживања, која нису праћена приливом готовине, не исказују се у Извештају</w:t>
      </w:r>
      <w:r>
        <w:rPr>
          <w:rFonts w:ascii="Verdana" w:eastAsia="Verdana" w:hAnsi="Verdana" w:cs="Verdana"/>
        </w:rPr>
        <w:t xml:space="preserve"> о новчаним токовима.</w:t>
      </w:r>
    </w:p>
    <w:p w:rsidR="003C6801" w:rsidRDefault="001B30B2">
      <w:pPr>
        <w:spacing w:line="210" w:lineRule="atLeast"/>
      </w:pPr>
      <w:r>
        <w:rPr>
          <w:rFonts w:ascii="Verdana" w:eastAsia="Verdana" w:hAnsi="Verdana" w:cs="Verdana"/>
        </w:rPr>
        <w:t>Готовински одливи из финансијске активности обухватају одливе за отплату главнице. Износ појединих врста готовинских одлива за отплату главнице преузима се са истоимених субаналитичких конта класе 6 – Издаци за отплату главнице и наба</w:t>
      </w:r>
      <w:r>
        <w:rPr>
          <w:rFonts w:ascii="Verdana" w:eastAsia="Verdana" w:hAnsi="Verdana" w:cs="Verdana"/>
        </w:rPr>
        <w:t>вку финансијске имовине, категорије 610000 – Отплата главнице. Одливи готовине настали отплатом главнице дуга, који нису евидентирани на одговарајућим субаналитичким контима категорије 610000 – Отплата главнице, исказују се као одливи од финансијске активн</w:t>
      </w:r>
      <w:r>
        <w:rPr>
          <w:rFonts w:ascii="Verdana" w:eastAsia="Verdana" w:hAnsi="Verdana" w:cs="Verdana"/>
        </w:rPr>
        <w:t>ости. Издаци за отплату главнице евидентирани на одговарајућим субаналитичким контима категорије 610000 – Отплата главнице, који нису праћени одливима готовине, не исказују се у Извештају о новчаним токовима.</w:t>
      </w:r>
    </w:p>
    <w:p w:rsidR="003C6801" w:rsidRDefault="001B30B2">
      <w:pPr>
        <w:spacing w:line="210" w:lineRule="atLeast"/>
        <w:jc w:val="center"/>
      </w:pPr>
      <w:r>
        <w:rPr>
          <w:rFonts w:ascii="Verdana" w:eastAsia="Verdana" w:hAnsi="Verdana" w:cs="Verdana"/>
          <w:b/>
        </w:rPr>
        <w:t>Извештавање на нето основи</w:t>
      </w:r>
    </w:p>
    <w:p w:rsidR="003C6801" w:rsidRDefault="001B30B2">
      <w:pPr>
        <w:spacing w:line="210" w:lineRule="atLeast"/>
        <w:jc w:val="center"/>
      </w:pPr>
      <w:r>
        <w:rPr>
          <w:rFonts w:ascii="Verdana" w:eastAsia="Verdana" w:hAnsi="Verdana" w:cs="Verdana"/>
        </w:rPr>
        <w:t>Члан 14.</w:t>
      </w:r>
    </w:p>
    <w:p w:rsidR="003C6801" w:rsidRDefault="001B30B2">
      <w:pPr>
        <w:spacing w:line="210" w:lineRule="atLeast"/>
      </w:pPr>
      <w:r>
        <w:rPr>
          <w:rFonts w:ascii="Verdana" w:eastAsia="Verdana" w:hAnsi="Verdana" w:cs="Verdana"/>
        </w:rPr>
        <w:t>Укупне прил</w:t>
      </w:r>
      <w:r>
        <w:rPr>
          <w:rFonts w:ascii="Verdana" w:eastAsia="Verdana" w:hAnsi="Verdana" w:cs="Verdana"/>
        </w:rPr>
        <w:t>иве готовине и укупне одливе готовине, као и приливе и одливе готовине за сваку активност, треба презентовати на бруто основи, изузев што се готовински приливи и одливи могу презентовати на нето основи ако:</w:t>
      </w:r>
    </w:p>
    <w:p w:rsidR="003C6801" w:rsidRDefault="001B30B2">
      <w:pPr>
        <w:spacing w:line="210" w:lineRule="atLeast"/>
      </w:pPr>
      <w:r>
        <w:rPr>
          <w:rFonts w:ascii="Verdana" w:eastAsia="Verdana" w:hAnsi="Verdana" w:cs="Verdana"/>
        </w:rPr>
        <w:t xml:space="preserve">– настају из трансакција које ентитет контролише </w:t>
      </w:r>
      <w:r>
        <w:rPr>
          <w:rFonts w:ascii="Verdana" w:eastAsia="Verdana" w:hAnsi="Verdana" w:cs="Verdana"/>
        </w:rPr>
        <w:t>у име других страна и који се признају у Извештају о новчаним токовима;</w:t>
      </w:r>
    </w:p>
    <w:p w:rsidR="003C6801" w:rsidRDefault="001B30B2">
      <w:pPr>
        <w:spacing w:line="210" w:lineRule="atLeast"/>
      </w:pPr>
      <w:r>
        <w:rPr>
          <w:rFonts w:ascii="Verdana" w:eastAsia="Verdana" w:hAnsi="Verdana" w:cs="Verdana"/>
        </w:rPr>
        <w:t>– се односе на трансакције чији је обрт брз, износи високи и рокови доспећа кратки.</w:t>
      </w:r>
    </w:p>
    <w:p w:rsidR="003C6801" w:rsidRDefault="001B30B2">
      <w:pPr>
        <w:spacing w:line="210" w:lineRule="atLeast"/>
      </w:pPr>
      <w:r>
        <w:rPr>
          <w:rFonts w:ascii="Verdana" w:eastAsia="Verdana" w:hAnsi="Verdana" w:cs="Verdana"/>
        </w:rPr>
        <w:t>Уколико се приливи и одливи готовине, који задовољавају претходне услове да буду презентовани на нет</w:t>
      </w:r>
      <w:r>
        <w:rPr>
          <w:rFonts w:ascii="Verdana" w:eastAsia="Verdana" w:hAnsi="Verdana" w:cs="Verdana"/>
        </w:rPr>
        <w:t>о основи, у буџету исказују на бруто основи, потребно их је и у Извештају о новчаним токовима презентовати на бруто основи ради упоредивости ова два извештаја.</w:t>
      </w:r>
    </w:p>
    <w:p w:rsidR="003C6801" w:rsidRDefault="001B30B2">
      <w:pPr>
        <w:spacing w:line="210" w:lineRule="atLeast"/>
        <w:jc w:val="center"/>
      </w:pPr>
      <w:r>
        <w:rPr>
          <w:rFonts w:ascii="Verdana" w:eastAsia="Verdana" w:hAnsi="Verdana" w:cs="Verdana"/>
          <w:b/>
        </w:rPr>
        <w:t>Извештајни период и извештајни датум</w:t>
      </w:r>
    </w:p>
    <w:p w:rsidR="003C6801" w:rsidRDefault="001B30B2">
      <w:pPr>
        <w:spacing w:line="210" w:lineRule="atLeast"/>
        <w:jc w:val="center"/>
      </w:pPr>
      <w:r>
        <w:rPr>
          <w:rFonts w:ascii="Verdana" w:eastAsia="Verdana" w:hAnsi="Verdana" w:cs="Verdana"/>
        </w:rPr>
        <w:t>Члан 15.</w:t>
      </w:r>
    </w:p>
    <w:p w:rsidR="003C6801" w:rsidRDefault="001B30B2">
      <w:pPr>
        <w:spacing w:line="210" w:lineRule="atLeast"/>
      </w:pPr>
      <w:r>
        <w:rPr>
          <w:rFonts w:ascii="Verdana" w:eastAsia="Verdana" w:hAnsi="Verdana" w:cs="Verdana"/>
        </w:rPr>
        <w:t>Финансијски извештаји опште намене подносе се најмање једном годишње.</w:t>
      </w:r>
    </w:p>
    <w:p w:rsidR="003C6801" w:rsidRDefault="001B30B2">
      <w:pPr>
        <w:spacing w:line="210" w:lineRule="atLeast"/>
      </w:pPr>
      <w:r>
        <w:rPr>
          <w:rFonts w:ascii="Verdana" w:eastAsia="Verdana" w:hAnsi="Verdana" w:cs="Verdana"/>
        </w:rPr>
        <w:lastRenderedPageBreak/>
        <w:t>Извештајни период обухвата период од 1. јануара до 31. децембра, док је извештајни датум последњи дан извештајног периода на који се односе финансијски извештаји, односно 31. децембар.</w:t>
      </w:r>
    </w:p>
    <w:p w:rsidR="003C6801" w:rsidRDefault="001B30B2">
      <w:pPr>
        <w:spacing w:line="210" w:lineRule="atLeast"/>
      </w:pPr>
      <w:r>
        <w:rPr>
          <w:rFonts w:ascii="Verdana" w:eastAsia="Verdana" w:hAnsi="Verdana" w:cs="Verdana"/>
        </w:rPr>
        <w:t>К</w:t>
      </w:r>
      <w:r>
        <w:rPr>
          <w:rFonts w:ascii="Verdana" w:eastAsia="Verdana" w:hAnsi="Verdana" w:cs="Verdana"/>
        </w:rPr>
        <w:t>ада се у ванредним условима промени извештајни датум и када се финансијски извештаји подносе за период дужи или краћи од године дана, ентитет, као додатак у извештају за период краћи или дужи од године, обелодањује:</w:t>
      </w:r>
    </w:p>
    <w:p w:rsidR="003C6801" w:rsidRDefault="001B30B2">
      <w:pPr>
        <w:spacing w:line="210" w:lineRule="atLeast"/>
      </w:pPr>
      <w:r>
        <w:rPr>
          <w:rFonts w:ascii="Verdana" w:eastAsia="Verdana" w:hAnsi="Verdana" w:cs="Verdana"/>
        </w:rPr>
        <w:t>– разлог(е) извештавања у периоду који ј</w:t>
      </w:r>
      <w:r>
        <w:rPr>
          <w:rFonts w:ascii="Verdana" w:eastAsia="Verdana" w:hAnsi="Verdana" w:cs="Verdana"/>
        </w:rPr>
        <w:t>е краћи или дужи од годину дана;</w:t>
      </w:r>
    </w:p>
    <w:p w:rsidR="003C6801" w:rsidRDefault="001B30B2">
      <w:pPr>
        <w:spacing w:line="210" w:lineRule="atLeast"/>
      </w:pPr>
      <w:r>
        <w:rPr>
          <w:rFonts w:ascii="Verdana" w:eastAsia="Verdana" w:hAnsi="Verdana" w:cs="Verdana"/>
        </w:rPr>
        <w:t>– чињеницу да упоредни износи можда нису упоредиви.</w:t>
      </w:r>
    </w:p>
    <w:p w:rsidR="003C6801" w:rsidRDefault="001B30B2">
      <w:pPr>
        <w:spacing w:line="210" w:lineRule="atLeast"/>
        <w:jc w:val="center"/>
      </w:pPr>
      <w:r>
        <w:rPr>
          <w:rFonts w:ascii="Verdana" w:eastAsia="Verdana" w:hAnsi="Verdana" w:cs="Verdana"/>
          <w:b/>
        </w:rPr>
        <w:t>Датум одобравања</w:t>
      </w:r>
    </w:p>
    <w:p w:rsidR="003C6801" w:rsidRDefault="001B30B2">
      <w:pPr>
        <w:spacing w:line="210" w:lineRule="atLeast"/>
        <w:jc w:val="center"/>
      </w:pPr>
      <w:r>
        <w:rPr>
          <w:rFonts w:ascii="Verdana" w:eastAsia="Verdana" w:hAnsi="Verdana" w:cs="Verdana"/>
        </w:rPr>
        <w:t>Члан 16.</w:t>
      </w:r>
    </w:p>
    <w:p w:rsidR="003C6801" w:rsidRDefault="001B30B2">
      <w:pPr>
        <w:spacing w:line="210" w:lineRule="atLeast"/>
      </w:pPr>
      <w:r>
        <w:rPr>
          <w:rFonts w:ascii="Verdana" w:eastAsia="Verdana" w:hAnsi="Verdana" w:cs="Verdana"/>
        </w:rPr>
        <w:t xml:space="preserve">Датум одобравања је датум на који су финансијски извештаји одобрени за објављивање од стране лица или тела, који имају овлашћење за финализацију </w:t>
      </w:r>
      <w:r>
        <w:rPr>
          <w:rFonts w:ascii="Verdana" w:eastAsia="Verdana" w:hAnsi="Verdana" w:cs="Verdana"/>
        </w:rPr>
        <w:t>извештаја ради објављивања.</w:t>
      </w:r>
    </w:p>
    <w:p w:rsidR="003C6801" w:rsidRDefault="001B30B2">
      <w:pPr>
        <w:spacing w:line="210" w:lineRule="atLeast"/>
      </w:pPr>
      <w:r>
        <w:rPr>
          <w:rFonts w:ascii="Verdana" w:eastAsia="Verdana" w:hAnsi="Verdana" w:cs="Verdana"/>
        </w:rPr>
        <w:t>Ентитет обелодањује датум када су финансијски извештаји одобрени за објављивање, као и особу или тело које је дало овлашћење.</w:t>
      </w:r>
    </w:p>
    <w:p w:rsidR="003C6801" w:rsidRDefault="001B30B2">
      <w:pPr>
        <w:spacing w:line="210" w:lineRule="atLeast"/>
      </w:pPr>
      <w:r>
        <w:rPr>
          <w:rFonts w:ascii="Verdana" w:eastAsia="Verdana" w:hAnsi="Verdana" w:cs="Verdana"/>
        </w:rPr>
        <w:t>Ако друго тело има овлашћење да преправи финансијске извештаје након објављивања, ентитет обелодањује ту чињеницу.</w:t>
      </w:r>
    </w:p>
    <w:p w:rsidR="003C6801" w:rsidRDefault="001B30B2">
      <w:pPr>
        <w:spacing w:line="210" w:lineRule="atLeast"/>
        <w:jc w:val="center"/>
      </w:pPr>
      <w:r>
        <w:rPr>
          <w:rFonts w:ascii="Verdana" w:eastAsia="Verdana" w:hAnsi="Verdana" w:cs="Verdana"/>
          <w:b/>
        </w:rPr>
        <w:t>Страна валута</w:t>
      </w:r>
    </w:p>
    <w:p w:rsidR="003C6801" w:rsidRDefault="001B30B2">
      <w:pPr>
        <w:spacing w:line="210" w:lineRule="atLeast"/>
        <w:jc w:val="center"/>
      </w:pPr>
      <w:r>
        <w:rPr>
          <w:rFonts w:ascii="Verdana" w:eastAsia="Verdana" w:hAnsi="Verdana" w:cs="Verdana"/>
        </w:rPr>
        <w:t>Члан 17.</w:t>
      </w:r>
    </w:p>
    <w:p w:rsidR="003C6801" w:rsidRDefault="001B30B2">
      <w:pPr>
        <w:spacing w:line="210" w:lineRule="atLeast"/>
      </w:pPr>
      <w:r>
        <w:rPr>
          <w:rFonts w:ascii="Verdana" w:eastAsia="Verdana" w:hAnsi="Verdana" w:cs="Verdana"/>
        </w:rPr>
        <w:t>Страна валута је валута различита од валуте презентације извештаја ентитета.</w:t>
      </w:r>
    </w:p>
    <w:p w:rsidR="003C6801" w:rsidRDefault="001B30B2">
      <w:pPr>
        <w:spacing w:line="210" w:lineRule="atLeast"/>
      </w:pPr>
      <w:r>
        <w:rPr>
          <w:rFonts w:ascii="Verdana" w:eastAsia="Verdana" w:hAnsi="Verdana" w:cs="Verdana"/>
        </w:rPr>
        <w:t>Приливи и одливи готовине настали из тран</w:t>
      </w:r>
      <w:r>
        <w:rPr>
          <w:rFonts w:ascii="Verdana" w:eastAsia="Verdana" w:hAnsi="Verdana" w:cs="Verdana"/>
        </w:rPr>
        <w:t>сакција у страној валути, евидентирају се у динарима, примењујући, на износ у страној валути, курс размене између динара и стране валуте на датум прилива и одлива.</w:t>
      </w:r>
    </w:p>
    <w:p w:rsidR="003C6801" w:rsidRDefault="001B30B2">
      <w:pPr>
        <w:spacing w:line="210" w:lineRule="atLeast"/>
      </w:pPr>
      <w:r>
        <w:rPr>
          <w:rFonts w:ascii="Verdana" w:eastAsia="Verdana" w:hAnsi="Verdana" w:cs="Verdana"/>
        </w:rPr>
        <w:t>Готовинска салда у страној валути треба приказивати по закључном курсу који представља средњ</w:t>
      </w:r>
      <w:r>
        <w:rPr>
          <w:rFonts w:ascii="Verdana" w:eastAsia="Verdana" w:hAnsi="Verdana" w:cs="Verdana"/>
        </w:rPr>
        <w:t>и курс Народне банке Србије на дан 31. децембар, односно на датум извештавања када се финансијски извештај подноси за период дужи или краћи од године дана.</w:t>
      </w:r>
    </w:p>
    <w:p w:rsidR="003C6801" w:rsidRDefault="001B30B2">
      <w:pPr>
        <w:spacing w:line="210" w:lineRule="atLeast"/>
      </w:pPr>
      <w:r>
        <w:rPr>
          <w:rFonts w:ascii="Verdana" w:eastAsia="Verdana" w:hAnsi="Verdana" w:cs="Verdana"/>
        </w:rPr>
        <w:t>Приливе и одливе готовине иностраног контролисаног ентитета треба превести по курсу размене између д</w:t>
      </w:r>
      <w:r>
        <w:rPr>
          <w:rFonts w:ascii="Verdana" w:eastAsia="Verdana" w:hAnsi="Verdana" w:cs="Verdana"/>
        </w:rPr>
        <w:t>инара и стране валуте на датуме прилива и одлива.</w:t>
      </w:r>
    </w:p>
    <w:p w:rsidR="003C6801" w:rsidRDefault="001B30B2">
      <w:pPr>
        <w:spacing w:line="210" w:lineRule="atLeast"/>
        <w:jc w:val="center"/>
      </w:pPr>
      <w:r>
        <w:rPr>
          <w:rFonts w:ascii="Verdana" w:eastAsia="Verdana" w:hAnsi="Verdana" w:cs="Verdana"/>
          <w:b/>
        </w:rPr>
        <w:t>Завршни рачун</w:t>
      </w:r>
    </w:p>
    <w:p w:rsidR="003C6801" w:rsidRDefault="001B30B2">
      <w:pPr>
        <w:spacing w:line="210" w:lineRule="atLeast"/>
        <w:jc w:val="center"/>
      </w:pPr>
      <w:r>
        <w:rPr>
          <w:rFonts w:ascii="Verdana" w:eastAsia="Verdana" w:hAnsi="Verdana" w:cs="Verdana"/>
        </w:rPr>
        <w:t>Члан 18.</w:t>
      </w:r>
    </w:p>
    <w:p w:rsidR="003C6801" w:rsidRDefault="001B30B2">
      <w:pPr>
        <w:spacing w:line="210" w:lineRule="atLeast"/>
      </w:pPr>
      <w:r>
        <w:rPr>
          <w:rFonts w:ascii="Verdana" w:eastAsia="Verdana" w:hAnsi="Verdana" w:cs="Verdana"/>
        </w:rPr>
        <w:t>Приликом састављања завршног рачунa буџета Републике Србије, буџета локалне власти и организације за обавезно социјално осигурање, у смислу закона којим се уређује буџетски систем, вр</w:t>
      </w:r>
      <w:r>
        <w:rPr>
          <w:rFonts w:ascii="Verdana" w:eastAsia="Verdana" w:hAnsi="Verdana" w:cs="Verdana"/>
        </w:rPr>
        <w:t>ши се сабирање истоврсних позиција по принципу „ред по ред” уз елиминацију међусобних трансакција између матичног и контролисаних ентитета.</w:t>
      </w:r>
    </w:p>
    <w:p w:rsidR="003C6801" w:rsidRDefault="001B30B2">
      <w:pPr>
        <w:spacing w:line="210" w:lineRule="atLeast"/>
      </w:pPr>
      <w:r>
        <w:rPr>
          <w:rFonts w:ascii="Verdana" w:eastAsia="Verdana" w:hAnsi="Verdana" w:cs="Verdana"/>
        </w:rPr>
        <w:t>Елиминишу се приходи исказани на одговарајућим субаналитичким контима категорије 780000 – Трансфери између корисника</w:t>
      </w:r>
      <w:r>
        <w:rPr>
          <w:rFonts w:ascii="Verdana" w:eastAsia="Verdana" w:hAnsi="Verdana" w:cs="Verdana"/>
        </w:rPr>
        <w:t xml:space="preserve"> на истом нивоу са </w:t>
      </w:r>
      <w:r>
        <w:rPr>
          <w:rFonts w:ascii="Verdana" w:eastAsia="Verdana" w:hAnsi="Verdana" w:cs="Verdana"/>
        </w:rPr>
        <w:lastRenderedPageBreak/>
        <w:t>одговарајућим субаналитичким контима, категорије 790000 – Приходи из буџета, категорије 490000 – Административни трансфери из буџета, од директних буџетских корисника индиректним корисницима или између корисника на истом нивоу.</w:t>
      </w:r>
    </w:p>
    <w:p w:rsidR="003C6801" w:rsidRDefault="001B30B2">
      <w:pPr>
        <w:spacing w:line="210" w:lineRule="atLeast"/>
        <w:jc w:val="center"/>
      </w:pPr>
      <w:r>
        <w:rPr>
          <w:rFonts w:ascii="Verdana" w:eastAsia="Verdana" w:hAnsi="Verdana" w:cs="Verdana"/>
          <w:b/>
        </w:rPr>
        <w:t>Доследнос</w:t>
      </w:r>
      <w:r>
        <w:rPr>
          <w:rFonts w:ascii="Verdana" w:eastAsia="Verdana" w:hAnsi="Verdana" w:cs="Verdana"/>
          <w:b/>
        </w:rPr>
        <w:t>т презентације</w:t>
      </w:r>
    </w:p>
    <w:p w:rsidR="003C6801" w:rsidRDefault="001B30B2">
      <w:pPr>
        <w:spacing w:line="210" w:lineRule="atLeast"/>
        <w:jc w:val="center"/>
      </w:pPr>
      <w:r>
        <w:rPr>
          <w:rFonts w:ascii="Verdana" w:eastAsia="Verdana" w:hAnsi="Verdana" w:cs="Verdana"/>
        </w:rPr>
        <w:t>Члан 19.</w:t>
      </w:r>
    </w:p>
    <w:p w:rsidR="003C6801" w:rsidRDefault="001B30B2">
      <w:pPr>
        <w:spacing w:line="210" w:lineRule="atLeast"/>
      </w:pPr>
      <w:r>
        <w:rPr>
          <w:rFonts w:ascii="Verdana" w:eastAsia="Verdana" w:hAnsi="Verdana" w:cs="Verdana"/>
        </w:rPr>
        <w:t>Начин презентације и класификације ставки у финансијским извештајима треба да буде задржан од једног до другог извештајног периода, осим ако:</w:t>
      </w:r>
    </w:p>
    <w:p w:rsidR="003C6801" w:rsidRDefault="001B30B2">
      <w:pPr>
        <w:spacing w:line="210" w:lineRule="atLeast"/>
      </w:pPr>
      <w:r>
        <w:rPr>
          <w:rFonts w:ascii="Verdana" w:eastAsia="Verdana" w:hAnsi="Verdana" w:cs="Verdana"/>
        </w:rPr>
        <w:t xml:space="preserve">– је уочљиво, након значајне промене природе пословања ентитета или прегледа презентације </w:t>
      </w:r>
      <w:r>
        <w:rPr>
          <w:rFonts w:ascii="Verdana" w:eastAsia="Verdana" w:hAnsi="Verdana" w:cs="Verdana"/>
        </w:rPr>
        <w:t>финансијских извештаја, да би другачија презентација или класификација била прикладнија с обзиром на критеријуме за одабир и примену рачуноводствених политика, или</w:t>
      </w:r>
    </w:p>
    <w:p w:rsidR="003C6801" w:rsidRDefault="001B30B2">
      <w:pPr>
        <w:spacing w:line="210" w:lineRule="atLeast"/>
      </w:pPr>
      <w:r>
        <w:rPr>
          <w:rFonts w:ascii="Verdana" w:eastAsia="Verdana" w:hAnsi="Verdana" w:cs="Verdana"/>
        </w:rPr>
        <w:t>– се промена презентације захтева изменама и допунама IPSAS на готовинској основи.</w:t>
      </w:r>
    </w:p>
    <w:p w:rsidR="003C6801" w:rsidRDefault="001B30B2">
      <w:pPr>
        <w:spacing w:line="210" w:lineRule="atLeast"/>
      </w:pPr>
      <w:r>
        <w:rPr>
          <w:rFonts w:ascii="Verdana" w:eastAsia="Verdana" w:hAnsi="Verdana" w:cs="Verdana"/>
        </w:rPr>
        <w:t>Када се п</w:t>
      </w:r>
      <w:r>
        <w:rPr>
          <w:rFonts w:ascii="Verdana" w:eastAsia="Verdana" w:hAnsi="Verdana" w:cs="Verdana"/>
        </w:rPr>
        <w:t>резентација или класификација ставки које треба обелоданити у финансијским извештајима промени у текућем, у односу на претходни извештајни период, потребно је рекласификовати износе из претходне године, осим ако то није изводљиво.</w:t>
      </w:r>
    </w:p>
    <w:p w:rsidR="003C6801" w:rsidRDefault="001B30B2">
      <w:pPr>
        <w:spacing w:line="210" w:lineRule="atLeast"/>
      </w:pPr>
      <w:r>
        <w:rPr>
          <w:rFonts w:ascii="Verdana" w:eastAsia="Verdana" w:hAnsi="Verdana" w:cs="Verdana"/>
        </w:rPr>
        <w:t>У напоменама се обелодањује природа, износ и разлози било које рекласификације.</w:t>
      </w:r>
    </w:p>
    <w:p w:rsidR="003C6801" w:rsidRDefault="001B30B2">
      <w:pPr>
        <w:spacing w:line="210" w:lineRule="atLeast"/>
      </w:pPr>
      <w:r>
        <w:rPr>
          <w:rFonts w:ascii="Verdana" w:eastAsia="Verdana" w:hAnsi="Verdana" w:cs="Verdana"/>
        </w:rPr>
        <w:t>Када је неизводљиво рекласификовати упоредиве износе, ентитет обелодањује разлоге неизвршене рекласификације и природу промена које би настале да су износи рекласификовани.</w:t>
      </w:r>
    </w:p>
    <w:p w:rsidR="003C6801" w:rsidRDefault="001B30B2">
      <w:pPr>
        <w:spacing w:line="210" w:lineRule="atLeast"/>
        <w:jc w:val="center"/>
      </w:pPr>
      <w:r>
        <w:rPr>
          <w:rFonts w:ascii="Verdana" w:eastAsia="Verdana" w:hAnsi="Verdana" w:cs="Verdana"/>
          <w:b/>
        </w:rPr>
        <w:t>Исп</w:t>
      </w:r>
      <w:r>
        <w:rPr>
          <w:rFonts w:ascii="Verdana" w:eastAsia="Verdana" w:hAnsi="Verdana" w:cs="Verdana"/>
          <w:b/>
        </w:rPr>
        <w:t>рављање грешака</w:t>
      </w:r>
    </w:p>
    <w:p w:rsidR="003C6801" w:rsidRDefault="001B30B2">
      <w:pPr>
        <w:spacing w:line="210" w:lineRule="atLeast"/>
        <w:jc w:val="center"/>
      </w:pPr>
      <w:r>
        <w:rPr>
          <w:rFonts w:ascii="Verdana" w:eastAsia="Verdana" w:hAnsi="Verdana" w:cs="Verdana"/>
        </w:rPr>
        <w:t>Члан 20.</w:t>
      </w:r>
    </w:p>
    <w:p w:rsidR="003C6801" w:rsidRDefault="001B30B2">
      <w:pPr>
        <w:spacing w:line="210" w:lineRule="atLeast"/>
      </w:pPr>
      <w:r>
        <w:rPr>
          <w:rFonts w:ascii="Verdana" w:eastAsia="Verdana" w:hAnsi="Verdana" w:cs="Verdana"/>
        </w:rPr>
        <w:t>Када се у текућој години уочи грешка из претходног периода, врши се исправка грешке, а финансијски извештаји, укључујући упоредне информације за претходне периоде, приказују се као да је грешка коригована у периоду у коме је настал</w:t>
      </w:r>
      <w:r>
        <w:rPr>
          <w:rFonts w:ascii="Verdana" w:eastAsia="Verdana" w:hAnsi="Verdana" w:cs="Verdana"/>
        </w:rPr>
        <w:t>а.</w:t>
      </w:r>
    </w:p>
    <w:p w:rsidR="003C6801" w:rsidRDefault="001B30B2">
      <w:pPr>
        <w:spacing w:line="210" w:lineRule="atLeast"/>
      </w:pPr>
      <w:r>
        <w:rPr>
          <w:rFonts w:ascii="Verdana" w:eastAsia="Verdana" w:hAnsi="Verdana" w:cs="Verdana"/>
        </w:rPr>
        <w:t>Грешке могу настати као резултат математичких грешака, грешака у примени рачуноводствених политика, погрешног тумачењем чињеница, проневером или превидима.</w:t>
      </w:r>
    </w:p>
    <w:p w:rsidR="003C6801" w:rsidRDefault="001B30B2">
      <w:pPr>
        <w:spacing w:line="210" w:lineRule="atLeast"/>
      </w:pPr>
      <w:r>
        <w:rPr>
          <w:rFonts w:ascii="Verdana" w:eastAsia="Verdana" w:hAnsi="Verdana" w:cs="Verdana"/>
        </w:rPr>
        <w:t>Материјално безначајне грешке се не исправљају, него се пословни догађаји из претходног периода к</w:t>
      </w:r>
      <w:r>
        <w:rPr>
          <w:rFonts w:ascii="Verdana" w:eastAsia="Verdana" w:hAnsi="Verdana" w:cs="Verdana"/>
        </w:rPr>
        <w:t>оји нису евидентирани у периоду у којем су настали, који су евидентирани у погрешном износу или су погрешно класификовани, приказују у текућем извештајном периоду.</w:t>
      </w:r>
    </w:p>
    <w:p w:rsidR="003C6801" w:rsidRDefault="001B30B2">
      <w:pPr>
        <w:spacing w:line="210" w:lineRule="atLeast"/>
      </w:pPr>
      <w:r>
        <w:rPr>
          <w:rFonts w:ascii="Verdana" w:eastAsia="Verdana" w:hAnsi="Verdana" w:cs="Verdana"/>
        </w:rPr>
        <w:t>Материјално значајна грешка је она чије би изостављање или нетачно приказивање утицало на од</w:t>
      </w:r>
      <w:r>
        <w:rPr>
          <w:rFonts w:ascii="Verdana" w:eastAsia="Verdana" w:hAnsi="Verdana" w:cs="Verdana"/>
        </w:rPr>
        <w:t>луке или процене корисника финансијских извештаја.</w:t>
      </w:r>
    </w:p>
    <w:p w:rsidR="003C6801" w:rsidRDefault="001B30B2">
      <w:pPr>
        <w:spacing w:line="210" w:lineRule="atLeast"/>
      </w:pPr>
      <w:r>
        <w:rPr>
          <w:rFonts w:ascii="Verdana" w:eastAsia="Verdana" w:hAnsi="Verdana" w:cs="Verdana"/>
        </w:rPr>
        <w:t>Сматра се да је грешка материјално значајна ако је износ грешке једнак или већи од 3% поједине врсте прилива или одлива готовине на синтетичком нивоу економске класификације ентитета.</w:t>
      </w:r>
    </w:p>
    <w:p w:rsidR="003C6801" w:rsidRDefault="001B30B2">
      <w:pPr>
        <w:spacing w:line="210" w:lineRule="atLeast"/>
      </w:pPr>
      <w:r>
        <w:rPr>
          <w:rFonts w:ascii="Verdana" w:eastAsia="Verdana" w:hAnsi="Verdana" w:cs="Verdana"/>
        </w:rPr>
        <w:lastRenderedPageBreak/>
        <w:t>У напоменама уз финан</w:t>
      </w:r>
      <w:r>
        <w:rPr>
          <w:rFonts w:ascii="Verdana" w:eastAsia="Verdana" w:hAnsi="Verdana" w:cs="Verdana"/>
        </w:rPr>
        <w:t>сијске извештаје, обелодањује се природа грешке, износ исправке, и чињеница да је упоредива информација поново исказана, или да је то неизводљиво.</w:t>
      </w:r>
    </w:p>
    <w:p w:rsidR="003C6801" w:rsidRDefault="001B30B2">
      <w:pPr>
        <w:spacing w:line="210" w:lineRule="atLeast"/>
        <w:jc w:val="center"/>
      </w:pPr>
      <w:r>
        <w:rPr>
          <w:rFonts w:ascii="Verdana" w:eastAsia="Verdana" w:hAnsi="Verdana" w:cs="Verdana"/>
        </w:rPr>
        <w:t>III. ОБЕЛОДАЊИВАЊЕ У НАПОМЕНАМА</w:t>
      </w:r>
    </w:p>
    <w:p w:rsidR="003C6801" w:rsidRDefault="001B30B2">
      <w:pPr>
        <w:spacing w:line="210" w:lineRule="atLeast"/>
        <w:jc w:val="center"/>
      </w:pPr>
      <w:r>
        <w:rPr>
          <w:rFonts w:ascii="Verdana" w:eastAsia="Verdana" w:hAnsi="Verdana" w:cs="Verdana"/>
          <w:b/>
        </w:rPr>
        <w:t>Структура напомена</w:t>
      </w:r>
    </w:p>
    <w:p w:rsidR="003C6801" w:rsidRDefault="001B30B2">
      <w:pPr>
        <w:spacing w:line="210" w:lineRule="atLeast"/>
        <w:jc w:val="center"/>
      </w:pPr>
      <w:r>
        <w:rPr>
          <w:rFonts w:ascii="Verdana" w:eastAsia="Verdana" w:hAnsi="Verdana" w:cs="Verdana"/>
        </w:rPr>
        <w:t>Члан 21.</w:t>
      </w:r>
    </w:p>
    <w:p w:rsidR="003C6801" w:rsidRDefault="001B30B2">
      <w:pPr>
        <w:spacing w:line="210" w:lineRule="atLeast"/>
      </w:pPr>
      <w:r>
        <w:rPr>
          <w:rFonts w:ascii="Verdana" w:eastAsia="Verdana" w:hAnsi="Verdana" w:cs="Verdana"/>
        </w:rPr>
        <w:t xml:space="preserve">Напомене уз финансијске извештаје ентитета треба </w:t>
      </w:r>
      <w:r>
        <w:rPr>
          <w:rFonts w:ascii="Verdana" w:eastAsia="Verdana" w:hAnsi="Verdana" w:cs="Verdana"/>
        </w:rPr>
        <w:t>да:</w:t>
      </w:r>
    </w:p>
    <w:p w:rsidR="003C6801" w:rsidRDefault="001B30B2">
      <w:pPr>
        <w:spacing w:line="210" w:lineRule="atLeast"/>
      </w:pPr>
      <w:r>
        <w:rPr>
          <w:rFonts w:ascii="Verdana" w:eastAsia="Verdana" w:hAnsi="Verdana" w:cs="Verdana"/>
        </w:rPr>
        <w:t>– презентују информације и основу за припрему финансијских извештаја и специфичне рачуноводствене политике, одабране и примењене на значајне трансакције и остале догађаје;</w:t>
      </w:r>
    </w:p>
    <w:p w:rsidR="003C6801" w:rsidRDefault="001B30B2">
      <w:pPr>
        <w:spacing w:line="210" w:lineRule="atLeast"/>
      </w:pPr>
      <w:r>
        <w:rPr>
          <w:rFonts w:ascii="Verdana" w:eastAsia="Verdana" w:hAnsi="Verdana" w:cs="Verdana"/>
        </w:rPr>
        <w:t xml:space="preserve">– пруже додатне информације које нису приказане у финансијским извештајима, али </w:t>
      </w:r>
      <w:r>
        <w:rPr>
          <w:rFonts w:ascii="Verdana" w:eastAsia="Verdana" w:hAnsi="Verdana" w:cs="Verdana"/>
        </w:rPr>
        <w:t>су неопходне за фер презентацију прилива и одлива готовине и салда ентитета.</w:t>
      </w:r>
    </w:p>
    <w:p w:rsidR="003C6801" w:rsidRDefault="001B30B2">
      <w:pPr>
        <w:spacing w:line="210" w:lineRule="atLeast"/>
      </w:pPr>
      <w:r>
        <w:rPr>
          <w:rFonts w:ascii="Verdana" w:eastAsia="Verdana" w:hAnsi="Verdana" w:cs="Verdana"/>
        </w:rPr>
        <w:t>Напомене уз финансијске извештаје приказују се на систематски начин. Свака ставка у извештају о приливима и одливима готовине и осталим финансијским извештајима упућује на одговар</w:t>
      </w:r>
      <w:r>
        <w:rPr>
          <w:rFonts w:ascii="Verdana" w:eastAsia="Verdana" w:hAnsi="Verdana" w:cs="Verdana"/>
        </w:rPr>
        <w:t>ајуће информације у напоменама.</w:t>
      </w:r>
    </w:p>
    <w:p w:rsidR="003C6801" w:rsidRDefault="001B30B2">
      <w:pPr>
        <w:spacing w:line="210" w:lineRule="atLeast"/>
        <w:jc w:val="center"/>
      </w:pPr>
      <w:r>
        <w:rPr>
          <w:rFonts w:ascii="Verdana" w:eastAsia="Verdana" w:hAnsi="Verdana" w:cs="Verdana"/>
          <w:b/>
        </w:rPr>
        <w:t>Опште информације о ентитету, подносиоцу извештаја</w:t>
      </w:r>
    </w:p>
    <w:p w:rsidR="003C6801" w:rsidRDefault="001B30B2">
      <w:pPr>
        <w:spacing w:line="210" w:lineRule="atLeast"/>
        <w:jc w:val="center"/>
      </w:pPr>
      <w:r>
        <w:rPr>
          <w:rFonts w:ascii="Verdana" w:eastAsia="Verdana" w:hAnsi="Verdana" w:cs="Verdana"/>
        </w:rPr>
        <w:t>Члан 22.</w:t>
      </w:r>
    </w:p>
    <w:p w:rsidR="003C6801" w:rsidRDefault="001B30B2">
      <w:pPr>
        <w:spacing w:line="210" w:lineRule="atLeast"/>
      </w:pPr>
      <w:r>
        <w:rPr>
          <w:rFonts w:ascii="Verdana" w:eastAsia="Verdana" w:hAnsi="Verdana" w:cs="Verdana"/>
        </w:rPr>
        <w:t>Ентитет обелодањује у напоменама уз финансијске извештаје, уколико то није обелодањено у информацијама објављеним у финансијским извештајима:</w:t>
      </w:r>
    </w:p>
    <w:p w:rsidR="003C6801" w:rsidRDefault="001B30B2">
      <w:pPr>
        <w:spacing w:line="210" w:lineRule="atLeast"/>
      </w:pPr>
      <w:r>
        <w:rPr>
          <w:rFonts w:ascii="Verdana" w:eastAsia="Verdana" w:hAnsi="Verdana" w:cs="Verdana"/>
        </w:rPr>
        <w:t>– седиште, законски об</w:t>
      </w:r>
      <w:r>
        <w:rPr>
          <w:rFonts w:ascii="Verdana" w:eastAsia="Verdana" w:hAnsi="Verdana" w:cs="Verdana"/>
        </w:rPr>
        <w:t>лик ентитета и правни систем у којем послује;</w:t>
      </w:r>
    </w:p>
    <w:p w:rsidR="003C6801" w:rsidRDefault="001B30B2">
      <w:pPr>
        <w:spacing w:line="210" w:lineRule="atLeast"/>
      </w:pPr>
      <w:r>
        <w:rPr>
          <w:rFonts w:ascii="Verdana" w:eastAsia="Verdana" w:hAnsi="Verdana" w:cs="Verdana"/>
        </w:rPr>
        <w:t>– опис природе послова и главних активности ентитета;</w:t>
      </w:r>
    </w:p>
    <w:p w:rsidR="003C6801" w:rsidRDefault="001B30B2">
      <w:pPr>
        <w:spacing w:line="210" w:lineRule="atLeast"/>
      </w:pPr>
      <w:r>
        <w:rPr>
          <w:rFonts w:ascii="Verdana" w:eastAsia="Verdana" w:hAnsi="Verdana" w:cs="Verdana"/>
        </w:rPr>
        <w:t>– релевантне законе који регулишу пословање ентитета;</w:t>
      </w:r>
    </w:p>
    <w:p w:rsidR="003C6801" w:rsidRDefault="001B30B2">
      <w:pPr>
        <w:spacing w:line="210" w:lineRule="atLeast"/>
      </w:pPr>
      <w:r>
        <w:rPr>
          <w:rFonts w:ascii="Verdana" w:eastAsia="Verdana" w:hAnsi="Verdana" w:cs="Verdana"/>
        </w:rPr>
        <w:t>– називе значајних ентитета или државних сектора коју су презентовани у финансијским извештајима и про</w:t>
      </w:r>
      <w:r>
        <w:rPr>
          <w:rFonts w:ascii="Verdana" w:eastAsia="Verdana" w:hAnsi="Verdana" w:cs="Verdana"/>
        </w:rPr>
        <w:t>мене у значајним ентитетима или секторима који чине извештајни ентитет и били су презентовани у финансијским извештајима за претходне периоде.</w:t>
      </w:r>
    </w:p>
    <w:p w:rsidR="003C6801" w:rsidRDefault="001B30B2">
      <w:pPr>
        <w:spacing w:line="210" w:lineRule="atLeast"/>
        <w:jc w:val="center"/>
      </w:pPr>
      <w:r>
        <w:rPr>
          <w:rFonts w:ascii="Verdana" w:eastAsia="Verdana" w:hAnsi="Verdana" w:cs="Verdana"/>
          <w:b/>
        </w:rPr>
        <w:t>Рачуноводствена основа за припрему финансијских извештаја и буџетска основа</w:t>
      </w:r>
    </w:p>
    <w:p w:rsidR="003C6801" w:rsidRDefault="001B30B2">
      <w:pPr>
        <w:spacing w:line="210" w:lineRule="atLeast"/>
        <w:jc w:val="center"/>
      </w:pPr>
      <w:r>
        <w:rPr>
          <w:rFonts w:ascii="Verdana" w:eastAsia="Verdana" w:hAnsi="Verdana" w:cs="Verdana"/>
        </w:rPr>
        <w:t>Члан 23.</w:t>
      </w:r>
    </w:p>
    <w:p w:rsidR="003C6801" w:rsidRDefault="001B30B2">
      <w:pPr>
        <w:spacing w:line="210" w:lineRule="atLeast"/>
      </w:pPr>
      <w:r>
        <w:rPr>
          <w:rFonts w:ascii="Verdana" w:eastAsia="Verdana" w:hAnsi="Verdana" w:cs="Verdana"/>
        </w:rPr>
        <w:t>Ентитет обелодањује рачуново</w:t>
      </w:r>
      <w:r>
        <w:rPr>
          <w:rFonts w:ascii="Verdana" w:eastAsia="Verdana" w:hAnsi="Verdana" w:cs="Verdana"/>
        </w:rPr>
        <w:t>дствену основу која је коришћена за састављање извештаја о новчаним токовима, као и буџетску основу која је коришћена за састављање извештаја о извршењу буџета.</w:t>
      </w:r>
    </w:p>
    <w:p w:rsidR="003C6801" w:rsidRDefault="001B30B2">
      <w:pPr>
        <w:spacing w:line="210" w:lineRule="atLeast"/>
        <w:jc w:val="center"/>
      </w:pPr>
      <w:r>
        <w:rPr>
          <w:rFonts w:ascii="Verdana" w:eastAsia="Verdana" w:hAnsi="Verdana" w:cs="Verdana"/>
          <w:b/>
        </w:rPr>
        <w:t>Стање готовине и готовинских еквивалената на почетку и крају извештајног периода</w:t>
      </w:r>
    </w:p>
    <w:p w:rsidR="003C6801" w:rsidRDefault="001B30B2">
      <w:pPr>
        <w:spacing w:line="210" w:lineRule="atLeast"/>
        <w:jc w:val="center"/>
      </w:pPr>
      <w:r>
        <w:rPr>
          <w:rFonts w:ascii="Verdana" w:eastAsia="Verdana" w:hAnsi="Verdana" w:cs="Verdana"/>
        </w:rPr>
        <w:t>Члан 24.</w:t>
      </w:r>
    </w:p>
    <w:p w:rsidR="003C6801" w:rsidRDefault="001B30B2">
      <w:pPr>
        <w:spacing w:line="210" w:lineRule="atLeast"/>
      </w:pPr>
      <w:r>
        <w:rPr>
          <w:rFonts w:ascii="Verdana" w:eastAsia="Verdana" w:hAnsi="Verdana" w:cs="Verdana"/>
        </w:rPr>
        <w:t xml:space="preserve">Ентитет обелодањује стање готовине на почетку и на крају извештајног периода појединачно по синтетичким контима: 121100 – Жиро и текући </w:t>
      </w:r>
      <w:r>
        <w:rPr>
          <w:rFonts w:ascii="Verdana" w:eastAsia="Verdana" w:hAnsi="Verdana" w:cs="Verdana"/>
        </w:rPr>
        <w:lastRenderedPageBreak/>
        <w:t>рачуни, 121200 – Издвојена новчана средства и акредитиви, 121300 – Благајна, 121400 – Девизни рачун, 121500 – Девизни ак</w:t>
      </w:r>
      <w:r>
        <w:rPr>
          <w:rFonts w:ascii="Verdana" w:eastAsia="Verdana" w:hAnsi="Verdana" w:cs="Verdana"/>
        </w:rPr>
        <w:t>редитиви, 121600 – Девизна благајна, 121700 – Остала новчана средства, 123910 – Краткорочна орочена динарска средства и 123920 – Краткорочна орочена девизна средства</w:t>
      </w:r>
    </w:p>
    <w:p w:rsidR="003C6801" w:rsidRDefault="001B30B2">
      <w:pPr>
        <w:spacing w:line="210" w:lineRule="atLeast"/>
      </w:pPr>
      <w:r>
        <w:rPr>
          <w:rFonts w:ascii="Verdana" w:eastAsia="Verdana" w:hAnsi="Verdana" w:cs="Verdana"/>
        </w:rPr>
        <w:t xml:space="preserve">Готовински еквиваленти се обелодањују по врстама еквивалената: чекови и остале хартије од </w:t>
      </w:r>
      <w:r>
        <w:rPr>
          <w:rFonts w:ascii="Verdana" w:eastAsia="Verdana" w:hAnsi="Verdana" w:cs="Verdana"/>
        </w:rPr>
        <w:t>вредности.</w:t>
      </w:r>
    </w:p>
    <w:p w:rsidR="003C6801" w:rsidRDefault="001B30B2">
      <w:pPr>
        <w:spacing w:line="210" w:lineRule="atLeast"/>
        <w:jc w:val="center"/>
      </w:pPr>
      <w:r>
        <w:rPr>
          <w:rFonts w:ascii="Verdana" w:eastAsia="Verdana" w:hAnsi="Verdana" w:cs="Verdana"/>
          <w:b/>
        </w:rPr>
        <w:t>Датум одобравања финансијских извештаја</w:t>
      </w:r>
    </w:p>
    <w:p w:rsidR="003C6801" w:rsidRDefault="001B30B2">
      <w:pPr>
        <w:spacing w:line="210" w:lineRule="atLeast"/>
        <w:jc w:val="center"/>
      </w:pPr>
      <w:r>
        <w:rPr>
          <w:rFonts w:ascii="Verdana" w:eastAsia="Verdana" w:hAnsi="Verdana" w:cs="Verdana"/>
        </w:rPr>
        <w:t>Члан 25.</w:t>
      </w:r>
    </w:p>
    <w:p w:rsidR="003C6801" w:rsidRDefault="001B30B2">
      <w:pPr>
        <w:spacing w:line="210" w:lineRule="atLeast"/>
      </w:pPr>
      <w:r>
        <w:rPr>
          <w:rFonts w:ascii="Verdana" w:eastAsia="Verdana" w:hAnsi="Verdana" w:cs="Verdana"/>
        </w:rPr>
        <w:t>Ентитет обелодањује датум када су финансијски извештаји одобрени за објављивање, као и лице/тело које је дало то одобрење.</w:t>
      </w:r>
    </w:p>
    <w:p w:rsidR="003C6801" w:rsidRDefault="001B30B2">
      <w:pPr>
        <w:spacing w:line="210" w:lineRule="atLeast"/>
      </w:pPr>
      <w:r>
        <w:rPr>
          <w:rFonts w:ascii="Verdana" w:eastAsia="Verdana" w:hAnsi="Verdana" w:cs="Verdana"/>
        </w:rPr>
        <w:t>Уколико неко тело има овлашћење да исправи финансијске извештаје након њи</w:t>
      </w:r>
      <w:r>
        <w:rPr>
          <w:rFonts w:ascii="Verdana" w:eastAsia="Verdana" w:hAnsi="Verdana" w:cs="Verdana"/>
        </w:rPr>
        <w:t>ховог објављивања, ентитет обелодањује ту чињеницу.</w:t>
      </w:r>
    </w:p>
    <w:p w:rsidR="003C6801" w:rsidRDefault="001B30B2">
      <w:pPr>
        <w:spacing w:line="210" w:lineRule="atLeast"/>
        <w:jc w:val="center"/>
      </w:pPr>
      <w:r>
        <w:rPr>
          <w:rFonts w:ascii="Verdana" w:eastAsia="Verdana" w:hAnsi="Verdana" w:cs="Verdana"/>
          <w:b/>
        </w:rPr>
        <w:t>Ограничења готовинских салда и приступа позајмицама</w:t>
      </w:r>
    </w:p>
    <w:p w:rsidR="003C6801" w:rsidRDefault="001B30B2">
      <w:pPr>
        <w:spacing w:line="210" w:lineRule="atLeast"/>
        <w:jc w:val="center"/>
      </w:pPr>
      <w:r>
        <w:rPr>
          <w:rFonts w:ascii="Verdana" w:eastAsia="Verdana" w:hAnsi="Verdana" w:cs="Verdana"/>
        </w:rPr>
        <w:t>Члан 26.</w:t>
      </w:r>
    </w:p>
    <w:p w:rsidR="003C6801" w:rsidRDefault="001B30B2">
      <w:pPr>
        <w:spacing w:line="210" w:lineRule="atLeast"/>
      </w:pPr>
      <w:r>
        <w:rPr>
          <w:rFonts w:ascii="Verdana" w:eastAsia="Verdana" w:hAnsi="Verdana" w:cs="Verdana"/>
        </w:rPr>
        <w:t>Ентитет обелодањује у напоменама уз финансијске извештаје (са коментаром) природу и износ:</w:t>
      </w:r>
    </w:p>
    <w:p w:rsidR="003C6801" w:rsidRDefault="001B30B2">
      <w:pPr>
        <w:spacing w:line="210" w:lineRule="atLeast"/>
      </w:pPr>
      <w:r>
        <w:rPr>
          <w:rFonts w:ascii="Verdana" w:eastAsia="Verdana" w:hAnsi="Verdana" w:cs="Verdana"/>
        </w:rPr>
        <w:t>– већих готовинских салда која нису расположива енти</w:t>
      </w:r>
      <w:r>
        <w:rPr>
          <w:rFonts w:ascii="Verdana" w:eastAsia="Verdana" w:hAnsi="Verdana" w:cs="Verdana"/>
        </w:rPr>
        <w:t>тету,</w:t>
      </w:r>
    </w:p>
    <w:p w:rsidR="003C6801" w:rsidRDefault="001B30B2">
      <w:pPr>
        <w:spacing w:line="210" w:lineRule="atLeast"/>
      </w:pPr>
      <w:r>
        <w:rPr>
          <w:rFonts w:ascii="Verdana" w:eastAsia="Verdana" w:hAnsi="Verdana" w:cs="Verdana"/>
        </w:rPr>
        <w:t>– већих готовинских салда која подлежу екстерним ограничењима,</w:t>
      </w:r>
    </w:p>
    <w:p w:rsidR="003C6801" w:rsidRDefault="001B30B2">
      <w:pPr>
        <w:spacing w:line="210" w:lineRule="atLeast"/>
      </w:pPr>
      <w:r>
        <w:rPr>
          <w:rFonts w:ascii="Verdana" w:eastAsia="Verdana" w:hAnsi="Verdana" w:cs="Verdana"/>
        </w:rPr>
        <w:t xml:space="preserve">– неискоришћених позајмица, односно одобрених, а неповучених кредитних средстава које могу бити на располагању за будуће пословне активности и за подмиривање капиталних обавеза, наводећи </w:t>
      </w:r>
      <w:r>
        <w:rPr>
          <w:rFonts w:ascii="Verdana" w:eastAsia="Verdana" w:hAnsi="Verdana" w:cs="Verdana"/>
        </w:rPr>
        <w:t>ограничења везана за коришћење ових средстава.</w:t>
      </w:r>
    </w:p>
    <w:p w:rsidR="003C6801" w:rsidRDefault="001B30B2">
      <w:pPr>
        <w:spacing w:line="210" w:lineRule="atLeast"/>
        <w:jc w:val="center"/>
      </w:pPr>
      <w:r>
        <w:rPr>
          <w:rFonts w:ascii="Verdana" w:eastAsia="Verdana" w:hAnsi="Verdana" w:cs="Verdana"/>
          <w:b/>
        </w:rPr>
        <w:t>Усклађивање прихода и примања и расхода и издатака из Извештаја о извршењу буџета и прилива и одлива из Извештаја о новчаним токовима</w:t>
      </w:r>
    </w:p>
    <w:p w:rsidR="003C6801" w:rsidRDefault="001B30B2">
      <w:pPr>
        <w:spacing w:line="210" w:lineRule="atLeast"/>
        <w:jc w:val="center"/>
      </w:pPr>
      <w:r>
        <w:rPr>
          <w:rFonts w:ascii="Verdana" w:eastAsia="Verdana" w:hAnsi="Verdana" w:cs="Verdana"/>
        </w:rPr>
        <w:t>Члан 27.</w:t>
      </w:r>
    </w:p>
    <w:p w:rsidR="003C6801" w:rsidRDefault="001B30B2">
      <w:pPr>
        <w:spacing w:line="210" w:lineRule="atLeast"/>
      </w:pPr>
      <w:r>
        <w:rPr>
          <w:rFonts w:ascii="Verdana" w:eastAsia="Verdana" w:hAnsi="Verdana" w:cs="Verdana"/>
        </w:rPr>
        <w:t>Остварени приходи и примања и расходи и издаци исказани у Извештај</w:t>
      </w:r>
      <w:r>
        <w:rPr>
          <w:rFonts w:ascii="Verdana" w:eastAsia="Verdana" w:hAnsi="Verdana" w:cs="Verdana"/>
        </w:rPr>
        <w:t>у о извршењу буџета и приливи и одливи исказани у Извештају о новчаним токовима усклађују се уз идентификовање свих разлика у погледу времена, основе и ентитета.</w:t>
      </w:r>
    </w:p>
    <w:p w:rsidR="003C6801" w:rsidRDefault="001B30B2">
      <w:pPr>
        <w:spacing w:line="210" w:lineRule="atLeast"/>
      </w:pPr>
      <w:r>
        <w:rPr>
          <w:rFonts w:ascii="Verdana" w:eastAsia="Verdana" w:hAnsi="Verdana" w:cs="Verdana"/>
        </w:rPr>
        <w:t>Разлике између износа презентованих у Извештају о извршењу буџета и износа презентованих у Изв</w:t>
      </w:r>
      <w:r>
        <w:rPr>
          <w:rFonts w:ascii="Verdana" w:eastAsia="Verdana" w:hAnsi="Verdana" w:cs="Verdana"/>
        </w:rPr>
        <w:t>ештају о новчаним токовима класификују се као временске разлике, разлике које произлазе из различите рачуноводствене и буџетске основе, као и разлике у обухвату ентитета.</w:t>
      </w:r>
    </w:p>
    <w:p w:rsidR="003C6801" w:rsidRDefault="001B30B2">
      <w:pPr>
        <w:spacing w:line="210" w:lineRule="atLeast"/>
      </w:pPr>
      <w:r>
        <w:rPr>
          <w:rFonts w:ascii="Verdana" w:eastAsia="Verdana" w:hAnsi="Verdana" w:cs="Verdana"/>
        </w:rPr>
        <w:t>Разлике које произлазе из различите рачуноводствене и буџетске основе односе се на ра</w:t>
      </w:r>
      <w:r>
        <w:rPr>
          <w:rFonts w:ascii="Verdana" w:eastAsia="Verdana" w:hAnsi="Verdana" w:cs="Verdana"/>
        </w:rPr>
        <w:t>злике између прихода и примања и расхода и издатака у Извештају о извршењу буџета и прилива и одлива у Извештају о новчаним токовима.</w:t>
      </w:r>
    </w:p>
    <w:p w:rsidR="003C6801" w:rsidRDefault="001B30B2">
      <w:pPr>
        <w:spacing w:line="210" w:lineRule="atLeast"/>
      </w:pPr>
      <w:r>
        <w:rPr>
          <w:rFonts w:ascii="Verdana" w:eastAsia="Verdana" w:hAnsi="Verdana" w:cs="Verdana"/>
        </w:rPr>
        <w:t>Временске разлике последица су разлике у периоду за који се саставља Извештај о извршењу буџета и Извештај о новчаним токо</w:t>
      </w:r>
      <w:r>
        <w:rPr>
          <w:rFonts w:ascii="Verdana" w:eastAsia="Verdana" w:hAnsi="Verdana" w:cs="Verdana"/>
        </w:rPr>
        <w:t>вима.</w:t>
      </w:r>
    </w:p>
    <w:p w:rsidR="003C6801" w:rsidRDefault="001B30B2">
      <w:pPr>
        <w:spacing w:line="210" w:lineRule="atLeast"/>
      </w:pPr>
      <w:r>
        <w:rPr>
          <w:rFonts w:ascii="Verdana" w:eastAsia="Verdana" w:hAnsi="Verdana" w:cs="Verdana"/>
        </w:rPr>
        <w:lastRenderedPageBreak/>
        <w:t>Разлике у обухвату јављају се када се разликују ентитети у Извештају о извршењу буџета у односу на ентитете у Извештају о новчаним токовима.</w:t>
      </w:r>
    </w:p>
    <w:p w:rsidR="003C6801" w:rsidRDefault="001B30B2">
      <w:pPr>
        <w:spacing w:line="210" w:lineRule="atLeast"/>
      </w:pPr>
      <w:r>
        <w:rPr>
          <w:rFonts w:ascii="Verdana" w:eastAsia="Verdana" w:hAnsi="Verdana" w:cs="Verdana"/>
        </w:rPr>
        <w:t>Усклађивање се обелодањује у напоменама и може се презентовати у облику следеће табеле са додатним објашњењим</w:t>
      </w:r>
      <w:r>
        <w:rPr>
          <w:rFonts w:ascii="Verdana" w:eastAsia="Verdana" w:hAnsi="Verdana" w:cs="Verdana"/>
        </w:rPr>
        <w:t>а:</w:t>
      </w:r>
    </w:p>
    <w:p w:rsidR="003C6801" w:rsidRDefault="001B30B2">
      <w:pPr>
        <w:spacing w:line="210" w:lineRule="atLeast"/>
      </w:pPr>
      <w:r>
        <w:rPr>
          <w:rFonts w:ascii="Verdana" w:eastAsia="Verdana" w:hAnsi="Verdana" w:cs="Verdana"/>
        </w:rPr>
        <w:t>у хиљадама динара</w:t>
      </w:r>
    </w:p>
    <w:tbl>
      <w:tblPr>
        <w:tblW w:w="4950" w:type="pct"/>
        <w:tblInd w:w="10" w:type="dxa"/>
        <w:tblCellMar>
          <w:left w:w="10" w:type="dxa"/>
          <w:right w:w="10" w:type="dxa"/>
        </w:tblCellMar>
        <w:tblLook w:val="0000" w:firstRow="0" w:lastRow="0" w:firstColumn="0" w:lastColumn="0" w:noHBand="0" w:noVBand="0"/>
      </w:tblPr>
      <w:tblGrid>
        <w:gridCol w:w="501"/>
        <w:gridCol w:w="3345"/>
        <w:gridCol w:w="2691"/>
        <w:gridCol w:w="2419"/>
      </w:tblGrid>
      <w:tr w:rsidR="003C680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C6801" w:rsidRDefault="001B30B2">
            <w:pPr>
              <w:spacing w:line="210" w:lineRule="atLeast"/>
            </w:pPr>
            <w:r>
              <w:rPr>
                <w:rFonts w:ascii="Verdana" w:eastAsia="Verdana" w:hAnsi="Verdana" w:cs="Verdana"/>
              </w:rPr>
              <w:t>Ред.</w:t>
            </w:r>
          </w:p>
          <w:p w:rsidR="003C6801" w:rsidRDefault="001B30B2">
            <w:pPr>
              <w:spacing w:line="210" w:lineRule="atLeast"/>
            </w:pPr>
            <w:r>
              <w:rPr>
                <w:rFonts w:ascii="Verdana" w:eastAsia="Verdana" w:hAnsi="Verdana" w:cs="Verdana"/>
              </w:rPr>
              <w:t>бр.</w:t>
            </w:r>
          </w:p>
        </w:tc>
        <w:tc>
          <w:tcPr>
            <w:tcW w:w="0" w:type="auto"/>
            <w:tcBorders>
              <w:top w:val="single" w:sz="1" w:space="0" w:color="000000"/>
              <w:left w:val="single" w:sz="1" w:space="0" w:color="000000"/>
              <w:bottom w:val="single" w:sz="1" w:space="0" w:color="000000"/>
              <w:right w:val="single" w:sz="1" w:space="0" w:color="000000"/>
            </w:tcBorders>
          </w:tcPr>
          <w:p w:rsidR="003C6801" w:rsidRDefault="001B30B2">
            <w:pPr>
              <w:spacing w:line="210" w:lineRule="atLeast"/>
            </w:pPr>
            <w:r>
              <w:rPr>
                <w:rFonts w:ascii="Verdana" w:eastAsia="Verdana" w:hAnsi="Verdana" w:cs="Verdana"/>
              </w:rPr>
              <w:t>Опис</w:t>
            </w:r>
          </w:p>
        </w:tc>
        <w:tc>
          <w:tcPr>
            <w:tcW w:w="0" w:type="auto"/>
            <w:tcBorders>
              <w:top w:val="single" w:sz="1" w:space="0" w:color="000000"/>
              <w:left w:val="single" w:sz="1" w:space="0" w:color="000000"/>
              <w:bottom w:val="single" w:sz="1" w:space="0" w:color="000000"/>
              <w:right w:val="single" w:sz="1" w:space="0" w:color="000000"/>
            </w:tcBorders>
          </w:tcPr>
          <w:p w:rsidR="003C6801" w:rsidRDefault="001B30B2">
            <w:pPr>
              <w:spacing w:line="210" w:lineRule="atLeast"/>
            </w:pPr>
            <w:r>
              <w:rPr>
                <w:rFonts w:ascii="Verdana" w:eastAsia="Verdana" w:hAnsi="Verdana" w:cs="Verdana"/>
              </w:rPr>
              <w:t>Укупни приходи и примања /приливи</w:t>
            </w:r>
          </w:p>
        </w:tc>
        <w:tc>
          <w:tcPr>
            <w:tcW w:w="0" w:type="auto"/>
            <w:tcBorders>
              <w:top w:val="single" w:sz="1" w:space="0" w:color="000000"/>
              <w:left w:val="single" w:sz="1" w:space="0" w:color="000000"/>
              <w:bottom w:val="single" w:sz="1" w:space="0" w:color="000000"/>
              <w:right w:val="single" w:sz="1" w:space="0" w:color="000000"/>
            </w:tcBorders>
          </w:tcPr>
          <w:p w:rsidR="003C6801" w:rsidRDefault="001B30B2">
            <w:pPr>
              <w:spacing w:line="210" w:lineRule="atLeast"/>
            </w:pPr>
            <w:r>
              <w:rPr>
                <w:rFonts w:ascii="Verdana" w:eastAsia="Verdana" w:hAnsi="Verdana" w:cs="Verdana"/>
              </w:rPr>
              <w:t>Укупни расходи и издаци /одливи</w:t>
            </w:r>
          </w:p>
        </w:tc>
      </w:tr>
      <w:tr w:rsidR="003C680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C6801" w:rsidRDefault="001B30B2">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3C6801" w:rsidRDefault="001B30B2">
            <w:pPr>
              <w:spacing w:line="210" w:lineRule="atLeast"/>
            </w:pPr>
            <w:r>
              <w:rPr>
                <w:rFonts w:ascii="Verdana" w:eastAsia="Verdana" w:hAnsi="Verdana" w:cs="Verdana"/>
              </w:rPr>
              <w:t>Извештај о извршењу буџета</w:t>
            </w:r>
          </w:p>
        </w:tc>
        <w:tc>
          <w:tcPr>
            <w:tcW w:w="0" w:type="auto"/>
            <w:tcBorders>
              <w:top w:val="single" w:sz="1" w:space="0" w:color="000000"/>
              <w:left w:val="single" w:sz="1" w:space="0" w:color="000000"/>
              <w:bottom w:val="single" w:sz="1" w:space="0" w:color="000000"/>
              <w:right w:val="single" w:sz="1" w:space="0" w:color="000000"/>
            </w:tcBorders>
          </w:tcPr>
          <w:p w:rsidR="003C6801" w:rsidRDefault="003C6801"/>
        </w:tc>
        <w:tc>
          <w:tcPr>
            <w:tcW w:w="0" w:type="auto"/>
            <w:tcBorders>
              <w:top w:val="single" w:sz="1" w:space="0" w:color="000000"/>
              <w:left w:val="single" w:sz="1" w:space="0" w:color="000000"/>
              <w:bottom w:val="single" w:sz="1" w:space="0" w:color="000000"/>
              <w:right w:val="single" w:sz="1" w:space="0" w:color="000000"/>
            </w:tcBorders>
          </w:tcPr>
          <w:p w:rsidR="003C6801" w:rsidRDefault="003C6801"/>
        </w:tc>
      </w:tr>
      <w:tr w:rsidR="003C680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C6801" w:rsidRDefault="001B30B2">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3C6801" w:rsidRDefault="001B30B2">
            <w:pPr>
              <w:spacing w:line="210" w:lineRule="atLeast"/>
            </w:pPr>
            <w:r>
              <w:rPr>
                <w:rFonts w:ascii="Verdana" w:eastAsia="Verdana" w:hAnsi="Verdana" w:cs="Verdana"/>
              </w:rPr>
              <w:t>Разлике у основама извештавања</w:t>
            </w:r>
          </w:p>
        </w:tc>
        <w:tc>
          <w:tcPr>
            <w:tcW w:w="0" w:type="auto"/>
            <w:tcBorders>
              <w:top w:val="single" w:sz="1" w:space="0" w:color="000000"/>
              <w:left w:val="single" w:sz="1" w:space="0" w:color="000000"/>
              <w:bottom w:val="single" w:sz="1" w:space="0" w:color="000000"/>
              <w:right w:val="single" w:sz="1" w:space="0" w:color="000000"/>
            </w:tcBorders>
          </w:tcPr>
          <w:p w:rsidR="003C6801" w:rsidRDefault="003C6801"/>
        </w:tc>
        <w:tc>
          <w:tcPr>
            <w:tcW w:w="0" w:type="auto"/>
            <w:tcBorders>
              <w:top w:val="single" w:sz="1" w:space="0" w:color="000000"/>
              <w:left w:val="single" w:sz="1" w:space="0" w:color="000000"/>
              <w:bottom w:val="single" w:sz="1" w:space="0" w:color="000000"/>
              <w:right w:val="single" w:sz="1" w:space="0" w:color="000000"/>
            </w:tcBorders>
          </w:tcPr>
          <w:p w:rsidR="003C6801" w:rsidRDefault="003C6801"/>
        </w:tc>
      </w:tr>
      <w:tr w:rsidR="003C680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C6801" w:rsidRDefault="001B30B2">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3C6801" w:rsidRDefault="001B30B2">
            <w:pPr>
              <w:spacing w:line="210" w:lineRule="atLeast"/>
            </w:pPr>
            <w:r>
              <w:rPr>
                <w:rFonts w:ascii="Verdana" w:eastAsia="Verdana" w:hAnsi="Verdana" w:cs="Verdana"/>
              </w:rPr>
              <w:t>Разлике у периоду извештавања</w:t>
            </w:r>
          </w:p>
        </w:tc>
        <w:tc>
          <w:tcPr>
            <w:tcW w:w="0" w:type="auto"/>
            <w:tcBorders>
              <w:top w:val="single" w:sz="1" w:space="0" w:color="000000"/>
              <w:left w:val="single" w:sz="1" w:space="0" w:color="000000"/>
              <w:bottom w:val="single" w:sz="1" w:space="0" w:color="000000"/>
              <w:right w:val="single" w:sz="1" w:space="0" w:color="000000"/>
            </w:tcBorders>
          </w:tcPr>
          <w:p w:rsidR="003C6801" w:rsidRDefault="003C6801"/>
        </w:tc>
        <w:tc>
          <w:tcPr>
            <w:tcW w:w="0" w:type="auto"/>
            <w:tcBorders>
              <w:top w:val="single" w:sz="1" w:space="0" w:color="000000"/>
              <w:left w:val="single" w:sz="1" w:space="0" w:color="000000"/>
              <w:bottom w:val="single" w:sz="1" w:space="0" w:color="000000"/>
              <w:right w:val="single" w:sz="1" w:space="0" w:color="000000"/>
            </w:tcBorders>
          </w:tcPr>
          <w:p w:rsidR="003C6801" w:rsidRDefault="003C6801"/>
        </w:tc>
      </w:tr>
      <w:tr w:rsidR="003C680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C6801" w:rsidRDefault="001B30B2">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3C6801" w:rsidRDefault="001B30B2">
            <w:pPr>
              <w:spacing w:line="210" w:lineRule="atLeast"/>
            </w:pPr>
            <w:r>
              <w:rPr>
                <w:rFonts w:ascii="Verdana" w:eastAsia="Verdana" w:hAnsi="Verdana" w:cs="Verdana"/>
              </w:rPr>
              <w:t>Разлике у обухватању извештајних ентитета</w:t>
            </w:r>
          </w:p>
        </w:tc>
        <w:tc>
          <w:tcPr>
            <w:tcW w:w="0" w:type="auto"/>
            <w:tcBorders>
              <w:top w:val="single" w:sz="1" w:space="0" w:color="000000"/>
              <w:left w:val="single" w:sz="1" w:space="0" w:color="000000"/>
              <w:bottom w:val="single" w:sz="1" w:space="0" w:color="000000"/>
              <w:right w:val="single" w:sz="1" w:space="0" w:color="000000"/>
            </w:tcBorders>
          </w:tcPr>
          <w:p w:rsidR="003C6801" w:rsidRDefault="003C6801"/>
        </w:tc>
        <w:tc>
          <w:tcPr>
            <w:tcW w:w="0" w:type="auto"/>
            <w:tcBorders>
              <w:top w:val="single" w:sz="1" w:space="0" w:color="000000"/>
              <w:left w:val="single" w:sz="1" w:space="0" w:color="000000"/>
              <w:bottom w:val="single" w:sz="1" w:space="0" w:color="000000"/>
              <w:right w:val="single" w:sz="1" w:space="0" w:color="000000"/>
            </w:tcBorders>
          </w:tcPr>
          <w:p w:rsidR="003C6801" w:rsidRDefault="003C6801"/>
        </w:tc>
      </w:tr>
      <w:tr w:rsidR="003C680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C6801" w:rsidRDefault="001B30B2">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3C6801" w:rsidRDefault="001B30B2">
            <w:pPr>
              <w:spacing w:line="210" w:lineRule="atLeast"/>
            </w:pPr>
            <w:r>
              <w:rPr>
                <w:rFonts w:ascii="Verdana" w:eastAsia="Verdana" w:hAnsi="Verdana" w:cs="Verdana"/>
              </w:rPr>
              <w:t>Извештај о новчаним токовима</w:t>
            </w:r>
          </w:p>
        </w:tc>
        <w:tc>
          <w:tcPr>
            <w:tcW w:w="0" w:type="auto"/>
            <w:tcBorders>
              <w:top w:val="single" w:sz="1" w:space="0" w:color="000000"/>
              <w:left w:val="single" w:sz="1" w:space="0" w:color="000000"/>
              <w:bottom w:val="single" w:sz="1" w:space="0" w:color="000000"/>
              <w:right w:val="single" w:sz="1" w:space="0" w:color="000000"/>
            </w:tcBorders>
          </w:tcPr>
          <w:p w:rsidR="003C6801" w:rsidRDefault="003C6801"/>
        </w:tc>
        <w:tc>
          <w:tcPr>
            <w:tcW w:w="0" w:type="auto"/>
            <w:tcBorders>
              <w:top w:val="single" w:sz="1" w:space="0" w:color="000000"/>
              <w:left w:val="single" w:sz="1" w:space="0" w:color="000000"/>
              <w:bottom w:val="single" w:sz="1" w:space="0" w:color="000000"/>
              <w:right w:val="single" w:sz="1" w:space="0" w:color="000000"/>
            </w:tcBorders>
          </w:tcPr>
          <w:p w:rsidR="003C6801" w:rsidRDefault="003C6801"/>
        </w:tc>
      </w:tr>
    </w:tbl>
    <w:p w:rsidR="003C6801" w:rsidRDefault="001B30B2">
      <w:pPr>
        <w:spacing w:line="210" w:lineRule="atLeast"/>
      </w:pPr>
      <w:r>
        <w:rPr>
          <w:rFonts w:ascii="Verdana" w:eastAsia="Verdana" w:hAnsi="Verdana" w:cs="Verdana"/>
        </w:rPr>
        <w:t>У наведеној табели под редним бројем 1. уносе се подаци из Извештаја о извршењу буџета – Образац ИБ, Ознака ОП 5171, односно Ознака ОП 5435.</w:t>
      </w:r>
    </w:p>
    <w:p w:rsidR="003C6801" w:rsidRDefault="001B30B2">
      <w:pPr>
        <w:spacing w:line="210" w:lineRule="atLeast"/>
      </w:pPr>
      <w:r>
        <w:rPr>
          <w:rFonts w:ascii="Verdana" w:eastAsia="Verdana" w:hAnsi="Verdana" w:cs="Verdana"/>
        </w:rPr>
        <w:t xml:space="preserve">Под редним бројем 5. уносе се подаци из Извештаја о новчаним токовима – Образац </w:t>
      </w:r>
      <w:r>
        <w:rPr>
          <w:rFonts w:ascii="Verdana" w:eastAsia="Verdana" w:hAnsi="Verdana" w:cs="Verdana"/>
        </w:rPr>
        <w:t>НТ, Ознака ОП 4132, односно Ознака ОП 4133.</w:t>
      </w:r>
    </w:p>
    <w:p w:rsidR="003C6801" w:rsidRDefault="001B30B2">
      <w:pPr>
        <w:spacing w:line="210" w:lineRule="atLeast"/>
      </w:pPr>
      <w:r>
        <w:rPr>
          <w:rFonts w:ascii="Verdana" w:eastAsia="Verdana" w:hAnsi="Verdana" w:cs="Verdana"/>
        </w:rPr>
        <w:t>Под редним бр. 2, 3. и 4. уносе се разлике између Извештаја о извршењу буџета и Извештаја о новчаним токовима које проистичу из различите рачуноводствене и буџетске основе, различитог периода извештавања и различ</w:t>
      </w:r>
      <w:r>
        <w:rPr>
          <w:rFonts w:ascii="Verdana" w:eastAsia="Verdana" w:hAnsi="Verdana" w:cs="Verdana"/>
        </w:rPr>
        <w:t>итог обухвата извештајних ентитета.</w:t>
      </w:r>
    </w:p>
    <w:p w:rsidR="003C6801" w:rsidRDefault="001B30B2">
      <w:pPr>
        <w:spacing w:line="210" w:lineRule="atLeast"/>
        <w:jc w:val="center"/>
      </w:pPr>
      <w:r>
        <w:rPr>
          <w:rFonts w:ascii="Verdana" w:eastAsia="Verdana" w:hAnsi="Verdana" w:cs="Verdana"/>
          <w:b/>
        </w:rPr>
        <w:t>Обелодањивање имовине, обавеза и капитала</w:t>
      </w:r>
    </w:p>
    <w:p w:rsidR="003C6801" w:rsidRDefault="001B30B2">
      <w:pPr>
        <w:spacing w:line="210" w:lineRule="atLeast"/>
        <w:jc w:val="center"/>
      </w:pPr>
      <w:r>
        <w:rPr>
          <w:rFonts w:ascii="Verdana" w:eastAsia="Verdana" w:hAnsi="Verdana" w:cs="Verdana"/>
        </w:rPr>
        <w:t>Члан 28.</w:t>
      </w:r>
    </w:p>
    <w:p w:rsidR="003C6801" w:rsidRDefault="001B30B2">
      <w:pPr>
        <w:spacing w:line="210" w:lineRule="atLeast"/>
      </w:pPr>
      <w:r>
        <w:rPr>
          <w:rFonts w:ascii="Verdana" w:eastAsia="Verdana" w:hAnsi="Verdana" w:cs="Verdana"/>
        </w:rPr>
        <w:t>Ентитет обелодањује информације о имовини, обавезама и капиталу.</w:t>
      </w:r>
    </w:p>
    <w:p w:rsidR="003C6801" w:rsidRDefault="001B30B2">
      <w:pPr>
        <w:spacing w:line="210" w:lineRule="atLeast"/>
        <w:jc w:val="center"/>
      </w:pPr>
      <w:r>
        <w:rPr>
          <w:rFonts w:ascii="Verdana" w:eastAsia="Verdana" w:hAnsi="Verdana" w:cs="Verdana"/>
        </w:rPr>
        <w:t>Члан 29.</w:t>
      </w:r>
    </w:p>
    <w:p w:rsidR="003C6801" w:rsidRDefault="001B30B2">
      <w:pPr>
        <w:spacing w:line="210" w:lineRule="atLeast"/>
      </w:pPr>
      <w:r>
        <w:rPr>
          <w:rFonts w:ascii="Verdana" w:eastAsia="Verdana" w:hAnsi="Verdana" w:cs="Verdana"/>
        </w:rPr>
        <w:t>Ентитети су у обавези да у року од шест месеци од дана ступања на снагу овог правилника ускладе своја интерна акта са овим правилником.</w:t>
      </w:r>
    </w:p>
    <w:p w:rsidR="003C6801" w:rsidRDefault="001B30B2">
      <w:pPr>
        <w:spacing w:line="210" w:lineRule="atLeast"/>
        <w:jc w:val="center"/>
      </w:pPr>
      <w:r>
        <w:rPr>
          <w:rFonts w:ascii="Verdana" w:eastAsia="Verdana" w:hAnsi="Verdana" w:cs="Verdana"/>
        </w:rPr>
        <w:t>IV. ЗАВРШНA ОДРЕДБA</w:t>
      </w:r>
    </w:p>
    <w:p w:rsidR="003C6801" w:rsidRDefault="001B30B2">
      <w:pPr>
        <w:spacing w:line="210" w:lineRule="atLeast"/>
        <w:jc w:val="center"/>
      </w:pPr>
      <w:r>
        <w:rPr>
          <w:rFonts w:ascii="Verdana" w:eastAsia="Verdana" w:hAnsi="Verdana" w:cs="Verdana"/>
        </w:rPr>
        <w:t>Члан 30.</w:t>
      </w:r>
    </w:p>
    <w:p w:rsidR="003C6801" w:rsidRDefault="001B30B2">
      <w:pPr>
        <w:spacing w:line="210" w:lineRule="atLeast"/>
      </w:pPr>
      <w:r>
        <w:rPr>
          <w:rFonts w:ascii="Verdana" w:eastAsia="Verdana" w:hAnsi="Verdana" w:cs="Verdana"/>
        </w:rPr>
        <w:t>Овај правилник ступа на снагу осмог дана од дана објављивања у „Службеном гласнику Републик</w:t>
      </w:r>
      <w:r>
        <w:rPr>
          <w:rFonts w:ascii="Verdana" w:eastAsia="Verdana" w:hAnsi="Verdana" w:cs="Verdana"/>
        </w:rPr>
        <w:t>е Србије”, а примењује се од састављања годишњих финансијских извештаја за 2025. годину.</w:t>
      </w:r>
    </w:p>
    <w:p w:rsidR="003C6801" w:rsidRDefault="001B30B2">
      <w:pPr>
        <w:spacing w:line="210" w:lineRule="atLeast"/>
        <w:jc w:val="right"/>
      </w:pPr>
      <w:r>
        <w:rPr>
          <w:rFonts w:ascii="Verdana" w:eastAsia="Verdana" w:hAnsi="Verdana" w:cs="Verdana"/>
        </w:rPr>
        <w:t>Број 003282745 2025 10523 007 000 012 001</w:t>
      </w:r>
    </w:p>
    <w:p w:rsidR="003C6801" w:rsidRDefault="001B30B2">
      <w:pPr>
        <w:spacing w:line="210" w:lineRule="atLeast"/>
        <w:jc w:val="right"/>
      </w:pPr>
      <w:r>
        <w:rPr>
          <w:rFonts w:ascii="Verdana" w:eastAsia="Verdana" w:hAnsi="Verdana" w:cs="Verdana"/>
        </w:rPr>
        <w:t>У Београду, 1. септембра 2025. године</w:t>
      </w:r>
    </w:p>
    <w:p w:rsidR="003C6801" w:rsidRDefault="001B30B2">
      <w:pPr>
        <w:spacing w:line="210" w:lineRule="atLeast"/>
        <w:jc w:val="right"/>
      </w:pPr>
      <w:r>
        <w:rPr>
          <w:rFonts w:ascii="Verdana" w:eastAsia="Verdana" w:hAnsi="Verdana" w:cs="Verdana"/>
        </w:rPr>
        <w:lastRenderedPageBreak/>
        <w:t>Министар,</w:t>
      </w:r>
    </w:p>
    <w:p w:rsidR="003C6801" w:rsidRDefault="001B30B2">
      <w:pPr>
        <w:spacing w:line="210" w:lineRule="atLeast"/>
        <w:jc w:val="right"/>
      </w:pPr>
      <w:r>
        <w:rPr>
          <w:rFonts w:ascii="Verdana" w:eastAsia="Verdana" w:hAnsi="Verdana" w:cs="Verdana"/>
          <w:b/>
        </w:rPr>
        <w:t>Синиша Мали,</w:t>
      </w:r>
      <w:r>
        <w:rPr>
          <w:rFonts w:ascii="Verdana" w:eastAsia="Verdana" w:hAnsi="Verdana" w:cs="Verdana"/>
        </w:rPr>
        <w:t xml:space="preserve"> с.р.</w:t>
      </w:r>
    </w:p>
    <w:sectPr w:rsidR="003C6801">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01"/>
    <w:rsid w:val="001B30B2"/>
    <w:rsid w:val="003C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08878-E16B-49C3-9B2C-CD705B2F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4441</Words>
  <Characters>25316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2025-09-15T08:40:00Z</dcterms:created>
  <dcterms:modified xsi:type="dcterms:W3CDTF">2025-09-15T08:40:00Z</dcterms:modified>
</cp:coreProperties>
</file>