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958" w:rsidRDefault="00E641CD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срећу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18/20)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723958" w:rsidRDefault="00E641CD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723958" w:rsidRDefault="00E641CD">
      <w:pPr>
        <w:spacing w:after="225"/>
        <w:jc w:val="center"/>
      </w:pPr>
      <w:r>
        <w:rPr>
          <w:b/>
          <w:color w:val="000000"/>
        </w:rPr>
        <w:t>УРЕДБУ</w:t>
      </w:r>
    </w:p>
    <w:p w:rsidR="00723958" w:rsidRDefault="00E641CD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условима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ангажовања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оператера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приређивање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класичних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игара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срећу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агената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продају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срећака</w:t>
      </w:r>
      <w:proofErr w:type="spellEnd"/>
    </w:p>
    <w:p w:rsidR="00723958" w:rsidRDefault="00E641CD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149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11.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2020.</w:t>
      </w:r>
    </w:p>
    <w:p w:rsidR="00723958" w:rsidRDefault="00E641C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723958" w:rsidRDefault="00E641CD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приређивање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срећу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оператер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агената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срећака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агент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сагласно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иг</w:t>
      </w:r>
      <w:r>
        <w:rPr>
          <w:color w:val="000000"/>
        </w:rPr>
        <w:t>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срећу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18/20 – 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).</w:t>
      </w:r>
    </w:p>
    <w:p w:rsidR="00723958" w:rsidRDefault="00E641C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723958" w:rsidRDefault="00E641CD">
      <w:pPr>
        <w:spacing w:after="150"/>
      </w:pPr>
      <w:proofErr w:type="spellStart"/>
      <w:r>
        <w:rPr>
          <w:color w:val="000000"/>
        </w:rPr>
        <w:t>Оператер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јесте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лутријом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ДЛС) </w:t>
      </w:r>
      <w:proofErr w:type="spellStart"/>
      <w:r>
        <w:rPr>
          <w:color w:val="000000"/>
        </w:rPr>
        <w:t>закључило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ангажовању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ДЛС </w:t>
      </w:r>
      <w:proofErr w:type="spellStart"/>
      <w:r>
        <w:rPr>
          <w:color w:val="000000"/>
        </w:rPr>
        <w:t>приређује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срећу</w:t>
      </w:r>
      <w:proofErr w:type="spellEnd"/>
      <w:r>
        <w:rPr>
          <w:color w:val="000000"/>
        </w:rPr>
        <w:t>.</w:t>
      </w:r>
    </w:p>
    <w:p w:rsidR="00723958" w:rsidRDefault="00E641CD">
      <w:pPr>
        <w:spacing w:after="150"/>
      </w:pPr>
      <w:proofErr w:type="spellStart"/>
      <w:r>
        <w:rPr>
          <w:color w:val="000000"/>
        </w:rPr>
        <w:t>Агент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јесте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предузетник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ДЛС </w:t>
      </w:r>
      <w:proofErr w:type="spellStart"/>
      <w:r>
        <w:rPr>
          <w:color w:val="000000"/>
        </w:rPr>
        <w:t>закључило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ангажовању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</w:t>
      </w:r>
      <w:r>
        <w:rPr>
          <w:color w:val="000000"/>
        </w:rPr>
        <w:t>рећака</w:t>
      </w:r>
      <w:proofErr w:type="spellEnd"/>
      <w:r>
        <w:rPr>
          <w:color w:val="000000"/>
        </w:rPr>
        <w:t>.</w:t>
      </w:r>
    </w:p>
    <w:p w:rsidR="00723958" w:rsidRDefault="00E641C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723958" w:rsidRDefault="00E641CD">
      <w:pPr>
        <w:spacing w:after="150"/>
      </w:pPr>
      <w:proofErr w:type="spellStart"/>
      <w:r>
        <w:rPr>
          <w:color w:val="000000"/>
        </w:rPr>
        <w:t>Оператери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агенти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уговором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ангажовању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оператера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агената</w:t>
      </w:r>
      <w:proofErr w:type="spellEnd"/>
      <w:r>
        <w:rPr>
          <w:color w:val="000000"/>
        </w:rPr>
        <w:t>.</w:t>
      </w:r>
    </w:p>
    <w:p w:rsidR="00723958" w:rsidRDefault="00E641C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723958" w:rsidRDefault="00E641CD">
      <w:pPr>
        <w:spacing w:after="150"/>
      </w:pPr>
      <w:proofErr w:type="spellStart"/>
      <w:r>
        <w:rPr>
          <w:color w:val="000000"/>
        </w:rPr>
        <w:t>Оператери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>.</w:t>
      </w:r>
    </w:p>
    <w:p w:rsidR="00723958" w:rsidRDefault="00E641C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723958" w:rsidRDefault="00E641CD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>:</w:t>
      </w:r>
    </w:p>
    <w:p w:rsidR="00723958" w:rsidRDefault="00E641CD">
      <w:pPr>
        <w:spacing w:after="150"/>
      </w:pPr>
      <w:r>
        <w:rPr>
          <w:color w:val="000000"/>
        </w:rPr>
        <w:t>1</w:t>
      </w:r>
      <w:r>
        <w:rPr>
          <w:color w:val="000000"/>
        </w:rPr>
        <w:t xml:space="preserve">)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ангажовању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оператера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5.000.000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динарској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>: НБС);</w:t>
      </w:r>
    </w:p>
    <w:p w:rsidR="00723958" w:rsidRDefault="00E641C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о </w:t>
      </w:r>
      <w:proofErr w:type="spellStart"/>
      <w:r>
        <w:rPr>
          <w:color w:val="000000"/>
        </w:rPr>
        <w:t>ангажовању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дозволи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укњижбу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заложног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корист</w:t>
      </w:r>
      <w:proofErr w:type="spellEnd"/>
      <w:r>
        <w:rPr>
          <w:color w:val="000000"/>
        </w:rPr>
        <w:t xml:space="preserve"> ДЛС,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корист</w:t>
      </w:r>
      <w:proofErr w:type="spellEnd"/>
      <w:r>
        <w:rPr>
          <w:color w:val="000000"/>
        </w:rPr>
        <w:t xml:space="preserve"> ДЛС у </w:t>
      </w:r>
      <w:proofErr w:type="spellStart"/>
      <w:r>
        <w:rPr>
          <w:color w:val="000000"/>
        </w:rPr>
        <w:t>висини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мањој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3.000.000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динарској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курсу</w:t>
      </w:r>
      <w:proofErr w:type="spellEnd"/>
      <w:r>
        <w:rPr>
          <w:color w:val="000000"/>
        </w:rPr>
        <w:t xml:space="preserve"> НБС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ангажо</w:t>
      </w:r>
      <w:r>
        <w:rPr>
          <w:color w:val="000000"/>
        </w:rPr>
        <w:t>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оператера</w:t>
      </w:r>
      <w:proofErr w:type="spellEnd"/>
      <w:r>
        <w:rPr>
          <w:color w:val="000000"/>
        </w:rPr>
        <w:t>;</w:t>
      </w:r>
    </w:p>
    <w:p w:rsidR="00723958" w:rsidRDefault="00E641C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карактеристике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одреди</w:t>
      </w:r>
      <w:proofErr w:type="spellEnd"/>
      <w:r>
        <w:rPr>
          <w:color w:val="000000"/>
        </w:rPr>
        <w:t xml:space="preserve"> ДЛС;</w:t>
      </w:r>
    </w:p>
    <w:p w:rsidR="00723958" w:rsidRDefault="00E641CD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поседује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продајно-уплатну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ДЛС;</w:t>
      </w:r>
    </w:p>
    <w:p w:rsidR="00723958" w:rsidRDefault="00E641CD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располаже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постави</w:t>
      </w:r>
      <w:proofErr w:type="spellEnd"/>
      <w:r>
        <w:rPr>
          <w:color w:val="000000"/>
        </w:rPr>
        <w:t xml:space="preserve"> ДЛС.</w:t>
      </w:r>
    </w:p>
    <w:p w:rsidR="00723958" w:rsidRDefault="00E641CD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избор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набавкама</w:t>
      </w:r>
      <w:proofErr w:type="spellEnd"/>
      <w:r>
        <w:rPr>
          <w:color w:val="000000"/>
        </w:rPr>
        <w:t>.</w:t>
      </w:r>
    </w:p>
    <w:p w:rsidR="00723958" w:rsidRDefault="00E641C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723958" w:rsidRDefault="00E641CD">
      <w:pPr>
        <w:spacing w:after="150"/>
      </w:pP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томбола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којa</w:t>
      </w:r>
      <w:proofErr w:type="spellEnd"/>
      <w:r>
        <w:rPr>
          <w:color w:val="000000"/>
        </w:rPr>
        <w:t>:</w:t>
      </w:r>
    </w:p>
    <w:p w:rsidR="00723958" w:rsidRDefault="00E641C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просторијама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организовати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томбола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>;</w:t>
      </w:r>
    </w:p>
    <w:p w:rsidR="00723958" w:rsidRDefault="00E641C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предају</w:t>
      </w:r>
      <w:proofErr w:type="spellEnd"/>
      <w:r>
        <w:rPr>
          <w:color w:val="000000"/>
        </w:rPr>
        <w:t xml:space="preserve"> ДЛС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инструменте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висини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минимално</w:t>
      </w:r>
      <w:proofErr w:type="spellEnd"/>
      <w:r>
        <w:rPr>
          <w:color w:val="000000"/>
        </w:rPr>
        <w:t xml:space="preserve"> 75 </w:t>
      </w:r>
      <w:proofErr w:type="spellStart"/>
      <w:r>
        <w:rPr>
          <w:color w:val="000000"/>
        </w:rPr>
        <w:t>хиљада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зависности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процењеног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постави</w:t>
      </w:r>
      <w:proofErr w:type="spellEnd"/>
      <w:r>
        <w:rPr>
          <w:color w:val="000000"/>
        </w:rPr>
        <w:t xml:space="preserve"> ДЛС;</w:t>
      </w:r>
    </w:p>
    <w:p w:rsidR="00723958" w:rsidRDefault="00E641C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располажу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организационо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одреди</w:t>
      </w:r>
      <w:proofErr w:type="spellEnd"/>
      <w:r>
        <w:rPr>
          <w:color w:val="000000"/>
        </w:rPr>
        <w:t xml:space="preserve"> ДЛС;</w:t>
      </w:r>
    </w:p>
    <w:p w:rsidR="00723958" w:rsidRDefault="00E641CD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томбола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карактеристике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</w:t>
      </w:r>
      <w:r>
        <w:rPr>
          <w:color w:val="000000"/>
        </w:rPr>
        <w:t>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одреди</w:t>
      </w:r>
      <w:proofErr w:type="spellEnd"/>
      <w:r>
        <w:rPr>
          <w:color w:val="000000"/>
        </w:rPr>
        <w:t xml:space="preserve"> ДЛС.</w:t>
      </w:r>
    </w:p>
    <w:p w:rsidR="00723958" w:rsidRDefault="00E641CD">
      <w:pPr>
        <w:spacing w:after="150"/>
      </w:pPr>
      <w:r>
        <w:rPr>
          <w:color w:val="000000"/>
        </w:rPr>
        <w:t xml:space="preserve">ДЛС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заинтересована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оператера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класичној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томбола</w:t>
      </w:r>
      <w:proofErr w:type="spellEnd"/>
      <w:r>
        <w:rPr>
          <w:color w:val="000000"/>
        </w:rPr>
        <w:t>.</w:t>
      </w:r>
    </w:p>
    <w:p w:rsidR="00723958" w:rsidRDefault="00E641CD">
      <w:pPr>
        <w:spacing w:after="150"/>
      </w:pPr>
      <w:proofErr w:type="spellStart"/>
      <w:r>
        <w:rPr>
          <w:color w:val="000000"/>
        </w:rPr>
        <w:t>Јавни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страници</w:t>
      </w:r>
      <w:proofErr w:type="spellEnd"/>
      <w:r>
        <w:rPr>
          <w:color w:val="000000"/>
        </w:rPr>
        <w:t xml:space="preserve"> ДЛС и у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дневним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</w:t>
      </w:r>
      <w:r>
        <w:rPr>
          <w:color w:val="000000"/>
        </w:rPr>
        <w:t>винама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дистрибуирају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.</w:t>
      </w:r>
    </w:p>
    <w:p w:rsidR="00723958" w:rsidRDefault="00E641CD">
      <w:pPr>
        <w:spacing w:after="150"/>
      </w:pPr>
      <w:proofErr w:type="spellStart"/>
      <w:r>
        <w:rPr>
          <w:color w:val="000000"/>
        </w:rPr>
        <w:t>Јавни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>:</w:t>
      </w:r>
    </w:p>
    <w:p w:rsidR="00723958" w:rsidRDefault="00E641C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томбола</w:t>
      </w:r>
      <w:proofErr w:type="spellEnd"/>
      <w:r>
        <w:rPr>
          <w:color w:val="000000"/>
        </w:rPr>
        <w:t>;</w:t>
      </w:r>
    </w:p>
    <w:p w:rsidR="00723958" w:rsidRDefault="00E641C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обавезну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позив</w:t>
      </w:r>
      <w:proofErr w:type="spellEnd"/>
      <w:r>
        <w:rPr>
          <w:color w:val="000000"/>
        </w:rPr>
        <w:t>;</w:t>
      </w:r>
    </w:p>
    <w:p w:rsidR="00723958" w:rsidRDefault="00E641C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начину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приређивања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</w:t>
      </w:r>
      <w:r>
        <w:rPr>
          <w:color w:val="000000"/>
        </w:rPr>
        <w:t>ећу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томбола</w:t>
      </w:r>
      <w:proofErr w:type="spellEnd"/>
      <w:r>
        <w:rPr>
          <w:color w:val="000000"/>
        </w:rPr>
        <w:t>;</w:t>
      </w:r>
    </w:p>
    <w:p w:rsidR="00723958" w:rsidRDefault="00E641CD">
      <w:pPr>
        <w:spacing w:after="150"/>
      </w:pPr>
      <w:r>
        <w:rPr>
          <w:color w:val="000000"/>
        </w:rPr>
        <w:lastRenderedPageBreak/>
        <w:t xml:space="preserve">4) </w:t>
      </w:r>
      <w:proofErr w:type="spellStart"/>
      <w:r>
        <w:rPr>
          <w:color w:val="000000"/>
        </w:rPr>
        <w:t>висину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провизије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оператер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;</w:t>
      </w:r>
    </w:p>
    <w:p w:rsidR="00723958" w:rsidRDefault="00E641CD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место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>;</w:t>
      </w:r>
    </w:p>
    <w:p w:rsidR="00723958" w:rsidRDefault="00E641CD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избору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оператера</w:t>
      </w:r>
      <w:proofErr w:type="spellEnd"/>
      <w:r>
        <w:rPr>
          <w:color w:val="000000"/>
        </w:rPr>
        <w:t>.</w:t>
      </w:r>
    </w:p>
    <w:p w:rsidR="00723958" w:rsidRDefault="00E641C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723958" w:rsidRDefault="00E641CD">
      <w:pPr>
        <w:spacing w:after="150"/>
      </w:pP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ангажовању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оператера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>:</w:t>
      </w:r>
    </w:p>
    <w:p w:rsidR="00723958" w:rsidRDefault="00E641C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 и ПИБ </w:t>
      </w:r>
      <w:proofErr w:type="spellStart"/>
      <w:r>
        <w:rPr>
          <w:color w:val="000000"/>
        </w:rPr>
        <w:t>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>;</w:t>
      </w:r>
    </w:p>
    <w:p w:rsidR="00723958" w:rsidRDefault="00E641C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врсту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>;</w:t>
      </w:r>
    </w:p>
    <w:p w:rsidR="00723958" w:rsidRDefault="00E641C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обим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овлашћења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оператера</w:t>
      </w:r>
      <w:proofErr w:type="spellEnd"/>
      <w:r>
        <w:rPr>
          <w:color w:val="000000"/>
        </w:rPr>
        <w:t>;</w:t>
      </w:r>
    </w:p>
    <w:p w:rsidR="00723958" w:rsidRDefault="00E641CD">
      <w:pPr>
        <w:spacing w:after="150"/>
      </w:pPr>
      <w:r>
        <w:rPr>
          <w:color w:val="000000"/>
        </w:rPr>
        <w:t>4</w:t>
      </w:r>
      <w:r>
        <w:rPr>
          <w:color w:val="000000"/>
        </w:rPr>
        <w:t xml:space="preserve">) </w:t>
      </w:r>
      <w:proofErr w:type="spellStart"/>
      <w:r>
        <w:rPr>
          <w:color w:val="000000"/>
        </w:rPr>
        <w:t>висину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провизије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>;</w:t>
      </w:r>
    </w:p>
    <w:p w:rsidR="00723958" w:rsidRDefault="00E641CD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срећу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уплата</w:t>
      </w:r>
      <w:proofErr w:type="spellEnd"/>
      <w:r>
        <w:rPr>
          <w:color w:val="000000"/>
        </w:rPr>
        <w:t>;</w:t>
      </w:r>
    </w:p>
    <w:p w:rsidR="00723958" w:rsidRDefault="00E641CD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временско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>;</w:t>
      </w:r>
    </w:p>
    <w:p w:rsidR="00723958" w:rsidRDefault="00E641CD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остале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страна</w:t>
      </w:r>
      <w:proofErr w:type="spellEnd"/>
      <w:r>
        <w:rPr>
          <w:color w:val="000000"/>
        </w:rPr>
        <w:t>.</w:t>
      </w:r>
    </w:p>
    <w:p w:rsidR="00723958" w:rsidRDefault="00E641C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723958" w:rsidRDefault="00E641CD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отворен</w:t>
      </w:r>
      <w:proofErr w:type="spellEnd"/>
      <w:r>
        <w:rPr>
          <w:color w:val="000000"/>
        </w:rPr>
        <w:t xml:space="preserve">, ДЛС </w:t>
      </w:r>
      <w:proofErr w:type="spellStart"/>
      <w:r>
        <w:rPr>
          <w:color w:val="000000"/>
        </w:rPr>
        <w:t>директним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уговарањем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предузетника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>:</w:t>
      </w:r>
    </w:p>
    <w:p w:rsidR="00723958" w:rsidRDefault="00E641C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</w:t>
      </w:r>
      <w:r>
        <w:rPr>
          <w:color w:val="000000"/>
        </w:rPr>
        <w:t>дговарајућим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просторијама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срећака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мрежу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предузетника</w:t>
      </w:r>
      <w:proofErr w:type="spellEnd"/>
      <w:r>
        <w:rPr>
          <w:color w:val="000000"/>
        </w:rPr>
        <w:t>;</w:t>
      </w:r>
    </w:p>
    <w:p w:rsidR="00723958" w:rsidRDefault="00E641C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преда</w:t>
      </w:r>
      <w:proofErr w:type="spellEnd"/>
      <w:r>
        <w:rPr>
          <w:color w:val="000000"/>
        </w:rPr>
        <w:t xml:space="preserve"> ДЛС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инструменте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висини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одреди</w:t>
      </w:r>
      <w:proofErr w:type="spellEnd"/>
      <w:r>
        <w:rPr>
          <w:color w:val="000000"/>
        </w:rPr>
        <w:t xml:space="preserve"> ДЛС.</w:t>
      </w:r>
    </w:p>
    <w:p w:rsidR="00723958" w:rsidRDefault="00E641C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:rsidR="00723958" w:rsidRDefault="00E641CD">
      <w:pPr>
        <w:spacing w:after="150"/>
      </w:pPr>
      <w:proofErr w:type="spellStart"/>
      <w:r>
        <w:rPr>
          <w:color w:val="000000"/>
        </w:rPr>
        <w:t>Уговор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ангажо</w:t>
      </w:r>
      <w:r>
        <w:rPr>
          <w:color w:val="000000"/>
        </w:rPr>
        <w:t>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срећака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>:</w:t>
      </w:r>
    </w:p>
    <w:p w:rsidR="00723958" w:rsidRDefault="00E641CD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 и ПИБ </w:t>
      </w:r>
      <w:proofErr w:type="spellStart"/>
      <w:r>
        <w:rPr>
          <w:color w:val="000000"/>
        </w:rPr>
        <w:t>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>;</w:t>
      </w:r>
    </w:p>
    <w:p w:rsidR="00723958" w:rsidRDefault="00E641CD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предмет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>;</w:t>
      </w:r>
    </w:p>
    <w:p w:rsidR="00723958" w:rsidRDefault="00E641CD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обим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овлашћења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агента</w:t>
      </w:r>
      <w:proofErr w:type="spellEnd"/>
      <w:r>
        <w:rPr>
          <w:color w:val="000000"/>
        </w:rPr>
        <w:t>;</w:t>
      </w:r>
    </w:p>
    <w:p w:rsidR="00723958" w:rsidRDefault="00E641CD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висину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провизије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плаћања</w:t>
      </w:r>
      <w:proofErr w:type="spellEnd"/>
      <w:r>
        <w:rPr>
          <w:color w:val="000000"/>
        </w:rPr>
        <w:t>;</w:t>
      </w:r>
    </w:p>
    <w:p w:rsidR="00723958" w:rsidRDefault="00E641CD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подручје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срећака</w:t>
      </w:r>
      <w:proofErr w:type="spellEnd"/>
      <w:r>
        <w:rPr>
          <w:color w:val="000000"/>
        </w:rPr>
        <w:t>;</w:t>
      </w:r>
    </w:p>
    <w:p w:rsidR="00723958" w:rsidRDefault="00E641CD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срећака</w:t>
      </w:r>
      <w:proofErr w:type="spellEnd"/>
      <w:r>
        <w:rPr>
          <w:color w:val="000000"/>
        </w:rPr>
        <w:t>;</w:t>
      </w:r>
    </w:p>
    <w:p w:rsidR="00723958" w:rsidRDefault="00E641CD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временско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>;</w:t>
      </w:r>
    </w:p>
    <w:p w:rsidR="00723958" w:rsidRDefault="00E641CD">
      <w:pPr>
        <w:spacing w:after="150"/>
      </w:pPr>
      <w:r>
        <w:rPr>
          <w:color w:val="000000"/>
        </w:rPr>
        <w:lastRenderedPageBreak/>
        <w:t xml:space="preserve">8) </w:t>
      </w:r>
      <w:proofErr w:type="spellStart"/>
      <w:r>
        <w:rPr>
          <w:color w:val="000000"/>
        </w:rPr>
        <w:t>остале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страна</w:t>
      </w:r>
      <w:proofErr w:type="spellEnd"/>
      <w:r>
        <w:rPr>
          <w:color w:val="000000"/>
        </w:rPr>
        <w:t>.</w:t>
      </w:r>
    </w:p>
    <w:p w:rsidR="00723958" w:rsidRDefault="00E641C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10.</w:t>
      </w:r>
    </w:p>
    <w:p w:rsidR="00723958" w:rsidRDefault="00E641CD">
      <w:pPr>
        <w:spacing w:after="150"/>
      </w:pP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условима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приређивање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игара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срећу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агената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срећака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128/04, 91/10 и 13/11).</w:t>
      </w:r>
    </w:p>
    <w:p w:rsidR="00723958" w:rsidRDefault="00E641CD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11.</w:t>
      </w:r>
    </w:p>
    <w:p w:rsidR="00723958" w:rsidRDefault="00E641CD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723958" w:rsidRDefault="00E641CD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110-9948/2020-1</w:t>
      </w:r>
    </w:p>
    <w:p w:rsidR="00723958" w:rsidRDefault="00E641CD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10. </w:t>
      </w:r>
      <w:proofErr w:type="spellStart"/>
      <w:r>
        <w:rPr>
          <w:color w:val="000000"/>
        </w:rPr>
        <w:t>децембра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</w:p>
    <w:p w:rsidR="00723958" w:rsidRDefault="00E641CD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723958" w:rsidRDefault="00E641CD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723958" w:rsidRDefault="00E641CD">
      <w:pPr>
        <w:spacing w:after="150"/>
        <w:jc w:val="right"/>
      </w:pPr>
      <w:r>
        <w:rPr>
          <w:b/>
          <w:color w:val="000000"/>
        </w:rPr>
        <w:t xml:space="preserve">Ана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7239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58"/>
    <w:rsid w:val="00723958"/>
    <w:rsid w:val="00E6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E18710-F834-47AC-B982-B55710E8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2021-05-24T10:47:00Z</dcterms:created>
  <dcterms:modified xsi:type="dcterms:W3CDTF">2021-05-24T10:47:00Z</dcterms:modified>
</cp:coreProperties>
</file>