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A1" w:rsidRDefault="006B3C20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280.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Царинског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95/18)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t xml:space="preserve">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6C31A1" w:rsidRDefault="006B3C20">
      <w:pPr>
        <w:spacing w:after="225"/>
        <w:jc w:val="center"/>
      </w:pPr>
      <w:r>
        <w:rPr>
          <w:b/>
          <w:color w:val="000000"/>
        </w:rPr>
        <w:t>УРЕДБУ</w:t>
      </w:r>
    </w:p>
    <w:p w:rsidR="006C31A1" w:rsidRDefault="006B3C20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посебним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вршење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промета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робе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Аутономном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покрајином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Косово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Метохија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важења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Резолуције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Савета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безбедности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ОУН </w:t>
      </w:r>
      <w:proofErr w:type="spellStart"/>
      <w:r>
        <w:rPr>
          <w:b/>
          <w:color w:val="000000"/>
        </w:rPr>
        <w:t>број</w:t>
      </w:r>
      <w:proofErr w:type="spellEnd"/>
      <w:r>
        <w:rPr>
          <w:b/>
          <w:color w:val="000000"/>
        </w:rPr>
        <w:t xml:space="preserve"> 1244</w:t>
      </w:r>
    </w:p>
    <w:p w:rsidR="006C31A1" w:rsidRDefault="006B3C20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14.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2019.</w:t>
      </w:r>
    </w:p>
    <w:p w:rsidR="006C31A1" w:rsidRDefault="006B3C20">
      <w:pPr>
        <w:spacing w:after="120"/>
        <w:jc w:val="center"/>
      </w:pPr>
      <w:r>
        <w:rPr>
          <w:color w:val="000000"/>
        </w:rPr>
        <w:t>ГЛАВА I</w:t>
      </w:r>
      <w:r>
        <w:br/>
      </w:r>
      <w:r>
        <w:rPr>
          <w:color w:val="000000"/>
        </w:rPr>
        <w:t>УВОДНE ОДРЕДБE</w:t>
      </w:r>
    </w:p>
    <w:p w:rsidR="006C31A1" w:rsidRDefault="006B3C2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Косово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Метохија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АПКМ)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Резолуције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ОУН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1244.</w:t>
      </w:r>
    </w:p>
    <w:p w:rsidR="006C31A1" w:rsidRDefault="006B3C2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Роба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АПКМ и АПКМ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пункту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Царински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пунктови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царинске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</w:t>
      </w:r>
      <w:r>
        <w:rPr>
          <w:color w:val="000000"/>
        </w:rPr>
        <w:t>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АПКМ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Резолуције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ОУН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1244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p w:rsidR="006C31A1" w:rsidRDefault="006B3C20">
      <w:pPr>
        <w:spacing w:after="150"/>
      </w:pPr>
      <w:r>
        <w:rPr>
          <w:color w:val="000000"/>
        </w:rPr>
        <w:t xml:space="preserve">1) у </w:t>
      </w:r>
      <w:proofErr w:type="spellStart"/>
      <w:r>
        <w:rPr>
          <w:color w:val="000000"/>
        </w:rPr>
        <w:t>Царинарници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Краљево</w:t>
      </w:r>
      <w:proofErr w:type="spellEnd"/>
      <w:r>
        <w:rPr>
          <w:color w:val="000000"/>
        </w:rPr>
        <w:t>:</w:t>
      </w:r>
    </w:p>
    <w:p w:rsidR="006C31A1" w:rsidRDefault="006B3C2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Царински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Брњачки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Мост</w:t>
      </w:r>
      <w:proofErr w:type="spellEnd"/>
      <w:r>
        <w:rPr>
          <w:color w:val="000000"/>
        </w:rPr>
        <w:t>;</w:t>
      </w:r>
    </w:p>
    <w:p w:rsidR="006C31A1" w:rsidRDefault="006B3C2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Царински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Рудница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50"/>
      </w:pPr>
      <w:r>
        <w:rPr>
          <w:color w:val="000000"/>
        </w:rPr>
        <w:t xml:space="preserve">2) у </w:t>
      </w:r>
      <w:proofErr w:type="spellStart"/>
      <w:r>
        <w:rPr>
          <w:color w:val="000000"/>
        </w:rPr>
        <w:t>Царинарници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Приштина</w:t>
      </w:r>
      <w:proofErr w:type="spellEnd"/>
      <w:r>
        <w:rPr>
          <w:color w:val="000000"/>
        </w:rPr>
        <w:t>:</w:t>
      </w:r>
    </w:p>
    <w:p w:rsidR="006C31A1" w:rsidRDefault="006B3C2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Царински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</w:t>
      </w:r>
      <w:r>
        <w:rPr>
          <w:color w:val="000000"/>
        </w:rPr>
        <w:t>онтролни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Депце</w:t>
      </w:r>
      <w:proofErr w:type="spellEnd"/>
      <w:r>
        <w:rPr>
          <w:color w:val="000000"/>
        </w:rPr>
        <w:t>;</w:t>
      </w:r>
    </w:p>
    <w:p w:rsidR="006C31A1" w:rsidRDefault="006B3C2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Царински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Кончуљ</w:t>
      </w:r>
      <w:proofErr w:type="spellEnd"/>
      <w:r>
        <w:rPr>
          <w:color w:val="000000"/>
        </w:rPr>
        <w:t>;</w:t>
      </w:r>
    </w:p>
    <w:p w:rsidR="006C31A1" w:rsidRDefault="006B3C2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Царински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Мердаре</w:t>
      </w:r>
      <w:proofErr w:type="spellEnd"/>
      <w:r>
        <w:rPr>
          <w:color w:val="000000"/>
        </w:rPr>
        <w:t>;</w:t>
      </w:r>
    </w:p>
    <w:p w:rsidR="006C31A1" w:rsidRDefault="006B3C2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Царински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Мутиводе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20"/>
        <w:jc w:val="center"/>
      </w:pPr>
      <w:r>
        <w:rPr>
          <w:color w:val="000000"/>
        </w:rPr>
        <w:t>ГЛАВА II</w:t>
      </w:r>
      <w:r>
        <w:br/>
      </w:r>
      <w:r>
        <w:rPr>
          <w:color w:val="000000"/>
        </w:rPr>
        <w:t>УПУЋИВАЊЕ, ДОПРЕМА И ТРАНЗИТ РОБЕ СА ТЕРИТОРИЈЕ АПКМ</w:t>
      </w:r>
    </w:p>
    <w:p w:rsidR="006C31A1" w:rsidRDefault="006B3C2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lastRenderedPageBreak/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пошиљке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АПКМ </w:t>
      </w:r>
      <w:proofErr w:type="spellStart"/>
      <w:r>
        <w:rPr>
          <w:color w:val="000000"/>
        </w:rPr>
        <w:t>пријављују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</w:t>
      </w:r>
      <w:r>
        <w:rPr>
          <w:color w:val="000000"/>
        </w:rPr>
        <w:t>ринском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пункту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упућују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Царинарници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Ниш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Царинска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Ниш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Авио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пошиљке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АПКМ </w:t>
      </w:r>
      <w:proofErr w:type="spellStart"/>
      <w:r>
        <w:rPr>
          <w:color w:val="000000"/>
        </w:rPr>
        <w:t>упућују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Царинарници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Царинска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Аеродром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2. и 3.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улазак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АПКМ </w:t>
      </w:r>
      <w:proofErr w:type="spellStart"/>
      <w:r>
        <w:rPr>
          <w:color w:val="000000"/>
        </w:rPr>
        <w:t>одобриће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издато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Страна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АПКМ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АПКМ </w:t>
      </w:r>
      <w:proofErr w:type="spellStart"/>
      <w:r>
        <w:rPr>
          <w:color w:val="000000"/>
        </w:rPr>
        <w:t>подлеже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дажбина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акцизе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</w:t>
      </w:r>
      <w:r>
        <w:rPr>
          <w:color w:val="000000"/>
        </w:rPr>
        <w:t>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144. </w:t>
      </w:r>
      <w:proofErr w:type="spellStart"/>
      <w:r>
        <w:rPr>
          <w:color w:val="000000"/>
        </w:rPr>
        <w:t>Царинског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20"/>
        <w:jc w:val="center"/>
      </w:pPr>
      <w:r>
        <w:rPr>
          <w:color w:val="000000"/>
        </w:rPr>
        <w:t>ГЛАВА III</w:t>
      </w:r>
      <w:r>
        <w:br/>
      </w:r>
      <w:r>
        <w:rPr>
          <w:color w:val="000000"/>
        </w:rPr>
        <w:t xml:space="preserve"> УПУЋИВАЊЕ РОБЕ НА ТЕРИТОРИЈУ АПКМ</w:t>
      </w:r>
    </w:p>
    <w:p w:rsidR="006C31A1" w:rsidRDefault="006B3C2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Роба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АПКМ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територију</w:t>
      </w:r>
      <w:proofErr w:type="spellEnd"/>
      <w:r>
        <w:rPr>
          <w:color w:val="000000"/>
        </w:rPr>
        <w:t xml:space="preserve"> АПКМ,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роба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транзиту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</w:t>
      </w:r>
      <w:r>
        <w:rPr>
          <w:color w:val="000000"/>
        </w:rPr>
        <w:t>инском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пункту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Упућивање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нафте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нафтних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деривата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шећера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АПКМ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територију</w:t>
      </w:r>
      <w:proofErr w:type="spellEnd"/>
      <w:r>
        <w:rPr>
          <w:color w:val="000000"/>
        </w:rPr>
        <w:t xml:space="preserve"> АПКМ,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реферата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Рашка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железничком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царинских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пунктова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Кончуљ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</w:t>
      </w:r>
      <w:r>
        <w:rPr>
          <w:color w:val="000000"/>
        </w:rPr>
        <w:t>рдаре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Рудница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друмском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саобраћају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Роба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прелаза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АПКМ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територију</w:t>
      </w:r>
      <w:proofErr w:type="spellEnd"/>
      <w:r>
        <w:rPr>
          <w:color w:val="000000"/>
        </w:rPr>
        <w:t xml:space="preserve"> АПКМ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царинарници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депозит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дажбина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Дуванске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прерађевине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алкохолна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упућују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АПКМ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територију</w:t>
      </w:r>
      <w:proofErr w:type="spellEnd"/>
      <w:r>
        <w:rPr>
          <w:color w:val="000000"/>
        </w:rPr>
        <w:t xml:space="preserve"> АПКМ,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</w:t>
      </w:r>
      <w:r>
        <w:rPr>
          <w:color w:val="000000"/>
        </w:rPr>
        <w:t>редбом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обележени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маркицама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7.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Депозит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 4.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депозитни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царинарнице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пријављена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Царинарница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депозит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пункта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иступу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r>
        <w:rPr>
          <w:color w:val="000000"/>
        </w:rPr>
        <w:t>риторију</w:t>
      </w:r>
      <w:proofErr w:type="spellEnd"/>
      <w:r>
        <w:rPr>
          <w:color w:val="000000"/>
        </w:rPr>
        <w:t xml:space="preserve"> АПКМ.</w:t>
      </w:r>
    </w:p>
    <w:p w:rsidR="006C31A1" w:rsidRDefault="006B3C2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Банкарска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депозит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најављена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спољних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(УНМИК, КФОР, НАТО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</w:t>
      </w:r>
      <w:r>
        <w:rPr>
          <w:color w:val="000000"/>
        </w:rPr>
        <w:t>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Извозно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оцарињена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АПКМ </w:t>
      </w:r>
      <w:proofErr w:type="spellStart"/>
      <w:r>
        <w:rPr>
          <w:color w:val="000000"/>
        </w:rPr>
        <w:t>упућује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територију</w:t>
      </w:r>
      <w:proofErr w:type="spellEnd"/>
      <w:r>
        <w:rPr>
          <w:color w:val="000000"/>
        </w:rPr>
        <w:t xml:space="preserve"> АПКМ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и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 </w:t>
      </w:r>
    </w:p>
    <w:p w:rsidR="006C31A1" w:rsidRDefault="006B3C2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територију</w:t>
      </w:r>
      <w:proofErr w:type="spellEnd"/>
      <w:r>
        <w:rPr>
          <w:color w:val="000000"/>
        </w:rPr>
        <w:t xml:space="preserve"> АПКМ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АПКМ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уношења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изношења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пасивног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оплемењи</w:t>
      </w:r>
      <w:r>
        <w:rPr>
          <w:color w:val="000000"/>
        </w:rPr>
        <w:t>вања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20"/>
        <w:jc w:val="center"/>
      </w:pPr>
      <w:r>
        <w:rPr>
          <w:color w:val="000000"/>
        </w:rPr>
        <w:t>ГЛАВА IV</w:t>
      </w:r>
      <w:r>
        <w:br/>
      </w:r>
      <w:r>
        <w:rPr>
          <w:color w:val="000000"/>
        </w:rPr>
        <w:t>ПУТНИЧКИ ПРОМЕТ </w:t>
      </w:r>
    </w:p>
    <w:p w:rsidR="006C31A1" w:rsidRDefault="006B3C2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11.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Страна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некомерцијалне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путничком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АПКМ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територије</w:t>
      </w:r>
      <w:proofErr w:type="spellEnd"/>
      <w:r>
        <w:rPr>
          <w:color w:val="000000"/>
        </w:rPr>
        <w:t xml:space="preserve"> АПКМ, </w:t>
      </w:r>
      <w:proofErr w:type="spellStart"/>
      <w:r>
        <w:rPr>
          <w:color w:val="000000"/>
        </w:rPr>
        <w:t>пријављује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подлеже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дажбина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акцизе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12.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Oфицир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Приштине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његово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даж</w:t>
      </w:r>
      <w:r>
        <w:rPr>
          <w:color w:val="000000"/>
        </w:rPr>
        <w:t>бине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породице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повластице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</w:t>
      </w:r>
      <w:r>
        <w:rPr>
          <w:color w:val="000000"/>
        </w:rPr>
        <w:t>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>:</w:t>
      </w:r>
    </w:p>
    <w:p w:rsidR="006C31A1" w:rsidRDefault="006B3C20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потврду</w:t>
      </w:r>
      <w:proofErr w:type="spellEnd"/>
      <w:r>
        <w:rPr>
          <w:color w:val="000000"/>
        </w:rPr>
        <w:t>;</w:t>
      </w:r>
    </w:p>
    <w:p w:rsidR="006C31A1" w:rsidRDefault="006B3C20">
      <w:pPr>
        <w:spacing w:after="150"/>
      </w:pPr>
      <w:r>
        <w:rPr>
          <w:color w:val="000000"/>
        </w:rPr>
        <w:lastRenderedPageBreak/>
        <w:t xml:space="preserve">2)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дажбине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употреби</w:t>
      </w:r>
      <w:proofErr w:type="spellEnd"/>
      <w:r>
        <w:rPr>
          <w:color w:val="000000"/>
        </w:rPr>
        <w:t>;</w:t>
      </w:r>
    </w:p>
    <w:p w:rsidR="006C31A1" w:rsidRDefault="006B3C20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потврде</w:t>
      </w:r>
      <w:proofErr w:type="spellEnd"/>
      <w:r>
        <w:rPr>
          <w:color w:val="000000"/>
        </w:rPr>
        <w:t>;</w:t>
      </w:r>
    </w:p>
    <w:p w:rsidR="006C31A1" w:rsidRDefault="006B3C20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врсту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>;</w:t>
      </w:r>
    </w:p>
    <w:p w:rsidR="006C31A1" w:rsidRDefault="006B3C20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потпис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Роба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отуђити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спроведеног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20"/>
        <w:jc w:val="center"/>
      </w:pPr>
      <w:r>
        <w:rPr>
          <w:color w:val="000000"/>
        </w:rPr>
        <w:t>ГЛАВА V</w:t>
      </w:r>
      <w:r>
        <w:br/>
      </w:r>
      <w:r>
        <w:rPr>
          <w:color w:val="000000"/>
        </w:rPr>
        <w:t>ПРЕЛАЗНЕ И ЗАВРШНЕ ОДРЕДБЕ</w:t>
      </w:r>
    </w:p>
    <w:p w:rsidR="006C31A1" w:rsidRDefault="006B3C2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АПКМ,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спољнотрговинских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девизних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14.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Косово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Метохија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</w:t>
      </w:r>
      <w:r>
        <w:rPr>
          <w:color w:val="000000"/>
        </w:rPr>
        <w:t>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РСˮ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86/10, 61/13, 111/13 и 17/14) и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пунктова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царинске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РСˮ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83/10).</w:t>
      </w:r>
    </w:p>
    <w:p w:rsidR="006C31A1" w:rsidRDefault="006B3C2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15.</w:t>
      </w:r>
    </w:p>
    <w:p w:rsidR="006C31A1" w:rsidRDefault="006B3C20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2019.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6C31A1" w:rsidRDefault="006B3C20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110-5877/2019</w:t>
      </w:r>
    </w:p>
    <w:p w:rsidR="006C31A1" w:rsidRDefault="006B3C20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13.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2019. </w:t>
      </w:r>
      <w:proofErr w:type="spellStart"/>
      <w:r>
        <w:rPr>
          <w:color w:val="000000"/>
        </w:rPr>
        <w:t>године</w:t>
      </w:r>
      <w:proofErr w:type="spellEnd"/>
    </w:p>
    <w:p w:rsidR="006C31A1" w:rsidRDefault="006B3C20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6C31A1" w:rsidRDefault="006B3C20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6C31A1" w:rsidRDefault="006B3C20">
      <w:pPr>
        <w:spacing w:after="150"/>
        <w:jc w:val="right"/>
      </w:pPr>
      <w:r>
        <w:rPr>
          <w:b/>
          <w:color w:val="000000"/>
        </w:rPr>
        <w:t xml:space="preserve">Ана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6C31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A1"/>
    <w:rsid w:val="006B3C20"/>
    <w:rsid w:val="006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33386-1F5F-413E-9D9C-29C82B9D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2021-05-24T08:18:00Z</dcterms:created>
  <dcterms:modified xsi:type="dcterms:W3CDTF">2021-05-24T08:18:00Z</dcterms:modified>
</cp:coreProperties>
</file>