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C8" w:rsidRDefault="00265C76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4. став 3. Закона о фискализацији („Службени гласник РС”, број 153/20)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В</w:t>
      </w:r>
      <w:r>
        <w:rPr>
          <w:rFonts w:ascii="Verdana" w:eastAsia="Verdana" w:hAnsi="Verdana" w:cs="Verdana"/>
        </w:rPr>
        <w:t>лада доноси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одређивању делатности код чијег обављања не постоји обавеза евидентирања промета на мало преко електронског фискалног уређаја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32 од 2. априла 2021, 117 од 3. децембра 2021, 51 од 29. априла 2022, 141 од 23. д</w:t>
      </w:r>
      <w:r>
        <w:rPr>
          <w:rFonts w:ascii="Verdana" w:eastAsia="Verdana" w:hAnsi="Verdana" w:cs="Verdana"/>
        </w:rPr>
        <w:t>ецембра 2022, 85 од 6. октобра 2023, 99 од 13. децембра 2024, 110 од 5. децембра 2025.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Овом уредбом одређују се делатности код чијег обављања, полазећи од техничких и функционалних карактеристика електронских фискалних уређаја и специфичности обављ</w:t>
      </w:r>
      <w:r>
        <w:rPr>
          <w:rFonts w:ascii="Verdana" w:eastAsia="Verdana" w:hAnsi="Verdana" w:cs="Verdana"/>
        </w:rPr>
        <w:t>ања тих делатности, не постоји обавеза евидентирања промета добара и услуга на мало (у даљем тексту: промет на мало) и примљених аванса за промет на мало преко електронског фискалног уређаја из члана 4. став. 2. Закона о фискализацији („Службени гласник РС</w:t>
      </w:r>
      <w:r>
        <w:rPr>
          <w:rFonts w:ascii="Verdana" w:eastAsia="Verdana" w:hAnsi="Verdana" w:cs="Verdana"/>
        </w:rPr>
        <w:t xml:space="preserve">”, </w:t>
      </w:r>
      <w:r>
        <w:rPr>
          <w:rFonts w:ascii="Verdana" w:eastAsia="Verdana" w:hAnsi="Verdana" w:cs="Verdana"/>
          <w:b/>
        </w:rPr>
        <w:t>бр. 153/20 и 96/21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– у даљем тексту: Закон).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117/2021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Делатностима, за које у смислу члана 1. ове уредбе не постоји обавеза евидентирања промета на мало и примљених аванса за промет на мало преко електронског фискалн</w:t>
      </w:r>
      <w:r>
        <w:rPr>
          <w:rFonts w:ascii="Verdana" w:eastAsia="Verdana" w:hAnsi="Verdana" w:cs="Verdana"/>
        </w:rPr>
        <w:t>ог уређаја, сматрају се делатности: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1) продаје сопствених пољопривредних производа на пијачним тезгама и сличним објектима и другим местима у складу са посебним прописима којима се уређују мале количине примарних производа животињског порекла, односно хран</w:t>
      </w:r>
      <w:r>
        <w:rPr>
          <w:rFonts w:ascii="Verdana" w:eastAsia="Verdana" w:hAnsi="Verdana" w:cs="Verdana"/>
        </w:rPr>
        <w:t>е биљног порекла које служе за снабдевање потрошача, као и другим местима у складу са законом којим се уређује трговина од стране физичког лица – обвезника фискализације који је обвезник пореза на приходе од самосталне делатности у смислу закона којим се у</w:t>
      </w:r>
      <w:r>
        <w:rPr>
          <w:rFonts w:ascii="Verdana" w:eastAsia="Verdana" w:hAnsi="Verdana" w:cs="Verdana"/>
        </w:rPr>
        <w:t>ређује порез на доходак грађана, а које није предузетник – обвезник фискализације;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2) које обављају обвезници фискализације а који накнаду за продата добра, односно пружене услуге физичким лицима наплаћују испостављањем рачуна о обрачуну потрошње преко мер</w:t>
      </w:r>
      <w:r>
        <w:rPr>
          <w:rFonts w:ascii="Verdana" w:eastAsia="Verdana" w:hAnsi="Verdana" w:cs="Verdana"/>
        </w:rPr>
        <w:t>них инструмената (грејање, гас, телефон, електрична енергија, вода и др.)</w:t>
      </w:r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  <w:b/>
        </w:rPr>
        <w:t>3) пружања маркетиншких услуга у малопродајном објекту правним лицима, односно обвезницима пореза на приходе од самосталне делатности у смислу закона којим се уређује порез на дох</w:t>
      </w:r>
      <w:r>
        <w:rPr>
          <w:rFonts w:ascii="Verdana" w:eastAsia="Verdana" w:hAnsi="Verdana" w:cs="Verdana"/>
          <w:b/>
        </w:rPr>
        <w:t>одак грађана.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141/2022</w:t>
      </w:r>
    </w:p>
    <w:p w:rsidR="00210AC8" w:rsidRDefault="00265C76">
      <w:pPr>
        <w:spacing w:before="560" w:line="210" w:lineRule="atLeast"/>
        <w:jc w:val="center"/>
      </w:pPr>
      <w:r>
        <w:rPr>
          <w:rFonts w:ascii="Verdana" w:eastAsia="Verdana" w:hAnsi="Verdana" w:cs="Verdana"/>
          <w:b/>
        </w:rPr>
        <w:lastRenderedPageBreak/>
        <w:t>Члан 3.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  <w:b/>
        </w:rPr>
        <w:t>Делатностима, за које у смислу члана 1. ове уредбе не постоји обавеза евидентирања промета на мало и примљених аванса за промет на мало преко електронског фискалног уређаја, сматрају се делатнос</w:t>
      </w:r>
      <w:r>
        <w:rPr>
          <w:rFonts w:ascii="Verdana" w:eastAsia="Verdana" w:hAnsi="Verdana" w:cs="Verdana"/>
          <w:b/>
        </w:rPr>
        <w:t>ти из следећих области, грана и група класификације делатности из Закона о класификацији делатности („Службени гласник РС”, број 104/09) и Уредбе о Класификацији делатности („Службени гласник РС”, број 54/10), и то: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  <w:b/>
        </w:rPr>
        <w:t xml:space="preserve">Делатности у оквиру следећих области, </w:t>
      </w:r>
      <w:r>
        <w:rPr>
          <w:rFonts w:ascii="Verdana" w:eastAsia="Verdana" w:hAnsi="Verdana" w:cs="Verdana"/>
          <w:b/>
        </w:rPr>
        <w:t>грана, односно група: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825"/>
        <w:gridCol w:w="7559"/>
      </w:tblGrid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49.31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Градски и приградски копнени превоз путника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49.32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Такси превоз;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51.10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Ваздушни превоз путника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** </w:t>
            </w: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52.21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Услужне делатности у копненом саобраћају у делу који се односи на наплату и одржавање: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– путева, мостова и тунела;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– паркиралишта или гаража, паркиралишта за бицикле, зимског смештаја приколица и др. која се наплаћују путем трећих лица, односно телеком</w:t>
            </w:r>
            <w:r>
              <w:rPr>
                <w:rFonts w:ascii="Verdana" w:eastAsia="Verdana" w:hAnsi="Verdana" w:cs="Verdana"/>
                <w:b/>
              </w:rPr>
              <w:t>уникационих оператора;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53.10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Поштанске активности јавног сервиса;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Телекомуникације;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64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Финансијске услуге, осим осигурања и пензијских фондова;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Осигурање, реосигурање и пензијски фондови, осим обавезног социјалног осигурања;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Помоћне делатности у пружању финансијских услуга и осигурању;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69.10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Правни послови изузев активности јавних бележника и извршитеља;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75.00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Ветеринарске делатности – Примарна теренска здравствена заштита животиња, послови из Програма мера здравствене заштите животиња, послови дезинфекције и дератизације у објектима у којима се држе и узгајају животиње и активности на спречавању појављивања, ши</w:t>
            </w:r>
            <w:r>
              <w:rPr>
                <w:rFonts w:ascii="Verdana" w:eastAsia="Verdana" w:hAnsi="Verdana" w:cs="Verdana"/>
                <w:b/>
              </w:rPr>
              <w:t>рења и сузбијања заразних болести животиња;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84.30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Обавезно социјално осигурање;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13)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Образовање, осим делатности из гране 85.5 – Остало образовање;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lastRenderedPageBreak/>
              <w:t>14)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Здравствене делатности – здравствене услуге које се обезбеђују из средстава обавезног здравственог осигурања;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15)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Социјална заштита са смештајем;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16)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Социјална заштита без смештаја;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17)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 xml:space="preserve">Коцкање и клађење у делу који се односи </w:t>
            </w:r>
            <w:r>
              <w:rPr>
                <w:rFonts w:ascii="Verdana" w:eastAsia="Verdana" w:hAnsi="Verdana" w:cs="Verdana"/>
                <w:b/>
              </w:rPr>
              <w:t>на игре на срећу чији је приређивач Државна лутрија Србије, као и за игре на срећу за које приређивач у електронској форми доставља податке о извршеном промету органу надлежном за игре на срећу, у складу са прописима;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18)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94.91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Делатност верских организација.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</w:tbl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117/2021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51/2022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Делатностима за које, у смислу члана 1. ове уредбе, не постоји обавеза евидентирања промета на мало и примљених аванса за промет на мало прек</w:t>
      </w:r>
      <w:r>
        <w:rPr>
          <w:rFonts w:ascii="Verdana" w:eastAsia="Verdana" w:hAnsi="Verdana" w:cs="Verdana"/>
        </w:rPr>
        <w:t>о електронског фискалног уређаја сматрају се и: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  <w:b/>
        </w:rPr>
        <w:t>– делатности из Закона о комуналним делатностима („Службени гласник РС”, бр. 88/11, 104/16 и 95/18), осим следећих комуналних делатности: управљање гробљима и сахрањивање; погребна делатност; управљање јавним</w:t>
      </w:r>
      <w:r>
        <w:rPr>
          <w:rFonts w:ascii="Verdana" w:eastAsia="Verdana" w:hAnsi="Verdana" w:cs="Verdana"/>
          <w:b/>
        </w:rPr>
        <w:t xml:space="preserve"> паркиралиштима која се не наплаћују путем трећих лица, односно телекомуникационих оператора и пружањe услуга на пијацама, и то: издавање у закуп објеката, тезги и простора на њима;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– послови из Правилника о одређивању послова који се сматрају старим и у</w:t>
      </w:r>
      <w:r>
        <w:rPr>
          <w:rFonts w:ascii="Verdana" w:eastAsia="Verdana" w:hAnsi="Verdana" w:cs="Verdana"/>
        </w:rPr>
        <w:t>метничким занатима, односно пословима домаће радиности, начину сертификовања истих и вођењу посебне евиденције издатих сертификата („Службени гласник РС”, број 56/12), осим каменорезачког заната из члана 2. став 2. тачка 26) тог правилника: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– поједине дела</w:t>
      </w:r>
      <w:r>
        <w:rPr>
          <w:rFonts w:ascii="Verdana" w:eastAsia="Verdana" w:hAnsi="Verdana" w:cs="Verdana"/>
        </w:rPr>
        <w:t>тности у оквиру следећих група, и то: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8276"/>
      </w:tblGrid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47.99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Остала трговина на мало изван продавница, тезги и пијаца – продаја преко путујућих продаваца – улична продаја сладоледа, лозова, кокица и штампе – колпортери;</w:t>
            </w:r>
          </w:p>
        </w:tc>
      </w:tr>
      <w:tr w:rsidR="00210AC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96.09</w:t>
            </w:r>
          </w:p>
        </w:tc>
        <w:tc>
          <w:tcPr>
            <w:tcW w:w="0" w:type="auto"/>
          </w:tcPr>
          <w:p w:rsidR="00210AC8" w:rsidRDefault="00265C7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Остале непоменуте личне услужне делатности – </w:t>
            </w:r>
            <w:r>
              <w:rPr>
                <w:rFonts w:ascii="Verdana" w:eastAsia="Verdana" w:hAnsi="Verdana" w:cs="Verdana"/>
                <w:b/>
              </w:rPr>
              <w:t>активност чистача ципела и носача.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</w:tbl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117/2021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4а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  <w:b/>
        </w:rPr>
        <w:t>Обвезници фискализације који се баве продајом добара и услуга на пијачним тезгама и сличним објектима немају обавезу евидентирања промета на мало и примљених аванса за промет на мало преко електронског фискалног уређаја почев од 1. маја 2022. године закључ</w:t>
      </w:r>
      <w:r>
        <w:rPr>
          <w:rFonts w:ascii="Verdana" w:eastAsia="Verdana" w:hAnsi="Verdana" w:cs="Verdana"/>
          <w:b/>
        </w:rPr>
        <w:t>но са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31. децембром 2026. године</w:t>
      </w:r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lastRenderedPageBreak/>
        <w:t>*Службени гласник РС, број 51/2022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**Службени гласник РС, број 110/2025</w:t>
      </w:r>
    </w:p>
    <w:p w:rsidR="00210AC8" w:rsidRDefault="00265C76">
      <w:pPr>
        <w:spacing w:before="560" w:line="210" w:lineRule="atLeast"/>
        <w:jc w:val="center"/>
      </w:pPr>
      <w:r>
        <w:rPr>
          <w:rFonts w:ascii="Verdana" w:eastAsia="Verdana" w:hAnsi="Verdana" w:cs="Verdana"/>
          <w:b/>
        </w:rPr>
        <w:t>Члан 5.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  <w:b/>
        </w:rPr>
        <w:t>Уредба о одређивању делатности код чијег обављања не постоји обавеза евидентирања промета преко фискалне касе („Службени гласник РС”,</w:t>
      </w:r>
      <w:r>
        <w:rPr>
          <w:rFonts w:ascii="Verdana" w:eastAsia="Verdana" w:hAnsi="Verdana" w:cs="Verdana"/>
          <w:b/>
        </w:rPr>
        <w:t xml:space="preserve"> бр. 61/10, 101/10, 94/11, 83/12, 59/13 и 100/14) престаје да важи 1. маја 2022. године.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 *Службени гласник РС, број 117/2021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</w:rPr>
        <w:t>Ова уредба ступа на снагу осмог дана од дана објављивања у „Службеном гласнику Републике Србије”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210AC8" w:rsidRDefault="00265C76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110-2859/202</w:t>
      </w:r>
      <w:r>
        <w:rPr>
          <w:rFonts w:ascii="Verdana" w:eastAsia="Verdana" w:hAnsi="Verdana" w:cs="Verdana"/>
        </w:rPr>
        <w:t>1-2</w:t>
      </w:r>
    </w:p>
    <w:p w:rsidR="00210AC8" w:rsidRDefault="00265C76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1. априла 2021. године</w:t>
      </w:r>
    </w:p>
    <w:p w:rsidR="00210AC8" w:rsidRDefault="00265C76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210AC8" w:rsidRDefault="00265C76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210AC8" w:rsidRDefault="00265C76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Ана Брнабић,</w:t>
      </w:r>
      <w:r>
        <w:rPr>
          <w:rFonts w:ascii="Verdana" w:eastAsia="Verdana" w:hAnsi="Verdana" w:cs="Verdana"/>
        </w:rPr>
        <w:t xml:space="preserve"> с.р.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ОДРЕДБЕ КОЈЕ НИСУ УНЕТЕ У "ПРЕЧИШЋЕН ТЕКСТ" УРЕДБЕ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Уредба о изменама Уредбе о одређивању делатности код чијег обављања не постоји обавеза евидентирања промета на мало преко електрон</w:t>
      </w:r>
      <w:r>
        <w:rPr>
          <w:rFonts w:ascii="Verdana" w:eastAsia="Verdana" w:hAnsi="Verdana" w:cs="Verdana"/>
          <w:i/>
        </w:rPr>
        <w:t>ског фискалног уређаја: "Службени гласник РС", број 117/2021-5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6.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  <w:b/>
        </w:rPr>
        <w:t>Обвезници фискализације који нису, у складу са Уредбом о одређивању делатности код чијег обављања не постоји обавеза евидентирања промета на мало преко електронског фискалног уређаја („</w:t>
      </w:r>
      <w:r>
        <w:rPr>
          <w:rFonts w:ascii="Verdana" w:eastAsia="Verdana" w:hAnsi="Verdana" w:cs="Verdana"/>
          <w:b/>
        </w:rPr>
        <w:t>Службени гласник РС”, број 32/21) и овом уредбом, ослобођени обавезе евидентирања промета на мало преко електронског фискалног уређаја, дужни су да до 30. априла 2022. године ускладе своје пословање са одредбама Закона о фискализацији („Службени гласник РС</w:t>
      </w:r>
      <w:r>
        <w:rPr>
          <w:rFonts w:ascii="Verdana" w:eastAsia="Verdana" w:hAnsi="Verdana" w:cs="Verdana"/>
          <w:b/>
        </w:rPr>
        <w:t xml:space="preserve">”, бр. 153/20 и 96/21) и подзаконским актима донетим на основу тог закона. 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7.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  <w:b/>
        </w:rPr>
        <w:t>Ова уредба ступа на снагу осмог дана од дана објављивања у „Службеном гласнику Републике Србије”.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Уредба о измени и допуни Уредбе о одређивању делатности код чијег обављања</w:t>
      </w:r>
      <w:r>
        <w:rPr>
          <w:rFonts w:ascii="Verdana" w:eastAsia="Verdana" w:hAnsi="Verdana" w:cs="Verdana"/>
          <w:i/>
        </w:rPr>
        <w:t xml:space="preserve"> не постоји обавеза евидентирања промета на мало преко електронског фискалног уређаја: "Службени гласник РС", број 51/2022-3</w:t>
      </w:r>
    </w:p>
    <w:p w:rsidR="00210AC8" w:rsidRDefault="00265C7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3.</w:t>
      </w:r>
    </w:p>
    <w:p w:rsidR="00210AC8" w:rsidRDefault="00265C76">
      <w:pPr>
        <w:spacing w:line="210" w:lineRule="atLeast"/>
      </w:pPr>
      <w:r>
        <w:rPr>
          <w:rFonts w:ascii="Verdana" w:eastAsia="Verdana" w:hAnsi="Verdana" w:cs="Verdana"/>
          <w:b/>
        </w:rPr>
        <w:t>Ова уредба ступа на снагу даном објављивања у „Службеном гласнику Републике Србије”.</w:t>
      </w:r>
    </w:p>
    <w:sectPr w:rsidR="00210AC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C8"/>
    <w:rsid w:val="00210AC8"/>
    <w:rsid w:val="0026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8A54C-E328-49E5-A4F7-6D01881C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2025-12-15T09:11:00Z</dcterms:created>
  <dcterms:modified xsi:type="dcterms:W3CDTF">2025-12-15T09:11:00Z</dcterms:modified>
</cp:coreProperties>
</file>